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011BB" w14:textId="0724F925" w:rsidR="0087747E" w:rsidRPr="0060367C" w:rsidRDefault="0087747E" w:rsidP="00DA3389">
      <w:pPr>
        <w:pStyle w:val="NoSpacing"/>
        <w:spacing w:line="480" w:lineRule="auto"/>
        <w:jc w:val="center"/>
        <w:rPr>
          <w:rFonts w:ascii="Times New Roman" w:eastAsiaTheme="minorHAnsi" w:hAnsi="Times New Roman" w:cs="Times New Roman"/>
          <w:color w:val="000000" w:themeColor="text1"/>
          <w:sz w:val="24"/>
          <w:szCs w:val="24"/>
          <w:lang w:val="en-GB"/>
        </w:rPr>
      </w:pPr>
      <w:r w:rsidRPr="0060367C">
        <w:rPr>
          <w:rFonts w:ascii="Times New Roman" w:eastAsiaTheme="minorHAnsi" w:hAnsi="Times New Roman" w:cs="Times New Roman"/>
          <w:color w:val="000000" w:themeColor="text1"/>
          <w:sz w:val="24"/>
          <w:szCs w:val="24"/>
          <w:lang w:val="en-GB"/>
        </w:rPr>
        <w:t xml:space="preserve"> </w:t>
      </w:r>
    </w:p>
    <w:sdt>
      <w:sdtPr>
        <w:rPr>
          <w:rFonts w:ascii="Times New Roman" w:eastAsiaTheme="minorHAnsi" w:hAnsi="Times New Roman" w:cs="Times New Roman"/>
          <w:color w:val="000000" w:themeColor="text1"/>
          <w:sz w:val="24"/>
          <w:szCs w:val="24"/>
          <w:lang w:val="en-GB"/>
        </w:rPr>
        <w:id w:val="-1522475554"/>
        <w:docPartObj>
          <w:docPartGallery w:val="Cover Pages"/>
          <w:docPartUnique/>
        </w:docPartObj>
      </w:sdtPr>
      <w:sdtEndPr/>
      <w:sdtContent>
        <w:p w14:paraId="3BDEC478" w14:textId="31475261" w:rsidR="007D1947" w:rsidRPr="0060367C" w:rsidRDefault="007D1947" w:rsidP="00DA3389">
          <w:pPr>
            <w:pStyle w:val="NoSpacing"/>
            <w:spacing w:line="480" w:lineRule="auto"/>
            <w:jc w:val="center"/>
            <w:rPr>
              <w:rFonts w:ascii="Times New Roman" w:eastAsiaTheme="minorHAnsi" w:hAnsi="Times New Roman" w:cs="Times New Roman"/>
              <w:color w:val="000000" w:themeColor="text1"/>
              <w:sz w:val="24"/>
              <w:szCs w:val="24"/>
              <w:lang w:val="en-GB"/>
            </w:rPr>
          </w:pPr>
          <w:r w:rsidRPr="0060367C">
            <w:rPr>
              <w:rFonts w:ascii="Times New Roman" w:hAnsi="Times New Roman" w:cs="Times New Roman"/>
              <w:noProof/>
              <w:color w:val="000000" w:themeColor="text1"/>
              <w:sz w:val="24"/>
              <w:szCs w:val="24"/>
              <w:lang w:val="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A667CC3" w14:textId="77777777" w:rsidR="00CB4949" w:rsidRPr="0060367C" w:rsidRDefault="00CB4949" w:rsidP="00DA3389">
          <w:pPr>
            <w:pStyle w:val="NoSpacing"/>
            <w:spacing w:line="480" w:lineRule="auto"/>
            <w:jc w:val="both"/>
            <w:rPr>
              <w:rFonts w:ascii="Times New Roman" w:hAnsi="Times New Roman" w:cs="Times New Roman"/>
              <w:color w:val="000000" w:themeColor="text1"/>
              <w:sz w:val="24"/>
              <w:szCs w:val="24"/>
              <w:lang w:val="en-GB"/>
            </w:rPr>
          </w:pPr>
        </w:p>
        <w:sdt>
          <w:sdtPr>
            <w:rPr>
              <w:rFonts w:ascii="Times New Roman" w:eastAsiaTheme="majorEastAsia" w:hAnsi="Times New Roman" w:cs="Times New Roman"/>
              <w:caps/>
              <w:color w:val="000000" w:themeColor="text1"/>
              <w:sz w:val="24"/>
              <w:szCs w:val="24"/>
              <w:lang w:val="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6C240649" w14:textId="255BA61B" w:rsidR="007D1947" w:rsidRPr="0060367C" w:rsidRDefault="007C7937" w:rsidP="00DA3389">
              <w:pPr>
                <w:pStyle w:val="NoSpacing"/>
                <w:pBdr>
                  <w:top w:val="single" w:sz="6" w:space="6" w:color="5B9BD5" w:themeColor="accent1"/>
                  <w:bottom w:val="single" w:sz="6" w:space="6" w:color="5B9BD5" w:themeColor="accent1"/>
                </w:pBdr>
                <w:spacing w:line="480" w:lineRule="auto"/>
                <w:jc w:val="center"/>
                <w:rPr>
                  <w:rFonts w:ascii="Times New Roman" w:eastAsiaTheme="majorEastAsia" w:hAnsi="Times New Roman" w:cs="Times New Roman"/>
                  <w:caps/>
                  <w:color w:val="000000" w:themeColor="text1"/>
                  <w:sz w:val="24"/>
                  <w:szCs w:val="24"/>
                  <w:lang w:val="en-GB"/>
                </w:rPr>
              </w:pPr>
              <w:r w:rsidRPr="0060367C">
                <w:rPr>
                  <w:rFonts w:ascii="Times New Roman" w:eastAsiaTheme="majorEastAsia" w:hAnsi="Times New Roman" w:cs="Times New Roman"/>
                  <w:caps/>
                  <w:color w:val="000000" w:themeColor="text1"/>
                  <w:sz w:val="24"/>
                  <w:szCs w:val="24"/>
                  <w:lang w:val="en-GB"/>
                </w:rPr>
                <w:t>FINANCIAL ANALYSIS</w:t>
              </w:r>
            </w:p>
          </w:sdtContent>
        </w:sdt>
        <w:sdt>
          <w:sdtPr>
            <w:rPr>
              <w:rFonts w:ascii="Times New Roman" w:hAnsi="Times New Roman" w:cs="Times New Roman"/>
              <w:color w:val="000000" w:themeColor="text1"/>
              <w:sz w:val="24"/>
              <w:szCs w:val="24"/>
              <w:lang w:val="en-GB"/>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5CA5C9F3" w:rsidR="007D1947" w:rsidRPr="0060367C" w:rsidRDefault="007C7937" w:rsidP="00DA3389">
              <w:pPr>
                <w:pStyle w:val="NoSpacing"/>
                <w:spacing w:line="480" w:lineRule="auto"/>
                <w:jc w:val="center"/>
                <w:rPr>
                  <w:rFonts w:ascii="Times New Roman" w:hAnsi="Times New Roman" w:cs="Times New Roman"/>
                  <w:color w:val="000000" w:themeColor="text1"/>
                  <w:sz w:val="24"/>
                  <w:szCs w:val="24"/>
                  <w:lang w:val="en-GB"/>
                </w:rPr>
              </w:pPr>
              <w:r w:rsidRPr="0060367C">
                <w:rPr>
                  <w:rFonts w:ascii="Times New Roman" w:hAnsi="Times New Roman" w:cs="Times New Roman"/>
                  <w:color w:val="000000" w:themeColor="text1"/>
                  <w:sz w:val="24"/>
                  <w:szCs w:val="24"/>
                  <w:lang w:val="en-GB"/>
                </w:rPr>
                <w:t>Student’s Name</w:t>
              </w:r>
              <w:r w:rsidR="00B61C24">
                <w:rPr>
                  <w:rFonts w:ascii="Times New Roman" w:hAnsi="Times New Roman" w:cs="Times New Roman"/>
                  <w:color w:val="000000" w:themeColor="text1"/>
                  <w:sz w:val="24"/>
                  <w:szCs w:val="24"/>
                  <w:lang w:val="en-GB"/>
                </w:rPr>
                <w:t xml:space="preserve">: </w:t>
              </w:r>
              <w:proofErr w:type="spellStart"/>
              <w:r w:rsidR="00B61C24">
                <w:rPr>
                  <w:rFonts w:ascii="Times New Roman" w:hAnsi="Times New Roman" w:cs="Times New Roman"/>
                  <w:color w:val="000000" w:themeColor="text1"/>
                  <w:sz w:val="24"/>
                  <w:szCs w:val="24"/>
                  <w:lang w:val="en-GB"/>
                </w:rPr>
                <w:t>Nineta</w:t>
              </w:r>
              <w:proofErr w:type="spellEnd"/>
              <w:r w:rsidR="00B61C24">
                <w:rPr>
                  <w:rFonts w:ascii="Times New Roman" w:hAnsi="Times New Roman" w:cs="Times New Roman"/>
                  <w:color w:val="000000" w:themeColor="text1"/>
                  <w:sz w:val="24"/>
                  <w:szCs w:val="24"/>
                  <w:lang w:val="en-GB"/>
                </w:rPr>
                <w:t xml:space="preserve"> </w:t>
              </w:r>
              <w:proofErr w:type="spellStart"/>
              <w:r w:rsidR="00B61C24">
                <w:rPr>
                  <w:rFonts w:ascii="Times New Roman" w:hAnsi="Times New Roman" w:cs="Times New Roman"/>
                  <w:color w:val="000000" w:themeColor="text1"/>
                  <w:sz w:val="24"/>
                  <w:szCs w:val="24"/>
                  <w:lang w:val="en-GB"/>
                </w:rPr>
                <w:t>Florescu</w:t>
              </w:r>
              <w:proofErr w:type="spellEnd"/>
            </w:p>
          </w:sdtContent>
        </w:sdt>
        <w:p w14:paraId="765A889E" w14:textId="791A6E14" w:rsidR="007D1947" w:rsidRPr="0060367C" w:rsidRDefault="007D1947" w:rsidP="00DA3389">
          <w:pPr>
            <w:pStyle w:val="NoSpacing"/>
            <w:spacing w:line="480" w:lineRule="auto"/>
            <w:jc w:val="center"/>
            <w:rPr>
              <w:rFonts w:ascii="Times New Roman" w:hAnsi="Times New Roman" w:cs="Times New Roman"/>
              <w:color w:val="000000" w:themeColor="text1"/>
              <w:sz w:val="24"/>
              <w:szCs w:val="24"/>
              <w:lang w:val="en-GB"/>
            </w:rPr>
          </w:pPr>
          <w:r w:rsidRPr="0060367C">
            <w:rPr>
              <w:rFonts w:ascii="Times New Roman" w:hAnsi="Times New Roman" w:cs="Times New Roman"/>
              <w:noProof/>
              <w:color w:val="000000" w:themeColor="text1"/>
              <w:sz w:val="24"/>
              <w:szCs w:val="24"/>
              <w:lang w:val="en-GB"/>
            </w:rPr>
            <w:drawing>
              <wp:inline distT="0" distB="0" distL="0" distR="0" wp14:anchorId="04B14404" wp14:editId="05FDECA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6C68D6" w14:textId="08D48672" w:rsidR="00BF3818" w:rsidRPr="0060367C" w:rsidRDefault="007D1947" w:rsidP="00DA3389">
          <w:pPr>
            <w:pStyle w:val="Heading1"/>
            <w:spacing w:before="0" w:line="480" w:lineRule="auto"/>
            <w:jc w:val="center"/>
            <w:rPr>
              <w:rFonts w:ascii="Times New Roman" w:hAnsi="Times New Roman" w:cs="Times New Roman"/>
              <w:b/>
              <w:bCs/>
              <w:color w:val="000000" w:themeColor="text1"/>
              <w:sz w:val="24"/>
              <w:szCs w:val="24"/>
            </w:rPr>
          </w:pPr>
          <w:r w:rsidRPr="0060367C">
            <w:rPr>
              <w:rFonts w:ascii="Times New Roman" w:hAnsi="Times New Roman" w:cs="Times New Roman"/>
              <w:color w:val="000000" w:themeColor="text1"/>
              <w:sz w:val="24"/>
              <w:szCs w:val="24"/>
            </w:rPr>
            <w:br w:type="page"/>
          </w:r>
          <w:bookmarkStart w:id="0" w:name="_Toc104999865"/>
          <w:r w:rsidRPr="0060367C">
            <w:rPr>
              <w:rFonts w:ascii="Times New Roman" w:hAnsi="Times New Roman" w:cs="Times New Roman"/>
              <w:b/>
              <w:bCs/>
              <w:color w:val="000000" w:themeColor="text1"/>
              <w:sz w:val="24"/>
              <w:szCs w:val="24"/>
            </w:rPr>
            <w:lastRenderedPageBreak/>
            <w:t>Executive Summary</w:t>
          </w:r>
          <w:bookmarkEnd w:id="0"/>
        </w:p>
        <w:p w14:paraId="42F5A1D7" w14:textId="602143A8" w:rsidR="00BF3818" w:rsidRPr="0060367C" w:rsidRDefault="00BF3818" w:rsidP="00DA3389">
          <w:pPr>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The focus of this study is on the Hilton Hotel's financial health. Using financial ratio analysis in combination with a thorough understanding of the elements that influence a company's success may be a powerful analytical tool for corporate decision-making. While they have their limits, they may be quite beneficial to a company</w:t>
          </w:r>
          <w:r w:rsidR="0022354C" w:rsidRPr="0060367C">
            <w:rPr>
              <w:rFonts w:ascii="Times New Roman" w:hAnsi="Times New Roman" w:cs="Times New Roman"/>
              <w:color w:val="000000" w:themeColor="text1"/>
              <w:sz w:val="24"/>
              <w:szCs w:val="24"/>
            </w:rPr>
            <w:t>’s</w:t>
          </w:r>
          <w:r w:rsidRPr="0060367C">
            <w:rPr>
              <w:rFonts w:ascii="Times New Roman" w:hAnsi="Times New Roman" w:cs="Times New Roman"/>
              <w:color w:val="000000" w:themeColor="text1"/>
              <w:sz w:val="24"/>
              <w:szCs w:val="24"/>
            </w:rPr>
            <w:t xml:space="preserve"> management</w:t>
          </w:r>
          <w:r w:rsidR="0022354C" w:rsidRPr="0060367C">
            <w:rPr>
              <w:rFonts w:ascii="Times New Roman" w:hAnsi="Times New Roman" w:cs="Times New Roman"/>
              <w:color w:val="000000" w:themeColor="text1"/>
              <w:sz w:val="24"/>
              <w:szCs w:val="24"/>
            </w:rPr>
            <w:t xml:space="preserve">. The report further </w:t>
          </w:r>
          <w:proofErr w:type="gramStart"/>
          <w:r w:rsidR="0022354C" w:rsidRPr="0060367C">
            <w:rPr>
              <w:rFonts w:ascii="Times New Roman" w:hAnsi="Times New Roman" w:cs="Times New Roman"/>
              <w:color w:val="000000" w:themeColor="text1"/>
              <w:sz w:val="24"/>
              <w:szCs w:val="24"/>
            </w:rPr>
            <w:t>offer</w:t>
          </w:r>
          <w:proofErr w:type="gramEnd"/>
          <w:r w:rsidR="0022354C" w:rsidRPr="0060367C">
            <w:rPr>
              <w:rFonts w:ascii="Times New Roman" w:hAnsi="Times New Roman" w:cs="Times New Roman"/>
              <w:color w:val="000000" w:themeColor="text1"/>
              <w:sz w:val="24"/>
              <w:szCs w:val="24"/>
            </w:rPr>
            <w:t xml:space="preserve"> recommendations on how to utilise financial ratios to track their progress and determine what steps to take in order to achieve success.</w:t>
          </w:r>
        </w:p>
        <w:p w14:paraId="3237E6ED" w14:textId="77777777" w:rsidR="00D00D64" w:rsidRPr="0060367C" w:rsidRDefault="00D00D64" w:rsidP="00DA3389">
          <w:pPr>
            <w:spacing w:after="0" w:line="480" w:lineRule="auto"/>
            <w:jc w:val="both"/>
            <w:rPr>
              <w:rFonts w:ascii="Times New Roman" w:hAnsi="Times New Roman" w:cs="Times New Roman"/>
              <w:color w:val="000000" w:themeColor="text1"/>
              <w:sz w:val="24"/>
              <w:szCs w:val="24"/>
            </w:rPr>
          </w:pPr>
        </w:p>
        <w:p w14:paraId="1F455677"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4212D1B9"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67046C6A"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2FBFFFEA"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73C992F0"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171706B6"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696941F7"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0614965F"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5ED974BB"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576008F1"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1A43EBAE"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670ED438" w14:textId="3718D243" w:rsidR="007D1947" w:rsidRPr="0060367C" w:rsidRDefault="00DA3389" w:rsidP="00DA338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lang w:val="en-GB"/>
            </w:rPr>
            <w:id w:val="-1297214018"/>
            <w:docPartObj>
              <w:docPartGallery w:val="Table of Contents"/>
              <w:docPartUnique/>
            </w:docPartObj>
          </w:sdtPr>
          <w:sdtEndPr>
            <w:rPr>
              <w:b/>
              <w:bCs/>
              <w:noProof/>
            </w:rPr>
          </w:sdtEndPr>
          <w:sdtContent>
            <w:p w14:paraId="3EF04BD9" w14:textId="77777777" w:rsidR="007D1947" w:rsidRPr="0060367C" w:rsidRDefault="007D1947" w:rsidP="00DA3389">
              <w:pPr>
                <w:pStyle w:val="TOCHeading"/>
                <w:spacing w:before="0" w:line="480" w:lineRule="auto"/>
                <w:jc w:val="center"/>
                <w:rPr>
                  <w:rFonts w:ascii="Times New Roman" w:hAnsi="Times New Roman" w:cs="Times New Roman"/>
                  <w:color w:val="000000" w:themeColor="text1"/>
                  <w:sz w:val="24"/>
                  <w:szCs w:val="24"/>
                  <w:lang w:val="en-GB"/>
                </w:rPr>
              </w:pPr>
              <w:r w:rsidRPr="0060367C">
                <w:rPr>
                  <w:rFonts w:ascii="Times New Roman" w:hAnsi="Times New Roman" w:cs="Times New Roman"/>
                  <w:color w:val="000000" w:themeColor="text1"/>
                  <w:sz w:val="24"/>
                  <w:szCs w:val="24"/>
                  <w:lang w:val="en-GB"/>
                </w:rPr>
                <w:t>Table of Contents</w:t>
              </w:r>
            </w:p>
            <w:p w14:paraId="29F3B06B" w14:textId="7FC504B8" w:rsidR="00A22EC6" w:rsidRPr="0060367C" w:rsidRDefault="007D1947" w:rsidP="00DA3389">
              <w:pPr>
                <w:pStyle w:val="TOC1"/>
                <w:tabs>
                  <w:tab w:val="right" w:leader="dot" w:pos="9016"/>
                </w:tabs>
                <w:spacing w:after="0"/>
                <w:rPr>
                  <w:rFonts w:eastAsiaTheme="minorEastAsia"/>
                  <w:noProof/>
                </w:rPr>
              </w:pPr>
              <w:r w:rsidRPr="0060367C">
                <w:rPr>
                  <w:rFonts w:ascii="Times New Roman" w:hAnsi="Times New Roman" w:cs="Times New Roman"/>
                  <w:color w:val="000000" w:themeColor="text1"/>
                  <w:sz w:val="24"/>
                  <w:szCs w:val="24"/>
                </w:rPr>
                <w:fldChar w:fldCharType="begin"/>
              </w:r>
              <w:r w:rsidRPr="0060367C">
                <w:rPr>
                  <w:rFonts w:ascii="Times New Roman" w:hAnsi="Times New Roman" w:cs="Times New Roman"/>
                  <w:color w:val="000000" w:themeColor="text1"/>
                  <w:sz w:val="24"/>
                  <w:szCs w:val="24"/>
                </w:rPr>
                <w:instrText xml:space="preserve"> TOC \o "1-3" \h \z \u </w:instrText>
              </w:r>
              <w:r w:rsidRPr="0060367C">
                <w:rPr>
                  <w:rFonts w:ascii="Times New Roman" w:hAnsi="Times New Roman" w:cs="Times New Roman"/>
                  <w:color w:val="000000" w:themeColor="text1"/>
                  <w:sz w:val="24"/>
                  <w:szCs w:val="24"/>
                </w:rPr>
                <w:fldChar w:fldCharType="separate"/>
              </w:r>
              <w:hyperlink w:anchor="_Toc104999865" w:history="1">
                <w:r w:rsidR="00A22EC6" w:rsidRPr="0060367C">
                  <w:rPr>
                    <w:rStyle w:val="Hyperlink"/>
                    <w:rFonts w:ascii="Times New Roman" w:hAnsi="Times New Roman" w:cs="Times New Roman"/>
                    <w:noProof/>
                  </w:rPr>
                  <w:t>Executive Summary</w:t>
                </w:r>
                <w:r w:rsidR="00A22EC6" w:rsidRPr="0060367C">
                  <w:rPr>
                    <w:noProof/>
                    <w:webHidden/>
                  </w:rPr>
                  <w:tab/>
                </w:r>
                <w:r w:rsidR="00A22EC6" w:rsidRPr="0060367C">
                  <w:rPr>
                    <w:noProof/>
                    <w:webHidden/>
                  </w:rPr>
                  <w:fldChar w:fldCharType="begin"/>
                </w:r>
                <w:r w:rsidR="00A22EC6" w:rsidRPr="0060367C">
                  <w:rPr>
                    <w:noProof/>
                    <w:webHidden/>
                  </w:rPr>
                  <w:instrText xml:space="preserve"> PAGEREF _Toc104999865 \h </w:instrText>
                </w:r>
                <w:r w:rsidR="00A22EC6" w:rsidRPr="0060367C">
                  <w:rPr>
                    <w:noProof/>
                    <w:webHidden/>
                  </w:rPr>
                </w:r>
                <w:r w:rsidR="00A22EC6" w:rsidRPr="0060367C">
                  <w:rPr>
                    <w:noProof/>
                    <w:webHidden/>
                  </w:rPr>
                  <w:fldChar w:fldCharType="separate"/>
                </w:r>
                <w:r w:rsidR="00A22EC6" w:rsidRPr="0060367C">
                  <w:rPr>
                    <w:noProof/>
                    <w:webHidden/>
                  </w:rPr>
                  <w:t>1</w:t>
                </w:r>
                <w:r w:rsidR="00A22EC6" w:rsidRPr="0060367C">
                  <w:rPr>
                    <w:noProof/>
                    <w:webHidden/>
                  </w:rPr>
                  <w:fldChar w:fldCharType="end"/>
                </w:r>
              </w:hyperlink>
            </w:p>
            <w:p w14:paraId="04C3B0FF" w14:textId="794C8328" w:rsidR="00A22EC6" w:rsidRPr="0060367C" w:rsidRDefault="00A21039" w:rsidP="00DA3389">
              <w:pPr>
                <w:pStyle w:val="TOC1"/>
                <w:tabs>
                  <w:tab w:val="right" w:leader="dot" w:pos="9016"/>
                </w:tabs>
                <w:spacing w:after="0"/>
                <w:rPr>
                  <w:rFonts w:eastAsiaTheme="minorEastAsia"/>
                  <w:noProof/>
                </w:rPr>
              </w:pPr>
              <w:hyperlink w:anchor="_Toc104999866" w:history="1">
                <w:r w:rsidR="00A22EC6" w:rsidRPr="0060367C">
                  <w:rPr>
                    <w:rStyle w:val="Hyperlink"/>
                    <w:rFonts w:ascii="Times New Roman" w:hAnsi="Times New Roman" w:cs="Times New Roman"/>
                    <w:b/>
                    <w:noProof/>
                  </w:rPr>
                  <w:t>Introduction</w:t>
                </w:r>
                <w:r w:rsidR="00A22EC6" w:rsidRPr="0060367C">
                  <w:rPr>
                    <w:noProof/>
                    <w:webHidden/>
                  </w:rPr>
                  <w:tab/>
                </w:r>
                <w:r w:rsidR="00A22EC6" w:rsidRPr="0060367C">
                  <w:rPr>
                    <w:noProof/>
                    <w:webHidden/>
                  </w:rPr>
                  <w:fldChar w:fldCharType="begin"/>
                </w:r>
                <w:r w:rsidR="00A22EC6" w:rsidRPr="0060367C">
                  <w:rPr>
                    <w:noProof/>
                    <w:webHidden/>
                  </w:rPr>
                  <w:instrText xml:space="preserve"> PAGEREF _Toc104999866 \h </w:instrText>
                </w:r>
                <w:r w:rsidR="00A22EC6" w:rsidRPr="0060367C">
                  <w:rPr>
                    <w:noProof/>
                    <w:webHidden/>
                  </w:rPr>
                </w:r>
                <w:r w:rsidR="00A22EC6" w:rsidRPr="0060367C">
                  <w:rPr>
                    <w:noProof/>
                    <w:webHidden/>
                  </w:rPr>
                  <w:fldChar w:fldCharType="separate"/>
                </w:r>
                <w:r w:rsidR="00A22EC6" w:rsidRPr="0060367C">
                  <w:rPr>
                    <w:noProof/>
                    <w:webHidden/>
                  </w:rPr>
                  <w:t>4</w:t>
                </w:r>
                <w:r w:rsidR="00A22EC6" w:rsidRPr="0060367C">
                  <w:rPr>
                    <w:noProof/>
                    <w:webHidden/>
                  </w:rPr>
                  <w:fldChar w:fldCharType="end"/>
                </w:r>
              </w:hyperlink>
            </w:p>
            <w:p w14:paraId="6269DBFC" w14:textId="541C0B7B" w:rsidR="00A22EC6" w:rsidRPr="0060367C" w:rsidRDefault="00A21039" w:rsidP="00DA3389">
              <w:pPr>
                <w:pStyle w:val="TOC1"/>
                <w:tabs>
                  <w:tab w:val="right" w:leader="dot" w:pos="9016"/>
                </w:tabs>
                <w:spacing w:after="0"/>
                <w:rPr>
                  <w:rFonts w:eastAsiaTheme="minorEastAsia"/>
                  <w:noProof/>
                </w:rPr>
              </w:pPr>
              <w:hyperlink w:anchor="_Toc104999867" w:history="1">
                <w:r w:rsidR="00A22EC6" w:rsidRPr="0060367C">
                  <w:rPr>
                    <w:rStyle w:val="Hyperlink"/>
                    <w:rFonts w:ascii="Times New Roman" w:hAnsi="Times New Roman" w:cs="Times New Roman"/>
                    <w:b/>
                    <w:noProof/>
                  </w:rPr>
                  <w:t>Financial Analysis Trends</w:t>
                </w:r>
                <w:r w:rsidR="00A22EC6" w:rsidRPr="0060367C">
                  <w:rPr>
                    <w:noProof/>
                    <w:webHidden/>
                  </w:rPr>
                  <w:tab/>
                </w:r>
                <w:r w:rsidR="00A22EC6" w:rsidRPr="0060367C">
                  <w:rPr>
                    <w:noProof/>
                    <w:webHidden/>
                  </w:rPr>
                  <w:fldChar w:fldCharType="begin"/>
                </w:r>
                <w:r w:rsidR="00A22EC6" w:rsidRPr="0060367C">
                  <w:rPr>
                    <w:noProof/>
                    <w:webHidden/>
                  </w:rPr>
                  <w:instrText xml:space="preserve"> PAGEREF _Toc104999867 \h </w:instrText>
                </w:r>
                <w:r w:rsidR="00A22EC6" w:rsidRPr="0060367C">
                  <w:rPr>
                    <w:noProof/>
                    <w:webHidden/>
                  </w:rPr>
                </w:r>
                <w:r w:rsidR="00A22EC6" w:rsidRPr="0060367C">
                  <w:rPr>
                    <w:noProof/>
                    <w:webHidden/>
                  </w:rPr>
                  <w:fldChar w:fldCharType="separate"/>
                </w:r>
                <w:r w:rsidR="00A22EC6" w:rsidRPr="0060367C">
                  <w:rPr>
                    <w:noProof/>
                    <w:webHidden/>
                  </w:rPr>
                  <w:t>8</w:t>
                </w:r>
                <w:r w:rsidR="00A22EC6" w:rsidRPr="0060367C">
                  <w:rPr>
                    <w:noProof/>
                    <w:webHidden/>
                  </w:rPr>
                  <w:fldChar w:fldCharType="end"/>
                </w:r>
              </w:hyperlink>
            </w:p>
            <w:p w14:paraId="122938FA" w14:textId="0C132FAB" w:rsidR="00A22EC6" w:rsidRPr="0060367C" w:rsidRDefault="00A21039" w:rsidP="00DA3389">
              <w:pPr>
                <w:pStyle w:val="TOC1"/>
                <w:tabs>
                  <w:tab w:val="right" w:leader="dot" w:pos="9016"/>
                </w:tabs>
                <w:spacing w:after="0"/>
                <w:rPr>
                  <w:rFonts w:eastAsiaTheme="minorEastAsia"/>
                  <w:noProof/>
                </w:rPr>
              </w:pPr>
              <w:hyperlink w:anchor="_Toc104999868" w:history="1">
                <w:r w:rsidR="00A22EC6" w:rsidRPr="0060367C">
                  <w:rPr>
                    <w:rStyle w:val="Hyperlink"/>
                    <w:rFonts w:ascii="Times New Roman" w:hAnsi="Times New Roman" w:cs="Times New Roman"/>
                    <w:b/>
                    <w:noProof/>
                  </w:rPr>
                  <w:t>The Importance of Using Ratio Analysis for Decision Making</w:t>
                </w:r>
                <w:r w:rsidR="00A22EC6" w:rsidRPr="0060367C">
                  <w:rPr>
                    <w:noProof/>
                    <w:webHidden/>
                  </w:rPr>
                  <w:tab/>
                </w:r>
                <w:r w:rsidR="00A22EC6" w:rsidRPr="0060367C">
                  <w:rPr>
                    <w:noProof/>
                    <w:webHidden/>
                  </w:rPr>
                  <w:fldChar w:fldCharType="begin"/>
                </w:r>
                <w:r w:rsidR="00A22EC6" w:rsidRPr="0060367C">
                  <w:rPr>
                    <w:noProof/>
                    <w:webHidden/>
                  </w:rPr>
                  <w:instrText xml:space="preserve"> PAGEREF _Toc104999868 \h </w:instrText>
                </w:r>
                <w:r w:rsidR="00A22EC6" w:rsidRPr="0060367C">
                  <w:rPr>
                    <w:noProof/>
                    <w:webHidden/>
                  </w:rPr>
                </w:r>
                <w:r w:rsidR="00A22EC6" w:rsidRPr="0060367C">
                  <w:rPr>
                    <w:noProof/>
                    <w:webHidden/>
                  </w:rPr>
                  <w:fldChar w:fldCharType="separate"/>
                </w:r>
                <w:r w:rsidR="00A22EC6" w:rsidRPr="0060367C">
                  <w:rPr>
                    <w:noProof/>
                    <w:webHidden/>
                  </w:rPr>
                  <w:t>9</w:t>
                </w:r>
                <w:r w:rsidR="00A22EC6" w:rsidRPr="0060367C">
                  <w:rPr>
                    <w:noProof/>
                    <w:webHidden/>
                  </w:rPr>
                  <w:fldChar w:fldCharType="end"/>
                </w:r>
              </w:hyperlink>
            </w:p>
            <w:p w14:paraId="527B8DE9" w14:textId="1379536A" w:rsidR="00A22EC6" w:rsidRPr="0060367C" w:rsidRDefault="00A21039" w:rsidP="00DA3389">
              <w:pPr>
                <w:pStyle w:val="TOC1"/>
                <w:tabs>
                  <w:tab w:val="right" w:leader="dot" w:pos="9016"/>
                </w:tabs>
                <w:spacing w:after="0"/>
                <w:rPr>
                  <w:rFonts w:eastAsiaTheme="minorEastAsia"/>
                  <w:noProof/>
                </w:rPr>
              </w:pPr>
              <w:hyperlink w:anchor="_Toc104999869" w:history="1">
                <w:r w:rsidR="00A22EC6" w:rsidRPr="0060367C">
                  <w:rPr>
                    <w:rStyle w:val="Hyperlink"/>
                    <w:rFonts w:ascii="Times New Roman" w:hAnsi="Times New Roman" w:cs="Times New Roman"/>
                    <w:b/>
                    <w:noProof/>
                  </w:rPr>
                  <w:t>Limitation of Ratio Analysis</w:t>
                </w:r>
                <w:r w:rsidR="00A22EC6" w:rsidRPr="0060367C">
                  <w:rPr>
                    <w:noProof/>
                    <w:webHidden/>
                  </w:rPr>
                  <w:tab/>
                </w:r>
                <w:r w:rsidR="00A22EC6" w:rsidRPr="0060367C">
                  <w:rPr>
                    <w:noProof/>
                    <w:webHidden/>
                  </w:rPr>
                  <w:fldChar w:fldCharType="begin"/>
                </w:r>
                <w:r w:rsidR="00A22EC6" w:rsidRPr="0060367C">
                  <w:rPr>
                    <w:noProof/>
                    <w:webHidden/>
                  </w:rPr>
                  <w:instrText xml:space="preserve"> PAGEREF _Toc104999869 \h </w:instrText>
                </w:r>
                <w:r w:rsidR="00A22EC6" w:rsidRPr="0060367C">
                  <w:rPr>
                    <w:noProof/>
                    <w:webHidden/>
                  </w:rPr>
                </w:r>
                <w:r w:rsidR="00A22EC6" w:rsidRPr="0060367C">
                  <w:rPr>
                    <w:noProof/>
                    <w:webHidden/>
                  </w:rPr>
                  <w:fldChar w:fldCharType="separate"/>
                </w:r>
                <w:r w:rsidR="00A22EC6" w:rsidRPr="0060367C">
                  <w:rPr>
                    <w:noProof/>
                    <w:webHidden/>
                  </w:rPr>
                  <w:t>12</w:t>
                </w:r>
                <w:r w:rsidR="00A22EC6" w:rsidRPr="0060367C">
                  <w:rPr>
                    <w:noProof/>
                    <w:webHidden/>
                  </w:rPr>
                  <w:fldChar w:fldCharType="end"/>
                </w:r>
              </w:hyperlink>
            </w:p>
            <w:p w14:paraId="68FFFB3C" w14:textId="0513F436" w:rsidR="00A22EC6" w:rsidRPr="0060367C" w:rsidRDefault="00A21039" w:rsidP="00DA3389">
              <w:pPr>
                <w:pStyle w:val="TOC1"/>
                <w:tabs>
                  <w:tab w:val="right" w:leader="dot" w:pos="9016"/>
                </w:tabs>
                <w:spacing w:after="0"/>
                <w:rPr>
                  <w:rFonts w:eastAsiaTheme="minorEastAsia"/>
                  <w:noProof/>
                </w:rPr>
              </w:pPr>
              <w:hyperlink w:anchor="_Toc104999870" w:history="1">
                <w:r w:rsidR="00A22EC6" w:rsidRPr="0060367C">
                  <w:rPr>
                    <w:rStyle w:val="Hyperlink"/>
                    <w:rFonts w:ascii="Times New Roman" w:hAnsi="Times New Roman" w:cs="Times New Roman"/>
                    <w:b/>
                    <w:noProof/>
                  </w:rPr>
                  <w:t>Conclusion</w:t>
                </w:r>
                <w:r w:rsidR="00A22EC6" w:rsidRPr="0060367C">
                  <w:rPr>
                    <w:noProof/>
                    <w:webHidden/>
                  </w:rPr>
                  <w:tab/>
                </w:r>
                <w:r w:rsidR="00A22EC6" w:rsidRPr="0060367C">
                  <w:rPr>
                    <w:noProof/>
                    <w:webHidden/>
                  </w:rPr>
                  <w:fldChar w:fldCharType="begin"/>
                </w:r>
                <w:r w:rsidR="00A22EC6" w:rsidRPr="0060367C">
                  <w:rPr>
                    <w:noProof/>
                    <w:webHidden/>
                  </w:rPr>
                  <w:instrText xml:space="preserve"> PAGEREF _Toc104999870 \h </w:instrText>
                </w:r>
                <w:r w:rsidR="00A22EC6" w:rsidRPr="0060367C">
                  <w:rPr>
                    <w:noProof/>
                    <w:webHidden/>
                  </w:rPr>
                </w:r>
                <w:r w:rsidR="00A22EC6" w:rsidRPr="0060367C">
                  <w:rPr>
                    <w:noProof/>
                    <w:webHidden/>
                  </w:rPr>
                  <w:fldChar w:fldCharType="separate"/>
                </w:r>
                <w:r w:rsidR="00A22EC6" w:rsidRPr="0060367C">
                  <w:rPr>
                    <w:noProof/>
                    <w:webHidden/>
                  </w:rPr>
                  <w:t>13</w:t>
                </w:r>
                <w:r w:rsidR="00A22EC6" w:rsidRPr="0060367C">
                  <w:rPr>
                    <w:noProof/>
                    <w:webHidden/>
                  </w:rPr>
                  <w:fldChar w:fldCharType="end"/>
                </w:r>
              </w:hyperlink>
            </w:p>
            <w:p w14:paraId="3F561399" w14:textId="5D0A43D6" w:rsidR="00A22EC6" w:rsidRPr="0060367C" w:rsidRDefault="00A21039" w:rsidP="00DA3389">
              <w:pPr>
                <w:pStyle w:val="TOC1"/>
                <w:tabs>
                  <w:tab w:val="right" w:leader="dot" w:pos="9016"/>
                </w:tabs>
                <w:spacing w:after="0"/>
                <w:rPr>
                  <w:rFonts w:eastAsiaTheme="minorEastAsia"/>
                  <w:noProof/>
                </w:rPr>
              </w:pPr>
              <w:hyperlink w:anchor="_Toc104999871" w:history="1">
                <w:r w:rsidR="00A22EC6" w:rsidRPr="0060367C">
                  <w:rPr>
                    <w:rStyle w:val="Hyperlink"/>
                    <w:rFonts w:ascii="Times New Roman" w:hAnsi="Times New Roman" w:cs="Times New Roman"/>
                    <w:b/>
                    <w:noProof/>
                  </w:rPr>
                  <w:t>Bibliography</w:t>
                </w:r>
                <w:r w:rsidR="00A22EC6" w:rsidRPr="0060367C">
                  <w:rPr>
                    <w:noProof/>
                    <w:webHidden/>
                  </w:rPr>
                  <w:tab/>
                </w:r>
                <w:r w:rsidR="00A22EC6" w:rsidRPr="0060367C">
                  <w:rPr>
                    <w:noProof/>
                    <w:webHidden/>
                  </w:rPr>
                  <w:fldChar w:fldCharType="begin"/>
                </w:r>
                <w:r w:rsidR="00A22EC6" w:rsidRPr="0060367C">
                  <w:rPr>
                    <w:noProof/>
                    <w:webHidden/>
                  </w:rPr>
                  <w:instrText xml:space="preserve"> PAGEREF _Toc104999871 \h </w:instrText>
                </w:r>
                <w:r w:rsidR="00A22EC6" w:rsidRPr="0060367C">
                  <w:rPr>
                    <w:noProof/>
                    <w:webHidden/>
                  </w:rPr>
                </w:r>
                <w:r w:rsidR="00A22EC6" w:rsidRPr="0060367C">
                  <w:rPr>
                    <w:noProof/>
                    <w:webHidden/>
                  </w:rPr>
                  <w:fldChar w:fldCharType="separate"/>
                </w:r>
                <w:r w:rsidR="00A22EC6" w:rsidRPr="0060367C">
                  <w:rPr>
                    <w:noProof/>
                    <w:webHidden/>
                  </w:rPr>
                  <w:t>15</w:t>
                </w:r>
                <w:r w:rsidR="00A22EC6" w:rsidRPr="0060367C">
                  <w:rPr>
                    <w:noProof/>
                    <w:webHidden/>
                  </w:rPr>
                  <w:fldChar w:fldCharType="end"/>
                </w:r>
              </w:hyperlink>
            </w:p>
            <w:p w14:paraId="3BC68F25" w14:textId="475F3150" w:rsidR="007D1947" w:rsidRPr="0060367C" w:rsidRDefault="007D1947" w:rsidP="00DA3389">
              <w:pPr>
                <w:spacing w:after="0" w:line="480" w:lineRule="auto"/>
                <w:jc w:val="both"/>
                <w:rPr>
                  <w:rFonts w:ascii="Times New Roman" w:hAnsi="Times New Roman" w:cs="Times New Roman"/>
                  <w:color w:val="000000" w:themeColor="text1"/>
                  <w:sz w:val="24"/>
                  <w:szCs w:val="24"/>
                </w:rPr>
              </w:pPr>
              <w:r w:rsidRPr="0060367C">
                <w:rPr>
                  <w:rFonts w:ascii="Times New Roman" w:hAnsi="Times New Roman" w:cs="Times New Roman"/>
                  <w:b/>
                  <w:bCs/>
                  <w:noProof/>
                  <w:color w:val="000000" w:themeColor="text1"/>
                  <w:sz w:val="24"/>
                  <w:szCs w:val="24"/>
                </w:rPr>
                <w:fldChar w:fldCharType="end"/>
              </w:r>
              <w:r w:rsidR="00CB4949" w:rsidRPr="0060367C">
                <w:rPr>
                  <w:rFonts w:ascii="Times New Roman" w:hAnsi="Times New Roman" w:cs="Times New Roman"/>
                  <w:b/>
                  <w:bCs/>
                  <w:noProof/>
                  <w:color w:val="000000" w:themeColor="text1"/>
                  <w:sz w:val="24"/>
                  <w:szCs w:val="24"/>
                </w:rPr>
                <w:t xml:space="preserve"> </w:t>
              </w:r>
            </w:p>
          </w:sdtContent>
        </w:sdt>
        <w:p w14:paraId="4B6E43C0"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6029F743"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44FFAF5D"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1FF75D73"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6FC8D65F"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06D4F34D"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32867CF5"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6C748E61"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4E87151A"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2F4155A5"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787F748D"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4CA74EB7" w14:textId="77777777" w:rsidR="007D1947" w:rsidRPr="0060367C" w:rsidRDefault="007D1947" w:rsidP="00DA3389">
          <w:pPr>
            <w:spacing w:after="0" w:line="480" w:lineRule="auto"/>
            <w:jc w:val="both"/>
            <w:rPr>
              <w:rFonts w:ascii="Times New Roman" w:hAnsi="Times New Roman" w:cs="Times New Roman"/>
              <w:color w:val="000000" w:themeColor="text1"/>
              <w:sz w:val="24"/>
              <w:szCs w:val="24"/>
            </w:rPr>
          </w:pPr>
        </w:p>
        <w:p w14:paraId="1F3FEBE8" w14:textId="029F4B67" w:rsidR="00EC1264" w:rsidRPr="0060367C" w:rsidRDefault="00EC1264" w:rsidP="00DA3389">
          <w:pPr>
            <w:spacing w:after="0" w:line="480" w:lineRule="auto"/>
            <w:rPr>
              <w:rFonts w:ascii="Times New Roman" w:eastAsiaTheme="majorEastAsia" w:hAnsi="Times New Roman" w:cs="Times New Roman"/>
              <w:color w:val="000000" w:themeColor="text1"/>
              <w:sz w:val="24"/>
              <w:szCs w:val="24"/>
            </w:rPr>
          </w:pPr>
        </w:p>
        <w:p w14:paraId="7B2D5FE0" w14:textId="77777777" w:rsidR="00DA3389" w:rsidRDefault="00DA3389">
          <w:pPr>
            <w:rPr>
              <w:rFonts w:ascii="Times New Roman" w:eastAsiaTheme="majorEastAsia" w:hAnsi="Times New Roman" w:cs="Times New Roman"/>
              <w:b/>
              <w:color w:val="000000" w:themeColor="text1"/>
              <w:sz w:val="24"/>
              <w:szCs w:val="24"/>
            </w:rPr>
          </w:pPr>
          <w:bookmarkStart w:id="1" w:name="_Toc104999866"/>
          <w:r>
            <w:rPr>
              <w:rFonts w:ascii="Times New Roman" w:hAnsi="Times New Roman" w:cs="Times New Roman"/>
              <w:b/>
              <w:color w:val="000000" w:themeColor="text1"/>
              <w:sz w:val="24"/>
              <w:szCs w:val="24"/>
            </w:rPr>
            <w:br w:type="page"/>
          </w:r>
        </w:p>
        <w:p w14:paraId="6C35C80D" w14:textId="7C5F9D95" w:rsidR="007D1947" w:rsidRPr="0060367C" w:rsidRDefault="007D1947" w:rsidP="00DA3389">
          <w:pPr>
            <w:pStyle w:val="Heading1"/>
            <w:spacing w:before="0" w:line="480" w:lineRule="auto"/>
            <w:jc w:val="center"/>
            <w:rPr>
              <w:rFonts w:ascii="Times New Roman" w:hAnsi="Times New Roman" w:cs="Times New Roman"/>
              <w:b/>
              <w:color w:val="000000" w:themeColor="text1"/>
              <w:sz w:val="24"/>
              <w:szCs w:val="24"/>
            </w:rPr>
          </w:pPr>
          <w:r w:rsidRPr="0060367C">
            <w:rPr>
              <w:rFonts w:ascii="Times New Roman" w:hAnsi="Times New Roman" w:cs="Times New Roman"/>
              <w:b/>
              <w:color w:val="000000" w:themeColor="text1"/>
              <w:sz w:val="24"/>
              <w:szCs w:val="24"/>
            </w:rPr>
            <w:lastRenderedPageBreak/>
            <w:t>Introduction</w:t>
          </w:r>
          <w:bookmarkEnd w:id="1"/>
        </w:p>
        <w:p w14:paraId="68628CB7" w14:textId="33B9134C" w:rsidR="00930855" w:rsidRPr="0060367C" w:rsidRDefault="00930855" w:rsidP="00DA3389">
          <w:pPr>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Various stakeholders, including owners, consumers, managers, suppliers, vendors, lenders, regulators, and rivals may benefit from financial ratio research. This is accomplished by examining the financial accounts of the company in question. To determine a company's ability to repay a loan, banks in the United States began using this technique in the late 1800s. Investors' use of financial measures for corporate decision-making was subsequently broadened</w:t>
          </w:r>
          <w:r w:rsidR="00EA7044" w:rsidRPr="0060367C">
            <w:rPr>
              <w:rFonts w:ascii="Times New Roman" w:hAnsi="Times New Roman" w:cs="Times New Roman"/>
              <w:color w:val="000000" w:themeColor="text1"/>
              <w:sz w:val="24"/>
              <w:szCs w:val="24"/>
            </w:rPr>
            <w:t xml:space="preserve"> (Pochwat, et al., 2017)</w:t>
          </w:r>
          <w:r w:rsidRPr="0060367C">
            <w:rPr>
              <w:rFonts w:ascii="Times New Roman" w:hAnsi="Times New Roman" w:cs="Times New Roman"/>
              <w:color w:val="000000" w:themeColor="text1"/>
              <w:sz w:val="24"/>
              <w:szCs w:val="24"/>
            </w:rPr>
            <w:t>. The need of ratio analysis became much more apparent when corporations began to emerge. It is also possible to determine the efficiency of an organi</w:t>
          </w:r>
          <w:r w:rsidR="0060367C">
            <w:rPr>
              <w:rFonts w:ascii="Times New Roman" w:hAnsi="Times New Roman" w:cs="Times New Roman"/>
              <w:color w:val="000000" w:themeColor="text1"/>
              <w:sz w:val="24"/>
              <w:szCs w:val="24"/>
            </w:rPr>
            <w:t>sation</w:t>
          </w:r>
          <w:r w:rsidRPr="0060367C">
            <w:rPr>
              <w:rFonts w:ascii="Times New Roman" w:hAnsi="Times New Roman" w:cs="Times New Roman"/>
              <w:color w:val="000000" w:themeColor="text1"/>
              <w:sz w:val="24"/>
              <w:szCs w:val="24"/>
            </w:rPr>
            <w:t>'s asset and liability management by doing a ratio analysis. A variety of ratios are used to aid decision-making by managers. Liquidity ratios like the current ratio, quick ratio, and cash ratio assess a company's capacity to satisfy its short-term obligations by drawing on the company's short-term assets.</w:t>
          </w:r>
        </w:p>
        <w:p w14:paraId="27BD4038" w14:textId="47DD89FC" w:rsidR="00930855" w:rsidRPr="0060367C" w:rsidRDefault="0060367C" w:rsidP="00DA3389">
          <w:pPr>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Financial</w:t>
          </w:r>
          <w:r w:rsidR="00930855" w:rsidRPr="0060367C">
            <w:rPr>
              <w:rFonts w:ascii="Times New Roman" w:hAnsi="Times New Roman" w:cs="Times New Roman"/>
              <w:color w:val="000000" w:themeColor="text1"/>
              <w:sz w:val="24"/>
              <w:szCs w:val="24"/>
            </w:rPr>
            <w:t xml:space="preserve"> ratios </w:t>
          </w:r>
          <w:r w:rsidRPr="0060367C">
            <w:rPr>
              <w:rFonts w:ascii="Times New Roman" w:hAnsi="Times New Roman" w:cs="Times New Roman"/>
              <w:color w:val="000000" w:themeColor="text1"/>
              <w:sz w:val="24"/>
              <w:szCs w:val="24"/>
            </w:rPr>
            <w:t>determine</w:t>
          </w:r>
          <w:r w:rsidR="00930855" w:rsidRPr="0060367C">
            <w:rPr>
              <w:rFonts w:ascii="Times New Roman" w:hAnsi="Times New Roman" w:cs="Times New Roman"/>
              <w:color w:val="000000" w:themeColor="text1"/>
              <w:sz w:val="24"/>
              <w:szCs w:val="24"/>
            </w:rPr>
            <w:t xml:space="preserve"> whether a company is having difficulty paying back its debts</w:t>
          </w:r>
          <w:r w:rsidRPr="0060367C">
            <w:rPr>
              <w:rFonts w:ascii="Times New Roman" w:hAnsi="Times New Roman" w:cs="Times New Roman"/>
              <w:color w:val="000000" w:themeColor="text1"/>
              <w:sz w:val="24"/>
              <w:szCs w:val="24"/>
            </w:rPr>
            <w:t xml:space="preserve"> or not</w:t>
          </w:r>
          <w:r w:rsidR="00930855" w:rsidRPr="0060367C">
            <w:rPr>
              <w:rFonts w:ascii="Times New Roman" w:hAnsi="Times New Roman" w:cs="Times New Roman"/>
              <w:color w:val="000000" w:themeColor="text1"/>
              <w:sz w:val="24"/>
              <w:szCs w:val="24"/>
            </w:rPr>
            <w:t>. Lenders, bankers, and creditors use these quotients to assess a company's ability to meet its financial obligations. First and foremost, solvency metrics examine the firm's capacity to satisfy any future financial obligations and the fact that it has more equity than liabilities. By comparing the debt-to-equity ratio and the debt-to-assets ratio, it is possible to determine the financial health of a company</w:t>
          </w:r>
          <w:r w:rsidR="0084538D" w:rsidRPr="0060367C">
            <w:rPr>
              <w:rFonts w:ascii="Times New Roman" w:hAnsi="Times New Roman" w:cs="Times New Roman"/>
              <w:color w:val="000000" w:themeColor="text1"/>
              <w:sz w:val="24"/>
              <w:szCs w:val="24"/>
            </w:rPr>
            <w:t xml:space="preserve"> (Burghardt, 2020)</w:t>
          </w:r>
          <w:r w:rsidR="00525B0B" w:rsidRPr="0060367C">
            <w:rPr>
              <w:rFonts w:ascii="Times New Roman" w:hAnsi="Times New Roman" w:cs="Times New Roman"/>
              <w:color w:val="000000" w:themeColor="text1"/>
              <w:sz w:val="24"/>
              <w:szCs w:val="24"/>
            </w:rPr>
            <w:t>.</w:t>
          </w:r>
          <w:r w:rsidR="00930855" w:rsidRPr="0060367C">
            <w:rPr>
              <w:rFonts w:ascii="Times New Roman" w:hAnsi="Times New Roman" w:cs="Times New Roman"/>
              <w:color w:val="000000" w:themeColor="text1"/>
              <w:sz w:val="24"/>
              <w:szCs w:val="24"/>
            </w:rPr>
            <w:t xml:space="preserve"> The third kind of metric used to assess a company's potential to make a profit against the expenses of doing business is a profitability ratio. An increase in profitability relative to last year or a competitor's profitability ratio indicates an improvement in fiscal strength</w:t>
          </w:r>
          <w:r w:rsidR="00BD1AAA">
            <w:rPr>
              <w:rFonts w:ascii="Times New Roman" w:hAnsi="Times New Roman" w:cs="Times New Roman"/>
              <w:color w:val="000000" w:themeColor="text1"/>
              <w:sz w:val="24"/>
              <w:szCs w:val="24"/>
            </w:rPr>
            <w:t xml:space="preserve"> </w:t>
          </w:r>
          <w:r w:rsidR="00BD1AAA" w:rsidRPr="0060367C">
            <w:rPr>
              <w:rFonts w:ascii="Times New Roman" w:hAnsi="Times New Roman" w:cs="Times New Roman"/>
              <w:color w:val="000000" w:themeColor="text1"/>
              <w:sz w:val="24"/>
              <w:szCs w:val="24"/>
            </w:rPr>
            <w:t>(Lakada, 2017)</w:t>
          </w:r>
          <w:r w:rsidR="00930855" w:rsidRPr="0060367C">
            <w:rPr>
              <w:rFonts w:ascii="Times New Roman" w:hAnsi="Times New Roman" w:cs="Times New Roman"/>
              <w:color w:val="000000" w:themeColor="text1"/>
              <w:sz w:val="24"/>
              <w:szCs w:val="24"/>
            </w:rPr>
            <w:t>. Gross profit margin, net profit margin, return on equity, return on assets, and return on capital employed are some of the key profitability measures used in financial analysis.</w:t>
          </w:r>
        </w:p>
        <w:p w14:paraId="660FF286" w14:textId="04553AEB" w:rsidR="004A11F6" w:rsidRPr="0060367C" w:rsidRDefault="004A11F6" w:rsidP="00DA3389">
          <w:pPr>
            <w:spacing w:after="0" w:line="480" w:lineRule="auto"/>
            <w:jc w:val="center"/>
            <w:rPr>
              <w:rFonts w:ascii="Times New Roman" w:eastAsiaTheme="majorEastAsia" w:hAnsi="Times New Roman" w:cs="Times New Roman"/>
              <w:b/>
              <w:color w:val="000000" w:themeColor="text1"/>
              <w:sz w:val="24"/>
              <w:szCs w:val="24"/>
            </w:rPr>
          </w:pPr>
          <w:r w:rsidRPr="0060367C">
            <w:rPr>
              <w:rFonts w:ascii="Times New Roman" w:hAnsi="Times New Roman" w:cs="Times New Roman"/>
              <w:b/>
              <w:color w:val="000000" w:themeColor="text1"/>
              <w:sz w:val="24"/>
              <w:szCs w:val="24"/>
            </w:rPr>
            <w:t>Financial Analysis</w:t>
          </w:r>
        </w:p>
        <w:tbl>
          <w:tblPr>
            <w:tblW w:w="7258" w:type="dxa"/>
            <w:tblLook w:val="04A0" w:firstRow="1" w:lastRow="0" w:firstColumn="1" w:lastColumn="0" w:noHBand="0" w:noVBand="1"/>
          </w:tblPr>
          <w:tblGrid>
            <w:gridCol w:w="3074"/>
            <w:gridCol w:w="1310"/>
            <w:gridCol w:w="1310"/>
            <w:gridCol w:w="1176"/>
            <w:gridCol w:w="1196"/>
          </w:tblGrid>
          <w:tr w:rsidR="0047332F" w:rsidRPr="0060367C" w14:paraId="567B41FB" w14:textId="77777777" w:rsidTr="0047332F">
            <w:trPr>
              <w:trHeight w:val="300"/>
            </w:trPr>
            <w:tc>
              <w:tcPr>
                <w:tcW w:w="3074" w:type="dxa"/>
                <w:tcBorders>
                  <w:top w:val="nil"/>
                  <w:left w:val="nil"/>
                  <w:bottom w:val="nil"/>
                  <w:right w:val="nil"/>
                </w:tcBorders>
                <w:shd w:val="clear" w:color="auto" w:fill="auto"/>
                <w:noWrap/>
                <w:vAlign w:val="center"/>
                <w:hideMark/>
              </w:tcPr>
              <w:p w14:paraId="18497DC6"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Fiscal Year Ends</w:t>
                </w:r>
              </w:p>
            </w:tc>
            <w:tc>
              <w:tcPr>
                <w:tcW w:w="1092" w:type="dxa"/>
                <w:tcBorders>
                  <w:top w:val="nil"/>
                  <w:left w:val="nil"/>
                  <w:bottom w:val="nil"/>
                  <w:right w:val="nil"/>
                </w:tcBorders>
                <w:shd w:val="clear" w:color="auto" w:fill="auto"/>
                <w:noWrap/>
                <w:vAlign w:val="center"/>
                <w:hideMark/>
              </w:tcPr>
              <w:p w14:paraId="566AD032"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31/12/2021</w:t>
                </w:r>
              </w:p>
            </w:tc>
            <w:tc>
              <w:tcPr>
                <w:tcW w:w="1092" w:type="dxa"/>
                <w:tcBorders>
                  <w:top w:val="nil"/>
                  <w:left w:val="nil"/>
                  <w:bottom w:val="nil"/>
                  <w:right w:val="nil"/>
                </w:tcBorders>
                <w:shd w:val="clear" w:color="auto" w:fill="auto"/>
                <w:noWrap/>
                <w:vAlign w:val="center"/>
                <w:hideMark/>
              </w:tcPr>
              <w:p w14:paraId="5AC20200"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31/12/2020</w:t>
                </w:r>
              </w:p>
            </w:tc>
            <w:tc>
              <w:tcPr>
                <w:tcW w:w="960" w:type="dxa"/>
                <w:tcBorders>
                  <w:top w:val="nil"/>
                  <w:left w:val="nil"/>
                  <w:bottom w:val="nil"/>
                  <w:right w:val="nil"/>
                </w:tcBorders>
                <w:shd w:val="clear" w:color="auto" w:fill="auto"/>
                <w:noWrap/>
                <w:vAlign w:val="bottom"/>
                <w:hideMark/>
              </w:tcPr>
              <w:p w14:paraId="5FD3B328"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 xml:space="preserve">change </w:t>
                </w:r>
              </w:p>
            </w:tc>
            <w:tc>
              <w:tcPr>
                <w:tcW w:w="1040" w:type="dxa"/>
                <w:tcBorders>
                  <w:top w:val="nil"/>
                  <w:left w:val="nil"/>
                  <w:bottom w:val="nil"/>
                  <w:right w:val="nil"/>
                </w:tcBorders>
                <w:shd w:val="clear" w:color="auto" w:fill="auto"/>
                <w:noWrap/>
                <w:vAlign w:val="bottom"/>
                <w:hideMark/>
              </w:tcPr>
              <w:p w14:paraId="578CFAB8" w14:textId="0C5DC60A"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 Change</w:t>
                </w:r>
              </w:p>
            </w:tc>
          </w:tr>
          <w:tr w:rsidR="0047332F" w:rsidRPr="0060367C" w14:paraId="6D465E21" w14:textId="77777777" w:rsidTr="0047332F">
            <w:trPr>
              <w:trHeight w:val="300"/>
            </w:trPr>
            <w:tc>
              <w:tcPr>
                <w:tcW w:w="3074" w:type="dxa"/>
                <w:tcBorders>
                  <w:top w:val="nil"/>
                  <w:left w:val="nil"/>
                  <w:bottom w:val="nil"/>
                  <w:right w:val="nil"/>
                </w:tcBorders>
                <w:shd w:val="clear" w:color="auto" w:fill="auto"/>
                <w:noWrap/>
                <w:vAlign w:val="center"/>
                <w:hideMark/>
              </w:tcPr>
              <w:p w14:paraId="519F0B8E"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lastRenderedPageBreak/>
                  <w:t>Sales</w:t>
                </w:r>
              </w:p>
            </w:tc>
            <w:tc>
              <w:tcPr>
                <w:tcW w:w="1092" w:type="dxa"/>
                <w:tcBorders>
                  <w:top w:val="nil"/>
                  <w:left w:val="nil"/>
                  <w:bottom w:val="nil"/>
                  <w:right w:val="nil"/>
                </w:tcBorders>
                <w:shd w:val="clear" w:color="auto" w:fill="auto"/>
                <w:noWrap/>
                <w:vAlign w:val="center"/>
                <w:hideMark/>
              </w:tcPr>
              <w:p w14:paraId="5D8B2A77"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4,307,000</w:t>
                </w:r>
              </w:p>
            </w:tc>
            <w:tc>
              <w:tcPr>
                <w:tcW w:w="1092" w:type="dxa"/>
                <w:tcBorders>
                  <w:top w:val="nil"/>
                  <w:left w:val="nil"/>
                  <w:bottom w:val="nil"/>
                  <w:right w:val="nil"/>
                </w:tcBorders>
                <w:shd w:val="clear" w:color="auto" w:fill="auto"/>
                <w:noWrap/>
                <w:vAlign w:val="center"/>
                <w:hideMark/>
              </w:tcPr>
              <w:p w14:paraId="3EE8F5F1"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9,452,000</w:t>
                </w:r>
              </w:p>
            </w:tc>
            <w:tc>
              <w:tcPr>
                <w:tcW w:w="960" w:type="dxa"/>
                <w:tcBorders>
                  <w:top w:val="nil"/>
                  <w:left w:val="nil"/>
                  <w:bottom w:val="nil"/>
                  <w:right w:val="nil"/>
                </w:tcBorders>
                <w:shd w:val="clear" w:color="auto" w:fill="auto"/>
                <w:noWrap/>
                <w:vAlign w:val="bottom"/>
                <w:hideMark/>
              </w:tcPr>
              <w:p w14:paraId="0A2FE8CF"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5,145,000</w:t>
                </w:r>
              </w:p>
            </w:tc>
            <w:tc>
              <w:tcPr>
                <w:tcW w:w="1040" w:type="dxa"/>
                <w:tcBorders>
                  <w:top w:val="nil"/>
                  <w:left w:val="nil"/>
                  <w:bottom w:val="nil"/>
                  <w:right w:val="nil"/>
                </w:tcBorders>
                <w:shd w:val="clear" w:color="auto" w:fill="auto"/>
                <w:noWrap/>
                <w:vAlign w:val="bottom"/>
                <w:hideMark/>
              </w:tcPr>
              <w:p w14:paraId="6B0300E6"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119.46%</w:t>
                </w:r>
              </w:p>
            </w:tc>
          </w:tr>
          <w:tr w:rsidR="0047332F" w:rsidRPr="0060367C" w14:paraId="4A1ABFA4" w14:textId="77777777" w:rsidTr="0047332F">
            <w:trPr>
              <w:trHeight w:val="300"/>
            </w:trPr>
            <w:tc>
              <w:tcPr>
                <w:tcW w:w="3074" w:type="dxa"/>
                <w:tcBorders>
                  <w:top w:val="nil"/>
                  <w:left w:val="nil"/>
                  <w:bottom w:val="nil"/>
                  <w:right w:val="nil"/>
                </w:tcBorders>
                <w:shd w:val="clear" w:color="auto" w:fill="auto"/>
                <w:noWrap/>
                <w:vAlign w:val="center"/>
                <w:hideMark/>
              </w:tcPr>
              <w:p w14:paraId="3F960B74"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Cost of goods sold</w:t>
                </w:r>
              </w:p>
            </w:tc>
            <w:tc>
              <w:tcPr>
                <w:tcW w:w="1092" w:type="dxa"/>
                <w:tcBorders>
                  <w:top w:val="nil"/>
                  <w:left w:val="nil"/>
                  <w:bottom w:val="nil"/>
                  <w:right w:val="nil"/>
                </w:tcBorders>
                <w:shd w:val="clear" w:color="auto" w:fill="auto"/>
                <w:noWrap/>
                <w:vAlign w:val="center"/>
                <w:hideMark/>
              </w:tcPr>
              <w:p w14:paraId="7A423788"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3,724,000</w:t>
                </w:r>
              </w:p>
            </w:tc>
            <w:tc>
              <w:tcPr>
                <w:tcW w:w="1092" w:type="dxa"/>
                <w:tcBorders>
                  <w:top w:val="nil"/>
                  <w:left w:val="nil"/>
                  <w:bottom w:val="nil"/>
                  <w:right w:val="nil"/>
                </w:tcBorders>
                <w:shd w:val="clear" w:color="auto" w:fill="auto"/>
                <w:noWrap/>
                <w:vAlign w:val="center"/>
                <w:hideMark/>
              </w:tcPr>
              <w:p w14:paraId="595946CE"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7,017,000</w:t>
                </w:r>
              </w:p>
            </w:tc>
            <w:tc>
              <w:tcPr>
                <w:tcW w:w="960" w:type="dxa"/>
                <w:tcBorders>
                  <w:top w:val="nil"/>
                  <w:left w:val="nil"/>
                  <w:bottom w:val="nil"/>
                  <w:right w:val="nil"/>
                </w:tcBorders>
                <w:shd w:val="clear" w:color="auto" w:fill="auto"/>
                <w:noWrap/>
                <w:vAlign w:val="bottom"/>
                <w:hideMark/>
              </w:tcPr>
              <w:p w14:paraId="50FE23FA"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3,293,000</w:t>
                </w:r>
              </w:p>
            </w:tc>
            <w:tc>
              <w:tcPr>
                <w:tcW w:w="1040" w:type="dxa"/>
                <w:tcBorders>
                  <w:top w:val="nil"/>
                  <w:left w:val="nil"/>
                  <w:bottom w:val="nil"/>
                  <w:right w:val="nil"/>
                </w:tcBorders>
                <w:shd w:val="clear" w:color="auto" w:fill="auto"/>
                <w:noWrap/>
                <w:vAlign w:val="bottom"/>
                <w:hideMark/>
              </w:tcPr>
              <w:p w14:paraId="40B7112D"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88.43%</w:t>
                </w:r>
              </w:p>
            </w:tc>
          </w:tr>
          <w:tr w:rsidR="0047332F" w:rsidRPr="0060367C" w14:paraId="382A7899" w14:textId="77777777" w:rsidTr="0047332F">
            <w:trPr>
              <w:trHeight w:val="300"/>
            </w:trPr>
            <w:tc>
              <w:tcPr>
                <w:tcW w:w="3074" w:type="dxa"/>
                <w:tcBorders>
                  <w:top w:val="nil"/>
                  <w:left w:val="nil"/>
                  <w:bottom w:val="nil"/>
                  <w:right w:val="nil"/>
                </w:tcBorders>
                <w:shd w:val="clear" w:color="auto" w:fill="auto"/>
                <w:noWrap/>
                <w:vAlign w:val="center"/>
                <w:hideMark/>
              </w:tcPr>
              <w:p w14:paraId="7F36DDAD"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Gross profit</w:t>
                </w:r>
              </w:p>
            </w:tc>
            <w:tc>
              <w:tcPr>
                <w:tcW w:w="1092" w:type="dxa"/>
                <w:tcBorders>
                  <w:top w:val="nil"/>
                  <w:left w:val="nil"/>
                  <w:bottom w:val="nil"/>
                  <w:right w:val="nil"/>
                </w:tcBorders>
                <w:shd w:val="clear" w:color="auto" w:fill="auto"/>
                <w:noWrap/>
                <w:vAlign w:val="center"/>
                <w:hideMark/>
              </w:tcPr>
              <w:p w14:paraId="76E333A6"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583,000</w:t>
                </w:r>
              </w:p>
            </w:tc>
            <w:tc>
              <w:tcPr>
                <w:tcW w:w="1092" w:type="dxa"/>
                <w:tcBorders>
                  <w:top w:val="nil"/>
                  <w:left w:val="nil"/>
                  <w:bottom w:val="nil"/>
                  <w:right w:val="nil"/>
                </w:tcBorders>
                <w:shd w:val="clear" w:color="auto" w:fill="auto"/>
                <w:noWrap/>
                <w:vAlign w:val="center"/>
                <w:hideMark/>
              </w:tcPr>
              <w:p w14:paraId="0541669D"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2,435,000</w:t>
                </w:r>
              </w:p>
            </w:tc>
            <w:tc>
              <w:tcPr>
                <w:tcW w:w="960" w:type="dxa"/>
                <w:tcBorders>
                  <w:top w:val="nil"/>
                  <w:left w:val="nil"/>
                  <w:bottom w:val="nil"/>
                  <w:right w:val="nil"/>
                </w:tcBorders>
                <w:shd w:val="clear" w:color="auto" w:fill="auto"/>
                <w:noWrap/>
                <w:vAlign w:val="bottom"/>
                <w:hideMark/>
              </w:tcPr>
              <w:p w14:paraId="390A3987"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1,852,000</w:t>
                </w:r>
              </w:p>
            </w:tc>
            <w:tc>
              <w:tcPr>
                <w:tcW w:w="1040" w:type="dxa"/>
                <w:tcBorders>
                  <w:top w:val="nil"/>
                  <w:left w:val="nil"/>
                  <w:bottom w:val="nil"/>
                  <w:right w:val="nil"/>
                </w:tcBorders>
                <w:shd w:val="clear" w:color="auto" w:fill="auto"/>
                <w:noWrap/>
                <w:vAlign w:val="bottom"/>
                <w:hideMark/>
              </w:tcPr>
              <w:p w14:paraId="584DB520"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317.67%</w:t>
                </w:r>
              </w:p>
            </w:tc>
          </w:tr>
          <w:tr w:rsidR="0047332F" w:rsidRPr="0060367C" w14:paraId="04A85F40" w14:textId="77777777" w:rsidTr="0047332F">
            <w:trPr>
              <w:trHeight w:val="300"/>
            </w:trPr>
            <w:tc>
              <w:tcPr>
                <w:tcW w:w="3074" w:type="dxa"/>
                <w:tcBorders>
                  <w:top w:val="nil"/>
                  <w:left w:val="nil"/>
                  <w:bottom w:val="nil"/>
                  <w:right w:val="nil"/>
                </w:tcBorders>
                <w:shd w:val="clear" w:color="auto" w:fill="auto"/>
                <w:noWrap/>
                <w:vAlign w:val="center"/>
                <w:hideMark/>
              </w:tcPr>
              <w:p w14:paraId="5061559B"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Operating Expenses</w:t>
                </w:r>
              </w:p>
            </w:tc>
            <w:tc>
              <w:tcPr>
                <w:tcW w:w="1092" w:type="dxa"/>
                <w:tcBorders>
                  <w:top w:val="nil"/>
                  <w:left w:val="nil"/>
                  <w:bottom w:val="nil"/>
                  <w:right w:val="nil"/>
                </w:tcBorders>
                <w:shd w:val="clear" w:color="auto" w:fill="auto"/>
                <w:noWrap/>
                <w:vAlign w:val="center"/>
                <w:hideMark/>
              </w:tcPr>
              <w:p w14:paraId="411DF4D9"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702,000</w:t>
                </w:r>
              </w:p>
            </w:tc>
            <w:tc>
              <w:tcPr>
                <w:tcW w:w="1092" w:type="dxa"/>
                <w:tcBorders>
                  <w:top w:val="nil"/>
                  <w:left w:val="nil"/>
                  <w:bottom w:val="nil"/>
                  <w:right w:val="nil"/>
                </w:tcBorders>
                <w:shd w:val="clear" w:color="auto" w:fill="auto"/>
                <w:noWrap/>
                <w:vAlign w:val="center"/>
                <w:hideMark/>
              </w:tcPr>
              <w:p w14:paraId="354704FF"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859,000</w:t>
                </w:r>
              </w:p>
            </w:tc>
            <w:tc>
              <w:tcPr>
                <w:tcW w:w="960" w:type="dxa"/>
                <w:tcBorders>
                  <w:top w:val="nil"/>
                  <w:left w:val="nil"/>
                  <w:bottom w:val="nil"/>
                  <w:right w:val="nil"/>
                </w:tcBorders>
                <w:shd w:val="clear" w:color="auto" w:fill="auto"/>
                <w:noWrap/>
                <w:vAlign w:val="bottom"/>
                <w:hideMark/>
              </w:tcPr>
              <w:p w14:paraId="00976E27"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157,000</w:t>
                </w:r>
              </w:p>
            </w:tc>
            <w:tc>
              <w:tcPr>
                <w:tcW w:w="1040" w:type="dxa"/>
                <w:tcBorders>
                  <w:top w:val="nil"/>
                  <w:left w:val="nil"/>
                  <w:bottom w:val="nil"/>
                  <w:right w:val="nil"/>
                </w:tcBorders>
                <w:shd w:val="clear" w:color="auto" w:fill="auto"/>
                <w:noWrap/>
                <w:vAlign w:val="bottom"/>
                <w:hideMark/>
              </w:tcPr>
              <w:p w14:paraId="4C697488"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22.36%</w:t>
                </w:r>
              </w:p>
            </w:tc>
          </w:tr>
          <w:tr w:rsidR="0047332F" w:rsidRPr="0060367C" w14:paraId="62808215" w14:textId="77777777" w:rsidTr="0047332F">
            <w:trPr>
              <w:trHeight w:val="300"/>
            </w:trPr>
            <w:tc>
              <w:tcPr>
                <w:tcW w:w="3074" w:type="dxa"/>
                <w:tcBorders>
                  <w:top w:val="nil"/>
                  <w:left w:val="nil"/>
                  <w:bottom w:val="nil"/>
                  <w:right w:val="nil"/>
                </w:tcBorders>
                <w:shd w:val="clear" w:color="auto" w:fill="auto"/>
                <w:noWrap/>
                <w:vAlign w:val="center"/>
                <w:hideMark/>
              </w:tcPr>
              <w:p w14:paraId="4A5AD106"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Operating income</w:t>
                </w:r>
              </w:p>
            </w:tc>
            <w:tc>
              <w:tcPr>
                <w:tcW w:w="1092" w:type="dxa"/>
                <w:tcBorders>
                  <w:top w:val="nil"/>
                  <w:left w:val="nil"/>
                  <w:bottom w:val="nil"/>
                  <w:right w:val="nil"/>
                </w:tcBorders>
                <w:shd w:val="clear" w:color="auto" w:fill="auto"/>
                <w:noWrap/>
                <w:vAlign w:val="center"/>
                <w:hideMark/>
              </w:tcPr>
              <w:p w14:paraId="1911A48E"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-119,000</w:t>
                </w:r>
              </w:p>
            </w:tc>
            <w:tc>
              <w:tcPr>
                <w:tcW w:w="1092" w:type="dxa"/>
                <w:tcBorders>
                  <w:top w:val="nil"/>
                  <w:left w:val="nil"/>
                  <w:bottom w:val="nil"/>
                  <w:right w:val="nil"/>
                </w:tcBorders>
                <w:shd w:val="clear" w:color="auto" w:fill="auto"/>
                <w:noWrap/>
                <w:vAlign w:val="center"/>
                <w:hideMark/>
              </w:tcPr>
              <w:p w14:paraId="54E2991A"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1,576,000</w:t>
                </w:r>
              </w:p>
            </w:tc>
            <w:tc>
              <w:tcPr>
                <w:tcW w:w="960" w:type="dxa"/>
                <w:tcBorders>
                  <w:top w:val="nil"/>
                  <w:left w:val="nil"/>
                  <w:bottom w:val="nil"/>
                  <w:right w:val="nil"/>
                </w:tcBorders>
                <w:shd w:val="clear" w:color="auto" w:fill="auto"/>
                <w:noWrap/>
                <w:vAlign w:val="bottom"/>
                <w:hideMark/>
              </w:tcPr>
              <w:p w14:paraId="14185928"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1,695,000</w:t>
                </w:r>
              </w:p>
            </w:tc>
            <w:tc>
              <w:tcPr>
                <w:tcW w:w="1040" w:type="dxa"/>
                <w:tcBorders>
                  <w:top w:val="nil"/>
                  <w:left w:val="nil"/>
                  <w:bottom w:val="nil"/>
                  <w:right w:val="nil"/>
                </w:tcBorders>
                <w:shd w:val="clear" w:color="auto" w:fill="auto"/>
                <w:noWrap/>
                <w:vAlign w:val="bottom"/>
                <w:hideMark/>
              </w:tcPr>
              <w:p w14:paraId="05211DCA"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-1424.37%</w:t>
                </w:r>
              </w:p>
            </w:tc>
          </w:tr>
          <w:tr w:rsidR="0047332F" w:rsidRPr="0060367C" w14:paraId="6C6CB731" w14:textId="77777777" w:rsidTr="0047332F">
            <w:trPr>
              <w:trHeight w:val="300"/>
            </w:trPr>
            <w:tc>
              <w:tcPr>
                <w:tcW w:w="3074" w:type="dxa"/>
                <w:tcBorders>
                  <w:top w:val="nil"/>
                  <w:left w:val="nil"/>
                  <w:bottom w:val="nil"/>
                  <w:right w:val="nil"/>
                </w:tcBorders>
                <w:shd w:val="clear" w:color="auto" w:fill="auto"/>
                <w:noWrap/>
                <w:vAlign w:val="center"/>
                <w:hideMark/>
              </w:tcPr>
              <w:p w14:paraId="770B4634"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Interest Expense</w:t>
                </w:r>
              </w:p>
            </w:tc>
            <w:tc>
              <w:tcPr>
                <w:tcW w:w="1092" w:type="dxa"/>
                <w:tcBorders>
                  <w:top w:val="nil"/>
                  <w:left w:val="nil"/>
                  <w:bottom w:val="nil"/>
                  <w:right w:val="nil"/>
                </w:tcBorders>
                <w:shd w:val="clear" w:color="auto" w:fill="auto"/>
                <w:noWrap/>
                <w:vAlign w:val="center"/>
                <w:hideMark/>
              </w:tcPr>
              <w:p w14:paraId="06912C49"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429,000</w:t>
                </w:r>
              </w:p>
            </w:tc>
            <w:tc>
              <w:tcPr>
                <w:tcW w:w="1092" w:type="dxa"/>
                <w:tcBorders>
                  <w:top w:val="nil"/>
                  <w:left w:val="nil"/>
                  <w:bottom w:val="nil"/>
                  <w:right w:val="nil"/>
                </w:tcBorders>
                <w:shd w:val="clear" w:color="auto" w:fill="auto"/>
                <w:noWrap/>
                <w:vAlign w:val="center"/>
                <w:hideMark/>
              </w:tcPr>
              <w:p w14:paraId="0A5C9582"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414,000</w:t>
                </w:r>
              </w:p>
            </w:tc>
            <w:tc>
              <w:tcPr>
                <w:tcW w:w="960" w:type="dxa"/>
                <w:tcBorders>
                  <w:top w:val="nil"/>
                  <w:left w:val="nil"/>
                  <w:bottom w:val="nil"/>
                  <w:right w:val="nil"/>
                </w:tcBorders>
                <w:shd w:val="clear" w:color="auto" w:fill="auto"/>
                <w:noWrap/>
                <w:vAlign w:val="bottom"/>
                <w:hideMark/>
              </w:tcPr>
              <w:p w14:paraId="1CE05D6B"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-15,000</w:t>
                </w:r>
              </w:p>
            </w:tc>
            <w:tc>
              <w:tcPr>
                <w:tcW w:w="1040" w:type="dxa"/>
                <w:tcBorders>
                  <w:top w:val="nil"/>
                  <w:left w:val="nil"/>
                  <w:bottom w:val="nil"/>
                  <w:right w:val="nil"/>
                </w:tcBorders>
                <w:shd w:val="clear" w:color="auto" w:fill="auto"/>
                <w:noWrap/>
                <w:vAlign w:val="bottom"/>
                <w:hideMark/>
              </w:tcPr>
              <w:p w14:paraId="666C8665"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-3.50%</w:t>
                </w:r>
              </w:p>
            </w:tc>
          </w:tr>
          <w:tr w:rsidR="0047332F" w:rsidRPr="0060367C" w14:paraId="4CFCC0DF" w14:textId="77777777" w:rsidTr="0047332F">
            <w:trPr>
              <w:trHeight w:val="300"/>
            </w:trPr>
            <w:tc>
              <w:tcPr>
                <w:tcW w:w="3074" w:type="dxa"/>
                <w:tcBorders>
                  <w:top w:val="nil"/>
                  <w:left w:val="nil"/>
                  <w:bottom w:val="nil"/>
                  <w:right w:val="nil"/>
                </w:tcBorders>
                <w:shd w:val="clear" w:color="auto" w:fill="auto"/>
                <w:noWrap/>
                <w:vAlign w:val="center"/>
                <w:hideMark/>
              </w:tcPr>
              <w:p w14:paraId="21BCBF39"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 xml:space="preserve">Total Other income/ expenses net </w:t>
                </w:r>
              </w:p>
            </w:tc>
            <w:tc>
              <w:tcPr>
                <w:tcW w:w="1092" w:type="dxa"/>
                <w:tcBorders>
                  <w:top w:val="nil"/>
                  <w:left w:val="nil"/>
                  <w:bottom w:val="nil"/>
                  <w:right w:val="nil"/>
                </w:tcBorders>
                <w:shd w:val="clear" w:color="auto" w:fill="auto"/>
                <w:noWrap/>
                <w:vAlign w:val="center"/>
                <w:hideMark/>
              </w:tcPr>
              <w:p w14:paraId="6100C140"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-376,000</w:t>
                </w:r>
              </w:p>
            </w:tc>
            <w:tc>
              <w:tcPr>
                <w:tcW w:w="1092" w:type="dxa"/>
                <w:tcBorders>
                  <w:top w:val="nil"/>
                  <w:left w:val="nil"/>
                  <w:bottom w:val="nil"/>
                  <w:right w:val="nil"/>
                </w:tcBorders>
                <w:shd w:val="clear" w:color="auto" w:fill="auto"/>
                <w:noWrap/>
                <w:vAlign w:val="center"/>
                <w:hideMark/>
              </w:tcPr>
              <w:p w14:paraId="7502A264"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82,000</w:t>
                </w:r>
              </w:p>
            </w:tc>
            <w:tc>
              <w:tcPr>
                <w:tcW w:w="960" w:type="dxa"/>
                <w:tcBorders>
                  <w:top w:val="nil"/>
                  <w:left w:val="nil"/>
                  <w:bottom w:val="nil"/>
                  <w:right w:val="nil"/>
                </w:tcBorders>
                <w:shd w:val="clear" w:color="auto" w:fill="auto"/>
                <w:noWrap/>
                <w:vAlign w:val="bottom"/>
                <w:hideMark/>
              </w:tcPr>
              <w:p w14:paraId="011CD6FC"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458,000</w:t>
                </w:r>
              </w:p>
            </w:tc>
            <w:tc>
              <w:tcPr>
                <w:tcW w:w="1040" w:type="dxa"/>
                <w:tcBorders>
                  <w:top w:val="nil"/>
                  <w:left w:val="nil"/>
                  <w:bottom w:val="nil"/>
                  <w:right w:val="nil"/>
                </w:tcBorders>
                <w:shd w:val="clear" w:color="auto" w:fill="auto"/>
                <w:noWrap/>
                <w:vAlign w:val="bottom"/>
                <w:hideMark/>
              </w:tcPr>
              <w:p w14:paraId="4A703060"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-121.81%</w:t>
                </w:r>
              </w:p>
            </w:tc>
          </w:tr>
          <w:tr w:rsidR="0047332F" w:rsidRPr="0060367C" w14:paraId="25D37C5A" w14:textId="77777777" w:rsidTr="0047332F">
            <w:trPr>
              <w:trHeight w:val="300"/>
            </w:trPr>
            <w:tc>
              <w:tcPr>
                <w:tcW w:w="3074" w:type="dxa"/>
                <w:tcBorders>
                  <w:top w:val="nil"/>
                  <w:left w:val="nil"/>
                  <w:bottom w:val="nil"/>
                  <w:right w:val="nil"/>
                </w:tcBorders>
                <w:shd w:val="clear" w:color="auto" w:fill="auto"/>
                <w:noWrap/>
                <w:vAlign w:val="center"/>
                <w:hideMark/>
              </w:tcPr>
              <w:p w14:paraId="178002D5"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Income before taxes</w:t>
                </w:r>
              </w:p>
            </w:tc>
            <w:tc>
              <w:tcPr>
                <w:tcW w:w="1092" w:type="dxa"/>
                <w:tcBorders>
                  <w:top w:val="nil"/>
                  <w:left w:val="nil"/>
                  <w:bottom w:val="nil"/>
                  <w:right w:val="nil"/>
                </w:tcBorders>
                <w:shd w:val="clear" w:color="auto" w:fill="auto"/>
                <w:noWrap/>
                <w:vAlign w:val="center"/>
                <w:hideMark/>
              </w:tcPr>
              <w:p w14:paraId="24F9545C"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-924,000</w:t>
                </w:r>
              </w:p>
            </w:tc>
            <w:tc>
              <w:tcPr>
                <w:tcW w:w="1092" w:type="dxa"/>
                <w:tcBorders>
                  <w:top w:val="nil"/>
                  <w:left w:val="nil"/>
                  <w:bottom w:val="nil"/>
                  <w:right w:val="nil"/>
                </w:tcBorders>
                <w:shd w:val="clear" w:color="auto" w:fill="auto"/>
                <w:noWrap/>
                <w:vAlign w:val="center"/>
                <w:hideMark/>
              </w:tcPr>
              <w:p w14:paraId="0C2622FE"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1,244,000</w:t>
                </w:r>
              </w:p>
            </w:tc>
            <w:tc>
              <w:tcPr>
                <w:tcW w:w="960" w:type="dxa"/>
                <w:tcBorders>
                  <w:top w:val="nil"/>
                  <w:left w:val="nil"/>
                  <w:bottom w:val="nil"/>
                  <w:right w:val="nil"/>
                </w:tcBorders>
                <w:shd w:val="clear" w:color="auto" w:fill="auto"/>
                <w:noWrap/>
                <w:vAlign w:val="bottom"/>
                <w:hideMark/>
              </w:tcPr>
              <w:p w14:paraId="2E192E62"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2,168,000</w:t>
                </w:r>
              </w:p>
            </w:tc>
            <w:tc>
              <w:tcPr>
                <w:tcW w:w="1040" w:type="dxa"/>
                <w:tcBorders>
                  <w:top w:val="nil"/>
                  <w:left w:val="nil"/>
                  <w:bottom w:val="nil"/>
                  <w:right w:val="nil"/>
                </w:tcBorders>
                <w:shd w:val="clear" w:color="auto" w:fill="auto"/>
                <w:noWrap/>
                <w:vAlign w:val="bottom"/>
                <w:hideMark/>
              </w:tcPr>
              <w:p w14:paraId="171543B7"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-234.63%</w:t>
                </w:r>
              </w:p>
            </w:tc>
          </w:tr>
          <w:tr w:rsidR="0047332F" w:rsidRPr="0060367C" w14:paraId="553FC14B" w14:textId="77777777" w:rsidTr="0047332F">
            <w:trPr>
              <w:trHeight w:val="300"/>
            </w:trPr>
            <w:tc>
              <w:tcPr>
                <w:tcW w:w="3074" w:type="dxa"/>
                <w:tcBorders>
                  <w:top w:val="nil"/>
                  <w:left w:val="nil"/>
                  <w:bottom w:val="nil"/>
                  <w:right w:val="nil"/>
                </w:tcBorders>
                <w:shd w:val="clear" w:color="auto" w:fill="auto"/>
                <w:noWrap/>
                <w:vAlign w:val="center"/>
                <w:hideMark/>
              </w:tcPr>
              <w:p w14:paraId="3D565D5D" w14:textId="77777777" w:rsidR="0047332F" w:rsidRPr="0060367C" w:rsidRDefault="0047332F" w:rsidP="00DA3389">
                <w:pPr>
                  <w:spacing w:after="0" w:line="240" w:lineRule="auto"/>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Net income</w:t>
                </w:r>
              </w:p>
            </w:tc>
            <w:tc>
              <w:tcPr>
                <w:tcW w:w="1092" w:type="dxa"/>
                <w:tcBorders>
                  <w:top w:val="nil"/>
                  <w:left w:val="nil"/>
                  <w:bottom w:val="nil"/>
                  <w:right w:val="nil"/>
                </w:tcBorders>
                <w:shd w:val="clear" w:color="auto" w:fill="auto"/>
                <w:noWrap/>
                <w:vAlign w:val="center"/>
                <w:hideMark/>
              </w:tcPr>
              <w:p w14:paraId="35489C5E"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-715,000</w:t>
                </w:r>
              </w:p>
            </w:tc>
            <w:tc>
              <w:tcPr>
                <w:tcW w:w="1092" w:type="dxa"/>
                <w:tcBorders>
                  <w:top w:val="nil"/>
                  <w:left w:val="nil"/>
                  <w:bottom w:val="nil"/>
                  <w:right w:val="nil"/>
                </w:tcBorders>
                <w:shd w:val="clear" w:color="auto" w:fill="auto"/>
                <w:noWrap/>
                <w:vAlign w:val="center"/>
                <w:hideMark/>
              </w:tcPr>
              <w:p w14:paraId="3DA384FC"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881,000</w:t>
                </w:r>
              </w:p>
            </w:tc>
            <w:tc>
              <w:tcPr>
                <w:tcW w:w="960" w:type="dxa"/>
                <w:tcBorders>
                  <w:top w:val="nil"/>
                  <w:left w:val="nil"/>
                  <w:bottom w:val="nil"/>
                  <w:right w:val="nil"/>
                </w:tcBorders>
                <w:shd w:val="clear" w:color="auto" w:fill="auto"/>
                <w:noWrap/>
                <w:vAlign w:val="bottom"/>
                <w:hideMark/>
              </w:tcPr>
              <w:p w14:paraId="45319249"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1,596,000</w:t>
                </w:r>
              </w:p>
            </w:tc>
            <w:tc>
              <w:tcPr>
                <w:tcW w:w="1040" w:type="dxa"/>
                <w:tcBorders>
                  <w:top w:val="nil"/>
                  <w:left w:val="nil"/>
                  <w:bottom w:val="nil"/>
                  <w:right w:val="nil"/>
                </w:tcBorders>
                <w:shd w:val="clear" w:color="auto" w:fill="auto"/>
                <w:noWrap/>
                <w:vAlign w:val="bottom"/>
                <w:hideMark/>
              </w:tcPr>
              <w:p w14:paraId="19C5D316" w14:textId="77777777" w:rsidR="0047332F" w:rsidRPr="0060367C" w:rsidRDefault="0047332F"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-223.22%</w:t>
                </w:r>
              </w:p>
            </w:tc>
          </w:tr>
        </w:tbl>
        <w:p w14:paraId="53714BC2" w14:textId="44B648A5" w:rsidR="004A11F6" w:rsidRPr="0060367C" w:rsidRDefault="004A11F6" w:rsidP="00DA3389">
          <w:pPr>
            <w:spacing w:after="0" w:line="480" w:lineRule="auto"/>
            <w:jc w:val="both"/>
            <w:rPr>
              <w:rFonts w:ascii="Times New Roman" w:hAnsi="Times New Roman" w:cs="Times New Roman"/>
              <w:color w:val="000000" w:themeColor="text1"/>
              <w:sz w:val="24"/>
              <w:szCs w:val="24"/>
            </w:rPr>
          </w:pPr>
        </w:p>
        <w:tbl>
          <w:tblPr>
            <w:tblW w:w="9820" w:type="dxa"/>
            <w:tblLook w:val="04A0" w:firstRow="1" w:lastRow="0" w:firstColumn="1" w:lastColumn="0" w:noHBand="0" w:noVBand="1"/>
          </w:tblPr>
          <w:tblGrid>
            <w:gridCol w:w="3140"/>
            <w:gridCol w:w="72"/>
            <w:gridCol w:w="1224"/>
            <w:gridCol w:w="1120"/>
            <w:gridCol w:w="176"/>
            <w:gridCol w:w="1176"/>
            <w:gridCol w:w="792"/>
            <w:gridCol w:w="164"/>
            <w:gridCol w:w="1084"/>
            <w:gridCol w:w="1460"/>
          </w:tblGrid>
          <w:tr w:rsidR="00905AA4" w:rsidRPr="0060367C" w14:paraId="45D26498" w14:textId="77777777" w:rsidTr="00905AA4">
            <w:trPr>
              <w:gridAfter w:val="2"/>
              <w:wAfter w:w="2560" w:type="dxa"/>
              <w:trHeight w:val="300"/>
            </w:trPr>
            <w:tc>
              <w:tcPr>
                <w:tcW w:w="3140" w:type="dxa"/>
                <w:tcBorders>
                  <w:top w:val="nil"/>
                  <w:left w:val="nil"/>
                  <w:bottom w:val="nil"/>
                  <w:right w:val="nil"/>
                </w:tcBorders>
                <w:shd w:val="clear" w:color="auto" w:fill="auto"/>
                <w:noWrap/>
                <w:vAlign w:val="bottom"/>
                <w:hideMark/>
              </w:tcPr>
              <w:p w14:paraId="1908B830" w14:textId="37450338" w:rsidR="00905AA4" w:rsidRPr="0060367C" w:rsidRDefault="0047332F"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I</w:t>
                </w:r>
                <w:r w:rsidR="00905AA4" w:rsidRPr="0060367C">
                  <w:rPr>
                    <w:rFonts w:ascii="Times New Roman" w:hAnsi="Times New Roman" w:cs="Times New Roman"/>
                    <w:color w:val="000000"/>
                    <w:sz w:val="24"/>
                    <w:szCs w:val="24"/>
                  </w:rPr>
                  <w:t xml:space="preserve">ncome statement </w:t>
                </w:r>
              </w:p>
            </w:tc>
            <w:tc>
              <w:tcPr>
                <w:tcW w:w="4120" w:type="dxa"/>
                <w:gridSpan w:val="7"/>
                <w:tcBorders>
                  <w:top w:val="nil"/>
                  <w:left w:val="nil"/>
                  <w:bottom w:val="nil"/>
                  <w:right w:val="nil"/>
                </w:tcBorders>
                <w:shd w:val="clear" w:color="auto" w:fill="auto"/>
                <w:noWrap/>
                <w:vAlign w:val="bottom"/>
                <w:hideMark/>
              </w:tcPr>
              <w:p w14:paraId="7E8EC2C1" w14:textId="77777777" w:rsidR="00905AA4" w:rsidRPr="0060367C" w:rsidRDefault="00905AA4" w:rsidP="00DA3389">
                <w:pPr>
                  <w:spacing w:after="0"/>
                  <w:rPr>
                    <w:rFonts w:ascii="Times New Roman" w:hAnsi="Times New Roman" w:cs="Times New Roman"/>
                    <w:b/>
                    <w:bCs/>
                    <w:color w:val="232A31"/>
                    <w:sz w:val="24"/>
                    <w:szCs w:val="24"/>
                  </w:rPr>
                </w:pPr>
                <w:r w:rsidRPr="0060367C">
                  <w:rPr>
                    <w:rFonts w:ascii="Times New Roman" w:hAnsi="Times New Roman" w:cs="Times New Roman"/>
                    <w:b/>
                    <w:bCs/>
                    <w:color w:val="232A31"/>
                    <w:sz w:val="24"/>
                    <w:szCs w:val="24"/>
                  </w:rPr>
                  <w:t>Hilton Worldwide Holdings Inc. (HLT)</w:t>
                </w:r>
              </w:p>
            </w:tc>
          </w:tr>
          <w:tr w:rsidR="00905AA4" w:rsidRPr="0060367C" w14:paraId="17705ED2" w14:textId="77777777" w:rsidTr="00905AA4">
            <w:trPr>
              <w:gridAfter w:val="2"/>
              <w:wAfter w:w="2560" w:type="dxa"/>
              <w:trHeight w:val="300"/>
            </w:trPr>
            <w:tc>
              <w:tcPr>
                <w:tcW w:w="3140" w:type="dxa"/>
                <w:tcBorders>
                  <w:top w:val="nil"/>
                  <w:left w:val="nil"/>
                  <w:bottom w:val="nil"/>
                  <w:right w:val="nil"/>
                </w:tcBorders>
                <w:shd w:val="clear" w:color="auto" w:fill="auto"/>
                <w:noWrap/>
                <w:vAlign w:val="bottom"/>
                <w:hideMark/>
              </w:tcPr>
              <w:p w14:paraId="3369E613" w14:textId="77777777" w:rsidR="00905AA4" w:rsidRPr="0060367C" w:rsidRDefault="00905AA4" w:rsidP="00DA3389">
                <w:pPr>
                  <w:spacing w:after="0"/>
                  <w:rPr>
                    <w:rFonts w:ascii="Times New Roman" w:hAnsi="Times New Roman" w:cs="Times New Roman"/>
                    <w:b/>
                    <w:bCs/>
                    <w:color w:val="232A31"/>
                    <w:sz w:val="24"/>
                    <w:szCs w:val="24"/>
                  </w:rPr>
                </w:pPr>
              </w:p>
            </w:tc>
            <w:tc>
              <w:tcPr>
                <w:tcW w:w="1082" w:type="dxa"/>
                <w:gridSpan w:val="2"/>
                <w:tcBorders>
                  <w:top w:val="nil"/>
                  <w:left w:val="nil"/>
                  <w:bottom w:val="nil"/>
                  <w:right w:val="nil"/>
                </w:tcBorders>
                <w:shd w:val="clear" w:color="auto" w:fill="auto"/>
                <w:noWrap/>
                <w:vAlign w:val="bottom"/>
                <w:hideMark/>
              </w:tcPr>
              <w:p w14:paraId="00AC2BFE"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2020</w:t>
                </w:r>
              </w:p>
            </w:tc>
            <w:tc>
              <w:tcPr>
                <w:tcW w:w="1081" w:type="dxa"/>
                <w:gridSpan w:val="2"/>
                <w:tcBorders>
                  <w:top w:val="nil"/>
                  <w:left w:val="nil"/>
                  <w:bottom w:val="nil"/>
                  <w:right w:val="nil"/>
                </w:tcBorders>
                <w:shd w:val="clear" w:color="auto" w:fill="auto"/>
                <w:noWrap/>
                <w:vAlign w:val="bottom"/>
                <w:hideMark/>
              </w:tcPr>
              <w:p w14:paraId="68204E84"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2019</w:t>
                </w:r>
              </w:p>
            </w:tc>
            <w:tc>
              <w:tcPr>
                <w:tcW w:w="1035" w:type="dxa"/>
                <w:tcBorders>
                  <w:top w:val="nil"/>
                  <w:left w:val="nil"/>
                  <w:bottom w:val="nil"/>
                  <w:right w:val="nil"/>
                </w:tcBorders>
                <w:shd w:val="clear" w:color="auto" w:fill="auto"/>
                <w:noWrap/>
                <w:vAlign w:val="bottom"/>
                <w:hideMark/>
              </w:tcPr>
              <w:p w14:paraId="3A711457"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 xml:space="preserve">change </w:t>
                </w:r>
              </w:p>
            </w:tc>
            <w:tc>
              <w:tcPr>
                <w:tcW w:w="922" w:type="dxa"/>
                <w:gridSpan w:val="2"/>
                <w:tcBorders>
                  <w:top w:val="nil"/>
                  <w:left w:val="nil"/>
                  <w:bottom w:val="nil"/>
                  <w:right w:val="nil"/>
                </w:tcBorders>
                <w:shd w:val="clear" w:color="auto" w:fill="auto"/>
                <w:noWrap/>
                <w:vAlign w:val="bottom"/>
                <w:hideMark/>
              </w:tcPr>
              <w:p w14:paraId="1F26329C" w14:textId="2D5A753D"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 xml:space="preserve">% </w:t>
                </w:r>
                <w:r w:rsidR="0047332F" w:rsidRPr="0060367C">
                  <w:rPr>
                    <w:rFonts w:ascii="Times New Roman" w:hAnsi="Times New Roman" w:cs="Times New Roman"/>
                    <w:color w:val="000000"/>
                    <w:sz w:val="24"/>
                    <w:szCs w:val="24"/>
                  </w:rPr>
                  <w:t>Change</w:t>
                </w:r>
                <w:r w:rsidRPr="0060367C">
                  <w:rPr>
                    <w:rFonts w:ascii="Times New Roman" w:hAnsi="Times New Roman" w:cs="Times New Roman"/>
                    <w:color w:val="000000"/>
                    <w:sz w:val="24"/>
                    <w:szCs w:val="24"/>
                  </w:rPr>
                  <w:t xml:space="preserve"> </w:t>
                </w:r>
              </w:p>
            </w:tc>
          </w:tr>
          <w:tr w:rsidR="00905AA4" w:rsidRPr="0060367C" w14:paraId="595D3D4C"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4CF25117"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Current Asset</w:t>
                </w:r>
              </w:p>
            </w:tc>
            <w:tc>
              <w:tcPr>
                <w:tcW w:w="1082" w:type="dxa"/>
                <w:gridSpan w:val="2"/>
                <w:tcBorders>
                  <w:top w:val="nil"/>
                  <w:left w:val="nil"/>
                  <w:bottom w:val="nil"/>
                  <w:right w:val="nil"/>
                </w:tcBorders>
                <w:shd w:val="clear" w:color="auto" w:fill="auto"/>
                <w:noWrap/>
                <w:vAlign w:val="center"/>
                <w:hideMark/>
              </w:tcPr>
              <w:p w14:paraId="071DBF0B"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4,202,000</w:t>
                </w:r>
              </w:p>
            </w:tc>
            <w:tc>
              <w:tcPr>
                <w:tcW w:w="1081" w:type="dxa"/>
                <w:gridSpan w:val="2"/>
                <w:tcBorders>
                  <w:top w:val="nil"/>
                  <w:left w:val="nil"/>
                  <w:bottom w:val="nil"/>
                  <w:right w:val="nil"/>
                </w:tcBorders>
                <w:shd w:val="clear" w:color="auto" w:fill="auto"/>
                <w:noWrap/>
                <w:vAlign w:val="center"/>
                <w:hideMark/>
              </w:tcPr>
              <w:p w14:paraId="1B36BAC0"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2,093,000</w:t>
                </w:r>
              </w:p>
            </w:tc>
            <w:tc>
              <w:tcPr>
                <w:tcW w:w="1035" w:type="dxa"/>
                <w:tcBorders>
                  <w:top w:val="nil"/>
                  <w:left w:val="nil"/>
                  <w:bottom w:val="nil"/>
                  <w:right w:val="nil"/>
                </w:tcBorders>
                <w:shd w:val="clear" w:color="auto" w:fill="auto"/>
                <w:noWrap/>
                <w:vAlign w:val="bottom"/>
                <w:hideMark/>
              </w:tcPr>
              <w:p w14:paraId="1DA7229B"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-2,109,000</w:t>
                </w:r>
              </w:p>
            </w:tc>
            <w:tc>
              <w:tcPr>
                <w:tcW w:w="922" w:type="dxa"/>
                <w:gridSpan w:val="2"/>
                <w:tcBorders>
                  <w:top w:val="nil"/>
                  <w:left w:val="nil"/>
                  <w:bottom w:val="nil"/>
                  <w:right w:val="nil"/>
                </w:tcBorders>
                <w:shd w:val="clear" w:color="auto" w:fill="auto"/>
                <w:noWrap/>
                <w:vAlign w:val="bottom"/>
                <w:hideMark/>
              </w:tcPr>
              <w:p w14:paraId="2FE75965"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-50.19%</w:t>
                </w:r>
              </w:p>
            </w:tc>
          </w:tr>
          <w:tr w:rsidR="00905AA4" w:rsidRPr="0060367C" w14:paraId="23F3D4D3"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690582FE" w14:textId="63D783AC"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Non</w:t>
                </w:r>
                <w:r w:rsidR="0047332F" w:rsidRPr="0060367C">
                  <w:rPr>
                    <w:rFonts w:ascii="Times New Roman" w:hAnsi="Times New Roman" w:cs="Times New Roman"/>
                    <w:color w:val="000000"/>
                    <w:sz w:val="24"/>
                    <w:szCs w:val="24"/>
                  </w:rPr>
                  <w:t>-</w:t>
                </w:r>
                <w:r w:rsidRPr="0060367C">
                  <w:rPr>
                    <w:rFonts w:ascii="Times New Roman" w:hAnsi="Times New Roman" w:cs="Times New Roman"/>
                    <w:color w:val="000000"/>
                    <w:sz w:val="24"/>
                    <w:szCs w:val="24"/>
                  </w:rPr>
                  <w:t>Current Asset</w:t>
                </w:r>
              </w:p>
            </w:tc>
            <w:tc>
              <w:tcPr>
                <w:tcW w:w="1082" w:type="dxa"/>
                <w:gridSpan w:val="2"/>
                <w:tcBorders>
                  <w:top w:val="nil"/>
                  <w:left w:val="nil"/>
                  <w:bottom w:val="nil"/>
                  <w:right w:val="nil"/>
                </w:tcBorders>
                <w:shd w:val="clear" w:color="auto" w:fill="auto"/>
                <w:noWrap/>
                <w:vAlign w:val="center"/>
                <w:hideMark/>
              </w:tcPr>
              <w:p w14:paraId="137F4A2E"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15,810,000</w:t>
                </w:r>
              </w:p>
            </w:tc>
            <w:tc>
              <w:tcPr>
                <w:tcW w:w="1081" w:type="dxa"/>
                <w:gridSpan w:val="2"/>
                <w:tcBorders>
                  <w:top w:val="nil"/>
                  <w:left w:val="nil"/>
                  <w:bottom w:val="nil"/>
                  <w:right w:val="nil"/>
                </w:tcBorders>
                <w:shd w:val="clear" w:color="auto" w:fill="auto"/>
                <w:noWrap/>
                <w:vAlign w:val="center"/>
                <w:hideMark/>
              </w:tcPr>
              <w:p w14:paraId="154D7C83"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12,558,000</w:t>
                </w:r>
              </w:p>
            </w:tc>
            <w:tc>
              <w:tcPr>
                <w:tcW w:w="1035" w:type="dxa"/>
                <w:tcBorders>
                  <w:top w:val="nil"/>
                  <w:left w:val="nil"/>
                  <w:bottom w:val="nil"/>
                  <w:right w:val="nil"/>
                </w:tcBorders>
                <w:shd w:val="clear" w:color="auto" w:fill="auto"/>
                <w:noWrap/>
                <w:vAlign w:val="bottom"/>
                <w:hideMark/>
              </w:tcPr>
              <w:p w14:paraId="58AE7119"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-3,252,000</w:t>
                </w:r>
              </w:p>
            </w:tc>
            <w:tc>
              <w:tcPr>
                <w:tcW w:w="922" w:type="dxa"/>
                <w:gridSpan w:val="2"/>
                <w:tcBorders>
                  <w:top w:val="nil"/>
                  <w:left w:val="nil"/>
                  <w:bottom w:val="nil"/>
                  <w:right w:val="nil"/>
                </w:tcBorders>
                <w:shd w:val="clear" w:color="auto" w:fill="auto"/>
                <w:noWrap/>
                <w:vAlign w:val="bottom"/>
                <w:hideMark/>
              </w:tcPr>
              <w:p w14:paraId="3735BF2C"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-20.57%</w:t>
                </w:r>
              </w:p>
            </w:tc>
          </w:tr>
          <w:tr w:rsidR="00905AA4" w:rsidRPr="0060367C" w14:paraId="012D40DB"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5C387453"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Total Asset</w:t>
                </w:r>
              </w:p>
            </w:tc>
            <w:tc>
              <w:tcPr>
                <w:tcW w:w="1082" w:type="dxa"/>
                <w:gridSpan w:val="2"/>
                <w:tcBorders>
                  <w:top w:val="nil"/>
                  <w:left w:val="nil"/>
                  <w:bottom w:val="nil"/>
                  <w:right w:val="nil"/>
                </w:tcBorders>
                <w:shd w:val="clear" w:color="auto" w:fill="auto"/>
                <w:noWrap/>
                <w:vAlign w:val="center"/>
                <w:hideMark/>
              </w:tcPr>
              <w:p w14:paraId="7CD36D8A"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16,755,000</w:t>
                </w:r>
              </w:p>
            </w:tc>
            <w:tc>
              <w:tcPr>
                <w:tcW w:w="1081" w:type="dxa"/>
                <w:gridSpan w:val="2"/>
                <w:tcBorders>
                  <w:top w:val="nil"/>
                  <w:left w:val="nil"/>
                  <w:bottom w:val="nil"/>
                  <w:right w:val="nil"/>
                </w:tcBorders>
                <w:shd w:val="clear" w:color="auto" w:fill="auto"/>
                <w:noWrap/>
                <w:vAlign w:val="center"/>
                <w:hideMark/>
              </w:tcPr>
              <w:p w14:paraId="561E3BB8"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14,957,000</w:t>
                </w:r>
              </w:p>
            </w:tc>
            <w:tc>
              <w:tcPr>
                <w:tcW w:w="1035" w:type="dxa"/>
                <w:tcBorders>
                  <w:top w:val="nil"/>
                  <w:left w:val="nil"/>
                  <w:bottom w:val="nil"/>
                  <w:right w:val="nil"/>
                </w:tcBorders>
                <w:shd w:val="clear" w:color="auto" w:fill="auto"/>
                <w:noWrap/>
                <w:vAlign w:val="bottom"/>
                <w:hideMark/>
              </w:tcPr>
              <w:p w14:paraId="60E5F3F5"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-1,798,000</w:t>
                </w:r>
              </w:p>
            </w:tc>
            <w:tc>
              <w:tcPr>
                <w:tcW w:w="922" w:type="dxa"/>
                <w:gridSpan w:val="2"/>
                <w:tcBorders>
                  <w:top w:val="nil"/>
                  <w:left w:val="nil"/>
                  <w:bottom w:val="nil"/>
                  <w:right w:val="nil"/>
                </w:tcBorders>
                <w:shd w:val="clear" w:color="auto" w:fill="auto"/>
                <w:noWrap/>
                <w:vAlign w:val="bottom"/>
                <w:hideMark/>
              </w:tcPr>
              <w:p w14:paraId="70CCF058"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-10.73%</w:t>
                </w:r>
              </w:p>
            </w:tc>
          </w:tr>
          <w:tr w:rsidR="00905AA4" w:rsidRPr="0060367C" w14:paraId="77619DE8"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401DBFCA"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Current Liabilities</w:t>
                </w:r>
              </w:p>
            </w:tc>
            <w:tc>
              <w:tcPr>
                <w:tcW w:w="1082" w:type="dxa"/>
                <w:gridSpan w:val="2"/>
                <w:tcBorders>
                  <w:top w:val="nil"/>
                  <w:left w:val="nil"/>
                  <w:bottom w:val="nil"/>
                  <w:right w:val="nil"/>
                </w:tcBorders>
                <w:shd w:val="clear" w:color="auto" w:fill="auto"/>
                <w:noWrap/>
                <w:vAlign w:val="center"/>
                <w:hideMark/>
              </w:tcPr>
              <w:p w14:paraId="505384FF"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2,431,000</w:t>
                </w:r>
              </w:p>
            </w:tc>
            <w:tc>
              <w:tcPr>
                <w:tcW w:w="1081" w:type="dxa"/>
                <w:gridSpan w:val="2"/>
                <w:tcBorders>
                  <w:top w:val="nil"/>
                  <w:left w:val="nil"/>
                  <w:bottom w:val="nil"/>
                  <w:right w:val="nil"/>
                </w:tcBorders>
                <w:shd w:val="clear" w:color="auto" w:fill="auto"/>
                <w:noWrap/>
                <w:vAlign w:val="center"/>
                <w:hideMark/>
              </w:tcPr>
              <w:p w14:paraId="2F21FD0F"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2,871,000</w:t>
                </w:r>
              </w:p>
            </w:tc>
            <w:tc>
              <w:tcPr>
                <w:tcW w:w="1035" w:type="dxa"/>
                <w:tcBorders>
                  <w:top w:val="nil"/>
                  <w:left w:val="nil"/>
                  <w:bottom w:val="nil"/>
                  <w:right w:val="nil"/>
                </w:tcBorders>
                <w:shd w:val="clear" w:color="auto" w:fill="auto"/>
                <w:noWrap/>
                <w:vAlign w:val="bottom"/>
                <w:hideMark/>
              </w:tcPr>
              <w:p w14:paraId="45F5FACC"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440,000</w:t>
                </w:r>
              </w:p>
            </w:tc>
            <w:tc>
              <w:tcPr>
                <w:tcW w:w="922" w:type="dxa"/>
                <w:gridSpan w:val="2"/>
                <w:tcBorders>
                  <w:top w:val="nil"/>
                  <w:left w:val="nil"/>
                  <w:bottom w:val="nil"/>
                  <w:right w:val="nil"/>
                </w:tcBorders>
                <w:shd w:val="clear" w:color="auto" w:fill="auto"/>
                <w:noWrap/>
                <w:vAlign w:val="bottom"/>
                <w:hideMark/>
              </w:tcPr>
              <w:p w14:paraId="08A32F7E"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18.10%</w:t>
                </w:r>
              </w:p>
            </w:tc>
          </w:tr>
          <w:tr w:rsidR="00905AA4" w:rsidRPr="0060367C" w14:paraId="4224FDBF"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76F3C2C4" w14:textId="2DEE3B0C" w:rsidR="00905AA4" w:rsidRPr="0060367C" w:rsidRDefault="0047332F"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Noncurrent</w:t>
                </w:r>
                <w:r w:rsidR="00905AA4" w:rsidRPr="0060367C">
                  <w:rPr>
                    <w:rFonts w:ascii="Times New Roman" w:hAnsi="Times New Roman" w:cs="Times New Roman"/>
                    <w:color w:val="000000"/>
                    <w:sz w:val="24"/>
                    <w:szCs w:val="24"/>
                  </w:rPr>
                  <w:t xml:space="preserve"> Liabilities</w:t>
                </w:r>
              </w:p>
            </w:tc>
            <w:tc>
              <w:tcPr>
                <w:tcW w:w="1082" w:type="dxa"/>
                <w:gridSpan w:val="2"/>
                <w:tcBorders>
                  <w:top w:val="nil"/>
                  <w:left w:val="nil"/>
                  <w:bottom w:val="nil"/>
                  <w:right w:val="nil"/>
                </w:tcBorders>
                <w:shd w:val="clear" w:color="auto" w:fill="auto"/>
                <w:noWrap/>
                <w:vAlign w:val="center"/>
                <w:hideMark/>
              </w:tcPr>
              <w:p w14:paraId="0083D237"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15,810,000</w:t>
                </w:r>
              </w:p>
            </w:tc>
            <w:tc>
              <w:tcPr>
                <w:tcW w:w="1081" w:type="dxa"/>
                <w:gridSpan w:val="2"/>
                <w:tcBorders>
                  <w:top w:val="nil"/>
                  <w:left w:val="nil"/>
                  <w:bottom w:val="nil"/>
                  <w:right w:val="nil"/>
                </w:tcBorders>
                <w:shd w:val="clear" w:color="auto" w:fill="auto"/>
                <w:noWrap/>
                <w:vAlign w:val="center"/>
                <w:hideMark/>
              </w:tcPr>
              <w:p w14:paraId="5C2448F1"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12,558,000</w:t>
                </w:r>
              </w:p>
            </w:tc>
            <w:tc>
              <w:tcPr>
                <w:tcW w:w="1035" w:type="dxa"/>
                <w:tcBorders>
                  <w:top w:val="nil"/>
                  <w:left w:val="nil"/>
                  <w:bottom w:val="nil"/>
                  <w:right w:val="nil"/>
                </w:tcBorders>
                <w:shd w:val="clear" w:color="auto" w:fill="auto"/>
                <w:noWrap/>
                <w:vAlign w:val="bottom"/>
                <w:hideMark/>
              </w:tcPr>
              <w:p w14:paraId="770F31E5"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-3,252,000</w:t>
                </w:r>
              </w:p>
            </w:tc>
            <w:tc>
              <w:tcPr>
                <w:tcW w:w="922" w:type="dxa"/>
                <w:gridSpan w:val="2"/>
                <w:tcBorders>
                  <w:top w:val="nil"/>
                  <w:left w:val="nil"/>
                  <w:bottom w:val="nil"/>
                  <w:right w:val="nil"/>
                </w:tcBorders>
                <w:shd w:val="clear" w:color="auto" w:fill="auto"/>
                <w:noWrap/>
                <w:vAlign w:val="bottom"/>
                <w:hideMark/>
              </w:tcPr>
              <w:p w14:paraId="1CFA1C86"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-20.57%</w:t>
                </w:r>
              </w:p>
            </w:tc>
          </w:tr>
          <w:tr w:rsidR="00905AA4" w:rsidRPr="0060367C" w14:paraId="6AF773EC"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202763A7"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Total Liabilities</w:t>
                </w:r>
              </w:p>
            </w:tc>
            <w:tc>
              <w:tcPr>
                <w:tcW w:w="1082" w:type="dxa"/>
                <w:gridSpan w:val="2"/>
                <w:tcBorders>
                  <w:top w:val="nil"/>
                  <w:left w:val="nil"/>
                  <w:bottom w:val="nil"/>
                  <w:right w:val="nil"/>
                </w:tcBorders>
                <w:shd w:val="clear" w:color="auto" w:fill="auto"/>
                <w:noWrap/>
                <w:vAlign w:val="center"/>
                <w:hideMark/>
              </w:tcPr>
              <w:p w14:paraId="2226BA49"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18,241,000</w:t>
                </w:r>
              </w:p>
            </w:tc>
            <w:tc>
              <w:tcPr>
                <w:tcW w:w="1081" w:type="dxa"/>
                <w:gridSpan w:val="2"/>
                <w:tcBorders>
                  <w:top w:val="nil"/>
                  <w:left w:val="nil"/>
                  <w:bottom w:val="nil"/>
                  <w:right w:val="nil"/>
                </w:tcBorders>
                <w:shd w:val="clear" w:color="auto" w:fill="auto"/>
                <w:noWrap/>
                <w:vAlign w:val="center"/>
                <w:hideMark/>
              </w:tcPr>
              <w:p w14:paraId="42C55A56"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15,429,000</w:t>
                </w:r>
              </w:p>
            </w:tc>
            <w:tc>
              <w:tcPr>
                <w:tcW w:w="1035" w:type="dxa"/>
                <w:tcBorders>
                  <w:top w:val="nil"/>
                  <w:left w:val="nil"/>
                  <w:bottom w:val="nil"/>
                  <w:right w:val="nil"/>
                </w:tcBorders>
                <w:shd w:val="clear" w:color="auto" w:fill="auto"/>
                <w:noWrap/>
                <w:vAlign w:val="bottom"/>
                <w:hideMark/>
              </w:tcPr>
              <w:p w14:paraId="28276A96"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-2,812,000</w:t>
                </w:r>
              </w:p>
            </w:tc>
            <w:tc>
              <w:tcPr>
                <w:tcW w:w="922" w:type="dxa"/>
                <w:gridSpan w:val="2"/>
                <w:tcBorders>
                  <w:top w:val="nil"/>
                  <w:left w:val="nil"/>
                  <w:bottom w:val="nil"/>
                  <w:right w:val="nil"/>
                </w:tcBorders>
                <w:shd w:val="clear" w:color="auto" w:fill="auto"/>
                <w:noWrap/>
                <w:vAlign w:val="bottom"/>
                <w:hideMark/>
              </w:tcPr>
              <w:p w14:paraId="0B30D210"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-15.42%</w:t>
                </w:r>
              </w:p>
            </w:tc>
          </w:tr>
          <w:tr w:rsidR="00905AA4" w:rsidRPr="0060367C" w14:paraId="68187CC2"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322702D8"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Common Stock</w:t>
                </w:r>
              </w:p>
            </w:tc>
            <w:tc>
              <w:tcPr>
                <w:tcW w:w="1082" w:type="dxa"/>
                <w:gridSpan w:val="2"/>
                <w:tcBorders>
                  <w:top w:val="nil"/>
                  <w:left w:val="nil"/>
                  <w:bottom w:val="nil"/>
                  <w:right w:val="nil"/>
                </w:tcBorders>
                <w:shd w:val="clear" w:color="auto" w:fill="auto"/>
                <w:noWrap/>
                <w:vAlign w:val="center"/>
                <w:hideMark/>
              </w:tcPr>
              <w:p w14:paraId="1DA4F7B4"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3,000</w:t>
                </w:r>
              </w:p>
            </w:tc>
            <w:tc>
              <w:tcPr>
                <w:tcW w:w="1081" w:type="dxa"/>
                <w:gridSpan w:val="2"/>
                <w:tcBorders>
                  <w:top w:val="nil"/>
                  <w:left w:val="nil"/>
                  <w:bottom w:val="nil"/>
                  <w:right w:val="nil"/>
                </w:tcBorders>
                <w:shd w:val="clear" w:color="auto" w:fill="auto"/>
                <w:noWrap/>
                <w:vAlign w:val="center"/>
                <w:hideMark/>
              </w:tcPr>
              <w:p w14:paraId="5CBF890F"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3,000</w:t>
                </w:r>
              </w:p>
            </w:tc>
            <w:tc>
              <w:tcPr>
                <w:tcW w:w="1035" w:type="dxa"/>
                <w:tcBorders>
                  <w:top w:val="nil"/>
                  <w:left w:val="nil"/>
                  <w:bottom w:val="nil"/>
                  <w:right w:val="nil"/>
                </w:tcBorders>
                <w:shd w:val="clear" w:color="auto" w:fill="auto"/>
                <w:noWrap/>
                <w:vAlign w:val="bottom"/>
                <w:hideMark/>
              </w:tcPr>
              <w:p w14:paraId="3AF9E808"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0</w:t>
                </w:r>
              </w:p>
            </w:tc>
            <w:tc>
              <w:tcPr>
                <w:tcW w:w="922" w:type="dxa"/>
                <w:gridSpan w:val="2"/>
                <w:tcBorders>
                  <w:top w:val="nil"/>
                  <w:left w:val="nil"/>
                  <w:bottom w:val="nil"/>
                  <w:right w:val="nil"/>
                </w:tcBorders>
                <w:shd w:val="clear" w:color="auto" w:fill="auto"/>
                <w:noWrap/>
                <w:vAlign w:val="bottom"/>
                <w:hideMark/>
              </w:tcPr>
              <w:p w14:paraId="20473DBF"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0.00%</w:t>
                </w:r>
              </w:p>
            </w:tc>
          </w:tr>
          <w:tr w:rsidR="00905AA4" w:rsidRPr="0060367C" w14:paraId="75A4B2AE"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0E771D69"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Retained Earnings</w:t>
                </w:r>
              </w:p>
            </w:tc>
            <w:tc>
              <w:tcPr>
                <w:tcW w:w="1082" w:type="dxa"/>
                <w:gridSpan w:val="2"/>
                <w:tcBorders>
                  <w:top w:val="nil"/>
                  <w:left w:val="nil"/>
                  <w:bottom w:val="nil"/>
                  <w:right w:val="nil"/>
                </w:tcBorders>
                <w:shd w:val="clear" w:color="auto" w:fill="auto"/>
                <w:noWrap/>
                <w:vAlign w:val="center"/>
                <w:hideMark/>
              </w:tcPr>
              <w:p w14:paraId="0AAFED16"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-6,732,000</w:t>
                </w:r>
              </w:p>
            </w:tc>
            <w:tc>
              <w:tcPr>
                <w:tcW w:w="1081" w:type="dxa"/>
                <w:gridSpan w:val="2"/>
                <w:tcBorders>
                  <w:top w:val="nil"/>
                  <w:left w:val="nil"/>
                  <w:bottom w:val="nil"/>
                  <w:right w:val="nil"/>
                </w:tcBorders>
                <w:shd w:val="clear" w:color="auto" w:fill="auto"/>
                <w:noWrap/>
                <w:vAlign w:val="center"/>
                <w:hideMark/>
              </w:tcPr>
              <w:p w14:paraId="1A27115A"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-5,965,000</w:t>
                </w:r>
              </w:p>
            </w:tc>
            <w:tc>
              <w:tcPr>
                <w:tcW w:w="1035" w:type="dxa"/>
                <w:tcBorders>
                  <w:top w:val="nil"/>
                  <w:left w:val="nil"/>
                  <w:bottom w:val="nil"/>
                  <w:right w:val="nil"/>
                </w:tcBorders>
                <w:shd w:val="clear" w:color="auto" w:fill="auto"/>
                <w:noWrap/>
                <w:vAlign w:val="bottom"/>
                <w:hideMark/>
              </w:tcPr>
              <w:p w14:paraId="67D1718D"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767,000</w:t>
                </w:r>
              </w:p>
            </w:tc>
            <w:tc>
              <w:tcPr>
                <w:tcW w:w="922" w:type="dxa"/>
                <w:gridSpan w:val="2"/>
                <w:tcBorders>
                  <w:top w:val="nil"/>
                  <w:left w:val="nil"/>
                  <w:bottom w:val="nil"/>
                  <w:right w:val="nil"/>
                </w:tcBorders>
                <w:shd w:val="clear" w:color="auto" w:fill="auto"/>
                <w:noWrap/>
                <w:vAlign w:val="bottom"/>
                <w:hideMark/>
              </w:tcPr>
              <w:p w14:paraId="68FE0F7A"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-11.39%</w:t>
                </w:r>
              </w:p>
            </w:tc>
          </w:tr>
          <w:tr w:rsidR="00905AA4" w:rsidRPr="0060367C" w14:paraId="7A53A61A"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4A67A49D"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Total Stockholders' Equity</w:t>
                </w:r>
              </w:p>
            </w:tc>
            <w:tc>
              <w:tcPr>
                <w:tcW w:w="1082" w:type="dxa"/>
                <w:gridSpan w:val="2"/>
                <w:tcBorders>
                  <w:top w:val="nil"/>
                  <w:left w:val="nil"/>
                  <w:bottom w:val="nil"/>
                  <w:right w:val="nil"/>
                </w:tcBorders>
                <w:shd w:val="clear" w:color="auto" w:fill="auto"/>
                <w:noWrap/>
                <w:vAlign w:val="center"/>
                <w:hideMark/>
              </w:tcPr>
              <w:p w14:paraId="0522E7FE"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-1,490,000</w:t>
                </w:r>
              </w:p>
            </w:tc>
            <w:tc>
              <w:tcPr>
                <w:tcW w:w="1081" w:type="dxa"/>
                <w:gridSpan w:val="2"/>
                <w:tcBorders>
                  <w:top w:val="nil"/>
                  <w:left w:val="nil"/>
                  <w:bottom w:val="nil"/>
                  <w:right w:val="nil"/>
                </w:tcBorders>
                <w:shd w:val="clear" w:color="auto" w:fill="auto"/>
                <w:noWrap/>
                <w:vAlign w:val="center"/>
                <w:hideMark/>
              </w:tcPr>
              <w:p w14:paraId="272A9D4B"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-482,000</w:t>
                </w:r>
              </w:p>
            </w:tc>
            <w:tc>
              <w:tcPr>
                <w:tcW w:w="1035" w:type="dxa"/>
                <w:tcBorders>
                  <w:top w:val="nil"/>
                  <w:left w:val="nil"/>
                  <w:bottom w:val="nil"/>
                  <w:right w:val="nil"/>
                </w:tcBorders>
                <w:shd w:val="clear" w:color="auto" w:fill="auto"/>
                <w:noWrap/>
                <w:vAlign w:val="bottom"/>
                <w:hideMark/>
              </w:tcPr>
              <w:p w14:paraId="28E10B8E"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1,008,000</w:t>
                </w:r>
              </w:p>
            </w:tc>
            <w:tc>
              <w:tcPr>
                <w:tcW w:w="922" w:type="dxa"/>
                <w:gridSpan w:val="2"/>
                <w:tcBorders>
                  <w:top w:val="nil"/>
                  <w:left w:val="nil"/>
                  <w:bottom w:val="nil"/>
                  <w:right w:val="nil"/>
                </w:tcBorders>
                <w:shd w:val="clear" w:color="auto" w:fill="auto"/>
                <w:noWrap/>
                <w:vAlign w:val="bottom"/>
                <w:hideMark/>
              </w:tcPr>
              <w:p w14:paraId="5C852119"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-67.65%</w:t>
                </w:r>
              </w:p>
            </w:tc>
          </w:tr>
          <w:tr w:rsidR="00905AA4" w:rsidRPr="0060367C" w14:paraId="657E4C56" w14:textId="77777777" w:rsidTr="00905AA4">
            <w:trPr>
              <w:gridAfter w:val="2"/>
              <w:wAfter w:w="2560" w:type="dxa"/>
              <w:trHeight w:val="300"/>
            </w:trPr>
            <w:tc>
              <w:tcPr>
                <w:tcW w:w="3140" w:type="dxa"/>
                <w:tcBorders>
                  <w:top w:val="nil"/>
                  <w:left w:val="nil"/>
                  <w:bottom w:val="nil"/>
                  <w:right w:val="nil"/>
                </w:tcBorders>
                <w:shd w:val="clear" w:color="auto" w:fill="auto"/>
                <w:noWrap/>
                <w:vAlign w:val="center"/>
                <w:hideMark/>
              </w:tcPr>
              <w:p w14:paraId="76183478" w14:textId="77777777" w:rsidR="00905AA4" w:rsidRPr="0060367C" w:rsidRDefault="00905AA4" w:rsidP="00DA3389">
                <w:pPr>
                  <w:spacing w:after="0"/>
                  <w:rPr>
                    <w:rFonts w:ascii="Times New Roman" w:hAnsi="Times New Roman" w:cs="Times New Roman"/>
                    <w:color w:val="000000"/>
                    <w:sz w:val="24"/>
                    <w:szCs w:val="24"/>
                  </w:rPr>
                </w:pPr>
                <w:r w:rsidRPr="0060367C">
                  <w:rPr>
                    <w:rFonts w:ascii="Times New Roman" w:hAnsi="Times New Roman" w:cs="Times New Roman"/>
                    <w:color w:val="000000"/>
                    <w:sz w:val="24"/>
                    <w:szCs w:val="24"/>
                  </w:rPr>
                  <w:t>Total Liabilities and Stockholder</w:t>
                </w:r>
              </w:p>
            </w:tc>
            <w:tc>
              <w:tcPr>
                <w:tcW w:w="1082" w:type="dxa"/>
                <w:gridSpan w:val="2"/>
                <w:tcBorders>
                  <w:top w:val="nil"/>
                  <w:left w:val="nil"/>
                  <w:bottom w:val="nil"/>
                  <w:right w:val="nil"/>
                </w:tcBorders>
                <w:shd w:val="clear" w:color="auto" w:fill="auto"/>
                <w:noWrap/>
                <w:vAlign w:val="center"/>
                <w:hideMark/>
              </w:tcPr>
              <w:p w14:paraId="19A1D7B5"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16,755,000</w:t>
                </w:r>
              </w:p>
            </w:tc>
            <w:tc>
              <w:tcPr>
                <w:tcW w:w="1081" w:type="dxa"/>
                <w:gridSpan w:val="2"/>
                <w:tcBorders>
                  <w:top w:val="nil"/>
                  <w:left w:val="nil"/>
                  <w:bottom w:val="nil"/>
                  <w:right w:val="nil"/>
                </w:tcBorders>
                <w:shd w:val="clear" w:color="auto" w:fill="auto"/>
                <w:noWrap/>
                <w:vAlign w:val="center"/>
                <w:hideMark/>
              </w:tcPr>
              <w:p w14:paraId="70DCF4D2"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14,957,000</w:t>
                </w:r>
              </w:p>
            </w:tc>
            <w:tc>
              <w:tcPr>
                <w:tcW w:w="1035" w:type="dxa"/>
                <w:tcBorders>
                  <w:top w:val="nil"/>
                  <w:left w:val="nil"/>
                  <w:bottom w:val="nil"/>
                  <w:right w:val="nil"/>
                </w:tcBorders>
                <w:shd w:val="clear" w:color="auto" w:fill="auto"/>
                <w:noWrap/>
                <w:vAlign w:val="bottom"/>
                <w:hideMark/>
              </w:tcPr>
              <w:p w14:paraId="67A913B9"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-1,798,000</w:t>
                </w:r>
              </w:p>
            </w:tc>
            <w:tc>
              <w:tcPr>
                <w:tcW w:w="922" w:type="dxa"/>
                <w:gridSpan w:val="2"/>
                <w:tcBorders>
                  <w:top w:val="nil"/>
                  <w:left w:val="nil"/>
                  <w:bottom w:val="nil"/>
                  <w:right w:val="nil"/>
                </w:tcBorders>
                <w:shd w:val="clear" w:color="auto" w:fill="auto"/>
                <w:noWrap/>
                <w:vAlign w:val="bottom"/>
                <w:hideMark/>
              </w:tcPr>
              <w:p w14:paraId="5C668EBA" w14:textId="77777777" w:rsidR="00905AA4" w:rsidRPr="0060367C" w:rsidRDefault="00905AA4" w:rsidP="00DA3389">
                <w:pPr>
                  <w:spacing w:after="0"/>
                  <w:jc w:val="right"/>
                  <w:rPr>
                    <w:rFonts w:ascii="Times New Roman" w:hAnsi="Times New Roman" w:cs="Times New Roman"/>
                    <w:color w:val="000000"/>
                    <w:sz w:val="24"/>
                    <w:szCs w:val="24"/>
                  </w:rPr>
                </w:pPr>
                <w:r w:rsidRPr="0060367C">
                  <w:rPr>
                    <w:rFonts w:ascii="Times New Roman" w:hAnsi="Times New Roman" w:cs="Times New Roman"/>
                    <w:color w:val="000000"/>
                    <w:sz w:val="24"/>
                    <w:szCs w:val="24"/>
                  </w:rPr>
                  <w:t>-10.73%</w:t>
                </w:r>
              </w:p>
            </w:tc>
          </w:tr>
          <w:tr w:rsidR="00EC6399" w:rsidRPr="0060367C" w14:paraId="6C347622" w14:textId="77777777" w:rsidTr="0047332F">
            <w:trPr>
              <w:trHeight w:val="288"/>
            </w:trPr>
            <w:tc>
              <w:tcPr>
                <w:tcW w:w="3200" w:type="dxa"/>
                <w:gridSpan w:val="2"/>
                <w:tcBorders>
                  <w:top w:val="nil"/>
                  <w:left w:val="nil"/>
                  <w:bottom w:val="nil"/>
                  <w:right w:val="nil"/>
                </w:tcBorders>
                <w:shd w:val="clear" w:color="auto" w:fill="auto"/>
                <w:noWrap/>
                <w:vAlign w:val="bottom"/>
              </w:tcPr>
              <w:p w14:paraId="3C7434E8" w14:textId="33CDB063" w:rsidR="009C1CE2" w:rsidRPr="0060367C" w:rsidRDefault="009C1CE2" w:rsidP="00DA3389">
                <w:pPr>
                  <w:spacing w:after="0" w:line="480" w:lineRule="auto"/>
                  <w:jc w:val="both"/>
                  <w:rPr>
                    <w:rFonts w:ascii="Times New Roman" w:eastAsia="Times New Roman" w:hAnsi="Times New Roman" w:cs="Times New Roman"/>
                    <w:b/>
                    <w:bCs/>
                    <w:color w:val="000000" w:themeColor="text1"/>
                    <w:sz w:val="24"/>
                    <w:szCs w:val="24"/>
                    <w:lang w:eastAsia="en-GB"/>
                  </w:rPr>
                </w:pPr>
              </w:p>
            </w:tc>
            <w:tc>
              <w:tcPr>
                <w:tcW w:w="5160" w:type="dxa"/>
                <w:gridSpan w:val="7"/>
                <w:tcBorders>
                  <w:top w:val="nil"/>
                  <w:left w:val="nil"/>
                  <w:bottom w:val="nil"/>
                  <w:right w:val="nil"/>
                </w:tcBorders>
                <w:shd w:val="clear" w:color="auto" w:fill="auto"/>
                <w:noWrap/>
                <w:vAlign w:val="bottom"/>
              </w:tcPr>
              <w:p w14:paraId="511E838B" w14:textId="4D2F89FE" w:rsidR="009C1CE2" w:rsidRPr="0060367C" w:rsidRDefault="009C1CE2" w:rsidP="00DA3389">
                <w:pPr>
                  <w:spacing w:after="0" w:line="480" w:lineRule="auto"/>
                  <w:jc w:val="both"/>
                  <w:rPr>
                    <w:rFonts w:ascii="Times New Roman" w:eastAsia="Times New Roman" w:hAnsi="Times New Roman" w:cs="Times New Roman"/>
                    <w:b/>
                    <w:bCs/>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1AA94E7B" w14:textId="77777777" w:rsidR="009C1CE2" w:rsidRPr="0060367C" w:rsidRDefault="009C1CE2" w:rsidP="00DA3389">
                <w:pPr>
                  <w:spacing w:after="0" w:line="480" w:lineRule="auto"/>
                  <w:jc w:val="both"/>
                  <w:rPr>
                    <w:rFonts w:ascii="Times New Roman" w:eastAsia="Times New Roman" w:hAnsi="Times New Roman" w:cs="Times New Roman"/>
                    <w:b/>
                    <w:bCs/>
                    <w:color w:val="000000" w:themeColor="text1"/>
                    <w:sz w:val="24"/>
                    <w:szCs w:val="24"/>
                    <w:lang w:eastAsia="en-GB"/>
                  </w:rPr>
                </w:pPr>
              </w:p>
            </w:tc>
          </w:tr>
          <w:tr w:rsidR="00EC6399" w:rsidRPr="0060367C" w14:paraId="0351A774" w14:textId="77777777" w:rsidTr="0047332F">
            <w:trPr>
              <w:trHeight w:val="288"/>
            </w:trPr>
            <w:tc>
              <w:tcPr>
                <w:tcW w:w="3200" w:type="dxa"/>
                <w:gridSpan w:val="2"/>
                <w:tcBorders>
                  <w:top w:val="nil"/>
                  <w:left w:val="nil"/>
                  <w:bottom w:val="nil"/>
                  <w:right w:val="nil"/>
                </w:tcBorders>
                <w:shd w:val="clear" w:color="auto" w:fill="auto"/>
                <w:noWrap/>
                <w:vAlign w:val="bottom"/>
              </w:tcPr>
              <w:p w14:paraId="33A4F20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59E6FF17" w14:textId="4788FD63"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0DD506CD" w14:textId="72F8A2C3"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40729A19" w14:textId="66EB7BC8"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078E90B2" w14:textId="74F49B01"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3FBB9818" w14:textId="77777777" w:rsidTr="0047332F">
            <w:trPr>
              <w:trHeight w:val="288"/>
            </w:trPr>
            <w:tc>
              <w:tcPr>
                <w:tcW w:w="3200" w:type="dxa"/>
                <w:gridSpan w:val="2"/>
                <w:tcBorders>
                  <w:top w:val="nil"/>
                  <w:left w:val="nil"/>
                  <w:bottom w:val="nil"/>
                  <w:right w:val="nil"/>
                </w:tcBorders>
                <w:shd w:val="clear" w:color="auto" w:fill="auto"/>
                <w:noWrap/>
                <w:vAlign w:val="bottom"/>
              </w:tcPr>
              <w:p w14:paraId="6E91B5C0" w14:textId="2C327C26"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66F671D3" w14:textId="2240D4DA"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17798BCA" w14:textId="6D6DA431"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2CF47995"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39E9219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78C06B21" w14:textId="77777777" w:rsidTr="0047332F">
            <w:trPr>
              <w:trHeight w:val="288"/>
            </w:trPr>
            <w:tc>
              <w:tcPr>
                <w:tcW w:w="3200" w:type="dxa"/>
                <w:gridSpan w:val="2"/>
                <w:tcBorders>
                  <w:top w:val="nil"/>
                  <w:left w:val="nil"/>
                  <w:bottom w:val="nil"/>
                  <w:right w:val="nil"/>
                </w:tcBorders>
                <w:shd w:val="clear" w:color="auto" w:fill="auto"/>
                <w:noWrap/>
                <w:vAlign w:val="bottom"/>
              </w:tcPr>
              <w:p w14:paraId="1AC6A790" w14:textId="555E0DE6"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521706CB" w14:textId="2C15A4BF"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586C7E86" w14:textId="27D18630"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553EC048"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63636FA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47A149B2" w14:textId="77777777" w:rsidTr="0047332F">
            <w:trPr>
              <w:trHeight w:val="288"/>
            </w:trPr>
            <w:tc>
              <w:tcPr>
                <w:tcW w:w="3200" w:type="dxa"/>
                <w:gridSpan w:val="2"/>
                <w:tcBorders>
                  <w:top w:val="nil"/>
                  <w:left w:val="nil"/>
                  <w:bottom w:val="nil"/>
                  <w:right w:val="nil"/>
                </w:tcBorders>
                <w:shd w:val="clear" w:color="auto" w:fill="auto"/>
                <w:noWrap/>
                <w:vAlign w:val="bottom"/>
              </w:tcPr>
              <w:p w14:paraId="08DADA09" w14:textId="37D59F8F"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4EEB4749" w14:textId="2D307A6E"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331AA851" w14:textId="14481A95"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20B7FB60"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4D336472"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46F4F6E0" w14:textId="77777777" w:rsidTr="0047332F">
            <w:trPr>
              <w:trHeight w:val="288"/>
            </w:trPr>
            <w:tc>
              <w:tcPr>
                <w:tcW w:w="3200" w:type="dxa"/>
                <w:gridSpan w:val="2"/>
                <w:tcBorders>
                  <w:top w:val="nil"/>
                  <w:left w:val="nil"/>
                  <w:bottom w:val="nil"/>
                  <w:right w:val="nil"/>
                </w:tcBorders>
                <w:shd w:val="clear" w:color="auto" w:fill="auto"/>
                <w:noWrap/>
                <w:vAlign w:val="bottom"/>
              </w:tcPr>
              <w:p w14:paraId="11951B2B" w14:textId="579E344C"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203FEA82" w14:textId="3A2925DC"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4F14454F" w14:textId="1957035F"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57B3B77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24936E23"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7FBDA34D" w14:textId="77777777" w:rsidTr="0047332F">
            <w:trPr>
              <w:trHeight w:val="288"/>
            </w:trPr>
            <w:tc>
              <w:tcPr>
                <w:tcW w:w="3200" w:type="dxa"/>
                <w:gridSpan w:val="2"/>
                <w:tcBorders>
                  <w:top w:val="nil"/>
                  <w:left w:val="nil"/>
                  <w:bottom w:val="nil"/>
                  <w:right w:val="nil"/>
                </w:tcBorders>
                <w:shd w:val="clear" w:color="auto" w:fill="auto"/>
                <w:noWrap/>
                <w:vAlign w:val="bottom"/>
              </w:tcPr>
              <w:p w14:paraId="3EAFD820" w14:textId="5E9D6A46"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7B031AEA" w14:textId="73C81A14"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412C744D" w14:textId="6B493D78"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61767A06"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19342008"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22704FA7" w14:textId="77777777" w:rsidTr="0047332F">
            <w:trPr>
              <w:trHeight w:val="288"/>
            </w:trPr>
            <w:tc>
              <w:tcPr>
                <w:tcW w:w="3200" w:type="dxa"/>
                <w:gridSpan w:val="2"/>
                <w:tcBorders>
                  <w:top w:val="nil"/>
                  <w:left w:val="nil"/>
                  <w:bottom w:val="nil"/>
                  <w:right w:val="nil"/>
                </w:tcBorders>
                <w:shd w:val="clear" w:color="auto" w:fill="auto"/>
                <w:noWrap/>
                <w:vAlign w:val="bottom"/>
              </w:tcPr>
              <w:p w14:paraId="292EBD5B" w14:textId="0776895F"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0123139F" w14:textId="025B66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39B459C8" w14:textId="5802E6C1"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56E52F23"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314E4315"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094DF5AC" w14:textId="77777777" w:rsidTr="0047332F">
            <w:trPr>
              <w:trHeight w:val="288"/>
            </w:trPr>
            <w:tc>
              <w:tcPr>
                <w:tcW w:w="3200" w:type="dxa"/>
                <w:gridSpan w:val="2"/>
                <w:tcBorders>
                  <w:top w:val="nil"/>
                  <w:left w:val="nil"/>
                  <w:bottom w:val="nil"/>
                  <w:right w:val="nil"/>
                </w:tcBorders>
                <w:shd w:val="clear" w:color="auto" w:fill="auto"/>
                <w:noWrap/>
                <w:vAlign w:val="bottom"/>
              </w:tcPr>
              <w:p w14:paraId="49AC7709" w14:textId="0CCCED55"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785F650A" w14:textId="0C49F872"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7EB4297D" w14:textId="6980C672"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60A8A029"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4015398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1213894D" w14:textId="77777777" w:rsidTr="0047332F">
            <w:trPr>
              <w:trHeight w:val="288"/>
            </w:trPr>
            <w:tc>
              <w:tcPr>
                <w:tcW w:w="3200" w:type="dxa"/>
                <w:gridSpan w:val="2"/>
                <w:tcBorders>
                  <w:top w:val="nil"/>
                  <w:left w:val="nil"/>
                  <w:bottom w:val="nil"/>
                  <w:right w:val="nil"/>
                </w:tcBorders>
                <w:shd w:val="clear" w:color="auto" w:fill="auto"/>
                <w:noWrap/>
                <w:vAlign w:val="bottom"/>
              </w:tcPr>
              <w:p w14:paraId="0ED68F58" w14:textId="5547C1B6"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5845DDDC" w14:textId="647E1DBD"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0B5D3849" w14:textId="2CB98709"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1245098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7D8C7FE6"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672E6703" w14:textId="77777777" w:rsidTr="0047332F">
            <w:trPr>
              <w:trHeight w:val="288"/>
            </w:trPr>
            <w:tc>
              <w:tcPr>
                <w:tcW w:w="3200" w:type="dxa"/>
                <w:gridSpan w:val="2"/>
                <w:tcBorders>
                  <w:top w:val="nil"/>
                  <w:left w:val="nil"/>
                  <w:bottom w:val="nil"/>
                  <w:right w:val="nil"/>
                </w:tcBorders>
                <w:shd w:val="clear" w:color="auto" w:fill="auto"/>
                <w:noWrap/>
                <w:vAlign w:val="bottom"/>
              </w:tcPr>
              <w:p w14:paraId="1287146F" w14:textId="3876D82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6327A869" w14:textId="5D76FA8D"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0374A5EE" w14:textId="3CDF4C18"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2D0E5083"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19337C25"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57B3C31D" w14:textId="77777777" w:rsidTr="0047332F">
            <w:trPr>
              <w:trHeight w:val="288"/>
            </w:trPr>
            <w:tc>
              <w:tcPr>
                <w:tcW w:w="3200" w:type="dxa"/>
                <w:gridSpan w:val="2"/>
                <w:tcBorders>
                  <w:top w:val="nil"/>
                  <w:left w:val="nil"/>
                  <w:bottom w:val="nil"/>
                  <w:right w:val="nil"/>
                </w:tcBorders>
                <w:shd w:val="clear" w:color="auto" w:fill="auto"/>
                <w:noWrap/>
                <w:vAlign w:val="bottom"/>
              </w:tcPr>
              <w:p w14:paraId="7A32DA8B" w14:textId="6D021AEB"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tcPr>
              <w:p w14:paraId="0BF6FB63" w14:textId="70259640"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tcPr>
              <w:p w14:paraId="1D16C63B" w14:textId="424F1D58"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tcPr>
              <w:p w14:paraId="0DBF80EE"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tcPr>
              <w:p w14:paraId="06C1E67B"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104F7355" w14:textId="77777777" w:rsidTr="00905AA4">
            <w:trPr>
              <w:trHeight w:val="288"/>
            </w:trPr>
            <w:tc>
              <w:tcPr>
                <w:tcW w:w="3200" w:type="dxa"/>
                <w:gridSpan w:val="2"/>
                <w:tcBorders>
                  <w:top w:val="nil"/>
                  <w:left w:val="nil"/>
                  <w:bottom w:val="nil"/>
                  <w:right w:val="nil"/>
                </w:tcBorders>
                <w:shd w:val="clear" w:color="auto" w:fill="auto"/>
                <w:noWrap/>
                <w:vAlign w:val="bottom"/>
                <w:hideMark/>
              </w:tcPr>
              <w:p w14:paraId="265125D9"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hideMark/>
              </w:tcPr>
              <w:p w14:paraId="1225C868"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hideMark/>
              </w:tcPr>
              <w:p w14:paraId="4E85F7B3"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hideMark/>
              </w:tcPr>
              <w:p w14:paraId="047C7788"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hideMark/>
              </w:tcPr>
              <w:p w14:paraId="3602464B"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EC6399" w:rsidRPr="0060367C" w14:paraId="083A4C8E" w14:textId="77777777" w:rsidTr="00905AA4">
            <w:trPr>
              <w:trHeight w:val="288"/>
            </w:trPr>
            <w:tc>
              <w:tcPr>
                <w:tcW w:w="3200" w:type="dxa"/>
                <w:gridSpan w:val="2"/>
                <w:tcBorders>
                  <w:top w:val="nil"/>
                  <w:left w:val="nil"/>
                  <w:bottom w:val="nil"/>
                  <w:right w:val="nil"/>
                </w:tcBorders>
                <w:shd w:val="clear" w:color="auto" w:fill="auto"/>
                <w:noWrap/>
                <w:vAlign w:val="bottom"/>
                <w:hideMark/>
              </w:tcPr>
              <w:p w14:paraId="53082D50"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hideMark/>
              </w:tcPr>
              <w:p w14:paraId="7BBF410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hideMark/>
              </w:tcPr>
              <w:p w14:paraId="732FC4F9"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hideMark/>
              </w:tcPr>
              <w:p w14:paraId="0AA46D49"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hideMark/>
              </w:tcPr>
              <w:p w14:paraId="6101417D"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r w:rsidR="00183268" w:rsidRPr="0060367C" w14:paraId="1F0966B6" w14:textId="77777777" w:rsidTr="00905AA4">
            <w:trPr>
              <w:trHeight w:val="288"/>
            </w:trPr>
            <w:tc>
              <w:tcPr>
                <w:tcW w:w="3200" w:type="dxa"/>
                <w:gridSpan w:val="2"/>
                <w:tcBorders>
                  <w:top w:val="nil"/>
                  <w:left w:val="nil"/>
                  <w:bottom w:val="nil"/>
                  <w:right w:val="nil"/>
                </w:tcBorders>
                <w:shd w:val="clear" w:color="auto" w:fill="auto"/>
                <w:noWrap/>
                <w:vAlign w:val="bottom"/>
                <w:hideMark/>
              </w:tcPr>
              <w:p w14:paraId="3F978587"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2"/>
                <w:tcBorders>
                  <w:top w:val="nil"/>
                  <w:left w:val="nil"/>
                  <w:bottom w:val="nil"/>
                  <w:right w:val="nil"/>
                </w:tcBorders>
                <w:shd w:val="clear" w:color="auto" w:fill="auto"/>
                <w:noWrap/>
                <w:vAlign w:val="bottom"/>
                <w:hideMark/>
              </w:tcPr>
              <w:p w14:paraId="32EA70BF"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956" w:type="dxa"/>
                <w:gridSpan w:val="3"/>
                <w:tcBorders>
                  <w:top w:val="nil"/>
                  <w:left w:val="nil"/>
                  <w:bottom w:val="nil"/>
                  <w:right w:val="nil"/>
                </w:tcBorders>
                <w:shd w:val="clear" w:color="auto" w:fill="auto"/>
                <w:noWrap/>
                <w:vAlign w:val="bottom"/>
                <w:hideMark/>
              </w:tcPr>
              <w:p w14:paraId="66F42E05"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248" w:type="dxa"/>
                <w:gridSpan w:val="2"/>
                <w:tcBorders>
                  <w:top w:val="nil"/>
                  <w:left w:val="nil"/>
                  <w:bottom w:val="nil"/>
                  <w:right w:val="nil"/>
                </w:tcBorders>
                <w:shd w:val="clear" w:color="auto" w:fill="auto"/>
                <w:noWrap/>
                <w:vAlign w:val="bottom"/>
                <w:hideMark/>
              </w:tcPr>
              <w:p w14:paraId="40965F77"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c>
              <w:tcPr>
                <w:tcW w:w="1460" w:type="dxa"/>
                <w:tcBorders>
                  <w:top w:val="nil"/>
                  <w:left w:val="nil"/>
                  <w:bottom w:val="nil"/>
                  <w:right w:val="nil"/>
                </w:tcBorders>
                <w:shd w:val="clear" w:color="auto" w:fill="auto"/>
                <w:noWrap/>
                <w:vAlign w:val="bottom"/>
                <w:hideMark/>
              </w:tcPr>
              <w:p w14:paraId="63D9366A" w14:textId="77777777" w:rsidR="009C1CE2" w:rsidRPr="0060367C" w:rsidRDefault="009C1CE2" w:rsidP="00DA3389">
                <w:pPr>
                  <w:spacing w:after="0" w:line="480" w:lineRule="auto"/>
                  <w:jc w:val="both"/>
                  <w:rPr>
                    <w:rFonts w:ascii="Times New Roman" w:eastAsia="Times New Roman" w:hAnsi="Times New Roman" w:cs="Times New Roman"/>
                    <w:color w:val="000000" w:themeColor="text1"/>
                    <w:sz w:val="24"/>
                    <w:szCs w:val="24"/>
                    <w:lang w:eastAsia="en-GB"/>
                  </w:rPr>
                </w:pPr>
              </w:p>
            </w:tc>
          </w:tr>
        </w:tbl>
        <w:p w14:paraId="429202F1" w14:textId="0723D5BA" w:rsidR="009C1CE2" w:rsidRPr="0060367C" w:rsidRDefault="004D519C" w:rsidP="00DA3389">
          <w:pPr>
            <w:pStyle w:val="Heading1"/>
            <w:spacing w:before="0" w:line="480" w:lineRule="auto"/>
            <w:jc w:val="center"/>
            <w:rPr>
              <w:rFonts w:ascii="Times New Roman" w:hAnsi="Times New Roman" w:cs="Times New Roman"/>
              <w:b/>
              <w:color w:val="000000" w:themeColor="text1"/>
              <w:sz w:val="24"/>
              <w:szCs w:val="24"/>
            </w:rPr>
          </w:pPr>
          <w:bookmarkStart w:id="2" w:name="_Toc104999867"/>
          <w:r w:rsidRPr="0060367C">
            <w:rPr>
              <w:rFonts w:ascii="Times New Roman" w:hAnsi="Times New Roman" w:cs="Times New Roman"/>
              <w:b/>
              <w:color w:val="000000" w:themeColor="text1"/>
              <w:sz w:val="24"/>
              <w:szCs w:val="24"/>
            </w:rPr>
            <w:t>Financial Analysis Trends</w:t>
          </w:r>
          <w:bookmarkEnd w:id="2"/>
        </w:p>
        <w:p w14:paraId="3B5692CF" w14:textId="093AC22B" w:rsidR="00A23DB3" w:rsidRPr="0060367C" w:rsidRDefault="009C1CE2" w:rsidP="00DA3389">
          <w:pPr>
            <w:pStyle w:val="ListParagraph"/>
            <w:numPr>
              <w:ilvl w:val="0"/>
              <w:numId w:val="1"/>
            </w:numPr>
            <w:autoSpaceDE w:val="0"/>
            <w:autoSpaceDN w:val="0"/>
            <w:adjustRightInd w:val="0"/>
            <w:spacing w:line="480" w:lineRule="auto"/>
            <w:jc w:val="both"/>
            <w:rPr>
              <w:color w:val="000000" w:themeColor="text1"/>
              <w:sz w:val="24"/>
              <w:szCs w:val="24"/>
            </w:rPr>
          </w:pPr>
          <w:r w:rsidRPr="0060367C">
            <w:rPr>
              <w:color w:val="000000" w:themeColor="text1"/>
              <w:sz w:val="24"/>
              <w:szCs w:val="24"/>
            </w:rPr>
            <w:t>Calculate Horizontal ratios for 2019 and 2020 to aid the analysis of the financial information included within the attached financial statements.  You should discuss the trends seen in these ratios in detail, and draw appropriate conclusions.</w:t>
          </w:r>
        </w:p>
        <w:tbl>
          <w:tblPr>
            <w:tblW w:w="8943" w:type="dxa"/>
            <w:tblLook w:val="04A0" w:firstRow="1" w:lastRow="0" w:firstColumn="1" w:lastColumn="0" w:noHBand="0" w:noVBand="1"/>
          </w:tblPr>
          <w:tblGrid>
            <w:gridCol w:w="3269"/>
            <w:gridCol w:w="1659"/>
            <w:gridCol w:w="1707"/>
            <w:gridCol w:w="1154"/>
            <w:gridCol w:w="1154"/>
          </w:tblGrid>
          <w:tr w:rsidR="00D53B77" w:rsidRPr="0060367C" w14:paraId="7677EF5B" w14:textId="77777777" w:rsidTr="00D53B77">
            <w:trPr>
              <w:trHeight w:val="300"/>
            </w:trPr>
            <w:tc>
              <w:tcPr>
                <w:tcW w:w="3269" w:type="dxa"/>
                <w:tcBorders>
                  <w:top w:val="nil"/>
                  <w:left w:val="nil"/>
                  <w:bottom w:val="nil"/>
                  <w:right w:val="nil"/>
                </w:tcBorders>
                <w:shd w:val="clear" w:color="auto" w:fill="auto"/>
                <w:noWrap/>
                <w:vAlign w:val="bottom"/>
                <w:hideMark/>
              </w:tcPr>
              <w:p w14:paraId="571B364B"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659" w:type="dxa"/>
                <w:tcBorders>
                  <w:top w:val="nil"/>
                  <w:left w:val="nil"/>
                  <w:bottom w:val="nil"/>
                  <w:right w:val="nil"/>
                </w:tcBorders>
                <w:shd w:val="clear" w:color="auto" w:fill="auto"/>
                <w:noWrap/>
                <w:vAlign w:val="bottom"/>
                <w:hideMark/>
              </w:tcPr>
              <w:p w14:paraId="49FEB157"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707" w:type="dxa"/>
                <w:tcBorders>
                  <w:top w:val="nil"/>
                  <w:left w:val="nil"/>
                  <w:bottom w:val="nil"/>
                  <w:right w:val="nil"/>
                </w:tcBorders>
                <w:shd w:val="clear" w:color="auto" w:fill="auto"/>
                <w:noWrap/>
                <w:vAlign w:val="bottom"/>
                <w:hideMark/>
              </w:tcPr>
              <w:p w14:paraId="4AE62521"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7A2B4A9C"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69DA4AE4" w14:textId="77777777" w:rsidR="00D53B77" w:rsidRPr="0060367C" w:rsidRDefault="00D53B77" w:rsidP="00DA3389">
                <w:pPr>
                  <w:spacing w:after="0" w:line="240" w:lineRule="auto"/>
                  <w:rPr>
                    <w:rFonts w:ascii="Times New Roman" w:eastAsia="Times New Roman" w:hAnsi="Times New Roman" w:cs="Times New Roman"/>
                    <w:sz w:val="20"/>
                    <w:szCs w:val="20"/>
                  </w:rPr>
                </w:pPr>
              </w:p>
            </w:tc>
          </w:tr>
          <w:tr w:rsidR="00D53B77" w:rsidRPr="0060367C" w14:paraId="0E3170E9" w14:textId="77777777" w:rsidTr="00D53B77">
            <w:trPr>
              <w:trHeight w:val="300"/>
            </w:trPr>
            <w:tc>
              <w:tcPr>
                <w:tcW w:w="4928" w:type="dxa"/>
                <w:gridSpan w:val="2"/>
                <w:tcBorders>
                  <w:top w:val="nil"/>
                  <w:left w:val="nil"/>
                  <w:bottom w:val="nil"/>
                  <w:right w:val="nil"/>
                </w:tcBorders>
                <w:shd w:val="clear" w:color="auto" w:fill="auto"/>
                <w:noWrap/>
                <w:vAlign w:val="bottom"/>
                <w:hideMark/>
              </w:tcPr>
              <w:p w14:paraId="722670CA"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Income statement Greene Inc</w:t>
                </w:r>
              </w:p>
            </w:tc>
            <w:tc>
              <w:tcPr>
                <w:tcW w:w="1707" w:type="dxa"/>
                <w:tcBorders>
                  <w:top w:val="nil"/>
                  <w:left w:val="nil"/>
                  <w:bottom w:val="nil"/>
                  <w:right w:val="nil"/>
                </w:tcBorders>
                <w:shd w:val="clear" w:color="auto" w:fill="auto"/>
                <w:noWrap/>
                <w:vAlign w:val="bottom"/>
                <w:hideMark/>
              </w:tcPr>
              <w:p w14:paraId="47C1E39A"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p>
            </w:tc>
            <w:tc>
              <w:tcPr>
                <w:tcW w:w="1154" w:type="dxa"/>
                <w:tcBorders>
                  <w:top w:val="nil"/>
                  <w:left w:val="nil"/>
                  <w:bottom w:val="nil"/>
                  <w:right w:val="nil"/>
                </w:tcBorders>
                <w:shd w:val="clear" w:color="auto" w:fill="auto"/>
                <w:noWrap/>
                <w:vAlign w:val="bottom"/>
                <w:hideMark/>
              </w:tcPr>
              <w:p w14:paraId="74456C46"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2657B7C3" w14:textId="77777777" w:rsidR="00D53B77" w:rsidRPr="0060367C" w:rsidRDefault="00D53B77" w:rsidP="00DA3389">
                <w:pPr>
                  <w:spacing w:after="0" w:line="240" w:lineRule="auto"/>
                  <w:rPr>
                    <w:rFonts w:ascii="Times New Roman" w:eastAsia="Times New Roman" w:hAnsi="Times New Roman" w:cs="Times New Roman"/>
                    <w:sz w:val="24"/>
                    <w:szCs w:val="24"/>
                  </w:rPr>
                </w:pPr>
              </w:p>
            </w:tc>
          </w:tr>
          <w:tr w:rsidR="00D53B77" w:rsidRPr="0060367C" w14:paraId="760D02EC" w14:textId="77777777" w:rsidTr="00D53B77">
            <w:trPr>
              <w:trHeight w:val="300"/>
            </w:trPr>
            <w:tc>
              <w:tcPr>
                <w:tcW w:w="3269" w:type="dxa"/>
                <w:tcBorders>
                  <w:top w:val="nil"/>
                  <w:left w:val="nil"/>
                  <w:bottom w:val="nil"/>
                  <w:right w:val="nil"/>
                </w:tcBorders>
                <w:shd w:val="clear" w:color="auto" w:fill="auto"/>
                <w:noWrap/>
                <w:vAlign w:val="bottom"/>
                <w:hideMark/>
              </w:tcPr>
              <w:p w14:paraId="19C54F8C"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proofErr w:type="spellStart"/>
                <w:r w:rsidRPr="0060367C">
                  <w:rPr>
                    <w:rFonts w:ascii="Times New Roman" w:eastAsia="Times New Roman" w:hAnsi="Times New Roman" w:cs="Times New Roman"/>
                    <w:b/>
                    <w:bCs/>
                    <w:color w:val="000000"/>
                    <w:sz w:val="24"/>
                    <w:szCs w:val="24"/>
                  </w:rPr>
                  <w:t>Yr</w:t>
                </w:r>
                <w:proofErr w:type="spellEnd"/>
                <w:r w:rsidRPr="0060367C">
                  <w:rPr>
                    <w:rFonts w:ascii="Times New Roman" w:eastAsia="Times New Roman" w:hAnsi="Times New Roman" w:cs="Times New Roman"/>
                    <w:b/>
                    <w:bCs/>
                    <w:color w:val="000000"/>
                    <w:sz w:val="24"/>
                    <w:szCs w:val="24"/>
                  </w:rPr>
                  <w:t xml:space="preserve"> End 31 Dec </w:t>
                </w:r>
              </w:p>
            </w:tc>
            <w:tc>
              <w:tcPr>
                <w:tcW w:w="1659" w:type="dxa"/>
                <w:tcBorders>
                  <w:top w:val="nil"/>
                  <w:left w:val="nil"/>
                  <w:bottom w:val="nil"/>
                  <w:right w:val="nil"/>
                </w:tcBorders>
                <w:shd w:val="clear" w:color="auto" w:fill="auto"/>
                <w:noWrap/>
                <w:vAlign w:val="bottom"/>
                <w:hideMark/>
              </w:tcPr>
              <w:p w14:paraId="41896A7A"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p>
            </w:tc>
            <w:tc>
              <w:tcPr>
                <w:tcW w:w="1707" w:type="dxa"/>
                <w:tcBorders>
                  <w:top w:val="nil"/>
                  <w:left w:val="nil"/>
                  <w:bottom w:val="nil"/>
                  <w:right w:val="nil"/>
                </w:tcBorders>
                <w:shd w:val="clear" w:color="auto" w:fill="auto"/>
                <w:noWrap/>
                <w:vAlign w:val="bottom"/>
                <w:hideMark/>
              </w:tcPr>
              <w:p w14:paraId="4FC6A223"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1246EE10"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46278B04" w14:textId="77777777" w:rsidR="00D53B77" w:rsidRPr="0060367C" w:rsidRDefault="00D53B77" w:rsidP="00DA3389">
                <w:pPr>
                  <w:spacing w:after="0" w:line="240" w:lineRule="auto"/>
                  <w:rPr>
                    <w:rFonts w:ascii="Times New Roman" w:eastAsia="Times New Roman" w:hAnsi="Times New Roman" w:cs="Times New Roman"/>
                    <w:sz w:val="24"/>
                    <w:szCs w:val="24"/>
                  </w:rPr>
                </w:pPr>
              </w:p>
            </w:tc>
          </w:tr>
          <w:tr w:rsidR="00D53B77" w:rsidRPr="0060367C" w14:paraId="0A7BFE1B" w14:textId="77777777" w:rsidTr="00D53B77">
            <w:trPr>
              <w:trHeight w:val="300"/>
            </w:trPr>
            <w:tc>
              <w:tcPr>
                <w:tcW w:w="3269" w:type="dxa"/>
                <w:tcBorders>
                  <w:top w:val="nil"/>
                  <w:left w:val="nil"/>
                  <w:bottom w:val="nil"/>
                  <w:right w:val="nil"/>
                </w:tcBorders>
                <w:shd w:val="clear" w:color="auto" w:fill="auto"/>
                <w:noWrap/>
                <w:vAlign w:val="bottom"/>
                <w:hideMark/>
              </w:tcPr>
              <w:p w14:paraId="6C361C35"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659" w:type="dxa"/>
                <w:tcBorders>
                  <w:top w:val="nil"/>
                  <w:left w:val="nil"/>
                  <w:bottom w:val="nil"/>
                  <w:right w:val="nil"/>
                </w:tcBorders>
                <w:shd w:val="clear" w:color="auto" w:fill="auto"/>
                <w:noWrap/>
                <w:vAlign w:val="bottom"/>
                <w:hideMark/>
              </w:tcPr>
              <w:p w14:paraId="72E4FC7C"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707" w:type="dxa"/>
                <w:tcBorders>
                  <w:top w:val="nil"/>
                  <w:left w:val="nil"/>
                  <w:bottom w:val="nil"/>
                  <w:right w:val="nil"/>
                </w:tcBorders>
                <w:shd w:val="clear" w:color="auto" w:fill="auto"/>
                <w:noWrap/>
                <w:vAlign w:val="bottom"/>
                <w:hideMark/>
              </w:tcPr>
              <w:p w14:paraId="55B71C27"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6CBFEECA"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1A38A76F" w14:textId="77777777" w:rsidR="00D53B77" w:rsidRPr="0060367C" w:rsidRDefault="00D53B77" w:rsidP="00DA3389">
                <w:pPr>
                  <w:spacing w:after="0" w:line="240" w:lineRule="auto"/>
                  <w:rPr>
                    <w:rFonts w:ascii="Times New Roman" w:eastAsia="Times New Roman" w:hAnsi="Times New Roman" w:cs="Times New Roman"/>
                    <w:sz w:val="24"/>
                    <w:szCs w:val="24"/>
                  </w:rPr>
                </w:pPr>
              </w:p>
            </w:tc>
          </w:tr>
          <w:tr w:rsidR="00D53B77" w:rsidRPr="0060367C" w14:paraId="6A2BA6B4" w14:textId="77777777" w:rsidTr="00D53B77">
            <w:trPr>
              <w:trHeight w:val="300"/>
            </w:trPr>
            <w:tc>
              <w:tcPr>
                <w:tcW w:w="3269" w:type="dxa"/>
                <w:tcBorders>
                  <w:top w:val="nil"/>
                  <w:left w:val="nil"/>
                  <w:bottom w:val="nil"/>
                  <w:right w:val="nil"/>
                </w:tcBorders>
                <w:shd w:val="clear" w:color="auto" w:fill="auto"/>
                <w:noWrap/>
                <w:vAlign w:val="bottom"/>
                <w:hideMark/>
              </w:tcPr>
              <w:p w14:paraId="51D00ECD"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Income Statement</w:t>
                </w:r>
              </w:p>
            </w:tc>
            <w:tc>
              <w:tcPr>
                <w:tcW w:w="1659" w:type="dxa"/>
                <w:tcBorders>
                  <w:top w:val="nil"/>
                  <w:left w:val="nil"/>
                  <w:bottom w:val="nil"/>
                  <w:right w:val="nil"/>
                </w:tcBorders>
                <w:shd w:val="clear" w:color="auto" w:fill="auto"/>
                <w:noWrap/>
                <w:vAlign w:val="bottom"/>
                <w:hideMark/>
              </w:tcPr>
              <w:p w14:paraId="35D4A2C5"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p>
            </w:tc>
            <w:tc>
              <w:tcPr>
                <w:tcW w:w="1707" w:type="dxa"/>
                <w:tcBorders>
                  <w:top w:val="nil"/>
                  <w:left w:val="nil"/>
                  <w:bottom w:val="nil"/>
                  <w:right w:val="nil"/>
                </w:tcBorders>
                <w:shd w:val="clear" w:color="auto" w:fill="auto"/>
                <w:noWrap/>
                <w:vAlign w:val="bottom"/>
                <w:hideMark/>
              </w:tcPr>
              <w:p w14:paraId="3975204E"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5D6527C7"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0CB3D629" w14:textId="77777777" w:rsidR="00D53B77" w:rsidRPr="0060367C" w:rsidRDefault="00D53B77" w:rsidP="00DA3389">
                <w:pPr>
                  <w:spacing w:after="0" w:line="240" w:lineRule="auto"/>
                  <w:rPr>
                    <w:rFonts w:ascii="Times New Roman" w:eastAsia="Times New Roman" w:hAnsi="Times New Roman" w:cs="Times New Roman"/>
                    <w:sz w:val="24"/>
                    <w:szCs w:val="24"/>
                  </w:rPr>
                </w:pPr>
              </w:p>
            </w:tc>
          </w:tr>
          <w:tr w:rsidR="00D53B77" w:rsidRPr="0060367C" w14:paraId="17488933" w14:textId="77777777" w:rsidTr="00D53B77">
            <w:trPr>
              <w:trHeight w:val="300"/>
            </w:trPr>
            <w:tc>
              <w:tcPr>
                <w:tcW w:w="3269" w:type="dxa"/>
                <w:tcBorders>
                  <w:top w:val="nil"/>
                  <w:left w:val="nil"/>
                  <w:bottom w:val="nil"/>
                  <w:right w:val="nil"/>
                </w:tcBorders>
                <w:shd w:val="clear" w:color="auto" w:fill="auto"/>
                <w:noWrap/>
                <w:vAlign w:val="bottom"/>
                <w:hideMark/>
              </w:tcPr>
              <w:p w14:paraId="27A72FFE"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659" w:type="dxa"/>
                <w:tcBorders>
                  <w:top w:val="nil"/>
                  <w:left w:val="nil"/>
                  <w:bottom w:val="nil"/>
                  <w:right w:val="nil"/>
                </w:tcBorders>
                <w:shd w:val="clear" w:color="auto" w:fill="auto"/>
                <w:noWrap/>
                <w:vAlign w:val="bottom"/>
                <w:hideMark/>
              </w:tcPr>
              <w:p w14:paraId="53E8ECA1" w14:textId="77777777" w:rsidR="00D53B77" w:rsidRPr="0060367C" w:rsidRDefault="00D53B77" w:rsidP="00DA3389">
                <w:pPr>
                  <w:spacing w:after="0" w:line="240" w:lineRule="auto"/>
                  <w:jc w:val="right"/>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2020</w:t>
                </w:r>
              </w:p>
            </w:tc>
            <w:tc>
              <w:tcPr>
                <w:tcW w:w="1707" w:type="dxa"/>
                <w:tcBorders>
                  <w:top w:val="nil"/>
                  <w:left w:val="nil"/>
                  <w:bottom w:val="nil"/>
                  <w:right w:val="nil"/>
                </w:tcBorders>
                <w:shd w:val="clear" w:color="auto" w:fill="auto"/>
                <w:noWrap/>
                <w:vAlign w:val="bottom"/>
                <w:hideMark/>
              </w:tcPr>
              <w:p w14:paraId="29CAAFA9" w14:textId="77777777" w:rsidR="00D53B77" w:rsidRPr="0060367C" w:rsidRDefault="00D53B77" w:rsidP="00DA3389">
                <w:pPr>
                  <w:spacing w:after="0" w:line="240" w:lineRule="auto"/>
                  <w:jc w:val="right"/>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2019</w:t>
                </w:r>
              </w:p>
            </w:tc>
            <w:tc>
              <w:tcPr>
                <w:tcW w:w="1154" w:type="dxa"/>
                <w:tcBorders>
                  <w:top w:val="nil"/>
                  <w:left w:val="nil"/>
                  <w:bottom w:val="nil"/>
                  <w:right w:val="nil"/>
                </w:tcBorders>
                <w:shd w:val="clear" w:color="auto" w:fill="auto"/>
                <w:noWrap/>
                <w:vAlign w:val="bottom"/>
                <w:hideMark/>
              </w:tcPr>
              <w:p w14:paraId="5FC1B1B2"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Change</w:t>
                </w:r>
              </w:p>
            </w:tc>
            <w:tc>
              <w:tcPr>
                <w:tcW w:w="1154" w:type="dxa"/>
                <w:tcBorders>
                  <w:top w:val="nil"/>
                  <w:left w:val="nil"/>
                  <w:bottom w:val="nil"/>
                  <w:right w:val="nil"/>
                </w:tcBorders>
                <w:shd w:val="clear" w:color="auto" w:fill="auto"/>
                <w:noWrap/>
                <w:vAlign w:val="bottom"/>
                <w:hideMark/>
              </w:tcPr>
              <w:p w14:paraId="24CAE88F"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 Change</w:t>
                </w:r>
              </w:p>
            </w:tc>
          </w:tr>
          <w:tr w:rsidR="00D53B77" w:rsidRPr="0060367C" w14:paraId="4544F198" w14:textId="77777777" w:rsidTr="00D53B77">
            <w:trPr>
              <w:trHeight w:val="300"/>
            </w:trPr>
            <w:tc>
              <w:tcPr>
                <w:tcW w:w="3269" w:type="dxa"/>
                <w:tcBorders>
                  <w:top w:val="nil"/>
                  <w:left w:val="nil"/>
                  <w:bottom w:val="nil"/>
                  <w:right w:val="nil"/>
                </w:tcBorders>
                <w:shd w:val="clear" w:color="auto" w:fill="auto"/>
                <w:noWrap/>
                <w:vAlign w:val="bottom"/>
                <w:hideMark/>
              </w:tcPr>
              <w:p w14:paraId="54C4156F"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Fiscal Year Ends</w:t>
                </w:r>
              </w:p>
            </w:tc>
            <w:tc>
              <w:tcPr>
                <w:tcW w:w="1659" w:type="dxa"/>
                <w:tcBorders>
                  <w:top w:val="nil"/>
                  <w:left w:val="nil"/>
                  <w:bottom w:val="nil"/>
                  <w:right w:val="nil"/>
                </w:tcBorders>
                <w:shd w:val="clear" w:color="auto" w:fill="auto"/>
                <w:noWrap/>
                <w:vAlign w:val="bottom"/>
                <w:hideMark/>
              </w:tcPr>
              <w:p w14:paraId="01772E1A" w14:textId="77777777" w:rsidR="00D53B77" w:rsidRPr="0060367C" w:rsidRDefault="00D53B77" w:rsidP="00DA3389">
                <w:pPr>
                  <w:spacing w:after="0" w:line="240" w:lineRule="auto"/>
                  <w:jc w:val="right"/>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12/31/2021</w:t>
                </w:r>
              </w:p>
            </w:tc>
            <w:tc>
              <w:tcPr>
                <w:tcW w:w="1707" w:type="dxa"/>
                <w:tcBorders>
                  <w:top w:val="nil"/>
                  <w:left w:val="nil"/>
                  <w:bottom w:val="nil"/>
                  <w:right w:val="nil"/>
                </w:tcBorders>
                <w:shd w:val="clear" w:color="auto" w:fill="auto"/>
                <w:noWrap/>
                <w:vAlign w:val="bottom"/>
                <w:hideMark/>
              </w:tcPr>
              <w:p w14:paraId="543048B3" w14:textId="77777777" w:rsidR="00D53B77" w:rsidRPr="0060367C" w:rsidRDefault="00D53B77" w:rsidP="00DA3389">
                <w:pPr>
                  <w:spacing w:after="0" w:line="240" w:lineRule="auto"/>
                  <w:jc w:val="right"/>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12/31/2020</w:t>
                </w:r>
              </w:p>
            </w:tc>
            <w:tc>
              <w:tcPr>
                <w:tcW w:w="1154" w:type="dxa"/>
                <w:tcBorders>
                  <w:top w:val="nil"/>
                  <w:left w:val="nil"/>
                  <w:bottom w:val="nil"/>
                  <w:right w:val="nil"/>
                </w:tcBorders>
                <w:shd w:val="clear" w:color="auto" w:fill="auto"/>
                <w:noWrap/>
                <w:vAlign w:val="bottom"/>
                <w:hideMark/>
              </w:tcPr>
              <w:p w14:paraId="5B61F024" w14:textId="77777777" w:rsidR="00D53B77" w:rsidRPr="0060367C" w:rsidRDefault="00D53B77" w:rsidP="00DA3389">
                <w:pPr>
                  <w:spacing w:after="0" w:line="240" w:lineRule="auto"/>
                  <w:jc w:val="right"/>
                  <w:rPr>
                    <w:rFonts w:ascii="Times New Roman" w:eastAsia="Times New Roman" w:hAnsi="Times New Roman" w:cs="Times New Roman"/>
                    <w:b/>
                    <w:bCs/>
                    <w:color w:val="000000"/>
                    <w:sz w:val="24"/>
                    <w:szCs w:val="24"/>
                  </w:rPr>
                </w:pPr>
              </w:p>
            </w:tc>
            <w:tc>
              <w:tcPr>
                <w:tcW w:w="1154" w:type="dxa"/>
                <w:tcBorders>
                  <w:top w:val="nil"/>
                  <w:left w:val="nil"/>
                  <w:bottom w:val="nil"/>
                  <w:right w:val="nil"/>
                </w:tcBorders>
                <w:shd w:val="clear" w:color="auto" w:fill="auto"/>
                <w:noWrap/>
                <w:vAlign w:val="bottom"/>
                <w:hideMark/>
              </w:tcPr>
              <w:p w14:paraId="574676B5" w14:textId="77777777" w:rsidR="00D53B77" w:rsidRPr="0060367C" w:rsidRDefault="00D53B77" w:rsidP="00DA3389">
                <w:pPr>
                  <w:spacing w:after="0" w:line="240" w:lineRule="auto"/>
                  <w:rPr>
                    <w:rFonts w:ascii="Times New Roman" w:eastAsia="Times New Roman" w:hAnsi="Times New Roman" w:cs="Times New Roman"/>
                    <w:sz w:val="24"/>
                    <w:szCs w:val="24"/>
                  </w:rPr>
                </w:pPr>
              </w:p>
            </w:tc>
          </w:tr>
          <w:tr w:rsidR="00D53B77" w:rsidRPr="0060367C" w14:paraId="3DE554F5" w14:textId="77777777" w:rsidTr="00D53B77">
            <w:trPr>
              <w:trHeight w:val="300"/>
            </w:trPr>
            <w:tc>
              <w:tcPr>
                <w:tcW w:w="3269" w:type="dxa"/>
                <w:tcBorders>
                  <w:top w:val="nil"/>
                  <w:left w:val="nil"/>
                  <w:bottom w:val="nil"/>
                  <w:right w:val="nil"/>
                </w:tcBorders>
                <w:shd w:val="clear" w:color="auto" w:fill="auto"/>
                <w:noWrap/>
                <w:vAlign w:val="bottom"/>
                <w:hideMark/>
              </w:tcPr>
              <w:p w14:paraId="00F52705"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Sales</w:t>
                </w:r>
              </w:p>
            </w:tc>
            <w:tc>
              <w:tcPr>
                <w:tcW w:w="1659" w:type="dxa"/>
                <w:tcBorders>
                  <w:top w:val="nil"/>
                  <w:left w:val="nil"/>
                  <w:bottom w:val="nil"/>
                  <w:right w:val="nil"/>
                </w:tcBorders>
                <w:shd w:val="clear" w:color="auto" w:fill="auto"/>
                <w:noWrap/>
                <w:vAlign w:val="bottom"/>
                <w:hideMark/>
              </w:tcPr>
              <w:p w14:paraId="57E69347"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675,000</w:t>
                </w:r>
              </w:p>
            </w:tc>
            <w:tc>
              <w:tcPr>
                <w:tcW w:w="1707" w:type="dxa"/>
                <w:tcBorders>
                  <w:top w:val="nil"/>
                  <w:left w:val="nil"/>
                  <w:bottom w:val="nil"/>
                  <w:right w:val="nil"/>
                </w:tcBorders>
                <w:shd w:val="clear" w:color="auto" w:fill="auto"/>
                <w:noWrap/>
                <w:vAlign w:val="bottom"/>
                <w:hideMark/>
              </w:tcPr>
              <w:p w14:paraId="43ACE7EE"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594,000</w:t>
                </w:r>
              </w:p>
            </w:tc>
            <w:tc>
              <w:tcPr>
                <w:tcW w:w="1154" w:type="dxa"/>
                <w:tcBorders>
                  <w:top w:val="nil"/>
                  <w:left w:val="nil"/>
                  <w:bottom w:val="nil"/>
                  <w:right w:val="nil"/>
                </w:tcBorders>
                <w:shd w:val="clear" w:color="auto" w:fill="auto"/>
                <w:noWrap/>
                <w:vAlign w:val="bottom"/>
                <w:hideMark/>
              </w:tcPr>
              <w:p w14:paraId="5B4A724C"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81,000</w:t>
                </w:r>
              </w:p>
            </w:tc>
            <w:tc>
              <w:tcPr>
                <w:tcW w:w="1154" w:type="dxa"/>
                <w:tcBorders>
                  <w:top w:val="nil"/>
                  <w:left w:val="nil"/>
                  <w:bottom w:val="nil"/>
                  <w:right w:val="nil"/>
                </w:tcBorders>
                <w:shd w:val="clear" w:color="auto" w:fill="auto"/>
                <w:noWrap/>
                <w:vAlign w:val="bottom"/>
                <w:hideMark/>
              </w:tcPr>
              <w:p w14:paraId="520FA978"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12%</w:t>
                </w:r>
              </w:p>
            </w:tc>
          </w:tr>
          <w:tr w:rsidR="00D53B77" w:rsidRPr="0060367C" w14:paraId="559977B2" w14:textId="77777777" w:rsidTr="00D53B77">
            <w:trPr>
              <w:trHeight w:val="300"/>
            </w:trPr>
            <w:tc>
              <w:tcPr>
                <w:tcW w:w="3269" w:type="dxa"/>
                <w:tcBorders>
                  <w:top w:val="nil"/>
                  <w:left w:val="nil"/>
                  <w:bottom w:val="nil"/>
                  <w:right w:val="nil"/>
                </w:tcBorders>
                <w:shd w:val="clear" w:color="auto" w:fill="auto"/>
                <w:noWrap/>
                <w:vAlign w:val="bottom"/>
                <w:hideMark/>
              </w:tcPr>
              <w:p w14:paraId="21F91838"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Cost of goods sold</w:t>
                </w:r>
              </w:p>
            </w:tc>
            <w:tc>
              <w:tcPr>
                <w:tcW w:w="1659" w:type="dxa"/>
                <w:tcBorders>
                  <w:top w:val="nil"/>
                  <w:left w:val="nil"/>
                  <w:bottom w:val="nil"/>
                  <w:right w:val="nil"/>
                </w:tcBorders>
                <w:shd w:val="clear" w:color="auto" w:fill="auto"/>
                <w:noWrap/>
                <w:vAlign w:val="bottom"/>
                <w:hideMark/>
              </w:tcPr>
              <w:p w14:paraId="6C22CE52"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426,250</w:t>
                </w:r>
              </w:p>
            </w:tc>
            <w:tc>
              <w:tcPr>
                <w:tcW w:w="1707" w:type="dxa"/>
                <w:tcBorders>
                  <w:top w:val="nil"/>
                  <w:left w:val="nil"/>
                  <w:bottom w:val="nil"/>
                  <w:right w:val="nil"/>
                </w:tcBorders>
                <w:shd w:val="clear" w:color="auto" w:fill="auto"/>
                <w:noWrap/>
                <w:vAlign w:val="bottom"/>
                <w:hideMark/>
              </w:tcPr>
              <w:p w14:paraId="0E51FF8D"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360,000</w:t>
                </w:r>
              </w:p>
            </w:tc>
            <w:tc>
              <w:tcPr>
                <w:tcW w:w="1154" w:type="dxa"/>
                <w:tcBorders>
                  <w:top w:val="nil"/>
                  <w:left w:val="nil"/>
                  <w:bottom w:val="nil"/>
                  <w:right w:val="nil"/>
                </w:tcBorders>
                <w:shd w:val="clear" w:color="auto" w:fill="auto"/>
                <w:noWrap/>
                <w:vAlign w:val="bottom"/>
                <w:hideMark/>
              </w:tcPr>
              <w:p w14:paraId="7AC57D17"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66,250</w:t>
                </w:r>
              </w:p>
            </w:tc>
            <w:tc>
              <w:tcPr>
                <w:tcW w:w="1154" w:type="dxa"/>
                <w:tcBorders>
                  <w:top w:val="nil"/>
                  <w:left w:val="nil"/>
                  <w:bottom w:val="nil"/>
                  <w:right w:val="nil"/>
                </w:tcBorders>
                <w:shd w:val="clear" w:color="auto" w:fill="auto"/>
                <w:noWrap/>
                <w:vAlign w:val="bottom"/>
                <w:hideMark/>
              </w:tcPr>
              <w:p w14:paraId="055CD664"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16%</w:t>
                </w:r>
              </w:p>
            </w:tc>
          </w:tr>
          <w:tr w:rsidR="00D53B77" w:rsidRPr="0060367C" w14:paraId="5F0B85F4" w14:textId="77777777" w:rsidTr="00D53B77">
            <w:trPr>
              <w:trHeight w:val="300"/>
            </w:trPr>
            <w:tc>
              <w:tcPr>
                <w:tcW w:w="3269" w:type="dxa"/>
                <w:tcBorders>
                  <w:top w:val="nil"/>
                  <w:left w:val="nil"/>
                  <w:bottom w:val="nil"/>
                  <w:right w:val="nil"/>
                </w:tcBorders>
                <w:shd w:val="clear" w:color="auto" w:fill="auto"/>
                <w:noWrap/>
                <w:vAlign w:val="bottom"/>
                <w:hideMark/>
              </w:tcPr>
              <w:p w14:paraId="7B91B86F"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Gross profit</w:t>
                </w:r>
              </w:p>
            </w:tc>
            <w:tc>
              <w:tcPr>
                <w:tcW w:w="1659" w:type="dxa"/>
                <w:tcBorders>
                  <w:top w:val="nil"/>
                  <w:left w:val="nil"/>
                  <w:bottom w:val="nil"/>
                  <w:right w:val="nil"/>
                </w:tcBorders>
                <w:shd w:val="clear" w:color="auto" w:fill="auto"/>
                <w:noWrap/>
                <w:vAlign w:val="bottom"/>
                <w:hideMark/>
              </w:tcPr>
              <w:p w14:paraId="205D7330"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248,750</w:t>
                </w:r>
              </w:p>
            </w:tc>
            <w:tc>
              <w:tcPr>
                <w:tcW w:w="1707" w:type="dxa"/>
                <w:tcBorders>
                  <w:top w:val="nil"/>
                  <w:left w:val="nil"/>
                  <w:bottom w:val="nil"/>
                  <w:right w:val="nil"/>
                </w:tcBorders>
                <w:shd w:val="clear" w:color="auto" w:fill="auto"/>
                <w:noWrap/>
                <w:vAlign w:val="bottom"/>
                <w:hideMark/>
              </w:tcPr>
              <w:p w14:paraId="3C18AB77"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234,000</w:t>
                </w:r>
              </w:p>
            </w:tc>
            <w:tc>
              <w:tcPr>
                <w:tcW w:w="1154" w:type="dxa"/>
                <w:tcBorders>
                  <w:top w:val="nil"/>
                  <w:left w:val="nil"/>
                  <w:bottom w:val="nil"/>
                  <w:right w:val="nil"/>
                </w:tcBorders>
                <w:shd w:val="clear" w:color="auto" w:fill="auto"/>
                <w:noWrap/>
                <w:vAlign w:val="bottom"/>
                <w:hideMark/>
              </w:tcPr>
              <w:p w14:paraId="1976C275"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14,750</w:t>
                </w:r>
              </w:p>
            </w:tc>
            <w:tc>
              <w:tcPr>
                <w:tcW w:w="1154" w:type="dxa"/>
                <w:tcBorders>
                  <w:top w:val="nil"/>
                  <w:left w:val="nil"/>
                  <w:bottom w:val="nil"/>
                  <w:right w:val="nil"/>
                </w:tcBorders>
                <w:shd w:val="clear" w:color="auto" w:fill="auto"/>
                <w:noWrap/>
                <w:vAlign w:val="bottom"/>
                <w:hideMark/>
              </w:tcPr>
              <w:p w14:paraId="7C0ECE41"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6%</w:t>
                </w:r>
              </w:p>
            </w:tc>
          </w:tr>
          <w:tr w:rsidR="00D53B77" w:rsidRPr="0060367C" w14:paraId="5270F0E5" w14:textId="77777777" w:rsidTr="00D53B77">
            <w:trPr>
              <w:trHeight w:val="300"/>
            </w:trPr>
            <w:tc>
              <w:tcPr>
                <w:tcW w:w="3269" w:type="dxa"/>
                <w:tcBorders>
                  <w:top w:val="nil"/>
                  <w:left w:val="nil"/>
                  <w:bottom w:val="nil"/>
                  <w:right w:val="nil"/>
                </w:tcBorders>
                <w:shd w:val="clear" w:color="auto" w:fill="auto"/>
                <w:noWrap/>
                <w:vAlign w:val="bottom"/>
                <w:hideMark/>
              </w:tcPr>
              <w:p w14:paraId="581EC2AC"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Operating Expenses</w:t>
                </w:r>
              </w:p>
            </w:tc>
            <w:tc>
              <w:tcPr>
                <w:tcW w:w="1659" w:type="dxa"/>
                <w:tcBorders>
                  <w:top w:val="nil"/>
                  <w:left w:val="nil"/>
                  <w:bottom w:val="nil"/>
                  <w:right w:val="nil"/>
                </w:tcBorders>
                <w:shd w:val="clear" w:color="auto" w:fill="auto"/>
                <w:noWrap/>
                <w:vAlign w:val="bottom"/>
                <w:hideMark/>
              </w:tcPr>
              <w:p w14:paraId="2F1F22F1"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199,875</w:t>
                </w:r>
              </w:p>
            </w:tc>
            <w:tc>
              <w:tcPr>
                <w:tcW w:w="1707" w:type="dxa"/>
                <w:tcBorders>
                  <w:top w:val="nil"/>
                  <w:left w:val="nil"/>
                  <w:bottom w:val="nil"/>
                  <w:right w:val="nil"/>
                </w:tcBorders>
                <w:shd w:val="clear" w:color="auto" w:fill="auto"/>
                <w:noWrap/>
                <w:vAlign w:val="bottom"/>
                <w:hideMark/>
              </w:tcPr>
              <w:p w14:paraId="588C44F3"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181,440</w:t>
                </w:r>
              </w:p>
            </w:tc>
            <w:tc>
              <w:tcPr>
                <w:tcW w:w="1154" w:type="dxa"/>
                <w:tcBorders>
                  <w:top w:val="nil"/>
                  <w:left w:val="nil"/>
                  <w:bottom w:val="nil"/>
                  <w:right w:val="nil"/>
                </w:tcBorders>
                <w:shd w:val="clear" w:color="auto" w:fill="auto"/>
                <w:noWrap/>
                <w:vAlign w:val="bottom"/>
                <w:hideMark/>
              </w:tcPr>
              <w:p w14:paraId="183E1079"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18,435</w:t>
                </w:r>
              </w:p>
            </w:tc>
            <w:tc>
              <w:tcPr>
                <w:tcW w:w="1154" w:type="dxa"/>
                <w:tcBorders>
                  <w:top w:val="nil"/>
                  <w:left w:val="nil"/>
                  <w:bottom w:val="nil"/>
                  <w:right w:val="nil"/>
                </w:tcBorders>
                <w:shd w:val="clear" w:color="auto" w:fill="auto"/>
                <w:noWrap/>
                <w:vAlign w:val="bottom"/>
                <w:hideMark/>
              </w:tcPr>
              <w:p w14:paraId="200A9E8B"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9%</w:t>
                </w:r>
              </w:p>
            </w:tc>
          </w:tr>
          <w:tr w:rsidR="00D53B77" w:rsidRPr="0060367C" w14:paraId="48C09B67" w14:textId="77777777" w:rsidTr="00D53B77">
            <w:trPr>
              <w:trHeight w:val="300"/>
            </w:trPr>
            <w:tc>
              <w:tcPr>
                <w:tcW w:w="3269" w:type="dxa"/>
                <w:tcBorders>
                  <w:top w:val="nil"/>
                  <w:left w:val="nil"/>
                  <w:bottom w:val="nil"/>
                  <w:right w:val="nil"/>
                </w:tcBorders>
                <w:shd w:val="clear" w:color="auto" w:fill="auto"/>
                <w:noWrap/>
                <w:vAlign w:val="bottom"/>
                <w:hideMark/>
              </w:tcPr>
              <w:p w14:paraId="51D65616"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Interest Expense</w:t>
                </w:r>
              </w:p>
            </w:tc>
            <w:tc>
              <w:tcPr>
                <w:tcW w:w="1659" w:type="dxa"/>
                <w:tcBorders>
                  <w:top w:val="nil"/>
                  <w:left w:val="nil"/>
                  <w:bottom w:val="nil"/>
                  <w:right w:val="nil"/>
                </w:tcBorders>
                <w:shd w:val="clear" w:color="auto" w:fill="auto"/>
                <w:noWrap/>
                <w:vAlign w:val="bottom"/>
                <w:hideMark/>
              </w:tcPr>
              <w:p w14:paraId="26B15C1E"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10,125</w:t>
                </w:r>
              </w:p>
            </w:tc>
            <w:tc>
              <w:tcPr>
                <w:tcW w:w="1707" w:type="dxa"/>
                <w:tcBorders>
                  <w:top w:val="nil"/>
                  <w:left w:val="nil"/>
                  <w:bottom w:val="nil"/>
                  <w:right w:val="nil"/>
                </w:tcBorders>
                <w:shd w:val="clear" w:color="auto" w:fill="auto"/>
                <w:noWrap/>
                <w:vAlign w:val="bottom"/>
                <w:hideMark/>
              </w:tcPr>
              <w:p w14:paraId="7D27A15E"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9,360</w:t>
                </w:r>
              </w:p>
            </w:tc>
            <w:tc>
              <w:tcPr>
                <w:tcW w:w="1154" w:type="dxa"/>
                <w:tcBorders>
                  <w:top w:val="nil"/>
                  <w:left w:val="nil"/>
                  <w:bottom w:val="nil"/>
                  <w:right w:val="nil"/>
                </w:tcBorders>
                <w:shd w:val="clear" w:color="auto" w:fill="auto"/>
                <w:noWrap/>
                <w:vAlign w:val="bottom"/>
                <w:hideMark/>
              </w:tcPr>
              <w:p w14:paraId="7466955F"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765</w:t>
                </w:r>
              </w:p>
            </w:tc>
            <w:tc>
              <w:tcPr>
                <w:tcW w:w="1154" w:type="dxa"/>
                <w:tcBorders>
                  <w:top w:val="nil"/>
                  <w:left w:val="nil"/>
                  <w:bottom w:val="nil"/>
                  <w:right w:val="nil"/>
                </w:tcBorders>
                <w:shd w:val="clear" w:color="auto" w:fill="auto"/>
                <w:noWrap/>
                <w:vAlign w:val="bottom"/>
                <w:hideMark/>
              </w:tcPr>
              <w:p w14:paraId="1E7D5207"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8%</w:t>
                </w:r>
              </w:p>
            </w:tc>
          </w:tr>
          <w:tr w:rsidR="00D53B77" w:rsidRPr="0060367C" w14:paraId="722BB691" w14:textId="77777777" w:rsidTr="00D53B77">
            <w:trPr>
              <w:trHeight w:val="300"/>
            </w:trPr>
            <w:tc>
              <w:tcPr>
                <w:tcW w:w="3269" w:type="dxa"/>
                <w:tcBorders>
                  <w:top w:val="nil"/>
                  <w:left w:val="nil"/>
                  <w:bottom w:val="nil"/>
                  <w:right w:val="nil"/>
                </w:tcBorders>
                <w:shd w:val="clear" w:color="auto" w:fill="auto"/>
                <w:noWrap/>
                <w:vAlign w:val="bottom"/>
                <w:hideMark/>
              </w:tcPr>
              <w:p w14:paraId="2016957D"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Profit before income taxes</w:t>
                </w:r>
              </w:p>
            </w:tc>
            <w:tc>
              <w:tcPr>
                <w:tcW w:w="1659" w:type="dxa"/>
                <w:tcBorders>
                  <w:top w:val="nil"/>
                  <w:left w:val="nil"/>
                  <w:bottom w:val="nil"/>
                  <w:right w:val="nil"/>
                </w:tcBorders>
                <w:shd w:val="clear" w:color="auto" w:fill="auto"/>
                <w:noWrap/>
                <w:vAlign w:val="bottom"/>
                <w:hideMark/>
              </w:tcPr>
              <w:p w14:paraId="1D719270"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38,750</w:t>
                </w:r>
              </w:p>
            </w:tc>
            <w:tc>
              <w:tcPr>
                <w:tcW w:w="1707" w:type="dxa"/>
                <w:tcBorders>
                  <w:top w:val="nil"/>
                  <w:left w:val="nil"/>
                  <w:bottom w:val="nil"/>
                  <w:right w:val="nil"/>
                </w:tcBorders>
                <w:shd w:val="clear" w:color="auto" w:fill="auto"/>
                <w:noWrap/>
                <w:vAlign w:val="bottom"/>
                <w:hideMark/>
              </w:tcPr>
              <w:p w14:paraId="290B84BE"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43,200</w:t>
                </w:r>
              </w:p>
            </w:tc>
            <w:tc>
              <w:tcPr>
                <w:tcW w:w="1154" w:type="dxa"/>
                <w:tcBorders>
                  <w:top w:val="nil"/>
                  <w:left w:val="nil"/>
                  <w:bottom w:val="nil"/>
                  <w:right w:val="nil"/>
                </w:tcBorders>
                <w:shd w:val="clear" w:color="auto" w:fill="auto"/>
                <w:noWrap/>
                <w:vAlign w:val="bottom"/>
                <w:hideMark/>
              </w:tcPr>
              <w:p w14:paraId="39F02D63"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-4,450</w:t>
                </w:r>
              </w:p>
            </w:tc>
            <w:tc>
              <w:tcPr>
                <w:tcW w:w="1154" w:type="dxa"/>
                <w:tcBorders>
                  <w:top w:val="nil"/>
                  <w:left w:val="nil"/>
                  <w:bottom w:val="nil"/>
                  <w:right w:val="nil"/>
                </w:tcBorders>
                <w:shd w:val="clear" w:color="auto" w:fill="auto"/>
                <w:noWrap/>
                <w:vAlign w:val="bottom"/>
                <w:hideMark/>
              </w:tcPr>
              <w:p w14:paraId="4E0A09ED"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-11%</w:t>
                </w:r>
              </w:p>
            </w:tc>
          </w:tr>
          <w:tr w:rsidR="00D53B77" w:rsidRPr="0060367C" w14:paraId="24659A28" w14:textId="77777777" w:rsidTr="00D53B77">
            <w:trPr>
              <w:trHeight w:val="300"/>
            </w:trPr>
            <w:tc>
              <w:tcPr>
                <w:tcW w:w="3269" w:type="dxa"/>
                <w:tcBorders>
                  <w:top w:val="nil"/>
                  <w:left w:val="nil"/>
                  <w:bottom w:val="nil"/>
                  <w:right w:val="nil"/>
                </w:tcBorders>
                <w:shd w:val="clear" w:color="auto" w:fill="auto"/>
                <w:noWrap/>
                <w:vAlign w:val="bottom"/>
                <w:hideMark/>
              </w:tcPr>
              <w:p w14:paraId="1207C0FB"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Income tax expense</w:t>
                </w:r>
              </w:p>
            </w:tc>
            <w:tc>
              <w:tcPr>
                <w:tcW w:w="1659" w:type="dxa"/>
                <w:tcBorders>
                  <w:top w:val="nil"/>
                  <w:left w:val="nil"/>
                  <w:bottom w:val="nil"/>
                  <w:right w:val="nil"/>
                </w:tcBorders>
                <w:shd w:val="clear" w:color="auto" w:fill="auto"/>
                <w:noWrap/>
                <w:vAlign w:val="bottom"/>
                <w:hideMark/>
              </w:tcPr>
              <w:p w14:paraId="4E830AAA"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8,913</w:t>
                </w:r>
              </w:p>
            </w:tc>
            <w:tc>
              <w:tcPr>
                <w:tcW w:w="1707" w:type="dxa"/>
                <w:tcBorders>
                  <w:top w:val="nil"/>
                  <w:left w:val="nil"/>
                  <w:bottom w:val="nil"/>
                  <w:right w:val="nil"/>
                </w:tcBorders>
                <w:shd w:val="clear" w:color="auto" w:fill="auto"/>
                <w:noWrap/>
                <w:vAlign w:val="bottom"/>
                <w:hideMark/>
              </w:tcPr>
              <w:p w14:paraId="143CFF6A"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11,232</w:t>
                </w:r>
              </w:p>
            </w:tc>
            <w:tc>
              <w:tcPr>
                <w:tcW w:w="1154" w:type="dxa"/>
                <w:tcBorders>
                  <w:top w:val="nil"/>
                  <w:left w:val="nil"/>
                  <w:bottom w:val="nil"/>
                  <w:right w:val="nil"/>
                </w:tcBorders>
                <w:shd w:val="clear" w:color="auto" w:fill="auto"/>
                <w:noWrap/>
                <w:vAlign w:val="bottom"/>
                <w:hideMark/>
              </w:tcPr>
              <w:p w14:paraId="031F4F51"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-2,319</w:t>
                </w:r>
              </w:p>
            </w:tc>
            <w:tc>
              <w:tcPr>
                <w:tcW w:w="1154" w:type="dxa"/>
                <w:tcBorders>
                  <w:top w:val="nil"/>
                  <w:left w:val="nil"/>
                  <w:bottom w:val="nil"/>
                  <w:right w:val="nil"/>
                </w:tcBorders>
                <w:shd w:val="clear" w:color="auto" w:fill="auto"/>
                <w:noWrap/>
                <w:vAlign w:val="bottom"/>
                <w:hideMark/>
              </w:tcPr>
              <w:p w14:paraId="633286AE"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-26%</w:t>
                </w:r>
              </w:p>
            </w:tc>
          </w:tr>
          <w:tr w:rsidR="00D53B77" w:rsidRPr="0060367C" w14:paraId="3F29B6C1" w14:textId="77777777" w:rsidTr="00D53B77">
            <w:trPr>
              <w:trHeight w:val="300"/>
            </w:trPr>
            <w:tc>
              <w:tcPr>
                <w:tcW w:w="3269" w:type="dxa"/>
                <w:tcBorders>
                  <w:top w:val="nil"/>
                  <w:left w:val="nil"/>
                  <w:bottom w:val="nil"/>
                  <w:right w:val="nil"/>
                </w:tcBorders>
                <w:shd w:val="clear" w:color="auto" w:fill="auto"/>
                <w:noWrap/>
                <w:vAlign w:val="bottom"/>
                <w:hideMark/>
              </w:tcPr>
              <w:p w14:paraId="68D7ABF2" w14:textId="77777777" w:rsidR="00D53B77" w:rsidRPr="0060367C" w:rsidRDefault="00D53B77" w:rsidP="00DA3389">
                <w:pPr>
                  <w:spacing w:after="0" w:line="240" w:lineRule="auto"/>
                  <w:rPr>
                    <w:rFonts w:ascii="Times New Roman" w:eastAsia="Times New Roman" w:hAnsi="Times New Roman" w:cs="Times New Roman"/>
                    <w:b/>
                    <w:bCs/>
                    <w:color w:val="000000"/>
                    <w:sz w:val="24"/>
                    <w:szCs w:val="24"/>
                  </w:rPr>
                </w:pPr>
                <w:r w:rsidRPr="0060367C">
                  <w:rPr>
                    <w:rFonts w:ascii="Times New Roman" w:eastAsia="Times New Roman" w:hAnsi="Times New Roman" w:cs="Times New Roman"/>
                    <w:b/>
                    <w:bCs/>
                    <w:color w:val="000000"/>
                    <w:sz w:val="24"/>
                    <w:szCs w:val="24"/>
                  </w:rPr>
                  <w:t xml:space="preserve">Profit  </w:t>
                </w:r>
              </w:p>
            </w:tc>
            <w:tc>
              <w:tcPr>
                <w:tcW w:w="1659" w:type="dxa"/>
                <w:tcBorders>
                  <w:top w:val="nil"/>
                  <w:left w:val="nil"/>
                  <w:bottom w:val="nil"/>
                  <w:right w:val="nil"/>
                </w:tcBorders>
                <w:shd w:val="clear" w:color="auto" w:fill="auto"/>
                <w:noWrap/>
                <w:vAlign w:val="bottom"/>
                <w:hideMark/>
              </w:tcPr>
              <w:p w14:paraId="34EC64B1"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29,838</w:t>
                </w:r>
              </w:p>
            </w:tc>
            <w:tc>
              <w:tcPr>
                <w:tcW w:w="1707" w:type="dxa"/>
                <w:tcBorders>
                  <w:top w:val="nil"/>
                  <w:left w:val="nil"/>
                  <w:bottom w:val="nil"/>
                  <w:right w:val="nil"/>
                </w:tcBorders>
                <w:shd w:val="clear" w:color="auto" w:fill="auto"/>
                <w:noWrap/>
                <w:vAlign w:val="bottom"/>
                <w:hideMark/>
              </w:tcPr>
              <w:p w14:paraId="6BDFA4DA"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31,968</w:t>
                </w:r>
              </w:p>
            </w:tc>
            <w:tc>
              <w:tcPr>
                <w:tcW w:w="1154" w:type="dxa"/>
                <w:tcBorders>
                  <w:top w:val="nil"/>
                  <w:left w:val="nil"/>
                  <w:bottom w:val="nil"/>
                  <w:right w:val="nil"/>
                </w:tcBorders>
                <w:shd w:val="clear" w:color="auto" w:fill="auto"/>
                <w:noWrap/>
                <w:vAlign w:val="bottom"/>
                <w:hideMark/>
              </w:tcPr>
              <w:p w14:paraId="7DC43521"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-2,130</w:t>
                </w:r>
              </w:p>
            </w:tc>
            <w:tc>
              <w:tcPr>
                <w:tcW w:w="1154" w:type="dxa"/>
                <w:tcBorders>
                  <w:top w:val="nil"/>
                  <w:left w:val="nil"/>
                  <w:bottom w:val="nil"/>
                  <w:right w:val="nil"/>
                </w:tcBorders>
                <w:shd w:val="clear" w:color="auto" w:fill="auto"/>
                <w:noWrap/>
                <w:vAlign w:val="bottom"/>
                <w:hideMark/>
              </w:tcPr>
              <w:p w14:paraId="6B372F97" w14:textId="77777777" w:rsidR="00D53B77" w:rsidRPr="0060367C" w:rsidRDefault="00D53B77" w:rsidP="00DA3389">
                <w:pPr>
                  <w:spacing w:after="0" w:line="240" w:lineRule="auto"/>
                  <w:jc w:val="right"/>
                  <w:rPr>
                    <w:rFonts w:ascii="Times New Roman" w:eastAsia="Times New Roman" w:hAnsi="Times New Roman" w:cs="Times New Roman"/>
                    <w:color w:val="000000"/>
                    <w:sz w:val="24"/>
                    <w:szCs w:val="24"/>
                  </w:rPr>
                </w:pPr>
                <w:r w:rsidRPr="0060367C">
                  <w:rPr>
                    <w:rFonts w:ascii="Times New Roman" w:eastAsia="Times New Roman" w:hAnsi="Times New Roman" w:cs="Times New Roman"/>
                    <w:color w:val="000000"/>
                    <w:sz w:val="24"/>
                    <w:szCs w:val="24"/>
                  </w:rPr>
                  <w:t>-7%</w:t>
                </w:r>
              </w:p>
            </w:tc>
          </w:tr>
          <w:tr w:rsidR="00D53B77" w:rsidRPr="0060367C" w14:paraId="504E162D" w14:textId="77777777" w:rsidTr="00D53B77">
            <w:trPr>
              <w:trHeight w:val="300"/>
            </w:trPr>
            <w:tc>
              <w:tcPr>
                <w:tcW w:w="3269" w:type="dxa"/>
                <w:tcBorders>
                  <w:top w:val="nil"/>
                  <w:left w:val="nil"/>
                  <w:bottom w:val="nil"/>
                  <w:right w:val="nil"/>
                </w:tcBorders>
                <w:shd w:val="clear" w:color="auto" w:fill="auto"/>
                <w:noWrap/>
                <w:vAlign w:val="bottom"/>
                <w:hideMark/>
              </w:tcPr>
              <w:p w14:paraId="3E54F08A" w14:textId="77777777" w:rsidR="00D53B77" w:rsidRPr="0060367C" w:rsidRDefault="00D53B77" w:rsidP="00DA3389">
                <w:pPr>
                  <w:spacing w:after="0" w:line="240" w:lineRule="auto"/>
                  <w:jc w:val="right"/>
                  <w:rPr>
                    <w:rFonts w:ascii="Calibri" w:eastAsia="Times New Roman" w:hAnsi="Calibri" w:cs="Calibri"/>
                    <w:color w:val="000000"/>
                  </w:rPr>
                </w:pPr>
              </w:p>
            </w:tc>
            <w:tc>
              <w:tcPr>
                <w:tcW w:w="1659" w:type="dxa"/>
                <w:tcBorders>
                  <w:top w:val="nil"/>
                  <w:left w:val="nil"/>
                  <w:bottom w:val="nil"/>
                  <w:right w:val="nil"/>
                </w:tcBorders>
                <w:shd w:val="clear" w:color="auto" w:fill="auto"/>
                <w:noWrap/>
                <w:vAlign w:val="bottom"/>
                <w:hideMark/>
              </w:tcPr>
              <w:p w14:paraId="5B9CC396"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707" w:type="dxa"/>
                <w:tcBorders>
                  <w:top w:val="nil"/>
                  <w:left w:val="nil"/>
                  <w:bottom w:val="nil"/>
                  <w:right w:val="nil"/>
                </w:tcBorders>
                <w:shd w:val="clear" w:color="auto" w:fill="auto"/>
                <w:noWrap/>
                <w:vAlign w:val="bottom"/>
                <w:hideMark/>
              </w:tcPr>
              <w:p w14:paraId="28082916"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5C1CF16E"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5D66EAE4" w14:textId="77777777" w:rsidR="00D53B77" w:rsidRPr="0060367C" w:rsidRDefault="00D53B77" w:rsidP="00DA3389">
                <w:pPr>
                  <w:spacing w:after="0" w:line="240" w:lineRule="auto"/>
                  <w:rPr>
                    <w:rFonts w:ascii="Times New Roman" w:eastAsia="Times New Roman" w:hAnsi="Times New Roman" w:cs="Times New Roman"/>
                    <w:sz w:val="20"/>
                    <w:szCs w:val="20"/>
                  </w:rPr>
                </w:pPr>
              </w:p>
            </w:tc>
          </w:tr>
          <w:tr w:rsidR="00D53B77" w:rsidRPr="0060367C" w14:paraId="17C168D0" w14:textId="77777777" w:rsidTr="00D53B77">
            <w:trPr>
              <w:trHeight w:val="300"/>
            </w:trPr>
            <w:tc>
              <w:tcPr>
                <w:tcW w:w="3269" w:type="dxa"/>
                <w:tcBorders>
                  <w:top w:val="nil"/>
                  <w:left w:val="nil"/>
                  <w:bottom w:val="nil"/>
                  <w:right w:val="nil"/>
                </w:tcBorders>
                <w:shd w:val="clear" w:color="auto" w:fill="auto"/>
                <w:noWrap/>
                <w:vAlign w:val="bottom"/>
                <w:hideMark/>
              </w:tcPr>
              <w:p w14:paraId="5EB5A505"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659" w:type="dxa"/>
                <w:tcBorders>
                  <w:top w:val="nil"/>
                  <w:left w:val="nil"/>
                  <w:bottom w:val="nil"/>
                  <w:right w:val="nil"/>
                </w:tcBorders>
                <w:shd w:val="clear" w:color="auto" w:fill="auto"/>
                <w:noWrap/>
                <w:vAlign w:val="bottom"/>
                <w:hideMark/>
              </w:tcPr>
              <w:p w14:paraId="7988A780"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707" w:type="dxa"/>
                <w:tcBorders>
                  <w:top w:val="nil"/>
                  <w:left w:val="nil"/>
                  <w:bottom w:val="nil"/>
                  <w:right w:val="nil"/>
                </w:tcBorders>
                <w:shd w:val="clear" w:color="auto" w:fill="auto"/>
                <w:noWrap/>
                <w:vAlign w:val="bottom"/>
                <w:hideMark/>
              </w:tcPr>
              <w:p w14:paraId="0A8ECEEB"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23A4B2C3"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006AAED2" w14:textId="77777777" w:rsidR="00D53B77" w:rsidRPr="0060367C" w:rsidRDefault="00D53B77" w:rsidP="00DA3389">
                <w:pPr>
                  <w:spacing w:after="0" w:line="240" w:lineRule="auto"/>
                  <w:rPr>
                    <w:rFonts w:ascii="Times New Roman" w:eastAsia="Times New Roman" w:hAnsi="Times New Roman" w:cs="Times New Roman"/>
                    <w:sz w:val="20"/>
                    <w:szCs w:val="20"/>
                  </w:rPr>
                </w:pPr>
              </w:p>
            </w:tc>
          </w:tr>
          <w:tr w:rsidR="00D53B77" w:rsidRPr="0060367C" w14:paraId="07FAFE5B" w14:textId="77777777" w:rsidTr="00D53B77">
            <w:trPr>
              <w:trHeight w:val="300"/>
            </w:trPr>
            <w:tc>
              <w:tcPr>
                <w:tcW w:w="3269" w:type="dxa"/>
                <w:tcBorders>
                  <w:top w:val="nil"/>
                  <w:left w:val="nil"/>
                  <w:bottom w:val="nil"/>
                  <w:right w:val="nil"/>
                </w:tcBorders>
                <w:shd w:val="clear" w:color="auto" w:fill="auto"/>
                <w:noWrap/>
                <w:vAlign w:val="bottom"/>
                <w:hideMark/>
              </w:tcPr>
              <w:p w14:paraId="71DEA1B7"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659" w:type="dxa"/>
                <w:tcBorders>
                  <w:top w:val="nil"/>
                  <w:left w:val="nil"/>
                  <w:bottom w:val="nil"/>
                  <w:right w:val="nil"/>
                </w:tcBorders>
                <w:shd w:val="clear" w:color="auto" w:fill="auto"/>
                <w:noWrap/>
                <w:vAlign w:val="bottom"/>
                <w:hideMark/>
              </w:tcPr>
              <w:p w14:paraId="04EEF0FE"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707" w:type="dxa"/>
                <w:tcBorders>
                  <w:top w:val="nil"/>
                  <w:left w:val="nil"/>
                  <w:bottom w:val="nil"/>
                  <w:right w:val="nil"/>
                </w:tcBorders>
                <w:shd w:val="clear" w:color="auto" w:fill="auto"/>
                <w:noWrap/>
                <w:vAlign w:val="bottom"/>
                <w:hideMark/>
              </w:tcPr>
              <w:p w14:paraId="5D9FF3BF"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5C56DE6C" w14:textId="77777777" w:rsidR="00D53B77" w:rsidRPr="0060367C" w:rsidRDefault="00D53B77" w:rsidP="00DA3389">
                <w:pPr>
                  <w:spacing w:after="0" w:line="240" w:lineRule="auto"/>
                  <w:rPr>
                    <w:rFonts w:ascii="Times New Roman" w:eastAsia="Times New Roman" w:hAnsi="Times New Roman" w:cs="Times New Roman"/>
                    <w:sz w:val="20"/>
                    <w:szCs w:val="20"/>
                  </w:rPr>
                </w:pPr>
              </w:p>
            </w:tc>
            <w:tc>
              <w:tcPr>
                <w:tcW w:w="1154" w:type="dxa"/>
                <w:tcBorders>
                  <w:top w:val="nil"/>
                  <w:left w:val="nil"/>
                  <w:bottom w:val="nil"/>
                  <w:right w:val="nil"/>
                </w:tcBorders>
                <w:shd w:val="clear" w:color="auto" w:fill="auto"/>
                <w:noWrap/>
                <w:vAlign w:val="bottom"/>
                <w:hideMark/>
              </w:tcPr>
              <w:p w14:paraId="0B9FAEA1" w14:textId="77777777" w:rsidR="00D53B77" w:rsidRPr="0060367C" w:rsidRDefault="00D53B77" w:rsidP="00DA3389">
                <w:pPr>
                  <w:spacing w:after="0" w:line="240" w:lineRule="auto"/>
                  <w:rPr>
                    <w:rFonts w:ascii="Times New Roman" w:eastAsia="Times New Roman" w:hAnsi="Times New Roman" w:cs="Times New Roman"/>
                    <w:sz w:val="20"/>
                    <w:szCs w:val="20"/>
                  </w:rPr>
                </w:pPr>
              </w:p>
            </w:tc>
          </w:tr>
          <w:tr w:rsidR="00D53B77" w:rsidRPr="0060367C" w14:paraId="6DF19DC1" w14:textId="77777777" w:rsidTr="00D53B77">
            <w:trPr>
              <w:trHeight w:val="300"/>
            </w:trPr>
            <w:tc>
              <w:tcPr>
                <w:tcW w:w="8943" w:type="dxa"/>
                <w:gridSpan w:val="5"/>
                <w:tcBorders>
                  <w:top w:val="nil"/>
                  <w:left w:val="nil"/>
                  <w:bottom w:val="nil"/>
                  <w:right w:val="nil"/>
                </w:tcBorders>
                <w:shd w:val="clear" w:color="auto" w:fill="auto"/>
                <w:noWrap/>
                <w:vAlign w:val="bottom"/>
                <w:hideMark/>
              </w:tcPr>
              <w:p w14:paraId="4E872BFB" w14:textId="77777777" w:rsidR="008435E8" w:rsidRDefault="00D53B77" w:rsidP="008435E8">
                <w:pPr>
                  <w:spacing w:after="0" w:line="480" w:lineRule="auto"/>
                  <w:rPr>
                    <w:rFonts w:ascii="Times New Roman" w:eastAsia="Times New Roman" w:hAnsi="Times New Roman" w:cs="Times New Roman"/>
                    <w:b/>
                    <w:bCs/>
                    <w:color w:val="000000"/>
                    <w:sz w:val="24"/>
                    <w:szCs w:val="24"/>
                  </w:rPr>
                </w:pPr>
                <w:r w:rsidRPr="00D06DA0">
                  <w:rPr>
                    <w:rFonts w:ascii="Times New Roman" w:eastAsia="Times New Roman" w:hAnsi="Times New Roman" w:cs="Times New Roman"/>
                    <w:b/>
                    <w:bCs/>
                    <w:color w:val="000000"/>
                    <w:sz w:val="24"/>
                    <w:szCs w:val="24"/>
                  </w:rPr>
                  <w:t xml:space="preserve">Applying Horizontal </w:t>
                </w:r>
                <w:proofErr w:type="gramStart"/>
                <w:r w:rsidRPr="00D06DA0">
                  <w:rPr>
                    <w:rFonts w:ascii="Times New Roman" w:eastAsia="Times New Roman" w:hAnsi="Times New Roman" w:cs="Times New Roman"/>
                    <w:b/>
                    <w:bCs/>
                    <w:color w:val="000000"/>
                    <w:sz w:val="24"/>
                    <w:szCs w:val="24"/>
                  </w:rPr>
                  <w:t>analysis</w:t>
                </w:r>
                <w:proofErr w:type="gramEnd"/>
                <w:r w:rsidRPr="00D06DA0">
                  <w:rPr>
                    <w:rFonts w:ascii="Times New Roman" w:eastAsia="Times New Roman" w:hAnsi="Times New Roman" w:cs="Times New Roman"/>
                    <w:b/>
                    <w:bCs/>
                    <w:color w:val="000000"/>
                    <w:sz w:val="24"/>
                    <w:szCs w:val="24"/>
                  </w:rPr>
                  <w:t xml:space="preserve"> you are to outline why Sale has increase even though profit has decline </w:t>
                </w:r>
              </w:p>
              <w:p w14:paraId="42FC8E73" w14:textId="42A8530F" w:rsidR="000D0F09" w:rsidRPr="008435E8" w:rsidRDefault="000D0F09" w:rsidP="008435E8">
                <w:pPr>
                  <w:spacing w:after="0" w:line="480" w:lineRule="auto"/>
                  <w:ind w:firstLine="720"/>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An increase in sales but decline in operating profits is an indication the that business is spending more on expenses. The business is likely spending more on overhead </w:t>
                </w:r>
                <w:r>
                  <w:rPr>
                    <w:rFonts w:ascii="Times New Roman" w:eastAsia="Times New Roman" w:hAnsi="Times New Roman" w:cs="Times New Roman"/>
                    <w:color w:val="000000"/>
                    <w:sz w:val="24"/>
                    <w:szCs w:val="24"/>
                  </w:rPr>
                  <w:lastRenderedPageBreak/>
                  <w:t>expenses. This happens regardless whether employees work extra hours or not. Overhead expenses such as increase in rent of office space, annual raises to long-term employees are likely to contribute to this. Another potential cause of this scenario is a change in mix of sales. If the business offers more than one product or service and experiences an increase in lower margin sales and a decrease in higher-margin sales, then the profits will most likely fall</w:t>
                </w:r>
              </w:p>
            </w:tc>
          </w:tr>
          <w:tr w:rsidR="00D53B77" w:rsidRPr="0060367C" w14:paraId="69952578" w14:textId="77777777" w:rsidTr="00D53B77">
            <w:trPr>
              <w:trHeight w:val="300"/>
            </w:trPr>
            <w:tc>
              <w:tcPr>
                <w:tcW w:w="3269" w:type="dxa"/>
                <w:tcBorders>
                  <w:top w:val="nil"/>
                  <w:left w:val="nil"/>
                  <w:bottom w:val="nil"/>
                  <w:right w:val="nil"/>
                </w:tcBorders>
                <w:shd w:val="clear" w:color="auto" w:fill="auto"/>
                <w:noWrap/>
                <w:vAlign w:val="bottom"/>
                <w:hideMark/>
              </w:tcPr>
              <w:p w14:paraId="693DD5FE" w14:textId="77777777" w:rsidR="00D53B77" w:rsidRPr="0060367C" w:rsidRDefault="00D53B77" w:rsidP="00DA3389">
                <w:pPr>
                  <w:spacing w:after="0" w:line="240" w:lineRule="auto"/>
                  <w:rPr>
                    <w:rFonts w:ascii="Times New Roman" w:eastAsia="Times New Roman" w:hAnsi="Times New Roman" w:cs="Times New Roman"/>
                    <w:color w:val="000000"/>
                    <w:sz w:val="24"/>
                    <w:szCs w:val="24"/>
                  </w:rPr>
                </w:pPr>
              </w:p>
            </w:tc>
            <w:tc>
              <w:tcPr>
                <w:tcW w:w="1659" w:type="dxa"/>
                <w:tcBorders>
                  <w:top w:val="nil"/>
                  <w:left w:val="nil"/>
                  <w:bottom w:val="nil"/>
                  <w:right w:val="nil"/>
                </w:tcBorders>
                <w:shd w:val="clear" w:color="auto" w:fill="auto"/>
                <w:noWrap/>
                <w:vAlign w:val="bottom"/>
                <w:hideMark/>
              </w:tcPr>
              <w:p w14:paraId="04476C3C"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707" w:type="dxa"/>
                <w:tcBorders>
                  <w:top w:val="nil"/>
                  <w:left w:val="nil"/>
                  <w:bottom w:val="nil"/>
                  <w:right w:val="nil"/>
                </w:tcBorders>
                <w:shd w:val="clear" w:color="auto" w:fill="auto"/>
                <w:noWrap/>
                <w:vAlign w:val="bottom"/>
                <w:hideMark/>
              </w:tcPr>
              <w:p w14:paraId="430FF00C"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5578C351" w14:textId="77777777" w:rsidR="00D53B77" w:rsidRPr="0060367C" w:rsidRDefault="00D53B77" w:rsidP="00DA3389">
                <w:pPr>
                  <w:spacing w:after="0"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14E9D4CB" w14:textId="77777777" w:rsidR="00D53B77" w:rsidRPr="0060367C" w:rsidRDefault="00D53B77" w:rsidP="008435E8">
                <w:pPr>
                  <w:spacing w:after="0" w:line="480" w:lineRule="auto"/>
                  <w:rPr>
                    <w:rFonts w:ascii="Times New Roman" w:eastAsia="Times New Roman" w:hAnsi="Times New Roman" w:cs="Times New Roman"/>
                    <w:sz w:val="24"/>
                    <w:szCs w:val="24"/>
                  </w:rPr>
                </w:pPr>
              </w:p>
            </w:tc>
          </w:tr>
        </w:tbl>
        <w:p w14:paraId="1E75EF1F" w14:textId="77777777" w:rsidR="00A23DB3" w:rsidRPr="0060367C" w:rsidRDefault="00A23DB3" w:rsidP="00DA3389">
          <w:pPr>
            <w:autoSpaceDE w:val="0"/>
            <w:autoSpaceDN w:val="0"/>
            <w:adjustRightInd w:val="0"/>
            <w:spacing w:after="0" w:line="480" w:lineRule="auto"/>
            <w:jc w:val="both"/>
            <w:rPr>
              <w:rFonts w:ascii="Times New Roman" w:hAnsi="Times New Roman" w:cs="Times New Roman"/>
              <w:color w:val="000000" w:themeColor="text1"/>
              <w:sz w:val="24"/>
              <w:szCs w:val="24"/>
            </w:rPr>
          </w:pPr>
        </w:p>
        <w:p w14:paraId="2D55CF08" w14:textId="2DCD8E62" w:rsidR="00E87DCF" w:rsidRPr="0060367C" w:rsidRDefault="00E87DCF" w:rsidP="00DA3389">
          <w:pPr>
            <w:spacing w:after="0" w:line="480" w:lineRule="auto"/>
            <w:rPr>
              <w:rFonts w:ascii="Times New Roman" w:hAnsi="Times New Roman" w:cs="Times New Roman"/>
              <w:color w:val="000000" w:themeColor="text1"/>
              <w:sz w:val="24"/>
              <w:szCs w:val="24"/>
            </w:rPr>
          </w:pPr>
        </w:p>
        <w:p w14:paraId="5F6E37A1" w14:textId="4D90212E" w:rsidR="00CB1DC5" w:rsidRPr="0060367C" w:rsidRDefault="00932029" w:rsidP="00DA3389">
          <w:pPr>
            <w:pStyle w:val="Heading1"/>
            <w:spacing w:before="0" w:line="480" w:lineRule="auto"/>
            <w:jc w:val="center"/>
            <w:rPr>
              <w:rFonts w:ascii="Times New Roman" w:hAnsi="Times New Roman" w:cs="Times New Roman"/>
              <w:b/>
              <w:color w:val="000000" w:themeColor="text1"/>
              <w:sz w:val="24"/>
              <w:szCs w:val="24"/>
            </w:rPr>
          </w:pPr>
          <w:bookmarkStart w:id="3" w:name="_Toc104999868"/>
          <w:r w:rsidRPr="0060367C">
            <w:rPr>
              <w:rFonts w:ascii="Times New Roman" w:hAnsi="Times New Roman" w:cs="Times New Roman"/>
              <w:b/>
              <w:color w:val="000000" w:themeColor="text1"/>
              <w:sz w:val="24"/>
              <w:szCs w:val="24"/>
            </w:rPr>
            <w:t>The Importance of Using Ratio Analysis for Decision Making</w:t>
          </w:r>
          <w:bookmarkEnd w:id="3"/>
        </w:p>
        <w:p w14:paraId="65B41148" w14:textId="5A131E5C" w:rsidR="00E54AC2"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When it comes to understanding a company's financial health, ratio analysis is critical for identifying trends and making comparisons of financial results that can aid shareholders in making investment decisions</w:t>
          </w:r>
          <w:r w:rsidR="00EA7044" w:rsidRPr="0060367C">
            <w:rPr>
              <w:rFonts w:ascii="Times New Roman" w:hAnsi="Times New Roman" w:cs="Times New Roman"/>
              <w:color w:val="000000" w:themeColor="text1"/>
              <w:sz w:val="24"/>
              <w:szCs w:val="24"/>
            </w:rPr>
            <w:t xml:space="preserve"> (El-</w:t>
          </w:r>
          <w:proofErr w:type="spellStart"/>
          <w:r w:rsidR="00EA7044" w:rsidRPr="0060367C">
            <w:rPr>
              <w:rFonts w:ascii="Times New Roman" w:hAnsi="Times New Roman" w:cs="Times New Roman"/>
              <w:color w:val="000000" w:themeColor="text1"/>
              <w:sz w:val="24"/>
              <w:szCs w:val="24"/>
            </w:rPr>
            <w:t>Gazzar</w:t>
          </w:r>
          <w:proofErr w:type="spellEnd"/>
          <w:r w:rsidR="00EA7044" w:rsidRPr="0060367C">
            <w:rPr>
              <w:rFonts w:ascii="Times New Roman" w:hAnsi="Times New Roman" w:cs="Times New Roman"/>
              <w:color w:val="000000" w:themeColor="text1"/>
              <w:sz w:val="24"/>
              <w:szCs w:val="24"/>
            </w:rPr>
            <w:t>, Chung, and Jacob, 2011)</w:t>
          </w:r>
          <w:r w:rsidRPr="0060367C">
            <w:rPr>
              <w:rFonts w:ascii="Times New Roman" w:hAnsi="Times New Roman" w:cs="Times New Roman"/>
              <w:color w:val="000000" w:themeColor="text1"/>
              <w:sz w:val="24"/>
              <w:szCs w:val="24"/>
            </w:rPr>
            <w:t xml:space="preserve">. Ratio analysis can reveal a company's liquidity, profitability, risk, solvency, efficiency, and operational efficiency. </w:t>
          </w:r>
          <w:r w:rsidR="00E54AC2" w:rsidRPr="0060367C">
            <w:rPr>
              <w:rFonts w:ascii="Times New Roman" w:hAnsi="Times New Roman" w:cs="Times New Roman"/>
              <w:color w:val="000000" w:themeColor="text1"/>
              <w:sz w:val="24"/>
              <w:szCs w:val="24"/>
            </w:rPr>
            <w:t xml:space="preserve">Furthermore, ratio analysis helps understand </w:t>
          </w:r>
          <w:r w:rsidRPr="0060367C">
            <w:rPr>
              <w:rFonts w:ascii="Times New Roman" w:hAnsi="Times New Roman" w:cs="Times New Roman"/>
              <w:color w:val="000000" w:themeColor="text1"/>
              <w:sz w:val="24"/>
              <w:szCs w:val="24"/>
            </w:rPr>
            <w:t xml:space="preserve">the figures on the balance sheet and the income statement. </w:t>
          </w:r>
        </w:p>
        <w:p w14:paraId="32E47299" w14:textId="1329A8A0" w:rsidR="00E87DCF" w:rsidRPr="0060367C" w:rsidRDefault="00FA3890"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Different stakeholders have varying priorities when it comes to the financial health and success of an organisation. </w:t>
          </w:r>
          <w:r w:rsidR="00E87DCF" w:rsidRPr="0060367C">
            <w:rPr>
              <w:rFonts w:ascii="Times New Roman" w:hAnsi="Times New Roman" w:cs="Times New Roman"/>
              <w:color w:val="000000" w:themeColor="text1"/>
              <w:sz w:val="24"/>
              <w:szCs w:val="24"/>
            </w:rPr>
            <w:t xml:space="preserve">Long-term dividend growth and the company's ability to generate profits are more important to stock investors. If </w:t>
          </w:r>
          <w:r w:rsidR="00E54AC2" w:rsidRPr="0060367C">
            <w:rPr>
              <w:rFonts w:ascii="Times New Roman" w:hAnsi="Times New Roman" w:cs="Times New Roman"/>
              <w:color w:val="000000" w:themeColor="text1"/>
              <w:sz w:val="24"/>
              <w:szCs w:val="24"/>
            </w:rPr>
            <w:t xml:space="preserve">a company </w:t>
          </w:r>
          <w:r w:rsidR="00E87DCF" w:rsidRPr="0060367C">
            <w:rPr>
              <w:rFonts w:ascii="Times New Roman" w:hAnsi="Times New Roman" w:cs="Times New Roman"/>
              <w:color w:val="000000" w:themeColor="text1"/>
              <w:sz w:val="24"/>
              <w:szCs w:val="24"/>
            </w:rPr>
            <w:t>owe</w:t>
          </w:r>
          <w:r w:rsidR="00E54AC2" w:rsidRPr="0060367C">
            <w:rPr>
              <w:rFonts w:ascii="Times New Roman" w:hAnsi="Times New Roman" w:cs="Times New Roman"/>
              <w:color w:val="000000" w:themeColor="text1"/>
              <w:sz w:val="24"/>
              <w:szCs w:val="24"/>
            </w:rPr>
            <w:t>s</w:t>
          </w:r>
          <w:r w:rsidR="00E87DCF" w:rsidRPr="0060367C">
            <w:rPr>
              <w:rFonts w:ascii="Times New Roman" w:hAnsi="Times New Roman" w:cs="Times New Roman"/>
              <w:color w:val="000000" w:themeColor="text1"/>
              <w:sz w:val="24"/>
              <w:szCs w:val="24"/>
            </w:rPr>
            <w:t xml:space="preserve"> money, </w:t>
          </w:r>
          <w:r w:rsidR="00E54AC2" w:rsidRPr="0060367C">
            <w:rPr>
              <w:rFonts w:ascii="Times New Roman" w:hAnsi="Times New Roman" w:cs="Times New Roman"/>
              <w:color w:val="000000" w:themeColor="text1"/>
              <w:sz w:val="24"/>
              <w:szCs w:val="24"/>
            </w:rPr>
            <w:t>its</w:t>
          </w:r>
          <w:r w:rsidR="00E87DCF" w:rsidRPr="0060367C">
            <w:rPr>
              <w:rFonts w:ascii="Times New Roman" w:hAnsi="Times New Roman" w:cs="Times New Roman"/>
              <w:color w:val="000000" w:themeColor="text1"/>
              <w:sz w:val="24"/>
              <w:szCs w:val="24"/>
            </w:rPr>
            <w:t xml:space="preserve"> creditors want to know that </w:t>
          </w:r>
          <w:r w:rsidR="00E54AC2" w:rsidRPr="0060367C">
            <w:rPr>
              <w:rFonts w:ascii="Times New Roman" w:hAnsi="Times New Roman" w:cs="Times New Roman"/>
              <w:color w:val="000000" w:themeColor="text1"/>
              <w:sz w:val="24"/>
              <w:szCs w:val="24"/>
            </w:rPr>
            <w:t>it will</w:t>
          </w:r>
          <w:r w:rsidR="00E87DCF" w:rsidRPr="0060367C">
            <w:rPr>
              <w:rFonts w:ascii="Times New Roman" w:hAnsi="Times New Roman" w:cs="Times New Roman"/>
              <w:color w:val="000000" w:themeColor="text1"/>
              <w:sz w:val="24"/>
              <w:szCs w:val="24"/>
            </w:rPr>
            <w:t xml:space="preserve"> be paying them back on schedule. Profitability ratios are useful tools for determining a company's profitability</w:t>
          </w:r>
          <w:r w:rsidR="00E54AC2" w:rsidRPr="0060367C">
            <w:rPr>
              <w:rFonts w:ascii="Times New Roman" w:hAnsi="Times New Roman" w:cs="Times New Roman"/>
              <w:color w:val="000000" w:themeColor="text1"/>
              <w:sz w:val="24"/>
              <w:szCs w:val="24"/>
            </w:rPr>
            <w:t xml:space="preserve"> (Abdul-Baki, Uthman, &amp; Sanni, 2014)</w:t>
          </w:r>
          <w:r w:rsidR="00E87DCF" w:rsidRPr="0060367C">
            <w:rPr>
              <w:rFonts w:ascii="Times New Roman" w:hAnsi="Times New Roman" w:cs="Times New Roman"/>
              <w:color w:val="000000" w:themeColor="text1"/>
              <w:sz w:val="24"/>
              <w:szCs w:val="24"/>
            </w:rPr>
            <w:t>. Return on assets and return on equity are useful metrics for assessing a company's profitability. When calculating a company's return on investment, divide net income by all capital invested. How much profit a corporation makes for each dollar it spends. Net income divided by shareholders' equity is known as return on equity.</w:t>
          </w:r>
          <w:r w:rsidR="00E54AC2" w:rsidRPr="0060367C">
            <w:rPr>
              <w:rFonts w:ascii="Times New Roman" w:hAnsi="Times New Roman" w:cs="Times New Roman"/>
              <w:color w:val="000000" w:themeColor="text1"/>
              <w:sz w:val="24"/>
              <w:szCs w:val="24"/>
            </w:rPr>
            <w:t xml:space="preserve"> The ratio helps to understand how the company manages </w:t>
          </w:r>
          <w:r w:rsidR="00E54AC2" w:rsidRPr="0060367C">
            <w:rPr>
              <w:rFonts w:ascii="Times New Roman" w:hAnsi="Times New Roman" w:cs="Times New Roman"/>
              <w:color w:val="000000" w:themeColor="text1"/>
              <w:sz w:val="24"/>
              <w:szCs w:val="24"/>
            </w:rPr>
            <w:lastRenderedPageBreak/>
            <w:t>its money</w:t>
          </w:r>
          <w:r w:rsidR="00E87DCF" w:rsidRPr="0060367C">
            <w:rPr>
              <w:rFonts w:ascii="Times New Roman" w:hAnsi="Times New Roman" w:cs="Times New Roman"/>
              <w:color w:val="000000" w:themeColor="text1"/>
              <w:sz w:val="24"/>
              <w:szCs w:val="24"/>
            </w:rPr>
            <w:t>. Gross profit and net profit margin are examples of ratios. The capacity of a company to turn a profit from sales is evaluated using margins.</w:t>
          </w:r>
        </w:p>
        <w:p w14:paraId="010D388B" w14:textId="1801D8E2" w:rsidR="00E87DCF"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It is possible to determine a company's level of efficiency by using certain ratios</w:t>
          </w:r>
          <w:r w:rsidR="00E54AC2" w:rsidRPr="0060367C">
            <w:rPr>
              <w:rFonts w:ascii="Times New Roman" w:hAnsi="Times New Roman" w:cs="Times New Roman"/>
              <w:color w:val="000000" w:themeColor="text1"/>
              <w:sz w:val="24"/>
              <w:szCs w:val="24"/>
            </w:rPr>
            <w:t xml:space="preserve"> such as</w:t>
          </w:r>
          <w:r w:rsidRPr="0060367C">
            <w:rPr>
              <w:rFonts w:ascii="Times New Roman" w:hAnsi="Times New Roman" w:cs="Times New Roman"/>
              <w:color w:val="000000" w:themeColor="text1"/>
              <w:sz w:val="24"/>
              <w:szCs w:val="24"/>
            </w:rPr>
            <w:t xml:space="preserve"> the turnover ratios of account receivables, fixed assets, and inventories. When compared to other companies in the same industry, these ratios may be used to determine which ones have superior management than the others. A company's potential to create revenue via the use of its assets is also taken into consideration. </w:t>
          </w:r>
          <w:r w:rsidR="0004713A" w:rsidRPr="0060367C">
            <w:rPr>
              <w:rFonts w:ascii="Times New Roman" w:hAnsi="Times New Roman" w:cs="Times New Roman"/>
              <w:color w:val="000000" w:themeColor="text1"/>
              <w:sz w:val="24"/>
              <w:szCs w:val="24"/>
            </w:rPr>
            <w:t>Additionally, it</w:t>
          </w:r>
          <w:r w:rsidRPr="0060367C">
            <w:rPr>
              <w:rFonts w:ascii="Times New Roman" w:hAnsi="Times New Roman" w:cs="Times New Roman"/>
              <w:color w:val="000000" w:themeColor="text1"/>
              <w:sz w:val="24"/>
              <w:szCs w:val="24"/>
            </w:rPr>
            <w:t xml:space="preserve"> examines several characteristics of the company, such as the time it takes to collect cash from creditors or the time it takes for the firm to convert its inventory to money. – It is for this reason why efficiency ratios are so important, since an increase in profitability will follow from an improvement. The company's ability to meet its short-term commitments is determined by its liquidity. Debts that can be paid off in a year or less are referred to as short-term commitments. For example, unpaid wages, unpaid taxes, uncollected debts, and so on. In order to determine a company's liquidity, the current and quick ratios are utilized.</w:t>
          </w:r>
        </w:p>
        <w:p w14:paraId="733EE19E" w14:textId="3F616CA1" w:rsidR="00E87DCF"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 xml:space="preserve">Ratio analysis is a useful tool for assessing a company's overall risk exposure. Using the leverage ratios, a company may see how its profitability is affected by the deployment of its fixed costs and the amount of outstanding debt. As a result, the use of ratio analysis aids in identifying potential financial hazards. External stakeholders, including as investors, might rely on analysts and managers to see trends, anticipate the future, and make important decisions. Because of this, they may decide whether or not to invest in a certain initiative. Ratio analysis is primarily used to </w:t>
          </w:r>
          <w:proofErr w:type="spellStart"/>
          <w:r w:rsidRPr="0060367C">
            <w:rPr>
              <w:rFonts w:ascii="Times New Roman" w:hAnsi="Times New Roman" w:cs="Times New Roman"/>
              <w:color w:val="000000" w:themeColor="text1"/>
              <w:sz w:val="24"/>
              <w:szCs w:val="24"/>
            </w:rPr>
            <w:t>analyze</w:t>
          </w:r>
          <w:proofErr w:type="spellEnd"/>
          <w:r w:rsidRPr="0060367C">
            <w:rPr>
              <w:rFonts w:ascii="Times New Roman" w:hAnsi="Times New Roman" w:cs="Times New Roman"/>
              <w:color w:val="000000" w:themeColor="text1"/>
              <w:sz w:val="24"/>
              <w:szCs w:val="24"/>
            </w:rPr>
            <w:t xml:space="preserve"> the strengths and weaknesses of each company. Additionally, the ratios may be compared to the business's past ratios in order to see whether the company has made any progress.</w:t>
          </w:r>
        </w:p>
        <w:p w14:paraId="4E626249" w14:textId="6CAD8FBB" w:rsidR="00E87DCF"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 xml:space="preserve">Ratio analysis is an effective method for evaluating a company's financial health. As a consequence, they may make well-informed financial choices based on the data they have </w:t>
          </w:r>
          <w:r w:rsidRPr="0060367C">
            <w:rPr>
              <w:rFonts w:ascii="Times New Roman" w:hAnsi="Times New Roman" w:cs="Times New Roman"/>
              <w:color w:val="000000" w:themeColor="text1"/>
              <w:sz w:val="24"/>
              <w:szCs w:val="24"/>
            </w:rPr>
            <w:lastRenderedPageBreak/>
            <w:t>access to. For this reason, they may use historical ratios to determine whether or not the firm is doing better than in prior quarters or years. Also, the ratios of other firms in the same industry or sector may be compared. This will provide consumers with a better understanding of the genuine financial situation of the organi</w:t>
          </w:r>
          <w:r w:rsidR="0060367C">
            <w:rPr>
              <w:rFonts w:ascii="Times New Roman" w:hAnsi="Times New Roman" w:cs="Times New Roman"/>
              <w:color w:val="000000" w:themeColor="text1"/>
              <w:sz w:val="24"/>
              <w:szCs w:val="24"/>
            </w:rPr>
            <w:t>sation</w:t>
          </w:r>
          <w:r w:rsidRPr="0060367C">
            <w:rPr>
              <w:rFonts w:ascii="Times New Roman" w:hAnsi="Times New Roman" w:cs="Times New Roman"/>
              <w:color w:val="000000" w:themeColor="text1"/>
              <w:sz w:val="24"/>
              <w:szCs w:val="24"/>
            </w:rPr>
            <w:t xml:space="preserve">. The P/E ratio, dividend </w:t>
          </w:r>
          <w:proofErr w:type="spellStart"/>
          <w:r w:rsidRPr="0060367C">
            <w:rPr>
              <w:rFonts w:ascii="Times New Roman" w:hAnsi="Times New Roman" w:cs="Times New Roman"/>
              <w:color w:val="000000" w:themeColor="text1"/>
              <w:sz w:val="24"/>
              <w:szCs w:val="24"/>
            </w:rPr>
            <w:t>payout</w:t>
          </w:r>
          <w:proofErr w:type="spellEnd"/>
          <w:r w:rsidRPr="0060367C">
            <w:rPr>
              <w:rFonts w:ascii="Times New Roman" w:hAnsi="Times New Roman" w:cs="Times New Roman"/>
              <w:color w:val="000000" w:themeColor="text1"/>
              <w:sz w:val="24"/>
              <w:szCs w:val="24"/>
            </w:rPr>
            <w:t xml:space="preserve"> ratio, or earnings per share ratio may be used by investors like shareholders to evaluate a company's financial performance. There are several uses for this ratio for creditors. It shows how much debt a firm has as a percentage of total equity and how well it can repay its debts, including interest and principal, on time.</w:t>
          </w:r>
        </w:p>
        <w:p w14:paraId="2F616183" w14:textId="32F0C2F2" w:rsidR="00E87DCF"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To a company's inner management, ratio analysis is critical as well. Insight into key indicators and the company's performance is provided in great depth by this report. Using this information, management may review the outcomes, learn why they differed from the budget, and plan for the future more successfully. They aid in the performance of the control role because the management is able to see the difference between the planned and actual financials. It also aids management in developing budgets and projections that are both reasonable and attainable</w:t>
          </w:r>
          <w:r w:rsidR="00ED5648" w:rsidRPr="0060367C">
            <w:rPr>
              <w:rFonts w:ascii="Times New Roman" w:hAnsi="Times New Roman" w:cs="Times New Roman"/>
              <w:color w:val="000000" w:themeColor="text1"/>
              <w:sz w:val="24"/>
              <w:szCs w:val="24"/>
            </w:rPr>
            <w:t xml:space="preserve"> (Anggraini, 2022)</w:t>
          </w:r>
          <w:r w:rsidRPr="0060367C">
            <w:rPr>
              <w:rFonts w:ascii="Times New Roman" w:hAnsi="Times New Roman" w:cs="Times New Roman"/>
              <w:color w:val="000000" w:themeColor="text1"/>
              <w:sz w:val="24"/>
              <w:szCs w:val="24"/>
            </w:rPr>
            <w:t>. Different degrees of deviation from the budgeted value and ratios of performance level provide scenarios in which the firm performed well and where it erred and the explanation behind it. The findings of this study will aid management in future budgeting and planning efforts to address these issues. As a result, the company's financial goals are met.</w:t>
          </w:r>
          <w:r w:rsidR="00EC20B0" w:rsidRPr="0060367C">
            <w:rPr>
              <w:rFonts w:ascii="Times New Roman" w:hAnsi="Times New Roman" w:cs="Times New Roman"/>
              <w:color w:val="000000" w:themeColor="text1"/>
              <w:sz w:val="24"/>
              <w:szCs w:val="24"/>
            </w:rPr>
            <w:t xml:space="preserve"> </w:t>
          </w:r>
        </w:p>
        <w:p w14:paraId="1FFEFA90" w14:textId="0F74C82E" w:rsidR="003E17D1"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Analy</w:t>
          </w:r>
          <w:r w:rsidR="00FB17D5">
            <w:rPr>
              <w:rFonts w:ascii="Times New Roman" w:hAnsi="Times New Roman" w:cs="Times New Roman"/>
              <w:color w:val="000000" w:themeColor="text1"/>
              <w:sz w:val="24"/>
              <w:szCs w:val="24"/>
            </w:rPr>
            <w:t>s</w:t>
          </w:r>
          <w:r w:rsidRPr="0060367C">
            <w:rPr>
              <w:rFonts w:ascii="Times New Roman" w:hAnsi="Times New Roman" w:cs="Times New Roman"/>
              <w:color w:val="000000" w:themeColor="text1"/>
              <w:sz w:val="24"/>
              <w:szCs w:val="24"/>
            </w:rPr>
            <w:t>ing a company's risk and how management addresses it is aided by the use of ratio analysis. Leverage ratios, such as the financial leverage and the operational leverage, are useful tools for assessing the risk of a company's operations. A user may quickly learn how much money the firm has borrowed to fund its assets and how far it can stretch its operational income by looking at these statistics. We may also use ratio analysis to determine a company's ability to pay its interest and debts</w:t>
          </w:r>
          <w:r w:rsidR="00B211C4" w:rsidRPr="0060367C">
            <w:rPr>
              <w:rFonts w:ascii="Times New Roman" w:hAnsi="Times New Roman" w:cs="Times New Roman"/>
              <w:color w:val="000000" w:themeColor="text1"/>
              <w:sz w:val="24"/>
              <w:szCs w:val="24"/>
            </w:rPr>
            <w:t xml:space="preserve"> (Pochwat, 2020)</w:t>
          </w:r>
          <w:r w:rsidRPr="0060367C">
            <w:rPr>
              <w:rFonts w:ascii="Times New Roman" w:hAnsi="Times New Roman" w:cs="Times New Roman"/>
              <w:color w:val="000000" w:themeColor="text1"/>
              <w:sz w:val="24"/>
              <w:szCs w:val="24"/>
            </w:rPr>
            <w:t xml:space="preserve">. As a result, the risk of credit defaults may </w:t>
          </w:r>
          <w:r w:rsidRPr="0060367C">
            <w:rPr>
              <w:rFonts w:ascii="Times New Roman" w:hAnsi="Times New Roman" w:cs="Times New Roman"/>
              <w:color w:val="000000" w:themeColor="text1"/>
              <w:sz w:val="24"/>
              <w:szCs w:val="24"/>
            </w:rPr>
            <w:lastRenderedPageBreak/>
            <w:t xml:space="preserve">be minimized. There are a number of other ratios that may be used to measure financial health and risk, such as the debt-equity and interest-coverage ratios, as well as a number of others. </w:t>
          </w:r>
        </w:p>
        <w:p w14:paraId="054D05E3" w14:textId="77777777" w:rsidR="003235E0" w:rsidRPr="0060367C" w:rsidRDefault="003235E0" w:rsidP="00DA3389">
          <w:pPr>
            <w:autoSpaceDE w:val="0"/>
            <w:autoSpaceDN w:val="0"/>
            <w:adjustRightInd w:val="0"/>
            <w:spacing w:after="0" w:line="480" w:lineRule="auto"/>
            <w:jc w:val="both"/>
            <w:rPr>
              <w:rFonts w:ascii="Times New Roman" w:hAnsi="Times New Roman" w:cs="Times New Roman"/>
              <w:color w:val="000000" w:themeColor="text1"/>
              <w:sz w:val="24"/>
              <w:szCs w:val="24"/>
            </w:rPr>
          </w:pPr>
        </w:p>
        <w:p w14:paraId="18AF555A" w14:textId="77777777" w:rsidR="00DD4840" w:rsidRPr="0060367C" w:rsidRDefault="00DD4840" w:rsidP="00DA3389">
          <w:pPr>
            <w:autoSpaceDE w:val="0"/>
            <w:autoSpaceDN w:val="0"/>
            <w:adjustRightInd w:val="0"/>
            <w:spacing w:after="0" w:line="480" w:lineRule="auto"/>
            <w:jc w:val="both"/>
            <w:rPr>
              <w:rFonts w:ascii="Times New Roman" w:hAnsi="Times New Roman" w:cs="Times New Roman"/>
              <w:color w:val="000000" w:themeColor="text1"/>
              <w:sz w:val="24"/>
              <w:szCs w:val="24"/>
            </w:rPr>
          </w:pPr>
        </w:p>
        <w:p w14:paraId="3E9518BD" w14:textId="77777777" w:rsidR="009C1CE2" w:rsidRPr="0060367C" w:rsidRDefault="009C1CE2" w:rsidP="00DA3389">
          <w:pPr>
            <w:autoSpaceDE w:val="0"/>
            <w:autoSpaceDN w:val="0"/>
            <w:adjustRightInd w:val="0"/>
            <w:spacing w:after="0" w:line="480" w:lineRule="auto"/>
            <w:jc w:val="both"/>
            <w:rPr>
              <w:rFonts w:ascii="Times New Roman" w:hAnsi="Times New Roman" w:cs="Times New Roman"/>
              <w:color w:val="000000" w:themeColor="text1"/>
              <w:sz w:val="24"/>
              <w:szCs w:val="24"/>
            </w:rPr>
          </w:pPr>
        </w:p>
        <w:p w14:paraId="46917340" w14:textId="77777777" w:rsidR="00693B08" w:rsidRPr="0060367C" w:rsidRDefault="00693B08" w:rsidP="00DA3389">
          <w:pPr>
            <w:spacing w:after="0" w:line="480" w:lineRule="auto"/>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br w:type="page"/>
          </w:r>
        </w:p>
        <w:p w14:paraId="78E2E013" w14:textId="03D8C8AB" w:rsidR="009C1CE2" w:rsidRPr="0060367C" w:rsidRDefault="00693B08" w:rsidP="00DA3389">
          <w:pPr>
            <w:pStyle w:val="Heading1"/>
            <w:spacing w:before="0" w:line="480" w:lineRule="auto"/>
            <w:jc w:val="center"/>
            <w:rPr>
              <w:rFonts w:ascii="Times New Roman" w:hAnsi="Times New Roman" w:cs="Times New Roman"/>
              <w:b/>
              <w:color w:val="000000" w:themeColor="text1"/>
              <w:sz w:val="24"/>
              <w:szCs w:val="24"/>
            </w:rPr>
          </w:pPr>
          <w:bookmarkStart w:id="4" w:name="_Toc104999869"/>
          <w:r w:rsidRPr="0060367C">
            <w:rPr>
              <w:rFonts w:ascii="Times New Roman" w:hAnsi="Times New Roman" w:cs="Times New Roman"/>
              <w:b/>
              <w:color w:val="000000" w:themeColor="text1"/>
              <w:sz w:val="24"/>
              <w:szCs w:val="24"/>
            </w:rPr>
            <w:lastRenderedPageBreak/>
            <w:t>Limitation of Ratio Analysis</w:t>
          </w:r>
          <w:bookmarkEnd w:id="4"/>
        </w:p>
        <w:p w14:paraId="3CDD78D6" w14:textId="3DCFA3BF" w:rsidR="00E87DCF"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To acquire a broad knowledge of a company's performance, financial condition, and cash flows, ratio analysis compares data from its financial statements. An outsider, such as a credit analyst, lender, or stock analyst, may benefit much from this examination. These experts must be able to draw conclusions about a company's financial health based only on its financial statements</w:t>
          </w:r>
          <w:r w:rsidR="00EA7044" w:rsidRPr="0060367C">
            <w:rPr>
              <w:rFonts w:ascii="Times New Roman" w:hAnsi="Times New Roman" w:cs="Times New Roman"/>
              <w:color w:val="000000" w:themeColor="text1"/>
              <w:sz w:val="24"/>
              <w:szCs w:val="24"/>
            </w:rPr>
            <w:t xml:space="preserve"> (Lan, 2012)</w:t>
          </w:r>
          <w:r w:rsidRPr="0060367C">
            <w:rPr>
              <w:rFonts w:ascii="Times New Roman" w:hAnsi="Times New Roman" w:cs="Times New Roman"/>
              <w:color w:val="000000" w:themeColor="text1"/>
              <w:sz w:val="24"/>
              <w:szCs w:val="24"/>
            </w:rPr>
            <w:t>. Ratio analysis does have certain drawbacks, though, and they should be taken into consideration. Ratio analysis only uses data that has been gleaned from real, prior transactions. These findings aren't always indicative of future performance. But you may apply ratio analysis on pro forma data and compare it to prior outcomes to ensure that it's consistent. Income statements are shown in current costs, although the balance sheet may include historical costs for certain items</w:t>
          </w:r>
          <w:r w:rsidR="00C838C9" w:rsidRPr="0060367C">
            <w:rPr>
              <w:rFonts w:ascii="Times New Roman" w:hAnsi="Times New Roman" w:cs="Times New Roman"/>
              <w:color w:val="000000" w:themeColor="text1"/>
              <w:sz w:val="24"/>
              <w:szCs w:val="24"/>
            </w:rPr>
            <w:t xml:space="preserve"> (Anggraini, 2022)</w:t>
          </w:r>
          <w:r w:rsidRPr="0060367C">
            <w:rPr>
              <w:rFonts w:ascii="Times New Roman" w:hAnsi="Times New Roman" w:cs="Times New Roman"/>
              <w:color w:val="000000" w:themeColor="text1"/>
              <w:sz w:val="24"/>
              <w:szCs w:val="24"/>
            </w:rPr>
            <w:t xml:space="preserve">. Due of this discrepancy, it's possible to have strange ratios. There may be a problem with comparing data if the rate of inflation has changed in any of the eras studied. It would seem that sales had doubled over the previous year if the inflation rate was 100% in that year, but in </w:t>
          </w:r>
          <w:r w:rsidR="00FB17D5" w:rsidRPr="0060367C">
            <w:rPr>
              <w:rFonts w:ascii="Times New Roman" w:hAnsi="Times New Roman" w:cs="Times New Roman"/>
              <w:color w:val="000000" w:themeColor="text1"/>
              <w:sz w:val="24"/>
              <w:szCs w:val="24"/>
            </w:rPr>
            <w:t>reality,</w:t>
          </w:r>
          <w:r w:rsidRPr="0060367C">
            <w:rPr>
              <w:rFonts w:ascii="Times New Roman" w:hAnsi="Times New Roman" w:cs="Times New Roman"/>
              <w:color w:val="000000" w:themeColor="text1"/>
              <w:sz w:val="24"/>
              <w:szCs w:val="24"/>
            </w:rPr>
            <w:t xml:space="preserve"> sales had not changed at all. When doing a ratio analysis on a trend line, it is possible that the information in a financial statement line item you are considering has been aggregated differently in the past, making it impossible to compare the same information throughout the whole trend period. A company's operating structure might vary so much over time that comparing a ratio from many years ago to the same ratio now can lead to incorrect conclusions.</w:t>
          </w:r>
        </w:p>
        <w:p w14:paraId="5BD849C9" w14:textId="289F15DB" w:rsidR="00E87DCF" w:rsidRPr="0060367C" w:rsidRDefault="00E87DCF" w:rsidP="00DA3389">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Accounting transactions may be recorded in a variety of ways depending on the company. Since no two firms are alike, comparing their ratios might lead to confusion. Ratio analysis has to be seen as a part of a larger company strategy. It's not always easy to figure out why a ratio has the consequences that it does</w:t>
          </w:r>
          <w:r w:rsidR="00EA7044" w:rsidRPr="0060367C">
            <w:rPr>
              <w:rFonts w:ascii="Times New Roman" w:hAnsi="Times New Roman" w:cs="Times New Roman"/>
              <w:color w:val="000000" w:themeColor="text1"/>
              <w:sz w:val="24"/>
              <w:szCs w:val="24"/>
            </w:rPr>
            <w:t xml:space="preserve"> (Lewellen</w:t>
          </w:r>
          <w:r w:rsidR="00EA7044" w:rsidRPr="0060367C">
            <w:rPr>
              <w:rFonts w:ascii="Times New Roman" w:hAnsi="Times New Roman" w:cs="Times New Roman"/>
              <w:b/>
              <w:bCs/>
              <w:color w:val="000000" w:themeColor="text1"/>
              <w:sz w:val="24"/>
              <w:szCs w:val="24"/>
            </w:rPr>
            <w:t>,</w:t>
          </w:r>
          <w:r w:rsidR="00EA7044" w:rsidRPr="0060367C">
            <w:rPr>
              <w:rFonts w:ascii="Times New Roman" w:hAnsi="Times New Roman" w:cs="Times New Roman"/>
              <w:color w:val="000000" w:themeColor="text1"/>
              <w:sz w:val="24"/>
              <w:szCs w:val="24"/>
            </w:rPr>
            <w:t xml:space="preserve"> 2004)</w:t>
          </w:r>
          <w:r w:rsidRPr="0060367C">
            <w:rPr>
              <w:rFonts w:ascii="Times New Roman" w:hAnsi="Times New Roman" w:cs="Times New Roman"/>
              <w:color w:val="000000" w:themeColor="text1"/>
              <w:sz w:val="24"/>
              <w:szCs w:val="24"/>
            </w:rPr>
            <w:t xml:space="preserve">. Comparing the ratios of two companies with contrasting business models might be perilous. Others rely on the financial statements for their information. Keep in mind that the figures on the balance sheet only reflect </w:t>
          </w:r>
          <w:r w:rsidRPr="0060367C">
            <w:rPr>
              <w:rFonts w:ascii="Times New Roman" w:hAnsi="Times New Roman" w:cs="Times New Roman"/>
              <w:color w:val="000000" w:themeColor="text1"/>
              <w:sz w:val="24"/>
              <w:szCs w:val="24"/>
            </w:rPr>
            <w:lastRenderedPageBreak/>
            <w:t>the situation as of the end of the reporting period. Due to a sudden rise or fall in account balances at the end of the reporting period, the ratio analysis might be affected</w:t>
          </w:r>
          <w:r w:rsidR="002E5B8D" w:rsidRPr="0060367C">
            <w:rPr>
              <w:rFonts w:ascii="Times New Roman" w:hAnsi="Times New Roman" w:cs="Times New Roman"/>
              <w:color w:val="000000" w:themeColor="text1"/>
              <w:sz w:val="24"/>
              <w:szCs w:val="24"/>
            </w:rPr>
            <w:t xml:space="preserve"> (Caro, 2022)</w:t>
          </w:r>
          <w:r w:rsidRPr="0060367C">
            <w:rPr>
              <w:rFonts w:ascii="Times New Roman" w:hAnsi="Times New Roman" w:cs="Times New Roman"/>
              <w:color w:val="000000" w:themeColor="text1"/>
              <w:sz w:val="24"/>
              <w:szCs w:val="24"/>
            </w:rPr>
            <w:t>. To summarize, there are a number of drawbacks to ratio analysis that limit its use. However, ratio analysis is still effective as long as you are aware of these issues and employ other approaches to gather and understand data.</w:t>
          </w:r>
        </w:p>
        <w:p w14:paraId="7E5E8858" w14:textId="565D5333" w:rsidR="00566B8A" w:rsidRPr="0060367C" w:rsidRDefault="00566B8A" w:rsidP="00DA3389">
          <w:pPr>
            <w:autoSpaceDE w:val="0"/>
            <w:autoSpaceDN w:val="0"/>
            <w:adjustRightInd w:val="0"/>
            <w:spacing w:after="0" w:line="480" w:lineRule="auto"/>
            <w:jc w:val="both"/>
            <w:rPr>
              <w:rFonts w:ascii="Times New Roman" w:hAnsi="Times New Roman" w:cs="Times New Roman"/>
              <w:color w:val="000000" w:themeColor="text1"/>
              <w:sz w:val="24"/>
              <w:szCs w:val="24"/>
            </w:rPr>
          </w:pPr>
        </w:p>
        <w:p w14:paraId="1014E1F6" w14:textId="77777777" w:rsidR="00693B08" w:rsidRPr="0060367C" w:rsidRDefault="00693B08" w:rsidP="00DA3389">
          <w:pPr>
            <w:autoSpaceDE w:val="0"/>
            <w:autoSpaceDN w:val="0"/>
            <w:adjustRightInd w:val="0"/>
            <w:spacing w:after="0" w:line="480" w:lineRule="auto"/>
            <w:jc w:val="both"/>
            <w:rPr>
              <w:rFonts w:ascii="Times New Roman" w:hAnsi="Times New Roman" w:cs="Times New Roman"/>
              <w:color w:val="000000" w:themeColor="text1"/>
              <w:sz w:val="24"/>
              <w:szCs w:val="24"/>
            </w:rPr>
          </w:pPr>
        </w:p>
        <w:p w14:paraId="32BB3BCE"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53F20DE6"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080C1603"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0B98A376" w14:textId="7A7E0987" w:rsidR="00C6113D" w:rsidRPr="0060367C" w:rsidRDefault="00C6113D" w:rsidP="00DA3389">
          <w:pPr>
            <w:spacing w:after="0" w:line="480" w:lineRule="auto"/>
            <w:jc w:val="both"/>
            <w:rPr>
              <w:rFonts w:ascii="Times New Roman" w:hAnsi="Times New Roman" w:cs="Times New Roman"/>
              <w:sz w:val="24"/>
              <w:szCs w:val="24"/>
            </w:rPr>
          </w:pPr>
        </w:p>
        <w:p w14:paraId="50407F92" w14:textId="556AE3DF" w:rsidR="00E87DCF" w:rsidRPr="0060367C" w:rsidRDefault="00E87DCF" w:rsidP="00DA3389">
          <w:pPr>
            <w:spacing w:after="0" w:line="480" w:lineRule="auto"/>
            <w:jc w:val="both"/>
            <w:rPr>
              <w:rFonts w:ascii="Times New Roman" w:hAnsi="Times New Roman" w:cs="Times New Roman"/>
              <w:sz w:val="24"/>
              <w:szCs w:val="24"/>
            </w:rPr>
          </w:pPr>
        </w:p>
        <w:p w14:paraId="00B4C811" w14:textId="4DB5C4C2" w:rsidR="00E87DCF" w:rsidRPr="0060367C" w:rsidRDefault="00E87DCF" w:rsidP="00DA3389">
          <w:pPr>
            <w:spacing w:after="0" w:line="480" w:lineRule="auto"/>
            <w:jc w:val="both"/>
            <w:rPr>
              <w:rFonts w:ascii="Times New Roman" w:hAnsi="Times New Roman" w:cs="Times New Roman"/>
              <w:sz w:val="24"/>
              <w:szCs w:val="24"/>
            </w:rPr>
          </w:pPr>
        </w:p>
        <w:p w14:paraId="514A2662" w14:textId="24AF6AA0" w:rsidR="00B11121" w:rsidRPr="0060367C" w:rsidRDefault="00B11121" w:rsidP="00DA3389">
          <w:pPr>
            <w:spacing w:after="0" w:line="480" w:lineRule="auto"/>
            <w:jc w:val="both"/>
            <w:rPr>
              <w:rFonts w:ascii="Times New Roman" w:hAnsi="Times New Roman" w:cs="Times New Roman"/>
              <w:sz w:val="24"/>
              <w:szCs w:val="24"/>
            </w:rPr>
          </w:pPr>
        </w:p>
        <w:p w14:paraId="789A3A9D" w14:textId="77777777" w:rsidR="00B11121" w:rsidRPr="0060367C" w:rsidRDefault="00B11121" w:rsidP="00DA3389">
          <w:pPr>
            <w:spacing w:after="0" w:line="480" w:lineRule="auto"/>
            <w:jc w:val="both"/>
            <w:rPr>
              <w:rFonts w:ascii="Times New Roman" w:hAnsi="Times New Roman" w:cs="Times New Roman"/>
              <w:sz w:val="24"/>
              <w:szCs w:val="24"/>
            </w:rPr>
          </w:pPr>
        </w:p>
        <w:p w14:paraId="64B6D16D" w14:textId="77777777" w:rsidR="008F4C2D" w:rsidRPr="0060367C" w:rsidRDefault="008F4C2D" w:rsidP="00DA3389">
          <w:pPr>
            <w:spacing w:after="0"/>
            <w:rPr>
              <w:rFonts w:ascii="Times New Roman" w:eastAsiaTheme="majorEastAsia" w:hAnsi="Times New Roman" w:cs="Times New Roman"/>
              <w:b/>
              <w:color w:val="000000" w:themeColor="text1"/>
              <w:sz w:val="24"/>
              <w:szCs w:val="24"/>
            </w:rPr>
          </w:pPr>
          <w:bookmarkStart w:id="5" w:name="_Toc104999870"/>
          <w:r w:rsidRPr="0060367C">
            <w:rPr>
              <w:rFonts w:ascii="Times New Roman" w:hAnsi="Times New Roman" w:cs="Times New Roman"/>
              <w:b/>
              <w:color w:val="000000" w:themeColor="text1"/>
              <w:sz w:val="24"/>
              <w:szCs w:val="24"/>
            </w:rPr>
            <w:br w:type="page"/>
          </w:r>
        </w:p>
        <w:p w14:paraId="3DB1E6EF" w14:textId="2B07C900" w:rsidR="00AA2A91" w:rsidRPr="0060367C" w:rsidRDefault="00AA2A91" w:rsidP="00DA3389">
          <w:pPr>
            <w:pStyle w:val="Heading1"/>
            <w:tabs>
              <w:tab w:val="left" w:pos="7725"/>
            </w:tabs>
            <w:spacing w:before="0" w:line="480" w:lineRule="auto"/>
            <w:jc w:val="center"/>
            <w:rPr>
              <w:rFonts w:ascii="Times New Roman" w:hAnsi="Times New Roman" w:cs="Times New Roman"/>
              <w:b/>
              <w:color w:val="000000" w:themeColor="text1"/>
              <w:sz w:val="24"/>
              <w:szCs w:val="24"/>
            </w:rPr>
          </w:pPr>
          <w:r w:rsidRPr="0060367C">
            <w:rPr>
              <w:rFonts w:ascii="Times New Roman" w:hAnsi="Times New Roman" w:cs="Times New Roman"/>
              <w:b/>
              <w:color w:val="000000" w:themeColor="text1"/>
              <w:sz w:val="24"/>
              <w:szCs w:val="24"/>
            </w:rPr>
            <w:lastRenderedPageBreak/>
            <w:t>Conclusion</w:t>
          </w:r>
          <w:bookmarkEnd w:id="5"/>
        </w:p>
        <w:p w14:paraId="6CF543C0" w14:textId="7AE5F619" w:rsidR="00AA2A91" w:rsidRPr="0060367C" w:rsidRDefault="00C31312" w:rsidP="00DA3389">
          <w:pPr>
            <w:spacing w:after="0" w:line="480" w:lineRule="auto"/>
            <w:ind w:firstLine="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 xml:space="preserve">The fact that ratio analysis is an all-in-one solution for every firm makes its significance clear. Every aspect of a company, from liquidity to profitability to leverage to market value is represented by these measures. A variety of ratios may be used by stakeholders. They don't have to make all of their selections based on a single ratio. A business's </w:t>
          </w:r>
          <w:r w:rsidR="001C273E" w:rsidRPr="0060367C">
            <w:rPr>
              <w:rFonts w:ascii="Times New Roman" w:hAnsi="Times New Roman" w:cs="Times New Roman"/>
              <w:color w:val="000000" w:themeColor="text1"/>
              <w:sz w:val="24"/>
              <w:szCs w:val="24"/>
            </w:rPr>
            <w:t>unfavourable</w:t>
          </w:r>
          <w:r w:rsidRPr="0060367C">
            <w:rPr>
              <w:rFonts w:ascii="Times New Roman" w:hAnsi="Times New Roman" w:cs="Times New Roman"/>
              <w:color w:val="000000" w:themeColor="text1"/>
              <w:sz w:val="24"/>
              <w:szCs w:val="24"/>
            </w:rPr>
            <w:t xml:space="preserve"> characteristics are also revealed via ratio analysis, along with its </w:t>
          </w:r>
          <w:r w:rsidR="001C273E" w:rsidRPr="0060367C">
            <w:rPr>
              <w:rFonts w:ascii="Times New Roman" w:hAnsi="Times New Roman" w:cs="Times New Roman"/>
              <w:color w:val="000000" w:themeColor="text1"/>
              <w:sz w:val="24"/>
              <w:szCs w:val="24"/>
            </w:rPr>
            <w:t>favourable</w:t>
          </w:r>
          <w:r w:rsidRPr="0060367C">
            <w:rPr>
              <w:rFonts w:ascii="Times New Roman" w:hAnsi="Times New Roman" w:cs="Times New Roman"/>
              <w:color w:val="000000" w:themeColor="text1"/>
              <w:sz w:val="24"/>
              <w:szCs w:val="24"/>
            </w:rPr>
            <w:t xml:space="preserve"> ones. The company's strengths and shortcomings are readily apparent to the company's management. They are able to identify and attempt to eradicate any adverse elements. Stakeholders, on the other hand, should use caution when interpreting the findings of ratio analysis. Management has the power to improve these ratios by altering the numbers in the financial statements. Choosing the components or inputs in a computation does not follow a precise structure or guideline. As a result, the ratios across different businesses and sectors may differ. As a result, making decisions only on the basis of these ratios is not recommended. When making a decision, it is important to do a thorough investigation and consider a variety of ratios.</w:t>
          </w:r>
        </w:p>
        <w:p w14:paraId="1835104B"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46BEC451"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1F7E44AC"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4A1D4DE1"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614190F2"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2B627672"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7B66C7C8" w14:textId="77777777" w:rsidR="00AA2A91" w:rsidRPr="0060367C" w:rsidRDefault="00AA2A91" w:rsidP="00DA3389">
          <w:pPr>
            <w:spacing w:after="0" w:line="480" w:lineRule="auto"/>
            <w:jc w:val="both"/>
            <w:rPr>
              <w:rFonts w:ascii="Times New Roman" w:hAnsi="Times New Roman" w:cs="Times New Roman"/>
              <w:color w:val="000000" w:themeColor="text1"/>
              <w:sz w:val="24"/>
              <w:szCs w:val="24"/>
            </w:rPr>
          </w:pPr>
        </w:p>
        <w:p w14:paraId="1187682F" w14:textId="4ADDBC32" w:rsidR="003D3ED9" w:rsidRPr="0060367C" w:rsidRDefault="003D3ED9" w:rsidP="00DA3389">
          <w:pPr>
            <w:spacing w:after="0" w:line="480" w:lineRule="auto"/>
            <w:jc w:val="both"/>
            <w:rPr>
              <w:rFonts w:ascii="Times New Roman" w:hAnsi="Times New Roman" w:cs="Times New Roman"/>
              <w:color w:val="000000" w:themeColor="text1"/>
              <w:sz w:val="24"/>
              <w:szCs w:val="24"/>
            </w:rPr>
          </w:pPr>
        </w:p>
        <w:p w14:paraId="08F07262" w14:textId="0BA7C94F" w:rsidR="004A11F6" w:rsidRPr="0060367C" w:rsidRDefault="00AA2A91" w:rsidP="00DA3389">
          <w:pPr>
            <w:pStyle w:val="Heading1"/>
            <w:spacing w:before="0" w:line="480" w:lineRule="auto"/>
            <w:jc w:val="center"/>
            <w:rPr>
              <w:rFonts w:ascii="Times New Roman" w:hAnsi="Times New Roman" w:cs="Times New Roman"/>
              <w:b/>
              <w:color w:val="000000" w:themeColor="text1"/>
              <w:sz w:val="24"/>
              <w:szCs w:val="24"/>
            </w:rPr>
          </w:pPr>
          <w:bookmarkStart w:id="6" w:name="_Toc104999871"/>
          <w:r w:rsidRPr="0060367C">
            <w:rPr>
              <w:rFonts w:ascii="Times New Roman" w:hAnsi="Times New Roman" w:cs="Times New Roman"/>
              <w:b/>
              <w:color w:val="000000" w:themeColor="text1"/>
              <w:sz w:val="24"/>
              <w:szCs w:val="24"/>
            </w:rPr>
            <w:lastRenderedPageBreak/>
            <w:t>Bibliography</w:t>
          </w:r>
          <w:bookmarkEnd w:id="6"/>
        </w:p>
        <w:p w14:paraId="23DA04E2" w14:textId="77777777"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Anggraini, N. T. (2022). Analysis of Financial Statements Based on Financial Ratio and Vertical-Horizontal Method in PT Unilever, Tbk, 2016-2017 Period. </w:t>
          </w:r>
          <w:r w:rsidRPr="0060367C">
            <w:rPr>
              <w:rFonts w:ascii="Times New Roman" w:hAnsi="Times New Roman" w:cs="Times New Roman"/>
              <w:i/>
              <w:iCs/>
              <w:color w:val="000000" w:themeColor="text1"/>
              <w:sz w:val="24"/>
              <w:szCs w:val="24"/>
            </w:rPr>
            <w:t>Journal of Social Science</w:t>
          </w:r>
          <w:r w:rsidRPr="0060367C">
            <w:rPr>
              <w:rFonts w:ascii="Times New Roman" w:hAnsi="Times New Roman" w:cs="Times New Roman"/>
              <w:color w:val="000000" w:themeColor="text1"/>
              <w:sz w:val="24"/>
              <w:szCs w:val="24"/>
            </w:rPr>
            <w:t>, </w:t>
          </w:r>
          <w:r w:rsidRPr="0060367C">
            <w:rPr>
              <w:rFonts w:ascii="Times New Roman" w:hAnsi="Times New Roman" w:cs="Times New Roman"/>
              <w:i/>
              <w:iCs/>
              <w:color w:val="000000" w:themeColor="text1"/>
              <w:sz w:val="24"/>
              <w:szCs w:val="24"/>
            </w:rPr>
            <w:t>3</w:t>
          </w:r>
          <w:r w:rsidRPr="0060367C">
            <w:rPr>
              <w:rFonts w:ascii="Times New Roman" w:hAnsi="Times New Roman" w:cs="Times New Roman"/>
              <w:color w:val="000000" w:themeColor="text1"/>
              <w:sz w:val="24"/>
              <w:szCs w:val="24"/>
            </w:rPr>
            <w:t>(1), 171-176.</w:t>
          </w:r>
        </w:p>
        <w:p w14:paraId="7DFA1CF4" w14:textId="77777777"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Burghardt, T. E., &amp; Pashkevich, A. (2020). Materials selection for structured horizontal road markings: financial and environmental case studies. </w:t>
          </w:r>
          <w:r w:rsidRPr="0060367C">
            <w:rPr>
              <w:rFonts w:ascii="Times New Roman" w:hAnsi="Times New Roman" w:cs="Times New Roman"/>
              <w:i/>
              <w:iCs/>
              <w:color w:val="000000" w:themeColor="text1"/>
              <w:sz w:val="24"/>
              <w:szCs w:val="24"/>
            </w:rPr>
            <w:t>European Transport Research Review</w:t>
          </w:r>
          <w:r w:rsidRPr="0060367C">
            <w:rPr>
              <w:rFonts w:ascii="Times New Roman" w:hAnsi="Times New Roman" w:cs="Times New Roman"/>
              <w:color w:val="000000" w:themeColor="text1"/>
              <w:sz w:val="24"/>
              <w:szCs w:val="24"/>
            </w:rPr>
            <w:t>, </w:t>
          </w:r>
          <w:r w:rsidRPr="0060367C">
            <w:rPr>
              <w:rFonts w:ascii="Times New Roman" w:hAnsi="Times New Roman" w:cs="Times New Roman"/>
              <w:i/>
              <w:iCs/>
              <w:color w:val="000000" w:themeColor="text1"/>
              <w:sz w:val="24"/>
              <w:szCs w:val="24"/>
            </w:rPr>
            <w:t>12</w:t>
          </w:r>
          <w:r w:rsidRPr="0060367C">
            <w:rPr>
              <w:rFonts w:ascii="Times New Roman" w:hAnsi="Times New Roman" w:cs="Times New Roman"/>
              <w:color w:val="000000" w:themeColor="text1"/>
              <w:sz w:val="24"/>
              <w:szCs w:val="24"/>
            </w:rPr>
            <w:t>(1), 1-10.</w:t>
          </w:r>
        </w:p>
        <w:p w14:paraId="7F35A816" w14:textId="6C831730"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Lakada, M. N., Lapian, S. J., &amp; Tumiwa, J. R. (2017). Analysing the financial statement using horizontal–vertical analysis to evaluating the company financial performance period 2012-2016 (Case Study at PT. Unilever IndonesiaTbk). </w:t>
          </w:r>
          <w:r w:rsidRPr="0060367C">
            <w:rPr>
              <w:rFonts w:ascii="Times New Roman" w:hAnsi="Times New Roman" w:cs="Times New Roman"/>
              <w:i/>
              <w:iCs/>
              <w:color w:val="000000" w:themeColor="text1"/>
              <w:sz w:val="24"/>
              <w:szCs w:val="24"/>
            </w:rPr>
            <w:t xml:space="preserve">Jurnal EMBA: Jurnal Riset Ekonomi, </w:t>
          </w:r>
          <w:r w:rsidR="00FB17D5" w:rsidRPr="0060367C">
            <w:rPr>
              <w:rFonts w:ascii="Times New Roman" w:hAnsi="Times New Roman" w:cs="Times New Roman"/>
              <w:i/>
              <w:iCs/>
              <w:color w:val="000000" w:themeColor="text1"/>
              <w:sz w:val="24"/>
              <w:szCs w:val="24"/>
            </w:rPr>
            <w:t>Management</w:t>
          </w:r>
          <w:r w:rsidRPr="0060367C">
            <w:rPr>
              <w:rFonts w:ascii="Times New Roman" w:hAnsi="Times New Roman" w:cs="Times New Roman"/>
              <w:i/>
              <w:iCs/>
              <w:color w:val="000000" w:themeColor="text1"/>
              <w:sz w:val="24"/>
              <w:szCs w:val="24"/>
            </w:rPr>
            <w:t xml:space="preserve">, </w:t>
          </w:r>
          <w:proofErr w:type="spellStart"/>
          <w:r w:rsidRPr="0060367C">
            <w:rPr>
              <w:rFonts w:ascii="Times New Roman" w:hAnsi="Times New Roman" w:cs="Times New Roman"/>
              <w:i/>
              <w:iCs/>
              <w:color w:val="000000" w:themeColor="text1"/>
              <w:sz w:val="24"/>
              <w:szCs w:val="24"/>
            </w:rPr>
            <w:t>Bisnis</w:t>
          </w:r>
          <w:proofErr w:type="spellEnd"/>
          <w:r w:rsidRPr="0060367C">
            <w:rPr>
              <w:rFonts w:ascii="Times New Roman" w:hAnsi="Times New Roman" w:cs="Times New Roman"/>
              <w:i/>
              <w:iCs/>
              <w:color w:val="000000" w:themeColor="text1"/>
              <w:sz w:val="24"/>
              <w:szCs w:val="24"/>
            </w:rPr>
            <w:t xml:space="preserve"> dan </w:t>
          </w:r>
          <w:proofErr w:type="spellStart"/>
          <w:r w:rsidRPr="0060367C">
            <w:rPr>
              <w:rFonts w:ascii="Times New Roman" w:hAnsi="Times New Roman" w:cs="Times New Roman"/>
              <w:i/>
              <w:iCs/>
              <w:color w:val="000000" w:themeColor="text1"/>
              <w:sz w:val="24"/>
              <w:szCs w:val="24"/>
            </w:rPr>
            <w:t>Akuntansi</w:t>
          </w:r>
          <w:proofErr w:type="spellEnd"/>
          <w:r w:rsidRPr="0060367C">
            <w:rPr>
              <w:rFonts w:ascii="Times New Roman" w:hAnsi="Times New Roman" w:cs="Times New Roman"/>
              <w:color w:val="000000" w:themeColor="text1"/>
              <w:sz w:val="24"/>
              <w:szCs w:val="24"/>
            </w:rPr>
            <w:t>, </w:t>
          </w:r>
          <w:r w:rsidRPr="0060367C">
            <w:rPr>
              <w:rFonts w:ascii="Times New Roman" w:hAnsi="Times New Roman" w:cs="Times New Roman"/>
              <w:i/>
              <w:iCs/>
              <w:color w:val="000000" w:themeColor="text1"/>
              <w:sz w:val="24"/>
              <w:szCs w:val="24"/>
            </w:rPr>
            <w:t>5</w:t>
          </w:r>
          <w:r w:rsidRPr="0060367C">
            <w:rPr>
              <w:rFonts w:ascii="Times New Roman" w:hAnsi="Times New Roman" w:cs="Times New Roman"/>
              <w:color w:val="000000" w:themeColor="text1"/>
              <w:sz w:val="24"/>
              <w:szCs w:val="24"/>
            </w:rPr>
            <w:t>(3).</w:t>
          </w:r>
        </w:p>
        <w:p w14:paraId="487E401D" w14:textId="77777777"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 xml:space="preserve">Pochwat, K., </w:t>
          </w:r>
          <w:proofErr w:type="spellStart"/>
          <w:r w:rsidRPr="0060367C">
            <w:rPr>
              <w:rFonts w:ascii="Times New Roman" w:hAnsi="Times New Roman" w:cs="Times New Roman"/>
              <w:color w:val="000000" w:themeColor="text1"/>
              <w:sz w:val="24"/>
              <w:szCs w:val="24"/>
            </w:rPr>
            <w:t>Kordana-Obuch</w:t>
          </w:r>
          <w:proofErr w:type="spellEnd"/>
          <w:r w:rsidRPr="0060367C">
            <w:rPr>
              <w:rFonts w:ascii="Times New Roman" w:hAnsi="Times New Roman" w:cs="Times New Roman"/>
              <w:color w:val="000000" w:themeColor="text1"/>
              <w:sz w:val="24"/>
              <w:szCs w:val="24"/>
            </w:rPr>
            <w:t>, S., Starzec, M., &amp; Piotrowska, B. (2020). Financial analysis of the use of two horizontal drain water heat recovery units. </w:t>
          </w:r>
          <w:r w:rsidRPr="0060367C">
            <w:rPr>
              <w:rFonts w:ascii="Times New Roman" w:hAnsi="Times New Roman" w:cs="Times New Roman"/>
              <w:i/>
              <w:iCs/>
              <w:color w:val="000000" w:themeColor="text1"/>
              <w:sz w:val="24"/>
              <w:szCs w:val="24"/>
            </w:rPr>
            <w:t>Energies</w:t>
          </w:r>
          <w:r w:rsidRPr="0060367C">
            <w:rPr>
              <w:rFonts w:ascii="Times New Roman" w:hAnsi="Times New Roman" w:cs="Times New Roman"/>
              <w:color w:val="000000" w:themeColor="text1"/>
              <w:sz w:val="24"/>
              <w:szCs w:val="24"/>
            </w:rPr>
            <w:t>, </w:t>
          </w:r>
          <w:r w:rsidRPr="0060367C">
            <w:rPr>
              <w:rFonts w:ascii="Times New Roman" w:hAnsi="Times New Roman" w:cs="Times New Roman"/>
              <w:i/>
              <w:iCs/>
              <w:color w:val="000000" w:themeColor="text1"/>
              <w:sz w:val="24"/>
              <w:szCs w:val="24"/>
            </w:rPr>
            <w:t>13</w:t>
          </w:r>
          <w:r w:rsidRPr="0060367C">
            <w:rPr>
              <w:rFonts w:ascii="Times New Roman" w:hAnsi="Times New Roman" w:cs="Times New Roman"/>
              <w:color w:val="000000" w:themeColor="text1"/>
              <w:sz w:val="24"/>
              <w:szCs w:val="24"/>
            </w:rPr>
            <w:t>(16), 4113.</w:t>
          </w:r>
        </w:p>
        <w:p w14:paraId="6938FAA3" w14:textId="77777777"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Caro, F. R. (2022). Horizontal cooperation and financial relations in Spain: an analysis on how the Autonomous Communities set the agenda for the reform of territorial financing. In </w:t>
          </w:r>
          <w:r w:rsidRPr="0060367C">
            <w:rPr>
              <w:rFonts w:ascii="Times New Roman" w:hAnsi="Times New Roman" w:cs="Times New Roman"/>
              <w:i/>
              <w:iCs/>
              <w:color w:val="000000" w:themeColor="text1"/>
              <w:sz w:val="24"/>
              <w:szCs w:val="24"/>
            </w:rPr>
            <w:t>PSA Annual International Conference 2022</w:t>
          </w:r>
          <w:r w:rsidRPr="0060367C">
            <w:rPr>
              <w:rFonts w:ascii="Times New Roman" w:hAnsi="Times New Roman" w:cs="Times New Roman"/>
              <w:color w:val="000000" w:themeColor="text1"/>
              <w:sz w:val="24"/>
              <w:szCs w:val="24"/>
            </w:rPr>
            <w:t>.</w:t>
          </w:r>
        </w:p>
        <w:p w14:paraId="1A2AD911" w14:textId="77777777"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b/>
              <w:bCs/>
              <w:color w:val="000000" w:themeColor="text1"/>
              <w:sz w:val="24"/>
              <w:szCs w:val="24"/>
            </w:rPr>
            <w:t>Lewellen,</w:t>
          </w:r>
          <w:r w:rsidRPr="0060367C">
            <w:rPr>
              <w:rFonts w:ascii="Times New Roman" w:hAnsi="Times New Roman" w:cs="Times New Roman"/>
              <w:color w:val="000000" w:themeColor="text1"/>
              <w:sz w:val="24"/>
              <w:szCs w:val="24"/>
            </w:rPr>
            <w:t xml:space="preserve"> J., 2004. Predicting returns with financial ratios. </w:t>
          </w:r>
          <w:r w:rsidRPr="0060367C">
            <w:rPr>
              <w:rFonts w:ascii="Times New Roman" w:hAnsi="Times New Roman" w:cs="Times New Roman"/>
              <w:i/>
              <w:iCs/>
              <w:color w:val="000000" w:themeColor="text1"/>
              <w:sz w:val="24"/>
              <w:szCs w:val="24"/>
            </w:rPr>
            <w:t>Journal of Financial Economics</w:t>
          </w:r>
          <w:r w:rsidRPr="0060367C">
            <w:rPr>
              <w:rFonts w:ascii="Times New Roman" w:hAnsi="Times New Roman" w:cs="Times New Roman"/>
              <w:color w:val="000000" w:themeColor="text1"/>
              <w:sz w:val="24"/>
              <w:szCs w:val="24"/>
            </w:rPr>
            <w:t xml:space="preserve">, </w:t>
          </w:r>
          <w:r w:rsidRPr="0060367C">
            <w:rPr>
              <w:rFonts w:ascii="Times New Roman" w:hAnsi="Times New Roman" w:cs="Times New Roman"/>
              <w:i/>
              <w:iCs/>
              <w:color w:val="000000" w:themeColor="text1"/>
              <w:sz w:val="24"/>
              <w:szCs w:val="24"/>
            </w:rPr>
            <w:t>74</w:t>
          </w:r>
          <w:r w:rsidRPr="0060367C">
            <w:rPr>
              <w:rFonts w:ascii="Times New Roman" w:hAnsi="Times New Roman" w:cs="Times New Roman"/>
              <w:color w:val="000000" w:themeColor="text1"/>
              <w:sz w:val="24"/>
              <w:szCs w:val="24"/>
            </w:rPr>
            <w:t>(2), pp.209-235.</w:t>
          </w:r>
        </w:p>
        <w:p w14:paraId="5587F172" w14:textId="77777777"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 xml:space="preserve">Lan, J., 2012. 16 financial ratios for analysing a company's strengths and weaknesses. </w:t>
          </w:r>
          <w:r w:rsidRPr="0060367C">
            <w:rPr>
              <w:rFonts w:ascii="Times New Roman" w:hAnsi="Times New Roman" w:cs="Times New Roman"/>
              <w:i/>
              <w:iCs/>
              <w:color w:val="000000" w:themeColor="text1"/>
              <w:sz w:val="24"/>
              <w:szCs w:val="24"/>
            </w:rPr>
            <w:t>AAII Journal</w:t>
          </w:r>
          <w:r w:rsidRPr="0060367C">
            <w:rPr>
              <w:rFonts w:ascii="Times New Roman" w:hAnsi="Times New Roman" w:cs="Times New Roman"/>
              <w:color w:val="000000" w:themeColor="text1"/>
              <w:sz w:val="24"/>
              <w:szCs w:val="24"/>
            </w:rPr>
            <w:t>, (September).</w:t>
          </w:r>
        </w:p>
        <w:p w14:paraId="13125F3D" w14:textId="64A8C44D"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t xml:space="preserve">Abdul-Baki, Z., Uthman, A. B., and Sanni, M. 2014. Financial ratios as performance measure: A comparison of IFRS and Nigerian GAAP. </w:t>
          </w:r>
          <w:r w:rsidRPr="0060367C">
            <w:rPr>
              <w:rFonts w:ascii="Times New Roman" w:hAnsi="Times New Roman" w:cs="Times New Roman"/>
              <w:i/>
              <w:iCs/>
              <w:color w:val="000000" w:themeColor="text1"/>
              <w:sz w:val="24"/>
              <w:szCs w:val="24"/>
            </w:rPr>
            <w:t>Accounting &amp; Management Information Systems/</w:t>
          </w:r>
          <w:proofErr w:type="spellStart"/>
          <w:r w:rsidRPr="0060367C">
            <w:rPr>
              <w:rFonts w:ascii="Times New Roman" w:hAnsi="Times New Roman" w:cs="Times New Roman"/>
              <w:i/>
              <w:iCs/>
              <w:color w:val="000000" w:themeColor="text1"/>
              <w:sz w:val="24"/>
              <w:szCs w:val="24"/>
            </w:rPr>
            <w:t>Contabilitate</w:t>
          </w:r>
          <w:proofErr w:type="spellEnd"/>
          <w:r w:rsidRPr="0060367C">
            <w:rPr>
              <w:rFonts w:ascii="Times New Roman" w:hAnsi="Times New Roman" w:cs="Times New Roman"/>
              <w:i/>
              <w:iCs/>
              <w:color w:val="000000" w:themeColor="text1"/>
              <w:sz w:val="24"/>
              <w:szCs w:val="24"/>
            </w:rPr>
            <w:t xml:space="preserve"> Si Informatica De </w:t>
          </w:r>
          <w:proofErr w:type="spellStart"/>
          <w:r w:rsidRPr="0060367C">
            <w:rPr>
              <w:rFonts w:ascii="Times New Roman" w:hAnsi="Times New Roman" w:cs="Times New Roman"/>
              <w:i/>
              <w:iCs/>
              <w:color w:val="000000" w:themeColor="text1"/>
              <w:sz w:val="24"/>
              <w:szCs w:val="24"/>
            </w:rPr>
            <w:t>Gestiune</w:t>
          </w:r>
          <w:proofErr w:type="spellEnd"/>
          <w:r w:rsidRPr="0060367C">
            <w:rPr>
              <w:rFonts w:ascii="Times New Roman" w:hAnsi="Times New Roman" w:cs="Times New Roman"/>
              <w:color w:val="000000" w:themeColor="text1"/>
              <w:sz w:val="24"/>
              <w:szCs w:val="24"/>
            </w:rPr>
            <w:t xml:space="preserve">, </w:t>
          </w:r>
          <w:r w:rsidRPr="0060367C">
            <w:rPr>
              <w:rFonts w:ascii="Times New Roman" w:hAnsi="Times New Roman" w:cs="Times New Roman"/>
              <w:i/>
              <w:iCs/>
              <w:color w:val="000000" w:themeColor="text1"/>
              <w:sz w:val="24"/>
              <w:szCs w:val="24"/>
            </w:rPr>
            <w:t>13</w:t>
          </w:r>
          <w:r w:rsidRPr="0060367C">
            <w:rPr>
              <w:rFonts w:ascii="Times New Roman" w:hAnsi="Times New Roman" w:cs="Times New Roman"/>
              <w:color w:val="000000" w:themeColor="text1"/>
              <w:sz w:val="24"/>
              <w:szCs w:val="24"/>
            </w:rPr>
            <w:t>(1).</w:t>
          </w:r>
        </w:p>
        <w:p w14:paraId="654BAAE6" w14:textId="77777777" w:rsidR="00EA7044" w:rsidRPr="0060367C" w:rsidRDefault="00EA7044" w:rsidP="00DA3389">
          <w:pPr>
            <w:spacing w:after="0" w:line="480" w:lineRule="auto"/>
            <w:ind w:left="720" w:hanging="720"/>
            <w:jc w:val="both"/>
            <w:rPr>
              <w:rFonts w:ascii="Times New Roman" w:hAnsi="Times New Roman" w:cs="Times New Roman"/>
              <w:color w:val="000000" w:themeColor="text1"/>
              <w:sz w:val="24"/>
              <w:szCs w:val="24"/>
            </w:rPr>
          </w:pPr>
          <w:r w:rsidRPr="0060367C">
            <w:rPr>
              <w:rFonts w:ascii="Times New Roman" w:hAnsi="Times New Roman" w:cs="Times New Roman"/>
              <w:color w:val="000000" w:themeColor="text1"/>
              <w:sz w:val="24"/>
              <w:szCs w:val="24"/>
            </w:rPr>
            <w:lastRenderedPageBreak/>
            <w:t>El-</w:t>
          </w:r>
          <w:proofErr w:type="spellStart"/>
          <w:r w:rsidRPr="0060367C">
            <w:rPr>
              <w:rFonts w:ascii="Times New Roman" w:hAnsi="Times New Roman" w:cs="Times New Roman"/>
              <w:color w:val="000000" w:themeColor="text1"/>
              <w:sz w:val="24"/>
              <w:szCs w:val="24"/>
            </w:rPr>
            <w:t>Gazzar</w:t>
          </w:r>
          <w:proofErr w:type="spellEnd"/>
          <w:r w:rsidRPr="0060367C">
            <w:rPr>
              <w:rFonts w:ascii="Times New Roman" w:hAnsi="Times New Roman" w:cs="Times New Roman"/>
              <w:color w:val="000000" w:themeColor="text1"/>
              <w:sz w:val="24"/>
              <w:szCs w:val="24"/>
            </w:rPr>
            <w:t xml:space="preserve">, S.M., Chung, K.H. and Jacob, R.A., 2011. Reporting of internal control weaknesses and debt rating changes. </w:t>
          </w:r>
          <w:r w:rsidRPr="0060367C">
            <w:rPr>
              <w:rFonts w:ascii="Times New Roman" w:hAnsi="Times New Roman" w:cs="Times New Roman"/>
              <w:i/>
              <w:iCs/>
              <w:color w:val="000000" w:themeColor="text1"/>
              <w:sz w:val="24"/>
              <w:szCs w:val="24"/>
            </w:rPr>
            <w:t>International Advances in Economic Research</w:t>
          </w:r>
          <w:r w:rsidRPr="0060367C">
            <w:rPr>
              <w:rFonts w:ascii="Times New Roman" w:hAnsi="Times New Roman" w:cs="Times New Roman"/>
              <w:color w:val="000000" w:themeColor="text1"/>
              <w:sz w:val="24"/>
              <w:szCs w:val="24"/>
            </w:rPr>
            <w:t xml:space="preserve">, </w:t>
          </w:r>
          <w:r w:rsidRPr="0060367C">
            <w:rPr>
              <w:rFonts w:ascii="Times New Roman" w:hAnsi="Times New Roman" w:cs="Times New Roman"/>
              <w:i/>
              <w:iCs/>
              <w:color w:val="000000" w:themeColor="text1"/>
              <w:sz w:val="24"/>
              <w:szCs w:val="24"/>
            </w:rPr>
            <w:t>17</w:t>
          </w:r>
          <w:r w:rsidRPr="0060367C">
            <w:rPr>
              <w:rFonts w:ascii="Times New Roman" w:hAnsi="Times New Roman" w:cs="Times New Roman"/>
              <w:color w:val="000000" w:themeColor="text1"/>
              <w:sz w:val="24"/>
              <w:szCs w:val="24"/>
            </w:rPr>
            <w:t>(4), pp.421-435.</w:t>
          </w:r>
        </w:p>
        <w:p w14:paraId="141358C5" w14:textId="77777777" w:rsidR="001959DD" w:rsidRPr="0060367C" w:rsidRDefault="001959DD" w:rsidP="00DA3389">
          <w:pPr>
            <w:spacing w:after="0" w:line="480" w:lineRule="auto"/>
            <w:ind w:left="720" w:hanging="720"/>
            <w:jc w:val="both"/>
            <w:rPr>
              <w:rFonts w:ascii="Times New Roman" w:hAnsi="Times New Roman" w:cs="Times New Roman"/>
              <w:color w:val="000000" w:themeColor="text1"/>
              <w:sz w:val="24"/>
              <w:szCs w:val="24"/>
            </w:rPr>
          </w:pPr>
        </w:p>
        <w:p w14:paraId="0B60BCAC" w14:textId="76A05230" w:rsidR="00CA09F3" w:rsidRPr="0060367C" w:rsidRDefault="00A21039" w:rsidP="00DA3389">
          <w:pPr>
            <w:spacing w:after="0" w:line="480" w:lineRule="auto"/>
            <w:jc w:val="both"/>
            <w:rPr>
              <w:rFonts w:ascii="Times New Roman" w:hAnsi="Times New Roman" w:cs="Times New Roman"/>
              <w:color w:val="000000" w:themeColor="text1"/>
              <w:sz w:val="24"/>
              <w:szCs w:val="24"/>
            </w:rPr>
          </w:pPr>
        </w:p>
      </w:sdtContent>
    </w:sdt>
    <w:sectPr w:rsidR="00CA09F3" w:rsidRPr="0060367C" w:rsidSect="007D1947">
      <w:head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094C7" w14:textId="77777777" w:rsidR="00811828" w:rsidRDefault="00811828" w:rsidP="000C0D7E">
      <w:pPr>
        <w:spacing w:after="0" w:line="240" w:lineRule="auto"/>
      </w:pPr>
      <w:r>
        <w:separator/>
      </w:r>
    </w:p>
  </w:endnote>
  <w:endnote w:type="continuationSeparator" w:id="0">
    <w:p w14:paraId="2B265999" w14:textId="77777777" w:rsidR="00811828" w:rsidRDefault="00811828" w:rsidP="000C0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F360A" w14:textId="77777777" w:rsidR="00811828" w:rsidRDefault="00811828" w:rsidP="000C0D7E">
      <w:pPr>
        <w:spacing w:after="0" w:line="240" w:lineRule="auto"/>
      </w:pPr>
      <w:r>
        <w:separator/>
      </w:r>
    </w:p>
  </w:footnote>
  <w:footnote w:type="continuationSeparator" w:id="0">
    <w:p w14:paraId="6A13FA74" w14:textId="77777777" w:rsidR="00811828" w:rsidRDefault="00811828" w:rsidP="000C0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71D5D" w14:textId="361458EE" w:rsidR="00FB17D5" w:rsidRDefault="00FB17D5">
    <w:pPr>
      <w:pStyle w:val="Header"/>
    </w:pPr>
    <w:r>
      <w:tab/>
    </w:r>
    <w:r>
      <w:tab/>
    </w:r>
    <w:sdt>
      <w:sdtPr>
        <w:id w:val="161347193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B5F87FC" w14:textId="77777777" w:rsidR="00FB17D5" w:rsidRDefault="00FB17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669047"/>
      <w:docPartObj>
        <w:docPartGallery w:val="Page Numbers (Top of Page)"/>
        <w:docPartUnique/>
      </w:docPartObj>
    </w:sdtPr>
    <w:sdtEndPr>
      <w:rPr>
        <w:noProof/>
      </w:rPr>
    </w:sdtEndPr>
    <w:sdtContent>
      <w:p w14:paraId="3DD2F48A" w14:textId="2AD6A0B8" w:rsidR="000C0D7E" w:rsidRDefault="000C0D7E">
        <w:pPr>
          <w:pStyle w:val="Header"/>
          <w:jc w:val="right"/>
        </w:pPr>
        <w:r>
          <w:t>1</w:t>
        </w:r>
      </w:p>
    </w:sdtContent>
  </w:sdt>
  <w:p w14:paraId="4B9F2B25" w14:textId="77777777" w:rsidR="000C0D7E" w:rsidRPr="000C0D7E" w:rsidRDefault="000C0D7E">
    <w:pPr>
      <w:pStyle w:val="Header"/>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020245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US" w:vendorID="64" w:dllVersion="409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713A"/>
    <w:rsid w:val="000A5678"/>
    <w:rsid w:val="000C0D7E"/>
    <w:rsid w:val="000D0F09"/>
    <w:rsid w:val="00115B96"/>
    <w:rsid w:val="00126061"/>
    <w:rsid w:val="00167CF3"/>
    <w:rsid w:val="001711EE"/>
    <w:rsid w:val="00175286"/>
    <w:rsid w:val="0018041F"/>
    <w:rsid w:val="00183268"/>
    <w:rsid w:val="001959DD"/>
    <w:rsid w:val="001B4253"/>
    <w:rsid w:val="001C2035"/>
    <w:rsid w:val="001C273E"/>
    <w:rsid w:val="00203775"/>
    <w:rsid w:val="0022354C"/>
    <w:rsid w:val="002249C6"/>
    <w:rsid w:val="00254B0E"/>
    <w:rsid w:val="0026696A"/>
    <w:rsid w:val="002B791C"/>
    <w:rsid w:val="002E5B8D"/>
    <w:rsid w:val="002E6ECE"/>
    <w:rsid w:val="002F62BE"/>
    <w:rsid w:val="00320E1C"/>
    <w:rsid w:val="00322A3D"/>
    <w:rsid w:val="003235E0"/>
    <w:rsid w:val="00324CCD"/>
    <w:rsid w:val="003D3ED9"/>
    <w:rsid w:val="003D6462"/>
    <w:rsid w:val="003E17D1"/>
    <w:rsid w:val="00446DA5"/>
    <w:rsid w:val="0047332F"/>
    <w:rsid w:val="004A0B60"/>
    <w:rsid w:val="004A11F6"/>
    <w:rsid w:val="004C236B"/>
    <w:rsid w:val="004D519C"/>
    <w:rsid w:val="005105A9"/>
    <w:rsid w:val="00525B0B"/>
    <w:rsid w:val="00543690"/>
    <w:rsid w:val="00566B8A"/>
    <w:rsid w:val="00583F08"/>
    <w:rsid w:val="005F0A3E"/>
    <w:rsid w:val="00602518"/>
    <w:rsid w:val="0060367C"/>
    <w:rsid w:val="00631B70"/>
    <w:rsid w:val="00680667"/>
    <w:rsid w:val="00693B08"/>
    <w:rsid w:val="006D47E5"/>
    <w:rsid w:val="006D7978"/>
    <w:rsid w:val="0074509E"/>
    <w:rsid w:val="00794A21"/>
    <w:rsid w:val="007C7937"/>
    <w:rsid w:val="007D1947"/>
    <w:rsid w:val="00811828"/>
    <w:rsid w:val="008435E8"/>
    <w:rsid w:val="0084538D"/>
    <w:rsid w:val="008500C8"/>
    <w:rsid w:val="008564A5"/>
    <w:rsid w:val="0087747E"/>
    <w:rsid w:val="008F150D"/>
    <w:rsid w:val="008F4C2D"/>
    <w:rsid w:val="00905AA4"/>
    <w:rsid w:val="00930855"/>
    <w:rsid w:val="00932029"/>
    <w:rsid w:val="009936E1"/>
    <w:rsid w:val="009C1CE2"/>
    <w:rsid w:val="009E2A34"/>
    <w:rsid w:val="00A055AE"/>
    <w:rsid w:val="00A21039"/>
    <w:rsid w:val="00A22EC6"/>
    <w:rsid w:val="00A23DB3"/>
    <w:rsid w:val="00A51DB3"/>
    <w:rsid w:val="00AA2A91"/>
    <w:rsid w:val="00AB0001"/>
    <w:rsid w:val="00B0465B"/>
    <w:rsid w:val="00B07FF2"/>
    <w:rsid w:val="00B11121"/>
    <w:rsid w:val="00B211C4"/>
    <w:rsid w:val="00B227B6"/>
    <w:rsid w:val="00B61408"/>
    <w:rsid w:val="00B61C24"/>
    <w:rsid w:val="00B85E11"/>
    <w:rsid w:val="00BB0E1C"/>
    <w:rsid w:val="00BD1AAA"/>
    <w:rsid w:val="00BF3818"/>
    <w:rsid w:val="00C31312"/>
    <w:rsid w:val="00C36B94"/>
    <w:rsid w:val="00C6113D"/>
    <w:rsid w:val="00C65303"/>
    <w:rsid w:val="00C71FB5"/>
    <w:rsid w:val="00C838C9"/>
    <w:rsid w:val="00CA09F3"/>
    <w:rsid w:val="00CB1DC5"/>
    <w:rsid w:val="00CB4949"/>
    <w:rsid w:val="00CD1DD3"/>
    <w:rsid w:val="00CE21A0"/>
    <w:rsid w:val="00D00D64"/>
    <w:rsid w:val="00D06DA0"/>
    <w:rsid w:val="00D27011"/>
    <w:rsid w:val="00D53872"/>
    <w:rsid w:val="00D53B77"/>
    <w:rsid w:val="00D737C2"/>
    <w:rsid w:val="00D81F79"/>
    <w:rsid w:val="00D854A5"/>
    <w:rsid w:val="00DA3389"/>
    <w:rsid w:val="00DB593F"/>
    <w:rsid w:val="00DB6A70"/>
    <w:rsid w:val="00DD4840"/>
    <w:rsid w:val="00E21850"/>
    <w:rsid w:val="00E240E1"/>
    <w:rsid w:val="00E31CFA"/>
    <w:rsid w:val="00E54AC2"/>
    <w:rsid w:val="00E8348D"/>
    <w:rsid w:val="00E87DCF"/>
    <w:rsid w:val="00EA7044"/>
    <w:rsid w:val="00EB3533"/>
    <w:rsid w:val="00EC1264"/>
    <w:rsid w:val="00EC20B0"/>
    <w:rsid w:val="00EC6399"/>
    <w:rsid w:val="00ED5648"/>
    <w:rsid w:val="00F62DF0"/>
    <w:rsid w:val="00F72C90"/>
    <w:rsid w:val="00FA3890"/>
    <w:rsid w:val="00FB1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0C0D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0D7E"/>
  </w:style>
  <w:style w:type="paragraph" w:styleId="Footer">
    <w:name w:val="footer"/>
    <w:basedOn w:val="Normal"/>
    <w:link w:val="FooterChar"/>
    <w:uiPriority w:val="99"/>
    <w:unhideWhenUsed/>
    <w:rsid w:val="000C0D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760">
      <w:bodyDiv w:val="1"/>
      <w:marLeft w:val="0"/>
      <w:marRight w:val="0"/>
      <w:marTop w:val="0"/>
      <w:marBottom w:val="0"/>
      <w:divBdr>
        <w:top w:val="none" w:sz="0" w:space="0" w:color="auto"/>
        <w:left w:val="none" w:sz="0" w:space="0" w:color="auto"/>
        <w:bottom w:val="none" w:sz="0" w:space="0" w:color="auto"/>
        <w:right w:val="none" w:sz="0" w:space="0" w:color="auto"/>
      </w:divBdr>
    </w:div>
    <w:div w:id="151609821">
      <w:bodyDiv w:val="1"/>
      <w:marLeft w:val="0"/>
      <w:marRight w:val="0"/>
      <w:marTop w:val="0"/>
      <w:marBottom w:val="0"/>
      <w:divBdr>
        <w:top w:val="none" w:sz="0" w:space="0" w:color="auto"/>
        <w:left w:val="none" w:sz="0" w:space="0" w:color="auto"/>
        <w:bottom w:val="none" w:sz="0" w:space="0" w:color="auto"/>
        <w:right w:val="none" w:sz="0" w:space="0" w:color="auto"/>
      </w:divBdr>
    </w:div>
    <w:div w:id="167133522">
      <w:bodyDiv w:val="1"/>
      <w:marLeft w:val="0"/>
      <w:marRight w:val="0"/>
      <w:marTop w:val="0"/>
      <w:marBottom w:val="0"/>
      <w:divBdr>
        <w:top w:val="none" w:sz="0" w:space="0" w:color="auto"/>
        <w:left w:val="none" w:sz="0" w:space="0" w:color="auto"/>
        <w:bottom w:val="none" w:sz="0" w:space="0" w:color="auto"/>
        <w:right w:val="none" w:sz="0" w:space="0" w:color="auto"/>
      </w:divBdr>
      <w:divsChild>
        <w:div w:id="662320462">
          <w:marLeft w:val="0"/>
          <w:marRight w:val="0"/>
          <w:marTop w:val="0"/>
          <w:marBottom w:val="0"/>
          <w:divBdr>
            <w:top w:val="none" w:sz="0" w:space="0" w:color="auto"/>
            <w:left w:val="none" w:sz="0" w:space="0" w:color="auto"/>
            <w:bottom w:val="none" w:sz="0" w:space="0" w:color="auto"/>
            <w:right w:val="none" w:sz="0" w:space="0" w:color="auto"/>
          </w:divBdr>
        </w:div>
      </w:divsChild>
    </w:div>
    <w:div w:id="203951358">
      <w:bodyDiv w:val="1"/>
      <w:marLeft w:val="0"/>
      <w:marRight w:val="0"/>
      <w:marTop w:val="0"/>
      <w:marBottom w:val="0"/>
      <w:divBdr>
        <w:top w:val="none" w:sz="0" w:space="0" w:color="auto"/>
        <w:left w:val="none" w:sz="0" w:space="0" w:color="auto"/>
        <w:bottom w:val="none" w:sz="0" w:space="0" w:color="auto"/>
        <w:right w:val="none" w:sz="0" w:space="0" w:color="auto"/>
      </w:divBdr>
    </w:div>
    <w:div w:id="358430075">
      <w:bodyDiv w:val="1"/>
      <w:marLeft w:val="0"/>
      <w:marRight w:val="0"/>
      <w:marTop w:val="0"/>
      <w:marBottom w:val="0"/>
      <w:divBdr>
        <w:top w:val="none" w:sz="0" w:space="0" w:color="auto"/>
        <w:left w:val="none" w:sz="0" w:space="0" w:color="auto"/>
        <w:bottom w:val="none" w:sz="0" w:space="0" w:color="auto"/>
        <w:right w:val="none" w:sz="0" w:space="0" w:color="auto"/>
      </w:divBdr>
    </w:div>
    <w:div w:id="503279995">
      <w:bodyDiv w:val="1"/>
      <w:marLeft w:val="0"/>
      <w:marRight w:val="0"/>
      <w:marTop w:val="0"/>
      <w:marBottom w:val="0"/>
      <w:divBdr>
        <w:top w:val="none" w:sz="0" w:space="0" w:color="auto"/>
        <w:left w:val="none" w:sz="0" w:space="0" w:color="auto"/>
        <w:bottom w:val="none" w:sz="0" w:space="0" w:color="auto"/>
        <w:right w:val="none" w:sz="0" w:space="0" w:color="auto"/>
      </w:divBdr>
    </w:div>
    <w:div w:id="511453695">
      <w:bodyDiv w:val="1"/>
      <w:marLeft w:val="0"/>
      <w:marRight w:val="0"/>
      <w:marTop w:val="0"/>
      <w:marBottom w:val="0"/>
      <w:divBdr>
        <w:top w:val="none" w:sz="0" w:space="0" w:color="auto"/>
        <w:left w:val="none" w:sz="0" w:space="0" w:color="auto"/>
        <w:bottom w:val="none" w:sz="0" w:space="0" w:color="auto"/>
        <w:right w:val="none" w:sz="0" w:space="0" w:color="auto"/>
      </w:divBdr>
      <w:divsChild>
        <w:div w:id="562562593">
          <w:marLeft w:val="0"/>
          <w:marRight w:val="0"/>
          <w:marTop w:val="0"/>
          <w:marBottom w:val="0"/>
          <w:divBdr>
            <w:top w:val="none" w:sz="0" w:space="0" w:color="auto"/>
            <w:left w:val="none" w:sz="0" w:space="0" w:color="auto"/>
            <w:bottom w:val="none" w:sz="0" w:space="0" w:color="auto"/>
            <w:right w:val="none" w:sz="0" w:space="0" w:color="auto"/>
          </w:divBdr>
        </w:div>
      </w:divsChild>
    </w:div>
    <w:div w:id="520631193">
      <w:bodyDiv w:val="1"/>
      <w:marLeft w:val="0"/>
      <w:marRight w:val="0"/>
      <w:marTop w:val="0"/>
      <w:marBottom w:val="0"/>
      <w:divBdr>
        <w:top w:val="none" w:sz="0" w:space="0" w:color="auto"/>
        <w:left w:val="none" w:sz="0" w:space="0" w:color="auto"/>
        <w:bottom w:val="none" w:sz="0" w:space="0" w:color="auto"/>
        <w:right w:val="none" w:sz="0" w:space="0" w:color="auto"/>
      </w:divBdr>
    </w:div>
    <w:div w:id="540824071">
      <w:bodyDiv w:val="1"/>
      <w:marLeft w:val="0"/>
      <w:marRight w:val="0"/>
      <w:marTop w:val="0"/>
      <w:marBottom w:val="0"/>
      <w:divBdr>
        <w:top w:val="none" w:sz="0" w:space="0" w:color="auto"/>
        <w:left w:val="none" w:sz="0" w:space="0" w:color="auto"/>
        <w:bottom w:val="none" w:sz="0" w:space="0" w:color="auto"/>
        <w:right w:val="none" w:sz="0" w:space="0" w:color="auto"/>
      </w:divBdr>
      <w:divsChild>
        <w:div w:id="1966764965">
          <w:marLeft w:val="0"/>
          <w:marRight w:val="0"/>
          <w:marTop w:val="0"/>
          <w:marBottom w:val="0"/>
          <w:divBdr>
            <w:top w:val="none" w:sz="0" w:space="0" w:color="auto"/>
            <w:left w:val="none" w:sz="0" w:space="0" w:color="auto"/>
            <w:bottom w:val="none" w:sz="0" w:space="0" w:color="auto"/>
            <w:right w:val="none" w:sz="0" w:space="0" w:color="auto"/>
          </w:divBdr>
        </w:div>
      </w:divsChild>
    </w:div>
    <w:div w:id="611976099">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985203100">
      <w:bodyDiv w:val="1"/>
      <w:marLeft w:val="0"/>
      <w:marRight w:val="0"/>
      <w:marTop w:val="0"/>
      <w:marBottom w:val="0"/>
      <w:divBdr>
        <w:top w:val="none" w:sz="0" w:space="0" w:color="auto"/>
        <w:left w:val="none" w:sz="0" w:space="0" w:color="auto"/>
        <w:bottom w:val="none" w:sz="0" w:space="0" w:color="auto"/>
        <w:right w:val="none" w:sz="0" w:space="0" w:color="auto"/>
      </w:divBdr>
      <w:divsChild>
        <w:div w:id="170872582">
          <w:marLeft w:val="0"/>
          <w:marRight w:val="0"/>
          <w:marTop w:val="0"/>
          <w:marBottom w:val="0"/>
          <w:divBdr>
            <w:top w:val="none" w:sz="0" w:space="0" w:color="auto"/>
            <w:left w:val="none" w:sz="0" w:space="0" w:color="auto"/>
            <w:bottom w:val="none" w:sz="0" w:space="0" w:color="auto"/>
            <w:right w:val="none" w:sz="0" w:space="0" w:color="auto"/>
          </w:divBdr>
        </w:div>
      </w:divsChild>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452553992">
      <w:bodyDiv w:val="1"/>
      <w:marLeft w:val="0"/>
      <w:marRight w:val="0"/>
      <w:marTop w:val="0"/>
      <w:marBottom w:val="0"/>
      <w:divBdr>
        <w:top w:val="none" w:sz="0" w:space="0" w:color="auto"/>
        <w:left w:val="none" w:sz="0" w:space="0" w:color="auto"/>
        <w:bottom w:val="none" w:sz="0" w:space="0" w:color="auto"/>
        <w:right w:val="none" w:sz="0" w:space="0" w:color="auto"/>
      </w:divBdr>
      <w:divsChild>
        <w:div w:id="1533573941">
          <w:marLeft w:val="0"/>
          <w:marRight w:val="0"/>
          <w:marTop w:val="0"/>
          <w:marBottom w:val="0"/>
          <w:divBdr>
            <w:top w:val="none" w:sz="0" w:space="0" w:color="auto"/>
            <w:left w:val="none" w:sz="0" w:space="0" w:color="auto"/>
            <w:bottom w:val="none" w:sz="0" w:space="0" w:color="auto"/>
            <w:right w:val="none" w:sz="0" w:space="0" w:color="auto"/>
          </w:divBdr>
        </w:div>
      </w:divsChild>
    </w:div>
    <w:div w:id="1477187403">
      <w:bodyDiv w:val="1"/>
      <w:marLeft w:val="0"/>
      <w:marRight w:val="0"/>
      <w:marTop w:val="0"/>
      <w:marBottom w:val="0"/>
      <w:divBdr>
        <w:top w:val="none" w:sz="0" w:space="0" w:color="auto"/>
        <w:left w:val="none" w:sz="0" w:space="0" w:color="auto"/>
        <w:bottom w:val="none" w:sz="0" w:space="0" w:color="auto"/>
        <w:right w:val="none" w:sz="0" w:space="0" w:color="auto"/>
      </w:divBdr>
      <w:divsChild>
        <w:div w:id="1453866047">
          <w:marLeft w:val="0"/>
          <w:marRight w:val="0"/>
          <w:marTop w:val="0"/>
          <w:marBottom w:val="0"/>
          <w:divBdr>
            <w:top w:val="none" w:sz="0" w:space="0" w:color="auto"/>
            <w:left w:val="none" w:sz="0" w:space="0" w:color="auto"/>
            <w:bottom w:val="none" w:sz="0" w:space="0" w:color="auto"/>
            <w:right w:val="none" w:sz="0" w:space="0" w:color="auto"/>
          </w:divBdr>
        </w:div>
      </w:divsChild>
    </w:div>
    <w:div w:id="1613708549">
      <w:bodyDiv w:val="1"/>
      <w:marLeft w:val="0"/>
      <w:marRight w:val="0"/>
      <w:marTop w:val="0"/>
      <w:marBottom w:val="0"/>
      <w:divBdr>
        <w:top w:val="none" w:sz="0" w:space="0" w:color="auto"/>
        <w:left w:val="none" w:sz="0" w:space="0" w:color="auto"/>
        <w:bottom w:val="none" w:sz="0" w:space="0" w:color="auto"/>
        <w:right w:val="none" w:sz="0" w:space="0" w:color="auto"/>
      </w:divBdr>
    </w:div>
    <w:div w:id="1711951960">
      <w:bodyDiv w:val="1"/>
      <w:marLeft w:val="0"/>
      <w:marRight w:val="0"/>
      <w:marTop w:val="0"/>
      <w:marBottom w:val="0"/>
      <w:divBdr>
        <w:top w:val="none" w:sz="0" w:space="0" w:color="auto"/>
        <w:left w:val="none" w:sz="0" w:space="0" w:color="auto"/>
        <w:bottom w:val="none" w:sz="0" w:space="0" w:color="auto"/>
        <w:right w:val="none" w:sz="0" w:space="0" w:color="auto"/>
      </w:divBdr>
      <w:divsChild>
        <w:div w:id="1674214194">
          <w:marLeft w:val="0"/>
          <w:marRight w:val="0"/>
          <w:marTop w:val="0"/>
          <w:marBottom w:val="0"/>
          <w:divBdr>
            <w:top w:val="none" w:sz="0" w:space="0" w:color="auto"/>
            <w:left w:val="none" w:sz="0" w:space="0" w:color="auto"/>
            <w:bottom w:val="none" w:sz="0" w:space="0" w:color="auto"/>
            <w:right w:val="none" w:sz="0" w:space="0" w:color="auto"/>
          </w:divBdr>
        </w:div>
      </w:divsChild>
    </w:div>
    <w:div w:id="1778133474">
      <w:bodyDiv w:val="1"/>
      <w:marLeft w:val="0"/>
      <w:marRight w:val="0"/>
      <w:marTop w:val="0"/>
      <w:marBottom w:val="0"/>
      <w:divBdr>
        <w:top w:val="none" w:sz="0" w:space="0" w:color="auto"/>
        <w:left w:val="none" w:sz="0" w:space="0" w:color="auto"/>
        <w:bottom w:val="none" w:sz="0" w:space="0" w:color="auto"/>
        <w:right w:val="none" w:sz="0" w:space="0" w:color="auto"/>
      </w:divBdr>
    </w:div>
    <w:div w:id="1875802278">
      <w:bodyDiv w:val="1"/>
      <w:marLeft w:val="0"/>
      <w:marRight w:val="0"/>
      <w:marTop w:val="0"/>
      <w:marBottom w:val="0"/>
      <w:divBdr>
        <w:top w:val="none" w:sz="0" w:space="0" w:color="auto"/>
        <w:left w:val="none" w:sz="0" w:space="0" w:color="auto"/>
        <w:bottom w:val="none" w:sz="0" w:space="0" w:color="auto"/>
        <w:right w:val="none" w:sz="0" w:space="0" w:color="auto"/>
      </w:divBdr>
      <w:divsChild>
        <w:div w:id="361710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83132B"/>
    <w:rsid w:val="00985FCB"/>
    <w:rsid w:val="00A34C42"/>
    <w:rsid w:val="00BC1251"/>
    <w:rsid w:val="00C67429"/>
    <w:rsid w:val="00D61A5E"/>
    <w:rsid w:val="00DE44FD"/>
    <w:rsid w:val="00F07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3.xml><?xml version="1.0" encoding="utf-8"?>
<ds:datastoreItem xmlns:ds="http://schemas.openxmlformats.org/officeDocument/2006/customXml" ds:itemID="{E822F111-97E4-4637-ACF5-3BC9C4511796}">
  <ds:schemaRefs>
    <ds:schemaRef ds:uri="http://schemas.openxmlformats.org/officeDocument/2006/bibliography"/>
  </ds:schemaRefs>
</ds:datastoreItem>
</file>

<file path=customXml/itemProps4.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2627</Words>
  <Characters>14980</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FINANCIAL ANALYSIS</vt:lpstr>
      <vt:lpstr>Executive Summary</vt:lpstr>
      <vt:lpstr>Introduction</vt:lpstr>
      <vt:lpstr>Financial Analysis Trends</vt:lpstr>
      <vt:lpstr>The Importance of Using Ratio Analysis for Decision Making</vt:lpstr>
      <vt:lpstr>Limitation of Ratio Analysis</vt:lpstr>
      <vt:lpstr>Conclusion</vt:lpstr>
      <vt:lpstr>Bibliography</vt:lpstr>
    </vt:vector>
  </TitlesOfParts>
  <Company>University of Wales Trinity Saint David</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Student’s Name: Nineta Florescu</dc:subject>
  <dc:creator>Marie Pitson</dc:creator>
  <cp:keywords/>
  <dc:description/>
  <cp:lastModifiedBy>Nineta Florescu</cp:lastModifiedBy>
  <cp:revision>3</cp:revision>
  <dcterms:created xsi:type="dcterms:W3CDTF">2022-06-01T20:15:00Z</dcterms:created>
  <dcterms:modified xsi:type="dcterms:W3CDTF">2022-06-01T20:15:00Z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