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6A5396" w14:textId="77777777" w:rsidR="00043035" w:rsidRDefault="00043035" w:rsidP="00043035">
      <w:pPr>
        <w:rPr>
          <w:b/>
          <w:bCs/>
          <w:sz w:val="28"/>
          <w:szCs w:val="28"/>
        </w:rPr>
      </w:pPr>
      <w:bookmarkStart w:id="0" w:name="_Toc181976372"/>
    </w:p>
    <w:p w14:paraId="46069398" w14:textId="77777777" w:rsidR="00043035" w:rsidRDefault="00043035" w:rsidP="00043035">
      <w:pPr>
        <w:rPr>
          <w:b/>
          <w:bCs/>
          <w:sz w:val="28"/>
          <w:szCs w:val="28"/>
        </w:rPr>
      </w:pPr>
    </w:p>
    <w:p w14:paraId="0087EF72" w14:textId="77777777" w:rsidR="00043035" w:rsidRDefault="00043035" w:rsidP="00043035">
      <w:pPr>
        <w:rPr>
          <w:b/>
          <w:bCs/>
          <w:sz w:val="28"/>
          <w:szCs w:val="28"/>
        </w:rPr>
      </w:pPr>
    </w:p>
    <w:p w14:paraId="7520EB0E" w14:textId="77777777" w:rsidR="00043035" w:rsidRDefault="00043035" w:rsidP="00043035">
      <w:pPr>
        <w:rPr>
          <w:b/>
          <w:bCs/>
          <w:sz w:val="28"/>
          <w:szCs w:val="28"/>
        </w:rPr>
      </w:pPr>
    </w:p>
    <w:p w14:paraId="43C1A1BD" w14:textId="43CE55A7" w:rsidR="00043035" w:rsidRDefault="00043035" w:rsidP="00043035">
      <w:pPr>
        <w:pStyle w:val="Title"/>
      </w:pPr>
      <w:r>
        <w:t xml:space="preserve">         Law Reform on Trustee Act 2000</w:t>
      </w:r>
    </w:p>
    <w:p w14:paraId="137CEE8F" w14:textId="77777777" w:rsidR="00043035" w:rsidRDefault="00043035" w:rsidP="00043035"/>
    <w:p w14:paraId="21614BD8" w14:textId="77777777" w:rsidR="00043035" w:rsidRDefault="00043035" w:rsidP="00043035"/>
    <w:p w14:paraId="297D29BA" w14:textId="6CDEAD7F" w:rsidR="00043035" w:rsidRPr="00043035" w:rsidRDefault="00043035" w:rsidP="00043035">
      <w:pPr>
        <w:pStyle w:val="Title"/>
        <w:rPr>
          <w:sz w:val="40"/>
          <w:szCs w:val="40"/>
        </w:rPr>
      </w:pPr>
      <w:r>
        <w:t xml:space="preserve">       </w:t>
      </w:r>
      <w:r>
        <w:rPr>
          <w:sz w:val="40"/>
          <w:szCs w:val="40"/>
        </w:rPr>
        <w:t xml:space="preserve">                                        Mihaela Gavrila</w:t>
      </w:r>
    </w:p>
    <w:p w14:paraId="129AD9D7" w14:textId="77777777" w:rsidR="00043035" w:rsidRDefault="00043035" w:rsidP="00043035"/>
    <w:p w14:paraId="7D674009" w14:textId="77777777" w:rsidR="00043035" w:rsidRPr="00043035" w:rsidRDefault="00043035" w:rsidP="00043035">
      <w:pPr>
        <w:pStyle w:val="Title"/>
      </w:pPr>
    </w:p>
    <w:p w14:paraId="599B9B07" w14:textId="77777777" w:rsidR="00043035" w:rsidRDefault="00043035" w:rsidP="00043035">
      <w:pPr>
        <w:rPr>
          <w:b/>
          <w:bCs/>
          <w:sz w:val="28"/>
          <w:szCs w:val="28"/>
        </w:rPr>
      </w:pPr>
    </w:p>
    <w:p w14:paraId="61BC78B4" w14:textId="77777777" w:rsidR="00043035" w:rsidRDefault="00043035" w:rsidP="00043035">
      <w:pPr>
        <w:rPr>
          <w:b/>
          <w:bCs/>
          <w:sz w:val="28"/>
          <w:szCs w:val="28"/>
        </w:rPr>
      </w:pPr>
    </w:p>
    <w:p w14:paraId="4BAB0585" w14:textId="77777777" w:rsidR="00043035" w:rsidRDefault="00043035" w:rsidP="00043035">
      <w:pPr>
        <w:rPr>
          <w:b/>
          <w:bCs/>
          <w:sz w:val="28"/>
          <w:szCs w:val="28"/>
        </w:rPr>
      </w:pPr>
    </w:p>
    <w:p w14:paraId="39B7AFCF" w14:textId="77777777" w:rsidR="00043035" w:rsidRDefault="00043035" w:rsidP="00043035">
      <w:pPr>
        <w:rPr>
          <w:b/>
          <w:bCs/>
          <w:sz w:val="28"/>
          <w:szCs w:val="28"/>
        </w:rPr>
      </w:pPr>
    </w:p>
    <w:p w14:paraId="7A58C8C0" w14:textId="77777777" w:rsidR="00043035" w:rsidRDefault="00043035" w:rsidP="00043035">
      <w:pPr>
        <w:rPr>
          <w:b/>
          <w:bCs/>
          <w:sz w:val="28"/>
          <w:szCs w:val="28"/>
        </w:rPr>
      </w:pPr>
    </w:p>
    <w:p w14:paraId="00E4B0C9" w14:textId="77777777" w:rsidR="00043035" w:rsidRDefault="00043035" w:rsidP="00043035">
      <w:pPr>
        <w:rPr>
          <w:b/>
          <w:bCs/>
          <w:sz w:val="28"/>
          <w:szCs w:val="28"/>
        </w:rPr>
      </w:pPr>
    </w:p>
    <w:p w14:paraId="306C1BE3" w14:textId="77777777" w:rsidR="00043035" w:rsidRDefault="00043035" w:rsidP="00043035">
      <w:pPr>
        <w:rPr>
          <w:b/>
          <w:bCs/>
          <w:sz w:val="28"/>
          <w:szCs w:val="28"/>
        </w:rPr>
      </w:pPr>
    </w:p>
    <w:p w14:paraId="668501CE" w14:textId="77777777" w:rsidR="00043035" w:rsidRDefault="00043035" w:rsidP="00043035">
      <w:pPr>
        <w:rPr>
          <w:b/>
          <w:bCs/>
          <w:sz w:val="28"/>
          <w:szCs w:val="28"/>
        </w:rPr>
      </w:pPr>
    </w:p>
    <w:p w14:paraId="286AB026" w14:textId="77777777" w:rsidR="00043035" w:rsidRDefault="00043035" w:rsidP="00043035">
      <w:pPr>
        <w:rPr>
          <w:b/>
          <w:bCs/>
          <w:sz w:val="28"/>
          <w:szCs w:val="28"/>
        </w:rPr>
      </w:pPr>
    </w:p>
    <w:p w14:paraId="00D95EE3" w14:textId="77777777" w:rsidR="00043035" w:rsidRDefault="00043035" w:rsidP="00043035">
      <w:pPr>
        <w:rPr>
          <w:b/>
          <w:bCs/>
          <w:sz w:val="28"/>
          <w:szCs w:val="28"/>
        </w:rPr>
      </w:pPr>
    </w:p>
    <w:p w14:paraId="2EB53722" w14:textId="77777777" w:rsidR="00043035" w:rsidRDefault="00043035" w:rsidP="00043035">
      <w:pPr>
        <w:rPr>
          <w:b/>
          <w:bCs/>
          <w:sz w:val="28"/>
          <w:szCs w:val="28"/>
        </w:rPr>
      </w:pPr>
    </w:p>
    <w:p w14:paraId="193034FF" w14:textId="77777777" w:rsidR="00043035" w:rsidRDefault="00043035" w:rsidP="00043035">
      <w:pPr>
        <w:rPr>
          <w:b/>
          <w:bCs/>
          <w:sz w:val="28"/>
          <w:szCs w:val="28"/>
        </w:rPr>
      </w:pPr>
    </w:p>
    <w:p w14:paraId="37E75969" w14:textId="77777777" w:rsidR="00043035" w:rsidRDefault="00043035" w:rsidP="00043035">
      <w:pPr>
        <w:rPr>
          <w:b/>
          <w:bCs/>
          <w:sz w:val="28"/>
          <w:szCs w:val="28"/>
        </w:rPr>
      </w:pPr>
    </w:p>
    <w:p w14:paraId="49ADE6FF" w14:textId="77777777" w:rsidR="00043035" w:rsidRDefault="00043035" w:rsidP="00043035">
      <w:pPr>
        <w:rPr>
          <w:b/>
          <w:bCs/>
          <w:sz w:val="28"/>
          <w:szCs w:val="28"/>
        </w:rPr>
      </w:pPr>
    </w:p>
    <w:p w14:paraId="67ED79C8" w14:textId="77777777" w:rsidR="00043035" w:rsidRDefault="00043035" w:rsidP="00043035">
      <w:pPr>
        <w:rPr>
          <w:b/>
          <w:bCs/>
          <w:sz w:val="28"/>
          <w:szCs w:val="28"/>
        </w:rPr>
      </w:pPr>
    </w:p>
    <w:p w14:paraId="0C6BADB8" w14:textId="77777777" w:rsidR="00043035" w:rsidRDefault="00043035" w:rsidP="00043035">
      <w:pPr>
        <w:rPr>
          <w:b/>
          <w:bCs/>
          <w:sz w:val="28"/>
          <w:szCs w:val="28"/>
        </w:rPr>
      </w:pPr>
    </w:p>
    <w:p w14:paraId="41F62BE0" w14:textId="77777777" w:rsidR="00043035" w:rsidRDefault="00043035" w:rsidP="00043035">
      <w:pPr>
        <w:rPr>
          <w:b/>
          <w:bCs/>
          <w:sz w:val="28"/>
          <w:szCs w:val="28"/>
        </w:rPr>
      </w:pPr>
    </w:p>
    <w:p w14:paraId="46AEE72D" w14:textId="1BFDF982" w:rsidR="00043035" w:rsidRPr="00043035" w:rsidRDefault="00043035" w:rsidP="00043035">
      <w:pPr>
        <w:rPr>
          <w:b/>
          <w:bCs/>
          <w:sz w:val="28"/>
          <w:szCs w:val="28"/>
        </w:rPr>
      </w:pPr>
      <w:r w:rsidRPr="00043035">
        <w:rPr>
          <w:b/>
          <w:bCs/>
          <w:sz w:val="28"/>
          <w:szCs w:val="28"/>
        </w:rPr>
        <w:t>INTRODUCTION</w:t>
      </w:r>
      <w:bookmarkEnd w:id="0"/>
    </w:p>
    <w:p w14:paraId="11613C63" w14:textId="54EFB7FB" w:rsidR="00043035" w:rsidRPr="00043035" w:rsidRDefault="00043035" w:rsidP="00043035">
      <w:pPr>
        <w:rPr>
          <w:sz w:val="28"/>
          <w:szCs w:val="28"/>
        </w:rPr>
      </w:pPr>
      <w:r>
        <w:rPr>
          <w:bCs/>
          <w:sz w:val="28"/>
          <w:szCs w:val="28"/>
        </w:rPr>
        <w:t xml:space="preserve">Trustee Act 2000 </w:t>
      </w:r>
      <w:r w:rsidRPr="00043035">
        <w:rPr>
          <w:sz w:val="28"/>
          <w:szCs w:val="28"/>
        </w:rPr>
        <w:t xml:space="preserve">states the duties and liabilities of trustees under the law in England and Wales particularly in respect to negligence of trustees and conflicts of interest (Hudson, 2021). The legal framework currently gives rise to many drawbacks especially to the protection that it offers to the trustees as well as clarity concerning what is constituted as negligence. These restrains lie at a massive risk for both trustees and beneficiaries. The Act </w:t>
      </w:r>
      <w:proofErr w:type="gramStart"/>
      <w:r w:rsidRPr="00043035">
        <w:rPr>
          <w:sz w:val="28"/>
          <w:szCs w:val="28"/>
        </w:rPr>
        <w:t>in itself is</w:t>
      </w:r>
      <w:proofErr w:type="gramEnd"/>
      <w:r w:rsidRPr="00043035">
        <w:rPr>
          <w:sz w:val="28"/>
          <w:szCs w:val="28"/>
        </w:rPr>
        <w:t xml:space="preserve"> unique towards reforming the law are found in implementing more definite definitions of negligence as guidelines for the trustees in their decisions, strengthening the measures that govern conflicts of interest to prevent a breach of duty, and strengthening accountability to ensure that trustees act in the best interest of the beneficiary. The current system may subject beneficiaries to undue vulnerability and may discourage capable persons from becoming trustees out of </w:t>
      </w:r>
      <w:r w:rsidRPr="00043035">
        <w:rPr>
          <w:sz w:val="28"/>
          <w:szCs w:val="28"/>
        </w:rPr>
        <w:lastRenderedPageBreak/>
        <w:t>a fear that they may be saddled with unjustified liabilities. The new system is therefore expected to make the process more transparent, fair, and accountable in the trusts' administration to all parties involved.</w:t>
      </w:r>
    </w:p>
    <w:p w14:paraId="5A5650CB" w14:textId="2DA418FE" w:rsidR="00043035" w:rsidRPr="00043035" w:rsidRDefault="00043035" w:rsidP="00043035">
      <w:pPr>
        <w:rPr>
          <w:b/>
          <w:bCs/>
          <w:sz w:val="28"/>
          <w:szCs w:val="28"/>
        </w:rPr>
      </w:pPr>
      <w:r>
        <w:rPr>
          <w:b/>
          <w:bCs/>
          <w:sz w:val="28"/>
          <w:szCs w:val="28"/>
        </w:rPr>
        <w:t>Main Body</w:t>
      </w:r>
    </w:p>
    <w:p w14:paraId="3C6669BE" w14:textId="77777777" w:rsidR="00043035" w:rsidRPr="00043035" w:rsidRDefault="00043035" w:rsidP="00043035">
      <w:pPr>
        <w:tabs>
          <w:tab w:val="num" w:pos="0"/>
        </w:tabs>
        <w:rPr>
          <w:bCs/>
          <w:sz w:val="28"/>
          <w:szCs w:val="28"/>
          <w:u w:val="single"/>
        </w:rPr>
      </w:pPr>
      <w:bookmarkStart w:id="1" w:name="_Toc181976374"/>
      <w:r w:rsidRPr="00043035">
        <w:rPr>
          <w:bCs/>
          <w:sz w:val="28"/>
          <w:szCs w:val="28"/>
          <w:u w:val="single"/>
        </w:rPr>
        <w:t>Current Position</w:t>
      </w:r>
      <w:bookmarkEnd w:id="1"/>
    </w:p>
    <w:p w14:paraId="3FF36A60" w14:textId="7E5C2EB4" w:rsidR="00043035" w:rsidRPr="00043035" w:rsidRDefault="00043035" w:rsidP="00043035">
      <w:pPr>
        <w:rPr>
          <w:sz w:val="28"/>
          <w:szCs w:val="28"/>
        </w:rPr>
      </w:pPr>
      <w:r w:rsidRPr="00043035">
        <w:rPr>
          <w:sz w:val="28"/>
          <w:szCs w:val="28"/>
        </w:rPr>
        <w:t xml:space="preserve">The most salient legislation as to the responsibilities of trustees in general under the law of England and Wales is the </w:t>
      </w:r>
      <w:r w:rsidRPr="00043035">
        <w:rPr>
          <w:bCs/>
          <w:sz w:val="28"/>
          <w:szCs w:val="28"/>
        </w:rPr>
        <w:t>Trustee Act 2000</w:t>
      </w:r>
      <w:r w:rsidRPr="00043035">
        <w:rPr>
          <w:sz w:val="28"/>
          <w:szCs w:val="28"/>
        </w:rPr>
        <w:t xml:space="preserve">. The legislation includes vital fiduciary duties regarding trusts, including that the trustees shall act with proper care, prudence, and loyalty concerning trust property (Alexander and Edwards, 2021). </w:t>
      </w:r>
    </w:p>
    <w:p w14:paraId="7844C23C" w14:textId="77777777" w:rsidR="00043035" w:rsidRPr="00043035" w:rsidRDefault="00043035" w:rsidP="00043035">
      <w:pPr>
        <w:rPr>
          <w:sz w:val="28"/>
          <w:szCs w:val="28"/>
        </w:rPr>
      </w:pPr>
      <w:r w:rsidRPr="00043035">
        <w:rPr>
          <w:sz w:val="28"/>
          <w:szCs w:val="28"/>
        </w:rPr>
        <w:t xml:space="preserve">Some questions of trustee negligence have become clear through judicial interpretation of the Act, but what is constitutive of negligence in practice remains unclear. Courts concede the feasibility of holding trustees liable for breaches of duty however, they get themselves lost in the maze of confusion as they try to describe what are known to be relatively clear standards (Watts, 2022). </w:t>
      </w:r>
    </w:p>
    <w:p w14:paraId="2111D67F" w14:textId="49BB725F" w:rsidR="00043035" w:rsidRPr="00043035" w:rsidRDefault="00043035" w:rsidP="00043035">
      <w:pPr>
        <w:rPr>
          <w:sz w:val="28"/>
          <w:szCs w:val="28"/>
        </w:rPr>
      </w:pPr>
      <w:r w:rsidRPr="00043035">
        <w:rPr>
          <w:sz w:val="28"/>
          <w:szCs w:val="28"/>
        </w:rPr>
        <w:t>One of the significant weaknesses of the existing law is the vague definition of "negligence," which has caused a lot of confusion. Furthermore, where the Act prohibits conflicts of interest, little would be provided on how a trustee should properly navigate such situations. Such vagueness may lead to breach of fiduciary duties and further into mistrust in the administration of trusts, thus necessitating reform in these areas.</w:t>
      </w:r>
    </w:p>
    <w:p w14:paraId="445E8694" w14:textId="4C4CE83B" w:rsidR="00043035" w:rsidRPr="00043035" w:rsidRDefault="00043035" w:rsidP="00043035">
      <w:pPr>
        <w:rPr>
          <w:sz w:val="28"/>
          <w:szCs w:val="28"/>
        </w:rPr>
      </w:pPr>
      <w:r w:rsidRPr="00043035">
        <w:rPr>
          <w:sz w:val="28"/>
          <w:szCs w:val="28"/>
        </w:rPr>
        <w:lastRenderedPageBreak/>
        <w:t>Trustee Act 2000</w:t>
      </w:r>
      <w:r w:rsidRPr="00043035">
        <w:rPr>
          <w:sz w:val="28"/>
          <w:szCs w:val="28"/>
        </w:rPr>
        <w:t xml:space="preserve"> has its own strengths and weaknesses.</w:t>
      </w:r>
    </w:p>
    <w:p w14:paraId="795DA2D5" w14:textId="77777777" w:rsidR="00043035" w:rsidRPr="00043035" w:rsidRDefault="00043035" w:rsidP="00043035">
      <w:pPr>
        <w:rPr>
          <w:b/>
          <w:sz w:val="28"/>
          <w:szCs w:val="28"/>
        </w:rPr>
      </w:pPr>
      <w:r w:rsidRPr="00043035">
        <w:rPr>
          <w:b/>
          <w:sz w:val="28"/>
          <w:szCs w:val="28"/>
        </w:rPr>
        <w:t>Strengths and Benefits</w:t>
      </w:r>
    </w:p>
    <w:p w14:paraId="183CBD6B" w14:textId="77777777" w:rsidR="00043035" w:rsidRPr="00043035" w:rsidRDefault="00043035" w:rsidP="00043035">
      <w:pPr>
        <w:rPr>
          <w:sz w:val="28"/>
          <w:szCs w:val="28"/>
        </w:rPr>
      </w:pPr>
      <w:r w:rsidRPr="00043035">
        <w:rPr>
          <w:sz w:val="28"/>
          <w:szCs w:val="28"/>
        </w:rPr>
        <w:t xml:space="preserve">The most important benefit of the trust is that it is formed for the protection of trustees, in return, motivates individuals to become a trustee. By virtue of the law, it allows the trustees to receive reasonable remuneration for their services; this way, participation by the trustees and that capable people are willing to take on the task is ensured (Pettit, 2012). Trustees do not receive remuneration for the services provided by them but there are some exceptions such as receiving the payment for additional tasks such as, rendering professional services or the regulator of charities and for the out-of-pocket expense which the trustee has done. Trustees should not take money from the trusts because they have a fiduciary duty to act in best interest of the trust and should not misuse the funds trusted to him (The Law Commission and The Scottish Law Commission (LAW COM No 260) (SCOT LAW COM No 172), 1999). The common law duty of care also signifies that trustees should adhere to it during investment which specifically requires them to use the same diligence as people of ordinary prudence would use in relation to their own affair (Schanzenbach and </w:t>
      </w:r>
      <w:proofErr w:type="spellStart"/>
      <w:r w:rsidRPr="00043035">
        <w:rPr>
          <w:sz w:val="28"/>
          <w:szCs w:val="28"/>
        </w:rPr>
        <w:t>Sitkoff</w:t>
      </w:r>
      <w:proofErr w:type="spellEnd"/>
      <w:r w:rsidRPr="00043035">
        <w:rPr>
          <w:sz w:val="28"/>
          <w:szCs w:val="28"/>
        </w:rPr>
        <w:t>, 2020). This aspect of the law is vital in retaining a pool of capable trustees who can aptly manage trusts and safeguard the interests of the beneficiaries. Further, the broad general principles of fiduciary duty, such as loyalty and prudence, help in providing a standard of conduct that tries to remove the nuisance against the beneficiary.</w:t>
      </w:r>
    </w:p>
    <w:p w14:paraId="6D3B650B" w14:textId="5DE56752" w:rsidR="00043035" w:rsidRPr="00043035" w:rsidRDefault="00043035" w:rsidP="00043035">
      <w:pPr>
        <w:rPr>
          <w:b/>
          <w:sz w:val="28"/>
          <w:szCs w:val="28"/>
        </w:rPr>
      </w:pPr>
      <w:r>
        <w:rPr>
          <w:b/>
          <w:sz w:val="28"/>
          <w:szCs w:val="28"/>
        </w:rPr>
        <w:t>Weakness and Issues</w:t>
      </w:r>
    </w:p>
    <w:p w14:paraId="1AA05986" w14:textId="77777777" w:rsidR="00043035" w:rsidRPr="00043035" w:rsidRDefault="00043035" w:rsidP="00043035">
      <w:pPr>
        <w:rPr>
          <w:sz w:val="28"/>
          <w:szCs w:val="28"/>
        </w:rPr>
      </w:pPr>
      <w:r w:rsidRPr="00043035">
        <w:rPr>
          <w:sz w:val="28"/>
          <w:szCs w:val="28"/>
        </w:rPr>
        <w:lastRenderedPageBreak/>
        <w:t>Although the existing framework has these strengths, significant weaknesses do exist.</w:t>
      </w:r>
    </w:p>
    <w:p w14:paraId="14972D58" w14:textId="74A064CD" w:rsidR="00043035" w:rsidRPr="00043035" w:rsidRDefault="00043035" w:rsidP="00043035">
      <w:pPr>
        <w:rPr>
          <w:sz w:val="28"/>
          <w:szCs w:val="28"/>
        </w:rPr>
      </w:pPr>
      <w:r w:rsidRPr="00043035">
        <w:rPr>
          <w:b/>
          <w:sz w:val="28"/>
          <w:szCs w:val="28"/>
        </w:rPr>
        <w:t>Negligence Standards:</w:t>
      </w:r>
      <w:r w:rsidRPr="00043035">
        <w:rPr>
          <w:sz w:val="28"/>
          <w:szCs w:val="28"/>
        </w:rPr>
        <w:t xml:space="preserve"> One of the concerns is that the law does not provide any clear definition on what negligence is. </w:t>
      </w:r>
      <w:r w:rsidRPr="00043035">
        <w:rPr>
          <w:bCs/>
          <w:sz w:val="28"/>
          <w:szCs w:val="28"/>
        </w:rPr>
        <w:t>Section 1 of the Act</w:t>
      </w:r>
      <w:r w:rsidRPr="00043035">
        <w:rPr>
          <w:sz w:val="28"/>
          <w:szCs w:val="28"/>
        </w:rPr>
        <w:t xml:space="preserve"> requires the trustees to act with care and skill, there is no threshold that determines negligence, and thus confusion becomes evident. The degree of vagueness creates great uncertainty among the trustees since they become confused on how best to act in order not to incur liability (Riches, 2016). </w:t>
      </w:r>
      <w:r w:rsidRPr="00043035">
        <w:rPr>
          <w:sz w:val="28"/>
          <w:szCs w:val="28"/>
        </w:rPr>
        <w:t xml:space="preserve">The case of </w:t>
      </w:r>
      <w:r w:rsidRPr="00043035">
        <w:rPr>
          <w:bCs/>
          <w:sz w:val="28"/>
          <w:szCs w:val="28"/>
        </w:rPr>
        <w:t>Armitage v Nurse (199</w:t>
      </w:r>
      <w:r>
        <w:rPr>
          <w:bCs/>
          <w:sz w:val="28"/>
          <w:szCs w:val="28"/>
        </w:rPr>
        <w:t>7</w:t>
      </w:r>
      <w:r w:rsidRPr="00043035">
        <w:rPr>
          <w:bCs/>
          <w:sz w:val="28"/>
          <w:szCs w:val="28"/>
        </w:rPr>
        <w:t>)</w:t>
      </w:r>
      <w:r w:rsidRPr="00043035">
        <w:rPr>
          <w:sz w:val="28"/>
          <w:szCs w:val="28"/>
        </w:rPr>
        <w:t xml:space="preserve"> highlights the validity of the exemption clauses in the Trust Act, 2000 in settlement and the legitimate scope in the English Law. For example, in complex matters that require a trustee's discretion, there is often a restraint to act because of the fear of being considered negligent. This can deprive trustees of taking necessary risks that would otherwise go to benefit the trust.</w:t>
      </w:r>
    </w:p>
    <w:p w14:paraId="06B33D46" w14:textId="77777777" w:rsidR="00043035" w:rsidRPr="00043035" w:rsidRDefault="00043035" w:rsidP="00043035">
      <w:pPr>
        <w:rPr>
          <w:sz w:val="28"/>
          <w:szCs w:val="28"/>
        </w:rPr>
      </w:pPr>
      <w:r w:rsidRPr="00043035">
        <w:rPr>
          <w:b/>
          <w:sz w:val="28"/>
          <w:szCs w:val="28"/>
        </w:rPr>
        <w:t>Managing Conflicts of Interest</w:t>
      </w:r>
      <w:r w:rsidRPr="00043035">
        <w:rPr>
          <w:sz w:val="28"/>
          <w:szCs w:val="28"/>
        </w:rPr>
        <w:t xml:space="preserve">: </w:t>
      </w:r>
    </w:p>
    <w:p w14:paraId="254251AA" w14:textId="72981551" w:rsidR="00043035" w:rsidRPr="00043035" w:rsidRDefault="00043035" w:rsidP="00043035">
      <w:pPr>
        <w:rPr>
          <w:sz w:val="28"/>
          <w:szCs w:val="28"/>
        </w:rPr>
      </w:pPr>
      <w:r w:rsidRPr="00043035">
        <w:rPr>
          <w:sz w:val="28"/>
          <w:szCs w:val="28"/>
        </w:rPr>
        <w:t xml:space="preserve">The other major issue is one related to the management of conflict of interest. While the Act prohibits a trustee from benefiting from his position, it does not specifically provide examples or any kind of guidelines regarding what might constitute such potential conflicts. </w:t>
      </w:r>
      <w:r w:rsidRPr="00043035">
        <w:rPr>
          <w:sz w:val="28"/>
          <w:szCs w:val="28"/>
        </w:rPr>
        <w:t>The case of</w:t>
      </w:r>
      <w:r w:rsidRPr="00043035">
        <w:rPr>
          <w:bCs/>
          <w:sz w:val="28"/>
          <w:szCs w:val="28"/>
        </w:rPr>
        <w:t xml:space="preserve"> Keech V Sandford (1726)</w:t>
      </w:r>
      <w:r>
        <w:rPr>
          <w:bCs/>
          <w:sz w:val="28"/>
          <w:szCs w:val="28"/>
        </w:rPr>
        <w:t xml:space="preserve"> </w:t>
      </w:r>
      <w:r w:rsidRPr="00043035">
        <w:rPr>
          <w:sz w:val="28"/>
          <w:szCs w:val="28"/>
        </w:rPr>
        <w:t xml:space="preserve">specifies that a trustee should not take advantage of its position. This ambiguity may even lead the trustees to act in their self-interest with too little oversight or accountability of these activities and thereby betray the trust of beneficiaries. For instance, in case where the trustee holds a conflicting </w:t>
      </w:r>
      <w:r w:rsidRPr="00043035">
        <w:rPr>
          <w:sz w:val="28"/>
          <w:szCs w:val="28"/>
        </w:rPr>
        <w:lastRenderedPageBreak/>
        <w:t>personal investment, unclear guidelines may result in inappropriate actions that could not be addressed effectively by the beneficiaries.</w:t>
      </w:r>
    </w:p>
    <w:p w14:paraId="7C43B92D" w14:textId="77777777" w:rsidR="00043035" w:rsidRPr="00043035" w:rsidRDefault="00043035" w:rsidP="00043035">
      <w:pPr>
        <w:rPr>
          <w:b/>
          <w:sz w:val="28"/>
          <w:szCs w:val="28"/>
        </w:rPr>
      </w:pPr>
      <w:r w:rsidRPr="00043035">
        <w:rPr>
          <w:b/>
          <w:sz w:val="28"/>
          <w:szCs w:val="28"/>
        </w:rPr>
        <w:t xml:space="preserve">Trustee Protections and Accountability: </w:t>
      </w:r>
    </w:p>
    <w:p w14:paraId="4D23EC0F" w14:textId="77777777" w:rsidR="00043035" w:rsidRPr="00043035" w:rsidRDefault="00043035" w:rsidP="00043035">
      <w:pPr>
        <w:rPr>
          <w:sz w:val="28"/>
          <w:szCs w:val="28"/>
        </w:rPr>
      </w:pPr>
      <w:r w:rsidRPr="00043035">
        <w:rPr>
          <w:sz w:val="28"/>
          <w:szCs w:val="28"/>
        </w:rPr>
        <w:t>The edge between protection of the trustees from excessive liability and the need for accountability. The current law aims to protect trustees from personal liability for honest mistakes that they make while performing their fiduciary duties in the management of the trust affairs (McDonald and Street, 2022). However, this protecting feature may indirectly mean that there is an allowance for misconduct, since the fetters placed on the trustees by the law are probably not stringent enough for a breach of fiduciary duty (Hayton, 2023). Lack of strong accountability measures can only enhance a complacent culture among trustees to the detriment of the beneficiary who trusts them with the sound management of his or her interests.</w:t>
      </w:r>
    </w:p>
    <w:p w14:paraId="7623C6E6" w14:textId="77777777" w:rsidR="00043035" w:rsidRPr="00043035" w:rsidRDefault="00043035" w:rsidP="00043035">
      <w:pPr>
        <w:rPr>
          <w:b/>
          <w:sz w:val="28"/>
          <w:szCs w:val="28"/>
        </w:rPr>
      </w:pPr>
      <w:r w:rsidRPr="00043035">
        <w:rPr>
          <w:b/>
          <w:sz w:val="28"/>
          <w:szCs w:val="28"/>
        </w:rPr>
        <w:t>Stakeholder Views</w:t>
      </w:r>
    </w:p>
    <w:p w14:paraId="55926262" w14:textId="77777777" w:rsidR="00043035" w:rsidRPr="00043035" w:rsidRDefault="00043035" w:rsidP="00043035">
      <w:pPr>
        <w:rPr>
          <w:sz w:val="28"/>
          <w:szCs w:val="28"/>
        </w:rPr>
      </w:pPr>
      <w:r w:rsidRPr="00043035">
        <w:rPr>
          <w:sz w:val="28"/>
          <w:szCs w:val="28"/>
        </w:rPr>
        <w:t>The issues are in a comprehensive manner for the different stakeholders involved. Beneficiaries who depend on trustees to act in their best interest can feel relatively unprotected by them when trustees can act negligently or badly where conflicts of interest are poorly managed. This uncertainty about negligence standards breeds frustration and a lack of confidence in the trust administration process itself (Dernbach, 2020). Thus, potential trustees may avoid acting as fiduciary agents because of the alleged fear of liability and the indeterminate nature of their position.</w:t>
      </w:r>
    </w:p>
    <w:p w14:paraId="6BD53B1E" w14:textId="77777777" w:rsidR="00043035" w:rsidRPr="00043035" w:rsidRDefault="00043035" w:rsidP="00043035">
      <w:pPr>
        <w:rPr>
          <w:b/>
          <w:sz w:val="28"/>
          <w:szCs w:val="28"/>
        </w:rPr>
      </w:pPr>
      <w:r w:rsidRPr="00043035">
        <w:rPr>
          <w:b/>
          <w:sz w:val="28"/>
          <w:szCs w:val="28"/>
        </w:rPr>
        <w:t>Equity Principles</w:t>
      </w:r>
    </w:p>
    <w:p w14:paraId="6E49CEDA" w14:textId="77777777" w:rsidR="00043035" w:rsidRPr="00043035" w:rsidRDefault="00043035" w:rsidP="00043035">
      <w:pPr>
        <w:rPr>
          <w:sz w:val="28"/>
          <w:szCs w:val="28"/>
        </w:rPr>
      </w:pPr>
      <w:r w:rsidRPr="00043035">
        <w:rPr>
          <w:sz w:val="28"/>
          <w:szCs w:val="28"/>
        </w:rPr>
        <w:lastRenderedPageBreak/>
        <w:t xml:space="preserve">From the current legal and equitable framework of the </w:t>
      </w:r>
      <w:r w:rsidRPr="00043035">
        <w:rPr>
          <w:bCs/>
          <w:sz w:val="28"/>
          <w:szCs w:val="28"/>
        </w:rPr>
        <w:t xml:space="preserve">Trustee Act, 2000, </w:t>
      </w:r>
      <w:r w:rsidRPr="00043035">
        <w:rPr>
          <w:sz w:val="28"/>
          <w:szCs w:val="28"/>
        </w:rPr>
        <w:t>there would always be questions on issues on equity principles. Through the Act</w:t>
      </w:r>
      <w:r w:rsidRPr="00043035">
        <w:rPr>
          <w:b/>
          <w:sz w:val="28"/>
          <w:szCs w:val="28"/>
        </w:rPr>
        <w:t>,</w:t>
      </w:r>
      <w:r w:rsidRPr="00043035">
        <w:rPr>
          <w:sz w:val="28"/>
          <w:szCs w:val="28"/>
        </w:rPr>
        <w:t xml:space="preserve"> which is supposed to address matters of justice for its beneficiaries, the law now brings about inequity by its ambiguities or loopholes. Where such unchecked action takes place, it allows for the liabilities by the beneficiary (Bispham, 2023). Another issue in such cases is presented to trustees </w:t>
      </w:r>
      <w:proofErr w:type="gramStart"/>
      <w:r w:rsidRPr="00043035">
        <w:rPr>
          <w:sz w:val="28"/>
          <w:szCs w:val="28"/>
        </w:rPr>
        <w:t>with regard to</w:t>
      </w:r>
      <w:proofErr w:type="gramEnd"/>
      <w:r w:rsidRPr="00043035">
        <w:rPr>
          <w:sz w:val="28"/>
          <w:szCs w:val="28"/>
        </w:rPr>
        <w:t xml:space="preserve"> the duties of fair distribution among and between the beneficiaries in regard to the failure of such representatives to adhere to the well-established enforceable standards.</w:t>
      </w:r>
    </w:p>
    <w:p w14:paraId="20918333" w14:textId="77777777" w:rsidR="00043035" w:rsidRPr="00043035" w:rsidRDefault="00043035" w:rsidP="00043035">
      <w:pPr>
        <w:tabs>
          <w:tab w:val="num" w:pos="0"/>
        </w:tabs>
        <w:rPr>
          <w:bCs/>
          <w:sz w:val="28"/>
          <w:szCs w:val="28"/>
          <w:u w:val="single"/>
        </w:rPr>
      </w:pPr>
      <w:bookmarkStart w:id="2" w:name="_Toc181976376"/>
      <w:r w:rsidRPr="00043035">
        <w:rPr>
          <w:bCs/>
          <w:sz w:val="28"/>
          <w:szCs w:val="28"/>
          <w:u w:val="single"/>
        </w:rPr>
        <w:t>Proposals for reform</w:t>
      </w:r>
      <w:bookmarkEnd w:id="2"/>
      <w:r w:rsidRPr="00043035">
        <w:rPr>
          <w:bCs/>
          <w:sz w:val="28"/>
          <w:szCs w:val="28"/>
          <w:u w:val="single"/>
        </w:rPr>
        <w:t xml:space="preserve"> </w:t>
      </w:r>
    </w:p>
    <w:p w14:paraId="0962F4B4" w14:textId="77777777" w:rsidR="00043035" w:rsidRPr="00043035" w:rsidRDefault="00043035" w:rsidP="00043035">
      <w:pPr>
        <w:rPr>
          <w:b/>
          <w:sz w:val="28"/>
          <w:szCs w:val="28"/>
        </w:rPr>
      </w:pPr>
      <w:r w:rsidRPr="00043035">
        <w:rPr>
          <w:b/>
          <w:sz w:val="28"/>
          <w:szCs w:val="28"/>
        </w:rPr>
        <w:t>Proposal Reforms Outline</w:t>
      </w:r>
    </w:p>
    <w:p w14:paraId="34524135" w14:textId="6E1EE7F8" w:rsidR="00043035" w:rsidRPr="00043035" w:rsidRDefault="00043035" w:rsidP="00043035">
      <w:pPr>
        <w:rPr>
          <w:sz w:val="28"/>
          <w:szCs w:val="28"/>
        </w:rPr>
      </w:pPr>
      <w:r w:rsidRPr="00043035">
        <w:rPr>
          <w:sz w:val="28"/>
          <w:szCs w:val="28"/>
        </w:rPr>
        <w:t xml:space="preserve">The reforms should be specific and contain higher threshold for trustee negligence is proposed which will define which behaviours are and which are not negligent, and the latter will prevent the appearance of liability while ensuring that the trustees perform their duties effectively. Clearer rules on conflicts of interest should further equip the trustees with tools in specific dilemmas that they may be faced with, ensuring transparency and accountability. The last recommendation is for the establishment of sterner processes of trustee qualification and training. </w:t>
      </w:r>
      <w:r w:rsidRPr="00043035">
        <w:rPr>
          <w:sz w:val="28"/>
          <w:szCs w:val="28"/>
        </w:rPr>
        <w:t xml:space="preserve">The case </w:t>
      </w:r>
      <w:r w:rsidRPr="00043035">
        <w:rPr>
          <w:bCs/>
          <w:sz w:val="28"/>
          <w:szCs w:val="28"/>
        </w:rPr>
        <w:t xml:space="preserve">Royal Brunei Airlines v Tan </w:t>
      </w:r>
      <w:r>
        <w:rPr>
          <w:bCs/>
          <w:sz w:val="28"/>
          <w:szCs w:val="28"/>
        </w:rPr>
        <w:t>(</w:t>
      </w:r>
      <w:r w:rsidRPr="00043035">
        <w:rPr>
          <w:bCs/>
          <w:sz w:val="28"/>
          <w:szCs w:val="28"/>
        </w:rPr>
        <w:t>1995</w:t>
      </w:r>
      <w:r>
        <w:rPr>
          <w:bCs/>
          <w:sz w:val="28"/>
          <w:szCs w:val="28"/>
        </w:rPr>
        <w:t xml:space="preserve">) </w:t>
      </w:r>
      <w:r w:rsidRPr="00043035">
        <w:rPr>
          <w:sz w:val="28"/>
          <w:szCs w:val="28"/>
        </w:rPr>
        <w:t>highlights the breach of trust and liability for deceitful assistance. In this regard, people undertaking the position of a trustee would get adequately prepared to perform their fiduciary duties as expected.</w:t>
      </w:r>
    </w:p>
    <w:p w14:paraId="7A5B3B14" w14:textId="77777777" w:rsidR="00043035" w:rsidRPr="00043035" w:rsidRDefault="00043035" w:rsidP="00043035">
      <w:pPr>
        <w:rPr>
          <w:b/>
          <w:sz w:val="28"/>
          <w:szCs w:val="28"/>
        </w:rPr>
      </w:pPr>
      <w:r w:rsidRPr="00043035">
        <w:rPr>
          <w:b/>
          <w:sz w:val="28"/>
          <w:szCs w:val="28"/>
        </w:rPr>
        <w:t>Relevance to Issues</w:t>
      </w:r>
    </w:p>
    <w:p w14:paraId="18F66DA5" w14:textId="77777777" w:rsidR="00043035" w:rsidRPr="00043035" w:rsidRDefault="00043035" w:rsidP="00043035">
      <w:pPr>
        <w:rPr>
          <w:sz w:val="28"/>
          <w:szCs w:val="28"/>
        </w:rPr>
      </w:pPr>
      <w:r w:rsidRPr="00043035">
        <w:rPr>
          <w:sz w:val="28"/>
          <w:szCs w:val="28"/>
        </w:rPr>
        <w:t>These changes would help a lot in addressing the problems as mentioned in the previous section because they have clarified the vague aspects in the matters regarding trustee negligence and conflicts of interest (Watt, 2023). It will be seen how, with the help of such changes, this proposed framework would attempt to make the trustees more accountable to bring out a better deal for the beneficiaries with the system being honest and fair and the conduct of the fiduciaries much more responsible.</w:t>
      </w:r>
    </w:p>
    <w:p w14:paraId="40D924B0" w14:textId="77777777" w:rsidR="00043035" w:rsidRPr="00043035" w:rsidRDefault="00043035" w:rsidP="00043035">
      <w:pPr>
        <w:tabs>
          <w:tab w:val="num" w:pos="0"/>
        </w:tabs>
        <w:rPr>
          <w:bCs/>
          <w:sz w:val="28"/>
          <w:szCs w:val="28"/>
          <w:u w:val="single"/>
        </w:rPr>
      </w:pPr>
      <w:bookmarkStart w:id="3" w:name="_Toc181976377"/>
      <w:r w:rsidRPr="00043035">
        <w:rPr>
          <w:bCs/>
          <w:sz w:val="28"/>
          <w:szCs w:val="28"/>
          <w:u w:val="single"/>
        </w:rPr>
        <w:t>Evaluation of the reform proposal</w:t>
      </w:r>
      <w:bookmarkEnd w:id="3"/>
    </w:p>
    <w:p w14:paraId="6561544B" w14:textId="77777777" w:rsidR="00043035" w:rsidRPr="00043035" w:rsidRDefault="00043035" w:rsidP="00043035">
      <w:pPr>
        <w:rPr>
          <w:b/>
          <w:sz w:val="28"/>
          <w:szCs w:val="28"/>
        </w:rPr>
      </w:pPr>
      <w:r w:rsidRPr="00043035">
        <w:rPr>
          <w:b/>
          <w:sz w:val="28"/>
          <w:szCs w:val="28"/>
        </w:rPr>
        <w:t>Success of Reforms</w:t>
      </w:r>
    </w:p>
    <w:p w14:paraId="61EBB1B6" w14:textId="77777777" w:rsidR="00043035" w:rsidRPr="00043035" w:rsidRDefault="00043035" w:rsidP="00043035">
      <w:pPr>
        <w:rPr>
          <w:sz w:val="28"/>
          <w:szCs w:val="28"/>
        </w:rPr>
      </w:pPr>
      <w:r w:rsidRPr="00043035">
        <w:rPr>
          <w:sz w:val="28"/>
          <w:szCs w:val="28"/>
        </w:rPr>
        <w:t>The reforms proposed will bring a major improvement on the present framework governing the duties and liabilities of trustees and effectively respond to the challenge brought forward. It will provide clarity and good guidance that would reflect standards about what is expected between the negligence group and the one who is expected to be more effective by virtue of accountability.</w:t>
      </w:r>
    </w:p>
    <w:p w14:paraId="2A0D859C" w14:textId="77777777" w:rsidR="00043035" w:rsidRPr="00043035" w:rsidRDefault="00043035" w:rsidP="00043035">
      <w:pPr>
        <w:rPr>
          <w:b/>
          <w:sz w:val="28"/>
          <w:szCs w:val="28"/>
        </w:rPr>
      </w:pPr>
      <w:r w:rsidRPr="00043035">
        <w:rPr>
          <w:b/>
          <w:sz w:val="28"/>
          <w:szCs w:val="28"/>
        </w:rPr>
        <w:t>Negligence</w:t>
      </w:r>
    </w:p>
    <w:p w14:paraId="63CB7A20" w14:textId="5768E567" w:rsidR="00043035" w:rsidRPr="00043035" w:rsidRDefault="00043035" w:rsidP="00043035">
      <w:pPr>
        <w:rPr>
          <w:sz w:val="28"/>
          <w:szCs w:val="28"/>
        </w:rPr>
      </w:pPr>
      <w:r w:rsidRPr="00043035">
        <w:rPr>
          <w:sz w:val="28"/>
          <w:szCs w:val="28"/>
        </w:rPr>
        <w:lastRenderedPageBreak/>
        <w:t xml:space="preserve">New standards set considerably much better improvements through establishing explicitly the kind of negligent activity the trustee is liable to commit. This clarity will enable the trustees to know their duties so that the risk of unconscious violations is minimized. In Bristol and West Building Society v </w:t>
      </w:r>
      <w:proofErr w:type="spellStart"/>
      <w:r w:rsidRPr="00043035">
        <w:rPr>
          <w:sz w:val="28"/>
          <w:szCs w:val="28"/>
        </w:rPr>
        <w:t>Mothew</w:t>
      </w:r>
      <w:proofErr w:type="spellEnd"/>
      <w:r w:rsidRPr="00043035">
        <w:rPr>
          <w:sz w:val="28"/>
          <w:szCs w:val="28"/>
        </w:rPr>
        <w:t xml:space="preserve"> </w:t>
      </w:r>
      <w:r>
        <w:rPr>
          <w:sz w:val="28"/>
          <w:szCs w:val="28"/>
        </w:rPr>
        <w:t>(1996),</w:t>
      </w:r>
      <w:r w:rsidRPr="00043035">
        <w:rPr>
          <w:sz w:val="28"/>
          <w:szCs w:val="28"/>
        </w:rPr>
        <w:t xml:space="preserve"> it was highlighted that higher standard of care and loyalty should be held by the trustees and must always act in the best interest of the beneficiaries (O’Hagan, 2021). The beneficiaries will also enjoy a more transparent framework since they will have a clear view of the thresholds of accountability for the trustee. Both the trustee and beneficiary can now move with increased confidence in their respective roles because defined negligence standards have been established, which in turn will lead to increased trust in the administration of fiduciary responsibilities.</w:t>
      </w:r>
    </w:p>
    <w:p w14:paraId="10191045" w14:textId="77777777" w:rsidR="00043035" w:rsidRPr="00043035" w:rsidRDefault="00043035" w:rsidP="00043035">
      <w:pPr>
        <w:rPr>
          <w:b/>
          <w:sz w:val="28"/>
          <w:szCs w:val="28"/>
        </w:rPr>
      </w:pPr>
      <w:r w:rsidRPr="00043035">
        <w:rPr>
          <w:b/>
          <w:sz w:val="28"/>
          <w:szCs w:val="28"/>
        </w:rPr>
        <w:t>Conflict of Interest</w:t>
      </w:r>
    </w:p>
    <w:p w14:paraId="2C91D719" w14:textId="16971105" w:rsidR="00043035" w:rsidRPr="00043035" w:rsidRDefault="00043035" w:rsidP="00043035">
      <w:pPr>
        <w:rPr>
          <w:sz w:val="28"/>
          <w:szCs w:val="28"/>
        </w:rPr>
      </w:pPr>
      <w:r w:rsidRPr="00043035">
        <w:rPr>
          <w:sz w:val="28"/>
          <w:szCs w:val="28"/>
        </w:rPr>
        <w:t xml:space="preserve">The draft conflict of interest guidelines </w:t>
      </w:r>
      <w:r w:rsidRPr="00043035">
        <w:rPr>
          <w:sz w:val="28"/>
          <w:szCs w:val="28"/>
        </w:rPr>
        <w:t>is</w:t>
      </w:r>
      <w:r w:rsidRPr="00043035">
        <w:rPr>
          <w:sz w:val="28"/>
          <w:szCs w:val="28"/>
        </w:rPr>
        <w:t xml:space="preserve"> a straightforward effort at providing examples and clarity for the purposes of trustee accountability (Ramjohn, 2019). For instance, such reforms are enhancing trustee operations' transparency through requirements of disclosures and particularized protocols on managing conflict of interest. This would consequently lead to higher beneficiary confidence in the system. However, successful implementation and the willingness of trustees to adhere to the guidelines are what will make the guidelines a success.</w:t>
      </w:r>
    </w:p>
    <w:p w14:paraId="71F59E1D" w14:textId="77777777" w:rsidR="00043035" w:rsidRPr="00043035" w:rsidRDefault="00043035" w:rsidP="00043035">
      <w:pPr>
        <w:rPr>
          <w:b/>
          <w:sz w:val="28"/>
          <w:szCs w:val="28"/>
        </w:rPr>
      </w:pPr>
      <w:r w:rsidRPr="00043035">
        <w:rPr>
          <w:b/>
          <w:sz w:val="28"/>
          <w:szCs w:val="28"/>
        </w:rPr>
        <w:t>Satisfying the Interests of Stakeholders</w:t>
      </w:r>
    </w:p>
    <w:p w14:paraId="76BFBC09" w14:textId="77777777" w:rsidR="00043035" w:rsidRPr="00043035" w:rsidRDefault="00043035" w:rsidP="00043035">
      <w:pPr>
        <w:rPr>
          <w:sz w:val="28"/>
          <w:szCs w:val="28"/>
        </w:rPr>
      </w:pPr>
      <w:r w:rsidRPr="00043035">
        <w:rPr>
          <w:sz w:val="28"/>
          <w:szCs w:val="28"/>
        </w:rPr>
        <w:t xml:space="preserve">The reforms seem to balance the rights of the trustees and those of the beneficiaries. The proposed changes would be structured in a way that helps avoid </w:t>
      </w:r>
      <w:r w:rsidRPr="00043035">
        <w:rPr>
          <w:sz w:val="28"/>
          <w:szCs w:val="28"/>
        </w:rPr>
        <w:lastRenderedPageBreak/>
        <w:t>potential abuses, which would be accomplished through protection of liabilities for the trustees while upping the accountability standards. These reforms also pay attention to the need of preserving a fair burden on the trustee; unduly burdensome regulatory requirements could be too intimidating to a willing and able person who would otherwise serve as trustee. The purpose is for trustees to be motivated enough by the law so they can make decisions to the best of their ability for the benefit of the beneficiaries without any sense of impending punishment from such honest mistakes.</w:t>
      </w:r>
    </w:p>
    <w:p w14:paraId="349DAF10" w14:textId="77777777" w:rsidR="00043035" w:rsidRPr="00043035" w:rsidRDefault="00043035" w:rsidP="00043035">
      <w:pPr>
        <w:rPr>
          <w:b/>
          <w:sz w:val="28"/>
          <w:szCs w:val="28"/>
        </w:rPr>
      </w:pPr>
      <w:r w:rsidRPr="00043035">
        <w:rPr>
          <w:b/>
          <w:sz w:val="28"/>
          <w:szCs w:val="28"/>
        </w:rPr>
        <w:t>Emerging Issues</w:t>
      </w:r>
    </w:p>
    <w:p w14:paraId="2051D427" w14:textId="77777777" w:rsidR="00043035" w:rsidRPr="00043035" w:rsidRDefault="00043035" w:rsidP="00043035">
      <w:pPr>
        <w:rPr>
          <w:sz w:val="28"/>
          <w:szCs w:val="28"/>
        </w:rPr>
      </w:pPr>
      <w:r w:rsidRPr="00043035">
        <w:rPr>
          <w:sz w:val="28"/>
          <w:szCs w:val="28"/>
        </w:rPr>
        <w:t>Regardless of these benefits, reforms are guaranteed to usher in unanticipated woes. Administrative costs may instead be derived from the insistence for and training necessities and inhibit involvement in being trustees. Heightened accountability requirements will just breed a risk-avoiding mentality on the hands of the very wards; and hence, overly cautious with their ability to make much better resolutions for the trust. Best therefore be done that great attention be given not to the reforms inadvertently put out, a fire into which proper management in a trust eventually died.</w:t>
      </w:r>
    </w:p>
    <w:p w14:paraId="7E449FC0" w14:textId="77777777" w:rsidR="00043035" w:rsidRPr="00043035" w:rsidRDefault="00043035" w:rsidP="00043035">
      <w:pPr>
        <w:rPr>
          <w:b/>
          <w:sz w:val="28"/>
          <w:szCs w:val="28"/>
        </w:rPr>
      </w:pPr>
      <w:r w:rsidRPr="00043035">
        <w:rPr>
          <w:b/>
          <w:sz w:val="28"/>
          <w:szCs w:val="28"/>
        </w:rPr>
        <w:t>Draft and Scope</w:t>
      </w:r>
    </w:p>
    <w:p w14:paraId="29B182CF" w14:textId="77777777" w:rsidR="00043035" w:rsidRPr="00043035" w:rsidRDefault="00043035" w:rsidP="00043035">
      <w:pPr>
        <w:rPr>
          <w:sz w:val="28"/>
          <w:szCs w:val="28"/>
        </w:rPr>
      </w:pPr>
      <w:r w:rsidRPr="00043035">
        <w:rPr>
          <w:sz w:val="28"/>
          <w:szCs w:val="28"/>
        </w:rPr>
        <w:t>An analysis of the clarity and scope of proposed clauses shows that although they constitute a good framework, it does have some provisions that must be refined. If they use very broad language, one might find different interpretations being given to the same. Its proper enforcement and compliance would hence depend on it. Specificity is very important so as for clear understanding by all parties affected or have stake over the new guidelines.</w:t>
      </w:r>
    </w:p>
    <w:p w14:paraId="19F414FF" w14:textId="77777777" w:rsidR="00043035" w:rsidRPr="00043035" w:rsidRDefault="00043035" w:rsidP="00043035">
      <w:pPr>
        <w:rPr>
          <w:b/>
          <w:sz w:val="28"/>
          <w:szCs w:val="28"/>
        </w:rPr>
      </w:pPr>
      <w:r w:rsidRPr="00043035">
        <w:rPr>
          <w:b/>
          <w:sz w:val="28"/>
          <w:szCs w:val="28"/>
        </w:rPr>
        <w:lastRenderedPageBreak/>
        <w:t>Compatibility with Statutes</w:t>
      </w:r>
    </w:p>
    <w:p w14:paraId="43D62D4A" w14:textId="06B6A8F1" w:rsidR="00043035" w:rsidRPr="00043035" w:rsidRDefault="00043035" w:rsidP="00043035">
      <w:pPr>
        <w:rPr>
          <w:sz w:val="28"/>
          <w:szCs w:val="28"/>
        </w:rPr>
      </w:pPr>
      <w:r w:rsidRPr="00043035">
        <w:rPr>
          <w:sz w:val="28"/>
          <w:szCs w:val="28"/>
        </w:rPr>
        <w:t xml:space="preserve">The proposed reforms </w:t>
      </w:r>
      <w:proofErr w:type="gramStart"/>
      <w:r w:rsidRPr="00043035">
        <w:rPr>
          <w:sz w:val="28"/>
          <w:szCs w:val="28"/>
        </w:rPr>
        <w:t>aims</w:t>
      </w:r>
      <w:proofErr w:type="gramEnd"/>
      <w:r w:rsidRPr="00043035">
        <w:rPr>
          <w:sz w:val="28"/>
          <w:szCs w:val="28"/>
        </w:rPr>
        <w:t xml:space="preserve"> to refine the current landscape for the laws governing trustees. The provisions should engage with the </w:t>
      </w:r>
      <w:r w:rsidRPr="00043035">
        <w:rPr>
          <w:bCs/>
          <w:sz w:val="28"/>
          <w:szCs w:val="28"/>
        </w:rPr>
        <w:t xml:space="preserve">Trustee Act, 2000, </w:t>
      </w:r>
      <w:r w:rsidRPr="00043035">
        <w:rPr>
          <w:sz w:val="28"/>
          <w:szCs w:val="28"/>
        </w:rPr>
        <w:t xml:space="preserve">giving support to its fundamental philosophy, while trying to correct some of its drawbacks (Virgo, 2018). The caution </w:t>
      </w:r>
      <w:proofErr w:type="gramStart"/>
      <w:r w:rsidRPr="00043035">
        <w:rPr>
          <w:sz w:val="28"/>
          <w:szCs w:val="28"/>
        </w:rPr>
        <w:t>has to</w:t>
      </w:r>
      <w:proofErr w:type="gramEnd"/>
      <w:r w:rsidRPr="00043035">
        <w:rPr>
          <w:sz w:val="28"/>
          <w:szCs w:val="28"/>
        </w:rPr>
        <w:t xml:space="preserve"> be exercised to stop any unnecessary complication in what presently </w:t>
      </w:r>
      <w:r w:rsidRPr="00043035">
        <w:rPr>
          <w:sz w:val="28"/>
          <w:szCs w:val="28"/>
        </w:rPr>
        <w:t>their duty or discrepancy with different applicable laws in is how</w:t>
      </w:r>
      <w:r w:rsidRPr="00043035">
        <w:rPr>
          <w:sz w:val="28"/>
          <w:szCs w:val="28"/>
        </w:rPr>
        <w:t xml:space="preserve"> trustees should discharge their duties. A well-integrated approach will be vital in ensuring that the reforms are effective and complementary to the existing legal frameworks.</w:t>
      </w:r>
    </w:p>
    <w:p w14:paraId="0A9441A2" w14:textId="77777777" w:rsidR="00043035" w:rsidRPr="00043035" w:rsidRDefault="00043035" w:rsidP="00043035">
      <w:pPr>
        <w:rPr>
          <w:b/>
          <w:bCs/>
          <w:sz w:val="28"/>
          <w:szCs w:val="28"/>
        </w:rPr>
      </w:pPr>
      <w:bookmarkStart w:id="4" w:name="_Toc181976378"/>
      <w:r w:rsidRPr="00043035">
        <w:rPr>
          <w:b/>
          <w:bCs/>
          <w:sz w:val="28"/>
          <w:szCs w:val="28"/>
        </w:rPr>
        <w:t>CONCLUSION</w:t>
      </w:r>
      <w:bookmarkEnd w:id="4"/>
    </w:p>
    <w:p w14:paraId="74A69DD8" w14:textId="77777777" w:rsidR="00043035" w:rsidRPr="00043035" w:rsidRDefault="00043035" w:rsidP="00043035">
      <w:pPr>
        <w:rPr>
          <w:sz w:val="28"/>
          <w:szCs w:val="28"/>
        </w:rPr>
      </w:pPr>
      <w:r w:rsidRPr="00043035">
        <w:rPr>
          <w:sz w:val="28"/>
          <w:szCs w:val="28"/>
        </w:rPr>
        <w:t>It can be concluded from the above information that questions of negligence and conflict of interest would be included on the main points raised for issues in trustee duties and liabilities in England and Wales. The reform puts emphasis on clarifying in some structure the ways and procedures concerning these issues. The level of standard negligence should take, a manner the conflict of interest should be in handling the issue, and better accountability in the responsibility of a trustee. These changes will also make transparency, which is the basis on which stakeholders build trust for allowing more capable people into fiduciary roles stronger. They improve the security of the beneficiaries while at the same time giving clear responsibilities to the trustees. The draft clauses should be refined for clarity to avoid ambiguity. Ongoing review and feedback from all stakeholders will be critical to the implementation of these reforms effectively to eventually achieve a more just and efficient trust administration system.</w:t>
      </w:r>
    </w:p>
    <w:p w14:paraId="7CCDBE1D" w14:textId="77777777" w:rsidR="00346198" w:rsidRDefault="00346198">
      <w:pPr>
        <w:rPr>
          <w:sz w:val="28"/>
          <w:szCs w:val="28"/>
        </w:rPr>
      </w:pPr>
    </w:p>
    <w:p w14:paraId="59E844CD" w14:textId="77777777" w:rsidR="00043035" w:rsidRDefault="00043035">
      <w:pPr>
        <w:rPr>
          <w:sz w:val="28"/>
          <w:szCs w:val="28"/>
        </w:rPr>
      </w:pPr>
    </w:p>
    <w:p w14:paraId="1C6C4327" w14:textId="77777777" w:rsidR="00043035" w:rsidRDefault="00043035">
      <w:pPr>
        <w:rPr>
          <w:sz w:val="28"/>
          <w:szCs w:val="28"/>
        </w:rPr>
      </w:pPr>
    </w:p>
    <w:p w14:paraId="70515F33" w14:textId="77777777" w:rsidR="00043035" w:rsidRDefault="00043035">
      <w:pPr>
        <w:rPr>
          <w:sz w:val="28"/>
          <w:szCs w:val="28"/>
        </w:rPr>
      </w:pPr>
    </w:p>
    <w:p w14:paraId="2682AB6F" w14:textId="77777777" w:rsidR="00043035" w:rsidRDefault="00043035">
      <w:pPr>
        <w:rPr>
          <w:sz w:val="28"/>
          <w:szCs w:val="28"/>
        </w:rPr>
      </w:pPr>
    </w:p>
    <w:p w14:paraId="1AB2DDDA" w14:textId="77777777" w:rsidR="00043035" w:rsidRDefault="00043035">
      <w:pPr>
        <w:rPr>
          <w:sz w:val="28"/>
          <w:szCs w:val="28"/>
        </w:rPr>
      </w:pPr>
    </w:p>
    <w:p w14:paraId="1FC92528" w14:textId="77777777" w:rsidR="00043035" w:rsidRDefault="00043035">
      <w:pPr>
        <w:rPr>
          <w:sz w:val="28"/>
          <w:szCs w:val="28"/>
        </w:rPr>
      </w:pPr>
    </w:p>
    <w:p w14:paraId="40411031" w14:textId="77777777" w:rsidR="00043035" w:rsidRDefault="00043035">
      <w:pPr>
        <w:rPr>
          <w:sz w:val="28"/>
          <w:szCs w:val="28"/>
        </w:rPr>
      </w:pPr>
    </w:p>
    <w:p w14:paraId="0F0F9B1D" w14:textId="77777777" w:rsidR="00043035" w:rsidRDefault="00043035">
      <w:pPr>
        <w:rPr>
          <w:sz w:val="28"/>
          <w:szCs w:val="28"/>
        </w:rPr>
      </w:pPr>
    </w:p>
    <w:p w14:paraId="7928CC0E" w14:textId="77777777" w:rsidR="00043035" w:rsidRDefault="00043035">
      <w:pPr>
        <w:rPr>
          <w:sz w:val="28"/>
          <w:szCs w:val="28"/>
        </w:rPr>
      </w:pPr>
    </w:p>
    <w:p w14:paraId="20FC88E9" w14:textId="77777777" w:rsidR="00043035" w:rsidRDefault="00043035">
      <w:pPr>
        <w:rPr>
          <w:sz w:val="28"/>
          <w:szCs w:val="28"/>
        </w:rPr>
      </w:pPr>
    </w:p>
    <w:p w14:paraId="5A2B7ED4" w14:textId="6F3B4C71" w:rsidR="00043035" w:rsidRDefault="00043035">
      <w:pPr>
        <w:rPr>
          <w:b/>
          <w:bCs/>
          <w:sz w:val="28"/>
          <w:szCs w:val="28"/>
        </w:rPr>
      </w:pPr>
      <w:r>
        <w:rPr>
          <w:b/>
          <w:bCs/>
          <w:sz w:val="28"/>
          <w:szCs w:val="28"/>
        </w:rPr>
        <w:t>References:</w:t>
      </w:r>
    </w:p>
    <w:p w14:paraId="58E6CBB1" w14:textId="77777777" w:rsidR="00043035" w:rsidRPr="00043035" w:rsidRDefault="00043035">
      <w:pPr>
        <w:rPr>
          <w:b/>
          <w:bCs/>
          <w:sz w:val="28"/>
          <w:szCs w:val="28"/>
        </w:rPr>
      </w:pPr>
    </w:p>
    <w:p w14:paraId="29212270" w14:textId="77777777" w:rsidR="00043035" w:rsidRDefault="00043035">
      <w:pPr>
        <w:rPr>
          <w:sz w:val="28"/>
          <w:szCs w:val="28"/>
        </w:rPr>
      </w:pPr>
    </w:p>
    <w:p w14:paraId="7732F40E" w14:textId="77777777" w:rsidR="00043035" w:rsidRDefault="00043035">
      <w:pPr>
        <w:rPr>
          <w:sz w:val="28"/>
          <w:szCs w:val="28"/>
        </w:rPr>
      </w:pPr>
      <w:r w:rsidRPr="00043035">
        <w:rPr>
          <w:sz w:val="28"/>
          <w:szCs w:val="28"/>
        </w:rPr>
        <w:t>Alexander, S. and Edwards, M. (2020). What are the duties of an outgoing trustee? </w:t>
      </w:r>
      <w:r w:rsidRPr="00043035">
        <w:rPr>
          <w:i/>
          <w:iCs/>
          <w:sz w:val="28"/>
          <w:szCs w:val="28"/>
        </w:rPr>
        <w:t>Trusts &amp; Trustees</w:t>
      </w:r>
      <w:r w:rsidRPr="00043035">
        <w:rPr>
          <w:sz w:val="28"/>
          <w:szCs w:val="28"/>
        </w:rPr>
        <w:t xml:space="preserve">. </w:t>
      </w:r>
      <w:proofErr w:type="spellStart"/>
      <w:proofErr w:type="gramStart"/>
      <w:r w:rsidRPr="00043035">
        <w:rPr>
          <w:sz w:val="28"/>
          <w:szCs w:val="28"/>
        </w:rPr>
        <w:t>doi:https</w:t>
      </w:r>
      <w:proofErr w:type="spellEnd"/>
      <w:r w:rsidRPr="00043035">
        <w:rPr>
          <w:sz w:val="28"/>
          <w:szCs w:val="28"/>
        </w:rPr>
        <w:t>://doi.org/10.1093/</w:t>
      </w:r>
      <w:proofErr w:type="spellStart"/>
      <w:r w:rsidRPr="00043035">
        <w:rPr>
          <w:sz w:val="28"/>
          <w:szCs w:val="28"/>
        </w:rPr>
        <w:t>tandt</w:t>
      </w:r>
      <w:proofErr w:type="spellEnd"/>
      <w:r w:rsidRPr="00043035">
        <w:rPr>
          <w:sz w:val="28"/>
          <w:szCs w:val="28"/>
        </w:rPr>
        <w:t>/ttaa103</w:t>
      </w:r>
      <w:proofErr w:type="gramEnd"/>
      <w:r w:rsidRPr="00043035">
        <w:rPr>
          <w:sz w:val="28"/>
          <w:szCs w:val="28"/>
        </w:rPr>
        <w:t>.</w:t>
      </w:r>
    </w:p>
    <w:p w14:paraId="78C9C753" w14:textId="77777777" w:rsidR="00043035" w:rsidRPr="00043035" w:rsidRDefault="00043035" w:rsidP="00043035">
      <w:pPr>
        <w:rPr>
          <w:sz w:val="28"/>
          <w:szCs w:val="28"/>
        </w:rPr>
      </w:pPr>
      <w:r w:rsidRPr="00043035">
        <w:rPr>
          <w:bCs/>
          <w:sz w:val="28"/>
          <w:szCs w:val="28"/>
        </w:rPr>
        <w:t>Armitage v Nurse (1997) EWCA Civ 1279</w:t>
      </w:r>
    </w:p>
    <w:p w14:paraId="6FF0C04C" w14:textId="77777777" w:rsidR="00043035" w:rsidRDefault="00043035">
      <w:pPr>
        <w:rPr>
          <w:sz w:val="28"/>
          <w:szCs w:val="28"/>
        </w:rPr>
      </w:pPr>
      <w:r w:rsidRPr="00043035">
        <w:rPr>
          <w:sz w:val="28"/>
          <w:szCs w:val="28"/>
        </w:rPr>
        <w:t>Bispham, T. (2023). </w:t>
      </w:r>
      <w:r w:rsidRPr="00043035">
        <w:rPr>
          <w:i/>
          <w:iCs/>
          <w:sz w:val="28"/>
          <w:szCs w:val="28"/>
        </w:rPr>
        <w:t>The Principles of Equity</w:t>
      </w:r>
      <w:r w:rsidRPr="00043035">
        <w:rPr>
          <w:sz w:val="28"/>
          <w:szCs w:val="28"/>
        </w:rPr>
        <w:t xml:space="preserve">. </w:t>
      </w:r>
      <w:proofErr w:type="spellStart"/>
      <w:r w:rsidRPr="00043035">
        <w:rPr>
          <w:sz w:val="28"/>
          <w:szCs w:val="28"/>
        </w:rPr>
        <w:t>BoD</w:t>
      </w:r>
      <w:proofErr w:type="spellEnd"/>
      <w:r w:rsidRPr="00043035">
        <w:rPr>
          <w:sz w:val="28"/>
          <w:szCs w:val="28"/>
        </w:rPr>
        <w:t xml:space="preserve"> – Books on Demand.</w:t>
      </w:r>
    </w:p>
    <w:p w14:paraId="020E1B46" w14:textId="77777777" w:rsidR="00043035" w:rsidRPr="00043035" w:rsidRDefault="00043035" w:rsidP="00043035">
      <w:pPr>
        <w:rPr>
          <w:sz w:val="28"/>
          <w:szCs w:val="28"/>
        </w:rPr>
      </w:pPr>
      <w:r w:rsidRPr="00043035">
        <w:rPr>
          <w:sz w:val="28"/>
          <w:szCs w:val="28"/>
        </w:rPr>
        <w:t xml:space="preserve">Bristol and West Building Society v </w:t>
      </w:r>
      <w:proofErr w:type="spellStart"/>
      <w:r w:rsidRPr="00043035">
        <w:rPr>
          <w:sz w:val="28"/>
          <w:szCs w:val="28"/>
        </w:rPr>
        <w:t>Mothew</w:t>
      </w:r>
      <w:proofErr w:type="spellEnd"/>
      <w:r w:rsidRPr="00043035">
        <w:rPr>
          <w:sz w:val="28"/>
          <w:szCs w:val="28"/>
        </w:rPr>
        <w:t xml:space="preserve"> [1996] EWCA </w:t>
      </w:r>
      <w:proofErr w:type="spellStart"/>
      <w:r w:rsidRPr="00043035">
        <w:rPr>
          <w:sz w:val="28"/>
          <w:szCs w:val="28"/>
        </w:rPr>
        <w:t>Civ</w:t>
      </w:r>
      <w:proofErr w:type="spellEnd"/>
      <w:r w:rsidRPr="00043035">
        <w:rPr>
          <w:sz w:val="28"/>
          <w:szCs w:val="28"/>
        </w:rPr>
        <w:t xml:space="preserve"> 533</w:t>
      </w:r>
    </w:p>
    <w:p w14:paraId="7239030D" w14:textId="77777777" w:rsidR="00043035" w:rsidRDefault="00043035">
      <w:pPr>
        <w:rPr>
          <w:sz w:val="28"/>
          <w:szCs w:val="28"/>
        </w:rPr>
      </w:pPr>
      <w:r w:rsidRPr="00043035">
        <w:rPr>
          <w:sz w:val="28"/>
          <w:szCs w:val="28"/>
        </w:rPr>
        <w:t xml:space="preserve">Criddle, E.J., Miller, P.B. and </w:t>
      </w:r>
      <w:proofErr w:type="spellStart"/>
      <w:r w:rsidRPr="00043035">
        <w:rPr>
          <w:sz w:val="28"/>
          <w:szCs w:val="28"/>
        </w:rPr>
        <w:t>Sitkoff</w:t>
      </w:r>
      <w:proofErr w:type="spellEnd"/>
      <w:r w:rsidRPr="00043035">
        <w:rPr>
          <w:sz w:val="28"/>
          <w:szCs w:val="28"/>
        </w:rPr>
        <w:t>, R.H. (2019). </w:t>
      </w:r>
      <w:r w:rsidRPr="00043035">
        <w:rPr>
          <w:i/>
          <w:iCs/>
          <w:sz w:val="28"/>
          <w:szCs w:val="28"/>
        </w:rPr>
        <w:t>The Oxford Handbook of Fiduciary Law</w:t>
      </w:r>
      <w:r w:rsidRPr="00043035">
        <w:rPr>
          <w:sz w:val="28"/>
          <w:szCs w:val="28"/>
        </w:rPr>
        <w:t>. Oxford University Press.</w:t>
      </w:r>
    </w:p>
    <w:p w14:paraId="1036F387" w14:textId="77777777" w:rsidR="00043035" w:rsidRDefault="00043035">
      <w:pPr>
        <w:rPr>
          <w:sz w:val="28"/>
          <w:szCs w:val="28"/>
        </w:rPr>
      </w:pPr>
      <w:r w:rsidRPr="00043035">
        <w:rPr>
          <w:sz w:val="28"/>
          <w:szCs w:val="28"/>
        </w:rPr>
        <w:t>Dernbach, J. (2021). The Role of Trust Law Principles in Defining Public Trust Duties for Natural Resources. </w:t>
      </w:r>
      <w:r w:rsidRPr="00043035">
        <w:rPr>
          <w:i/>
          <w:iCs/>
          <w:sz w:val="28"/>
          <w:szCs w:val="28"/>
        </w:rPr>
        <w:t>University of Michigan Journal of Law Reform</w:t>
      </w:r>
      <w:r w:rsidRPr="00043035">
        <w:rPr>
          <w:sz w:val="28"/>
          <w:szCs w:val="28"/>
        </w:rPr>
        <w:t xml:space="preserve">, [online] (54.1), p.77. </w:t>
      </w:r>
      <w:proofErr w:type="spellStart"/>
      <w:proofErr w:type="gramStart"/>
      <w:r w:rsidRPr="00043035">
        <w:rPr>
          <w:sz w:val="28"/>
          <w:szCs w:val="28"/>
        </w:rPr>
        <w:t>doi:https</w:t>
      </w:r>
      <w:proofErr w:type="spellEnd"/>
      <w:r w:rsidRPr="00043035">
        <w:rPr>
          <w:sz w:val="28"/>
          <w:szCs w:val="28"/>
        </w:rPr>
        <w:t>://doi.org/10.36646/mjlr.54.1.role</w:t>
      </w:r>
      <w:proofErr w:type="gramEnd"/>
      <w:r w:rsidRPr="00043035">
        <w:rPr>
          <w:sz w:val="28"/>
          <w:szCs w:val="28"/>
        </w:rPr>
        <w:t>.</w:t>
      </w:r>
    </w:p>
    <w:p w14:paraId="27293885" w14:textId="77777777" w:rsidR="00043035" w:rsidRPr="00043035" w:rsidRDefault="00043035" w:rsidP="00043035">
      <w:pPr>
        <w:rPr>
          <w:sz w:val="28"/>
          <w:szCs w:val="28"/>
        </w:rPr>
      </w:pPr>
      <w:r w:rsidRPr="00043035">
        <w:rPr>
          <w:bCs/>
          <w:sz w:val="28"/>
          <w:szCs w:val="28"/>
        </w:rPr>
        <w:t>Keech V Sandford (1726) EWHC J76</w:t>
      </w:r>
    </w:p>
    <w:p w14:paraId="7369FBD0" w14:textId="77777777" w:rsidR="00043035" w:rsidRDefault="00043035">
      <w:pPr>
        <w:rPr>
          <w:sz w:val="28"/>
          <w:szCs w:val="28"/>
        </w:rPr>
      </w:pPr>
      <w:r w:rsidRPr="00043035">
        <w:rPr>
          <w:sz w:val="28"/>
          <w:szCs w:val="28"/>
        </w:rPr>
        <w:t>Legislation.gov.uk. (2021). </w:t>
      </w:r>
      <w:r w:rsidRPr="00043035">
        <w:rPr>
          <w:i/>
          <w:iCs/>
          <w:sz w:val="28"/>
          <w:szCs w:val="28"/>
        </w:rPr>
        <w:t>Trustee Act 2000</w:t>
      </w:r>
      <w:r w:rsidRPr="00043035">
        <w:rPr>
          <w:sz w:val="28"/>
          <w:szCs w:val="28"/>
        </w:rPr>
        <w:t>. [online] Available at: https://www.legislation.gov.uk/ukpga/2000/29/contents.</w:t>
      </w:r>
    </w:p>
    <w:p w14:paraId="43EE4EED" w14:textId="77777777" w:rsidR="00043035" w:rsidRDefault="00043035">
      <w:pPr>
        <w:rPr>
          <w:sz w:val="28"/>
          <w:szCs w:val="28"/>
        </w:rPr>
      </w:pPr>
      <w:r w:rsidRPr="00043035">
        <w:rPr>
          <w:sz w:val="28"/>
          <w:szCs w:val="28"/>
        </w:rPr>
        <w:t>O’Hagan, P. (2021). ‘You Say Tomatoes’ – avoiding trustee liability for breach of duties of care in English and US style trust deeds. </w:t>
      </w:r>
      <w:r w:rsidRPr="00043035">
        <w:rPr>
          <w:i/>
          <w:iCs/>
          <w:sz w:val="28"/>
          <w:szCs w:val="28"/>
        </w:rPr>
        <w:t>Trusts &amp; Trustees</w:t>
      </w:r>
      <w:r w:rsidRPr="00043035">
        <w:rPr>
          <w:sz w:val="28"/>
          <w:szCs w:val="28"/>
        </w:rPr>
        <w:t xml:space="preserve">. </w:t>
      </w:r>
      <w:proofErr w:type="spellStart"/>
      <w:proofErr w:type="gramStart"/>
      <w:r w:rsidRPr="00043035">
        <w:rPr>
          <w:sz w:val="28"/>
          <w:szCs w:val="28"/>
        </w:rPr>
        <w:t>doi:https</w:t>
      </w:r>
      <w:proofErr w:type="spellEnd"/>
      <w:r w:rsidRPr="00043035">
        <w:rPr>
          <w:sz w:val="28"/>
          <w:szCs w:val="28"/>
        </w:rPr>
        <w:t>://doi.org/10.1093/</w:t>
      </w:r>
      <w:proofErr w:type="spellStart"/>
      <w:r w:rsidRPr="00043035">
        <w:rPr>
          <w:sz w:val="28"/>
          <w:szCs w:val="28"/>
        </w:rPr>
        <w:t>tandt</w:t>
      </w:r>
      <w:proofErr w:type="spellEnd"/>
      <w:r w:rsidRPr="00043035">
        <w:rPr>
          <w:sz w:val="28"/>
          <w:szCs w:val="28"/>
        </w:rPr>
        <w:t>/ttab009</w:t>
      </w:r>
      <w:proofErr w:type="gramEnd"/>
      <w:r w:rsidRPr="00043035">
        <w:rPr>
          <w:sz w:val="28"/>
          <w:szCs w:val="28"/>
        </w:rPr>
        <w:t>.</w:t>
      </w:r>
    </w:p>
    <w:p w14:paraId="2856B763" w14:textId="77777777" w:rsidR="00043035" w:rsidRDefault="00043035">
      <w:pPr>
        <w:rPr>
          <w:sz w:val="28"/>
          <w:szCs w:val="28"/>
        </w:rPr>
      </w:pPr>
      <w:r w:rsidRPr="00043035">
        <w:rPr>
          <w:sz w:val="28"/>
          <w:szCs w:val="28"/>
        </w:rPr>
        <w:t>Pettit, P.H. (2012). </w:t>
      </w:r>
      <w:r w:rsidRPr="00043035">
        <w:rPr>
          <w:i/>
          <w:iCs/>
          <w:sz w:val="28"/>
          <w:szCs w:val="28"/>
        </w:rPr>
        <w:t>Equity and the Law of Trusts</w:t>
      </w:r>
      <w:r w:rsidRPr="00043035">
        <w:rPr>
          <w:sz w:val="28"/>
          <w:szCs w:val="28"/>
        </w:rPr>
        <w:t>.</w:t>
      </w:r>
    </w:p>
    <w:p w14:paraId="21C609EA" w14:textId="77777777" w:rsidR="00043035" w:rsidRDefault="00043035">
      <w:pPr>
        <w:rPr>
          <w:sz w:val="28"/>
          <w:szCs w:val="28"/>
        </w:rPr>
      </w:pPr>
      <w:r w:rsidRPr="00043035">
        <w:rPr>
          <w:sz w:val="28"/>
          <w:szCs w:val="28"/>
        </w:rPr>
        <w:t>Ramjohn, M. (2017). </w:t>
      </w:r>
      <w:r w:rsidRPr="00043035">
        <w:rPr>
          <w:i/>
          <w:iCs/>
          <w:sz w:val="28"/>
          <w:szCs w:val="28"/>
        </w:rPr>
        <w:t>Unlocking Equity and Trusts</w:t>
      </w:r>
      <w:r w:rsidRPr="00043035">
        <w:rPr>
          <w:sz w:val="28"/>
          <w:szCs w:val="28"/>
        </w:rPr>
        <w:t>. Taylor &amp; Francis.</w:t>
      </w:r>
    </w:p>
    <w:p w14:paraId="45770B48" w14:textId="77777777" w:rsidR="00043035" w:rsidRDefault="00043035">
      <w:pPr>
        <w:rPr>
          <w:sz w:val="28"/>
          <w:szCs w:val="28"/>
        </w:rPr>
      </w:pPr>
      <w:r w:rsidRPr="00043035">
        <w:rPr>
          <w:sz w:val="28"/>
          <w:szCs w:val="28"/>
        </w:rPr>
        <w:t>Riches, J. (2016). </w:t>
      </w:r>
      <w:r w:rsidRPr="00043035">
        <w:rPr>
          <w:i/>
          <w:iCs/>
          <w:sz w:val="28"/>
          <w:szCs w:val="28"/>
        </w:rPr>
        <w:t>Equity and Trusts</w:t>
      </w:r>
      <w:r w:rsidRPr="00043035">
        <w:rPr>
          <w:sz w:val="28"/>
          <w:szCs w:val="28"/>
        </w:rPr>
        <w:t>. Routledge.</w:t>
      </w:r>
    </w:p>
    <w:p w14:paraId="02F8A89E" w14:textId="77777777" w:rsidR="00043035" w:rsidRDefault="00043035">
      <w:pPr>
        <w:rPr>
          <w:bCs/>
          <w:sz w:val="28"/>
          <w:szCs w:val="28"/>
        </w:rPr>
      </w:pPr>
      <w:r w:rsidRPr="00043035">
        <w:rPr>
          <w:bCs/>
          <w:sz w:val="28"/>
          <w:szCs w:val="28"/>
        </w:rPr>
        <w:t>Royal Brunei Airlines v Tan [1995] 2 AC 378</w:t>
      </w:r>
    </w:p>
    <w:p w14:paraId="1869789D" w14:textId="77777777" w:rsidR="00043035" w:rsidRPr="00043035" w:rsidRDefault="00043035" w:rsidP="00043035">
      <w:pPr>
        <w:rPr>
          <w:sz w:val="28"/>
          <w:szCs w:val="28"/>
        </w:rPr>
      </w:pPr>
      <w:r w:rsidRPr="00043035">
        <w:rPr>
          <w:sz w:val="28"/>
          <w:szCs w:val="28"/>
        </w:rPr>
        <w:t xml:space="preserve">Schanzenbach, M.M. and </w:t>
      </w:r>
      <w:proofErr w:type="spellStart"/>
      <w:r w:rsidRPr="00043035">
        <w:rPr>
          <w:sz w:val="28"/>
          <w:szCs w:val="28"/>
        </w:rPr>
        <w:t>Sitkoff</w:t>
      </w:r>
      <w:proofErr w:type="spellEnd"/>
      <w:r w:rsidRPr="00043035">
        <w:rPr>
          <w:sz w:val="28"/>
          <w:szCs w:val="28"/>
        </w:rPr>
        <w:t>, R.H., 2020.</w:t>
      </w:r>
      <w:r w:rsidRPr="00043035">
        <w:rPr>
          <w:i/>
          <w:iCs/>
          <w:sz w:val="28"/>
          <w:szCs w:val="28"/>
        </w:rPr>
        <w:t xml:space="preserve"> Reconciling fiduciary duty and social conscience: the law and economics of ESG investing by a trustee</w:t>
      </w:r>
      <w:r w:rsidRPr="00043035">
        <w:rPr>
          <w:sz w:val="28"/>
          <w:szCs w:val="28"/>
        </w:rPr>
        <w:t>. Stan. L. Rev., 72, p.381.</w:t>
      </w:r>
    </w:p>
    <w:p w14:paraId="2144CFE5" w14:textId="77777777" w:rsidR="00043035" w:rsidRDefault="00043035">
      <w:pPr>
        <w:rPr>
          <w:sz w:val="28"/>
          <w:szCs w:val="28"/>
        </w:rPr>
      </w:pPr>
      <w:r w:rsidRPr="00043035">
        <w:rPr>
          <w:sz w:val="28"/>
          <w:szCs w:val="28"/>
        </w:rPr>
        <w:t>Virgo, G. (2018). </w:t>
      </w:r>
      <w:r w:rsidRPr="00043035">
        <w:rPr>
          <w:i/>
          <w:iCs/>
          <w:sz w:val="28"/>
          <w:szCs w:val="28"/>
        </w:rPr>
        <w:t>The principles of equity &amp; trusts</w:t>
      </w:r>
      <w:r w:rsidRPr="00043035">
        <w:rPr>
          <w:sz w:val="28"/>
          <w:szCs w:val="28"/>
        </w:rPr>
        <w:t>. Oxford, United Kingdom: Oxford University Press.</w:t>
      </w:r>
    </w:p>
    <w:p w14:paraId="67E838CA" w14:textId="77777777" w:rsidR="00043035" w:rsidRPr="00043035" w:rsidRDefault="00043035" w:rsidP="00043035">
      <w:pPr>
        <w:rPr>
          <w:sz w:val="28"/>
          <w:szCs w:val="28"/>
        </w:rPr>
      </w:pPr>
      <w:r w:rsidRPr="00043035">
        <w:rPr>
          <w:sz w:val="28"/>
          <w:szCs w:val="28"/>
        </w:rPr>
        <w:t>Virgo, G., 2018. </w:t>
      </w:r>
      <w:r w:rsidRPr="00043035">
        <w:rPr>
          <w:i/>
          <w:iCs/>
          <w:sz w:val="28"/>
          <w:szCs w:val="28"/>
        </w:rPr>
        <w:t>The principles of equity &amp; trusts.</w:t>
      </w:r>
      <w:r w:rsidRPr="00043035">
        <w:rPr>
          <w:sz w:val="28"/>
          <w:szCs w:val="28"/>
        </w:rPr>
        <w:t xml:space="preserve"> Oxford University Press.</w:t>
      </w:r>
    </w:p>
    <w:p w14:paraId="52D78ADA" w14:textId="77777777" w:rsidR="00043035" w:rsidRPr="00043035" w:rsidRDefault="00043035" w:rsidP="00043035">
      <w:pPr>
        <w:rPr>
          <w:sz w:val="28"/>
          <w:szCs w:val="28"/>
        </w:rPr>
      </w:pPr>
      <w:r w:rsidRPr="00043035">
        <w:rPr>
          <w:sz w:val="28"/>
          <w:szCs w:val="28"/>
        </w:rPr>
        <w:t>Watt, G., 2023. </w:t>
      </w:r>
      <w:r w:rsidRPr="00043035">
        <w:rPr>
          <w:i/>
          <w:iCs/>
          <w:sz w:val="28"/>
          <w:szCs w:val="28"/>
        </w:rPr>
        <w:t>Trusts and equity.</w:t>
      </w:r>
      <w:r w:rsidRPr="00043035">
        <w:rPr>
          <w:sz w:val="28"/>
          <w:szCs w:val="28"/>
        </w:rPr>
        <w:t xml:space="preserve"> Oxford University Press.</w:t>
      </w:r>
    </w:p>
    <w:p w14:paraId="31F6B57F" w14:textId="77777777" w:rsidR="00043035" w:rsidRDefault="00043035">
      <w:pPr>
        <w:rPr>
          <w:sz w:val="28"/>
          <w:szCs w:val="28"/>
        </w:rPr>
      </w:pPr>
      <w:r w:rsidRPr="00043035">
        <w:rPr>
          <w:sz w:val="28"/>
          <w:szCs w:val="28"/>
        </w:rPr>
        <w:t xml:space="preserve">Watts, P., 2022. </w:t>
      </w:r>
      <w:r w:rsidRPr="00043035">
        <w:rPr>
          <w:i/>
          <w:iCs/>
          <w:sz w:val="28"/>
          <w:szCs w:val="28"/>
        </w:rPr>
        <w:t>A Concise Treatment of Personal Remedies for Breach of Trustees' Duties.</w:t>
      </w:r>
      <w:r w:rsidRPr="00043035">
        <w:rPr>
          <w:sz w:val="28"/>
          <w:szCs w:val="28"/>
        </w:rPr>
        <w:t> 2022(1), pp.101-120.</w:t>
      </w:r>
    </w:p>
    <w:p w14:paraId="609D9CFB" w14:textId="77777777" w:rsidR="00043035" w:rsidRPr="00043035" w:rsidRDefault="00043035" w:rsidP="00043035">
      <w:pPr>
        <w:rPr>
          <w:sz w:val="28"/>
          <w:szCs w:val="28"/>
        </w:rPr>
      </w:pPr>
      <w:r w:rsidRPr="00043035">
        <w:rPr>
          <w:sz w:val="28"/>
          <w:szCs w:val="28"/>
        </w:rPr>
        <w:t>Watts, P., 2022. A Concise Treatment of Personal Remedies for Breach of Trustees' Duties. New Zealand Law Review, 2022(1), pp.101-120.</w:t>
      </w:r>
    </w:p>
    <w:sectPr w:rsidR="00043035" w:rsidRPr="000430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43035"/>
    <w:rsid w:val="00043035"/>
    <w:rsid w:val="00346198"/>
    <w:rsid w:val="004A5F24"/>
    <w:rsid w:val="005C0812"/>
    <w:rsid w:val="0062397A"/>
    <w:rsid w:val="007E5A80"/>
    <w:rsid w:val="00CB39EF"/>
    <w:rsid w:val="00DD3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6EA22"/>
  <w15:chartTrackingRefBased/>
  <w15:docId w15:val="{7FD9AA74-A969-45AD-8C32-3FBDD2906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035"/>
  </w:style>
  <w:style w:type="paragraph" w:styleId="Heading1">
    <w:name w:val="heading 1"/>
    <w:basedOn w:val="Normal"/>
    <w:next w:val="Normal"/>
    <w:link w:val="Heading1Char"/>
    <w:uiPriority w:val="9"/>
    <w:qFormat/>
    <w:rsid w:val="000430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30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30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30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30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30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30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30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30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30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30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30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30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30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30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30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30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3035"/>
    <w:rPr>
      <w:rFonts w:eastAsiaTheme="majorEastAsia" w:cstheme="majorBidi"/>
      <w:color w:val="272727" w:themeColor="text1" w:themeTint="D8"/>
    </w:rPr>
  </w:style>
  <w:style w:type="paragraph" w:styleId="Title">
    <w:name w:val="Title"/>
    <w:basedOn w:val="Normal"/>
    <w:next w:val="Normal"/>
    <w:link w:val="TitleChar"/>
    <w:uiPriority w:val="10"/>
    <w:qFormat/>
    <w:rsid w:val="000430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30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30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30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3035"/>
    <w:pPr>
      <w:spacing w:before="160"/>
      <w:jc w:val="center"/>
    </w:pPr>
    <w:rPr>
      <w:i/>
      <w:iCs/>
      <w:color w:val="404040" w:themeColor="text1" w:themeTint="BF"/>
    </w:rPr>
  </w:style>
  <w:style w:type="character" w:customStyle="1" w:styleId="QuoteChar">
    <w:name w:val="Quote Char"/>
    <w:basedOn w:val="DefaultParagraphFont"/>
    <w:link w:val="Quote"/>
    <w:uiPriority w:val="29"/>
    <w:rsid w:val="00043035"/>
    <w:rPr>
      <w:i/>
      <w:iCs/>
      <w:color w:val="404040" w:themeColor="text1" w:themeTint="BF"/>
    </w:rPr>
  </w:style>
  <w:style w:type="paragraph" w:styleId="ListParagraph">
    <w:name w:val="List Paragraph"/>
    <w:basedOn w:val="Normal"/>
    <w:uiPriority w:val="34"/>
    <w:qFormat/>
    <w:rsid w:val="00043035"/>
    <w:pPr>
      <w:ind w:left="720"/>
      <w:contextualSpacing/>
    </w:pPr>
  </w:style>
  <w:style w:type="character" w:styleId="IntenseEmphasis">
    <w:name w:val="Intense Emphasis"/>
    <w:basedOn w:val="DefaultParagraphFont"/>
    <w:uiPriority w:val="21"/>
    <w:qFormat/>
    <w:rsid w:val="00043035"/>
    <w:rPr>
      <w:i/>
      <w:iCs/>
      <w:color w:val="0F4761" w:themeColor="accent1" w:themeShade="BF"/>
    </w:rPr>
  </w:style>
  <w:style w:type="paragraph" w:styleId="IntenseQuote">
    <w:name w:val="Intense Quote"/>
    <w:basedOn w:val="Normal"/>
    <w:next w:val="Normal"/>
    <w:link w:val="IntenseQuoteChar"/>
    <w:uiPriority w:val="30"/>
    <w:qFormat/>
    <w:rsid w:val="000430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3035"/>
    <w:rPr>
      <w:i/>
      <w:iCs/>
      <w:color w:val="0F4761" w:themeColor="accent1" w:themeShade="BF"/>
    </w:rPr>
  </w:style>
  <w:style w:type="character" w:styleId="IntenseReference">
    <w:name w:val="Intense Reference"/>
    <w:basedOn w:val="DefaultParagraphFont"/>
    <w:uiPriority w:val="32"/>
    <w:qFormat/>
    <w:rsid w:val="000430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597dd22c12217cbf479de008e15620fb">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510913e14b5ea138740f5406cb53e282"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340dd18-0450-4afb-b5d1-97b484958e7b" xsi:nil="true"/>
  </documentManagement>
</p:properties>
</file>

<file path=customXml/itemProps1.xml><?xml version="1.0" encoding="utf-8"?>
<ds:datastoreItem xmlns:ds="http://schemas.openxmlformats.org/officeDocument/2006/customXml" ds:itemID="{C620389E-FC5D-449A-B489-84B64F0B08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5D0F30-80C9-4592-AED1-02E204AE1218}">
  <ds:schemaRefs>
    <ds:schemaRef ds:uri="http://schemas.microsoft.com/sharepoint/v3/contenttype/forms"/>
  </ds:schemaRefs>
</ds:datastoreItem>
</file>

<file path=customXml/itemProps3.xml><?xml version="1.0" encoding="utf-8"?>
<ds:datastoreItem xmlns:ds="http://schemas.openxmlformats.org/officeDocument/2006/customXml" ds:itemID="{CA47C6B5-6B8F-4ADC-BD18-42DF47F16F28}">
  <ds:schemaRefs>
    <ds:schemaRef ds:uri="http://schemas.microsoft.com/office/infopath/2007/PartnerControls"/>
    <ds:schemaRef ds:uri="0340dd18-0450-4afb-b5d1-97b484958e7b"/>
    <ds:schemaRef ds:uri="http://www.w3.org/XML/1998/namespace"/>
    <ds:schemaRef ds:uri="http://schemas.microsoft.com/office/2006/documentManagement/types"/>
    <ds:schemaRef ds:uri="http://purl.org/dc/terms/"/>
    <ds:schemaRef ds:uri="http://schemas.microsoft.com/office/2006/metadata/properties"/>
    <ds:schemaRef ds:uri="http://purl.org/dc/dcmitype/"/>
    <ds:schemaRef ds:uri="http://schemas.openxmlformats.org/package/2006/metadata/core-properties"/>
    <ds:schemaRef ds:uri="5861d064-84cb-4d90-8285-3b98c6fe9678"/>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10</Pages>
  <Words>2476</Words>
  <Characters>14116</Characters>
  <Application>Microsoft Office Word</Application>
  <DocSecurity>0</DocSecurity>
  <Lines>117</Lines>
  <Paragraphs>33</Paragraphs>
  <ScaleCrop>false</ScaleCrop>
  <Company/>
  <LinksUpToDate>false</LinksUpToDate>
  <CharactersWithSpaces>16559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Gavrila (2024671)</dc:creator>
  <cp:keywords/>
  <dc:description/>
  <cp:lastModifiedBy>Mihaela Gavrila (2024671)</cp:lastModifiedBy>
  <cp:revision>1</cp:revision>
  <dcterms:created xsi:type="dcterms:W3CDTF">2024-11-15T11:42:00Z</dcterms:created>
  <dcterms:modified xsi:type="dcterms:W3CDTF">2024-11-15T13:22:00Z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