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Pr="00811DC8" w:rsidR="002652F2" w:rsidP="4A68D0D5" w:rsidRDefault="002652F2" w14:paraId="616EFB4C" w14:textId="31410726">
      <w:pPr>
        <w:pStyle w:val="Normal"/>
        <w:ind w:left="0" w:hanging="0" w:firstLine="567"/>
        <w:rPr>
          <w:color w:val="000000" w:themeColor="text1" w:themeTint="FF" w:themeShade="FF"/>
        </w:rPr>
      </w:pPr>
    </w:p>
    <w:p w:rsidRPr="00811DC8" w:rsidR="002652F2" w:rsidP="3B25E3AA" w:rsidRDefault="002652F2" w14:paraId="15054CE0" w14:noSpellErr="1" w14:textId="14D88352">
      <w:pPr>
        <w:pStyle w:val="Heading3"/>
        <w:ind/>
        <w:rPr>
          <w:color w:val="000000" w:themeColor="text1" w:themeTint="FF" w:themeShade="FF"/>
        </w:rPr>
      </w:pPr>
      <w:r w:rsidRPr="3B25E3AA" w:rsidR="3B25E3AA">
        <w:rPr/>
        <w:t>To what order did it belong, and what do you understand by ‘order’?</w:t>
      </w:r>
    </w:p>
    <w:p w:rsidR="3B25E3AA" w:rsidP="3B25E3AA" w:rsidRDefault="3B25E3AA" w14:paraId="746B68A4" w14:textId="4BF2361A">
      <w:pPr>
        <w:pStyle w:val="Normal"/>
        <w:ind w:left="0" w:hanging="0" w:firstLine="567"/>
        <w:rPr>
          <w:color w:val="000000" w:themeColor="text1" w:themeTint="FF" w:themeShade="FF"/>
        </w:rPr>
      </w:pPr>
    </w:p>
    <w:p w:rsidRPr="00811DC8" w:rsidR="002652F2" w:rsidP="4A7995C3" w:rsidRDefault="002652F2" w14:paraId="1D80974A" w14:textId="5EF84322">
      <w:pPr>
        <w:pStyle w:val="Normal"/>
        <w:ind w:left="0" w:hanging="0" w:firstLine="567"/>
        <w:jc w:val="both"/>
        <w:rPr>
          <w:color w:val="000000" w:themeColor="text1" w:themeTint="FF" w:themeShade="FF"/>
        </w:rPr>
      </w:pPr>
      <w:r w:rsidRPr="4A68D0D5" w:rsidR="4A68D0D5">
        <w:rPr>
          <w:color w:val="000000" w:themeColor="text1" w:themeTint="FF" w:themeShade="FF"/>
        </w:rPr>
        <w:t xml:space="preserve">The Priory at Monmouth was a Benedictine monastery founded due to Lord </w:t>
      </w:r>
      <w:proofErr w:type="spellStart"/>
      <w:r w:rsidRPr="4A68D0D5" w:rsidR="4A68D0D5">
        <w:rPr>
          <w:color w:val="000000" w:themeColor="text1" w:themeTint="FF" w:themeShade="FF"/>
        </w:rPr>
        <w:t>Wihenoc</w:t>
      </w:r>
      <w:proofErr w:type="spellEnd"/>
      <w:r w:rsidRPr="4A68D0D5" w:rsidR="4A68D0D5">
        <w:rPr>
          <w:color w:val="000000" w:themeColor="text1" w:themeTint="FF" w:themeShade="FF"/>
        </w:rPr>
        <w:t xml:space="preserve"> of Monmouth granting the church of St. </w:t>
      </w:r>
      <w:proofErr w:type="spellStart"/>
      <w:r w:rsidRPr="4A68D0D5" w:rsidR="4A68D0D5">
        <w:rPr>
          <w:color w:val="000000" w:themeColor="text1" w:themeTint="FF" w:themeShade="FF"/>
        </w:rPr>
        <w:t>Cadoc</w:t>
      </w:r>
      <w:proofErr w:type="spellEnd"/>
      <w:r w:rsidRPr="4A68D0D5" w:rsidR="4A68D0D5">
        <w:rPr>
          <w:color w:val="000000" w:themeColor="text1" w:themeTint="FF" w:themeShade="FF"/>
        </w:rPr>
        <w:t xml:space="preserve"> to the Abbot of St. </w:t>
      </w:r>
      <w:proofErr w:type="spellStart"/>
      <w:r w:rsidRPr="4A68D0D5" w:rsidR="4A68D0D5">
        <w:rPr>
          <w:color w:val="000000" w:themeColor="text1" w:themeTint="FF" w:themeShade="FF"/>
        </w:rPr>
        <w:t>Fluerent</w:t>
      </w:r>
      <w:proofErr w:type="spellEnd"/>
      <w:r w:rsidRPr="4A68D0D5" w:rsidR="4A68D0D5">
        <w:rPr>
          <w:color w:val="000000" w:themeColor="text1" w:themeTint="FF" w:themeShade="FF"/>
        </w:rPr>
        <w:t xml:space="preserve"> de Saumur to be an alien priory.</w:t>
      </w:r>
      <w:r w:rsidRPr="4A68D0D5">
        <w:rPr>
          <w:rStyle w:val="FootnoteReference"/>
          <w:color w:val="000000" w:themeColor="text1" w:themeTint="FF" w:themeShade="FF"/>
        </w:rPr>
        <w:footnoteReference w:id="12383"/>
      </w:r>
      <w:r w:rsidRPr="4A68D0D5" w:rsidR="4A68D0D5">
        <w:rPr>
          <w:color w:val="000000" w:themeColor="text1" w:themeTint="FF" w:themeShade="FF"/>
        </w:rPr>
        <w:t xml:space="preserve">The Benedictine order was named </w:t>
      </w:r>
      <w:r w:rsidRPr="4A68D0D5" w:rsidR="4A68D0D5">
        <w:rPr>
          <w:color w:val="000000" w:themeColor="text1" w:themeTint="FF" w:themeShade="FF"/>
        </w:rPr>
        <w:t>after St.</w:t>
      </w:r>
      <w:r w:rsidRPr="4A68D0D5" w:rsidR="4A68D0D5">
        <w:rPr>
          <w:color w:val="000000" w:themeColor="text1" w:themeTint="FF" w:themeShade="FF"/>
        </w:rPr>
        <w:t xml:space="preserve"> Benedict, whose focus on poverty and stability</w:t>
      </w:r>
      <w:r w:rsidRPr="4A68D0D5" w:rsidR="4A68D0D5">
        <w:rPr>
          <w:color w:val="000000" w:themeColor="text1" w:themeTint="FF" w:themeShade="FF"/>
        </w:rPr>
        <w:t xml:space="preserve"> (among many other things)</w:t>
      </w:r>
      <w:r w:rsidRPr="4A68D0D5">
        <w:rPr>
          <w:rStyle w:val="FootnoteReference"/>
          <w:color w:val="000000" w:themeColor="text1" w:themeTint="FF" w:themeShade="FF"/>
        </w:rPr>
        <w:footnoteReference w:id="1005"/>
      </w:r>
      <w:r w:rsidRPr="4A68D0D5" w:rsidR="4A68D0D5">
        <w:rPr>
          <w:color w:val="000000" w:themeColor="text1" w:themeTint="FF" w:themeShade="FF"/>
        </w:rPr>
        <w:t xml:space="preserve"> made the Benedictine</w:t>
      </w:r>
      <w:r w:rsidRPr="4A68D0D5" w:rsidR="4A68D0D5">
        <w:rPr>
          <w:color w:val="000000" w:themeColor="text1" w:themeTint="FF" w:themeShade="FF"/>
        </w:rPr>
        <w:t xml:space="preserve"> </w:t>
      </w:r>
      <w:r w:rsidRPr="4A68D0D5" w:rsidR="4A68D0D5">
        <w:rPr>
          <w:color w:val="000000" w:themeColor="text1" w:themeTint="FF" w:themeShade="FF"/>
        </w:rPr>
        <w:t xml:space="preserve">order </w:t>
      </w:r>
      <w:r w:rsidRPr="4A68D0D5" w:rsidR="4A68D0D5">
        <w:rPr>
          <w:color w:val="000000" w:themeColor="text1" w:themeTint="FF" w:themeShade="FF"/>
        </w:rPr>
        <w:t xml:space="preserve">which followed his rule </w:t>
      </w:r>
      <w:r w:rsidRPr="4A68D0D5" w:rsidR="4A68D0D5">
        <w:rPr>
          <w:color w:val="000000" w:themeColor="text1" w:themeTint="FF" w:themeShade="FF"/>
        </w:rPr>
        <w:t xml:space="preserve">popular throughout Europe, as well as integral parts of their communities.</w:t>
      </w:r>
      <w:r w:rsidRPr="4A68D0D5">
        <w:rPr>
          <w:rStyle w:val="FootnoteReference"/>
          <w:color w:val="000000" w:themeColor="text1" w:themeTint="FF" w:themeShade="FF"/>
        </w:rPr>
        <w:footnoteReference w:id="12452"/>
      </w:r>
      <w:r w:rsidRPr="4A68D0D5" w:rsidR="4A68D0D5">
        <w:rPr>
          <w:color w:val="000000" w:themeColor="text1" w:themeTint="FF" w:themeShade="FF"/>
        </w:rPr>
        <w:t xml:space="preserve"> </w:t>
      </w:r>
      <w:r w:rsidRPr="4A68D0D5" w:rsidR="4A68D0D5">
        <w:rPr>
          <w:color w:val="000000" w:themeColor="text1" w:themeTint="FF" w:themeShade="FF"/>
        </w:rPr>
        <w:t xml:space="preserve">To belong to the order of the Benedictines was to follow the </w:t>
      </w:r>
      <w:r w:rsidRPr="4A68D0D5" w:rsidR="4A68D0D5">
        <w:rPr>
          <w:color w:val="000000" w:themeColor="text1" w:themeTint="FF" w:themeShade="FF"/>
        </w:rPr>
        <w:t xml:space="preserve">rule</w:t>
      </w:r>
      <w:r w:rsidRPr="4A68D0D5" w:rsidR="4A68D0D5">
        <w:rPr>
          <w:color w:val="000000" w:themeColor="text1" w:themeTint="FF" w:themeShade="FF"/>
        </w:rPr>
        <w:t xml:space="preserve"> of St. Benedict, but also to a network of </w:t>
      </w:r>
      <w:r w:rsidRPr="4A68D0D5" w:rsidR="4A68D0D5">
        <w:rPr>
          <w:color w:val="000000" w:themeColor="text1" w:themeTint="FF" w:themeShade="FF"/>
        </w:rPr>
        <w:t xml:space="preserve">monasteries</w:t>
      </w:r>
      <w:r w:rsidRPr="4A68D0D5" w:rsidR="4A68D0D5">
        <w:rPr>
          <w:color w:val="000000" w:themeColor="text1" w:themeTint="FF" w:themeShade="FF"/>
        </w:rPr>
        <w:t xml:space="preserve"> which stretched across Europe. As Monmouth Priory was an alien priory it was connected to Anjou via the abbey of </w:t>
      </w:r>
      <w:r w:rsidRPr="3B25E3AA" w:rsidR="3B25E3AA">
        <w:rPr>
          <w:color w:val="000000" w:themeColor="text1" w:themeTint="FF" w:themeShade="FF"/>
        </w:rPr>
        <w:t xml:space="preserve">St. </w:t>
      </w:r>
      <w:proofErr w:type="spellStart"/>
      <w:r w:rsidRPr="3B25E3AA" w:rsidR="3B25E3AA">
        <w:rPr>
          <w:color w:val="000000" w:themeColor="text1" w:themeTint="FF" w:themeShade="FF"/>
        </w:rPr>
        <w:t>Fluerent</w:t>
      </w:r>
      <w:proofErr w:type="spellEnd"/>
      <w:r w:rsidRPr="3B25E3AA" w:rsidR="3B25E3AA">
        <w:rPr>
          <w:color w:val="000000" w:themeColor="text1" w:themeTint="FF" w:themeShade="FF"/>
        </w:rPr>
        <w:t xml:space="preserve"> de Saumur</w:t>
      </w:r>
      <w:r w:rsidRPr="3B25E3AA" w:rsidR="3B25E3AA">
        <w:rPr>
          <w:color w:val="000000" w:themeColor="text1" w:themeTint="FF" w:themeShade="FF"/>
        </w:rPr>
        <w:t xml:space="preserve"> </w:t>
      </w:r>
      <w:r w:rsidRPr="3B25E3AA" w:rsidR="3B25E3AA">
        <w:rPr>
          <w:color w:val="000000" w:themeColor="text1" w:themeTint="FF" w:themeShade="FF"/>
        </w:rPr>
        <w:t xml:space="preserve">which controlled Monmouth and </w:t>
      </w:r>
      <w:r w:rsidRPr="3B25E3AA" w:rsidR="3B25E3AA">
        <w:rPr>
          <w:color w:val="000000" w:themeColor="text1" w:themeTint="FF" w:themeShade="FF"/>
        </w:rPr>
        <w:t>received goods from it</w:t>
      </w:r>
      <w:r w:rsidRPr="3B25E3AA" w:rsidR="3B25E3AA">
        <w:rPr>
          <w:color w:val="000000" w:themeColor="text1" w:themeTint="FF" w:themeShade="FF"/>
        </w:rPr>
        <w:t>.</w:t>
      </w:r>
      <w:r w:rsidRPr="3B25E3AA">
        <w:rPr>
          <w:rStyle w:val="FootnoteReference"/>
          <w:color w:val="000000" w:themeColor="text1" w:themeTint="FF" w:themeShade="FF"/>
        </w:rPr>
        <w:footnoteReference w:id="15468"/>
      </w:r>
    </w:p>
    <w:p w:rsidRPr="00811DC8" w:rsidR="002652F2" w:rsidP="4A7995C3" w:rsidRDefault="002652F2" w14:paraId="35C9609F" w14:textId="66675C67" w14:noSpellErr="1">
      <w:pPr>
        <w:pStyle w:val="Normal"/>
        <w:ind w:left="0" w:hanging="0" w:firstLine="567"/>
        <w:jc w:val="both"/>
        <w:rPr>
          <w:color w:val="000000" w:themeColor="text1" w:themeTint="FF" w:themeShade="FF"/>
        </w:rPr>
      </w:pPr>
    </w:p>
    <w:p w:rsidRPr="00811DC8" w:rsidR="002652F2" w:rsidP="4A7995C3" w:rsidRDefault="002652F2" w14:paraId="533C0CD8" w14:textId="77777777" w14:noSpellErr="1">
      <w:pPr>
        <w:pStyle w:val="Heading3"/>
        <w:ind/>
        <w:jc w:val="left"/>
        <w:rPr>
          <w:color w:val="000000" w:themeColor="text1" w:themeTint="FF" w:themeShade="FF"/>
        </w:rPr>
      </w:pPr>
      <w:r w:rsidR="4A7995C3">
        <w:rPr/>
        <w:t>Who founded it?</w:t>
      </w:r>
    </w:p>
    <w:p w:rsidRPr="00811DC8" w:rsidR="002652F2" w:rsidP="4A7995C3" w:rsidRDefault="002652F2" w14:paraId="0E41FE17" w14:textId="40AE0649" w14:noSpellErr="1">
      <w:pPr>
        <w:pStyle w:val="Normal"/>
        <w:ind w:left="0" w:hanging="567"/>
        <w:jc w:val="left"/>
        <w:rPr>
          <w:color w:val="000000" w:themeColor="text1" w:themeTint="FF" w:themeShade="FF"/>
        </w:rPr>
      </w:pPr>
    </w:p>
    <w:p w:rsidRPr="00811DC8" w:rsidR="002652F2" w:rsidP="4A7995C3" w:rsidRDefault="002652F2" w14:paraId="61CC1F9E" w14:textId="11D70672">
      <w:pPr>
        <w:pStyle w:val="Normal"/>
        <w:ind w:left="0" w:hanging="0" w:firstLine="567"/>
        <w:jc w:val="both"/>
        <w:rPr>
          <w:color w:val="000000" w:themeColor="text1" w:themeTint="FF" w:themeShade="FF"/>
        </w:rPr>
      </w:pPr>
      <w:proofErr w:type="spellStart"/>
      <w:r w:rsidRPr="3B25E3AA" w:rsidR="3B25E3AA">
        <w:rPr>
          <w:color w:val="000000" w:themeColor="text1" w:themeTint="FF" w:themeShade="FF"/>
        </w:rPr>
        <w:t>Wihenoc</w:t>
      </w:r>
      <w:proofErr w:type="spellEnd"/>
      <w:r w:rsidRPr="3B25E3AA" w:rsidR="3B25E3AA">
        <w:rPr>
          <w:color w:val="000000" w:themeColor="text1" w:themeTint="FF" w:themeShade="FF"/>
        </w:rPr>
        <w:t xml:space="preserve"> founded the abbey by granting the church of St. </w:t>
      </w:r>
      <w:proofErr w:type="spellStart"/>
      <w:r w:rsidRPr="3B25E3AA" w:rsidR="3B25E3AA">
        <w:rPr>
          <w:color w:val="000000" w:themeColor="text1" w:themeTint="FF" w:themeShade="FF"/>
        </w:rPr>
        <w:t>Cadoc</w:t>
      </w:r>
      <w:proofErr w:type="spellEnd"/>
      <w:r w:rsidRPr="3B25E3AA" w:rsidR="3B25E3AA">
        <w:rPr>
          <w:color w:val="000000" w:themeColor="text1" w:themeTint="FF" w:themeShade="FF"/>
        </w:rPr>
        <w:t>, along with ten other churches in the area and many carucates of land.</w:t>
      </w:r>
      <w:r w:rsidRPr="3B25E3AA">
        <w:rPr>
          <w:rStyle w:val="FootnoteReference"/>
          <w:color w:val="000000" w:themeColor="text1" w:themeTint="FF" w:themeShade="FF"/>
        </w:rPr>
        <w:footnoteReference w:id="1927"/>
      </w:r>
      <w:r w:rsidRPr="3B25E3AA" w:rsidR="3B25E3AA">
        <w:rPr>
          <w:color w:val="000000" w:themeColor="text1" w:themeTint="FF" w:themeShade="FF"/>
        </w:rPr>
        <w:t xml:space="preserve"> This must have occurred before 1086, the date of William the </w:t>
      </w:r>
      <w:proofErr w:type="spellStart"/>
      <w:r w:rsidRPr="3B25E3AA" w:rsidR="3B25E3AA">
        <w:rPr>
          <w:color w:val="000000" w:themeColor="text1" w:themeTint="FF" w:themeShade="FF"/>
        </w:rPr>
        <w:t>Conquerer’s</w:t>
      </w:r>
      <w:proofErr w:type="spellEnd"/>
      <w:r w:rsidRPr="3B25E3AA" w:rsidR="3B25E3AA">
        <w:rPr>
          <w:color w:val="000000" w:themeColor="text1" w:themeTint="FF" w:themeShade="FF"/>
        </w:rPr>
        <w:t xml:space="preserve"> death, because the King </w:t>
      </w:r>
      <w:r w:rsidRPr="3B25E3AA" w:rsidR="3B25E3AA">
        <w:rPr>
          <w:color w:val="000000" w:themeColor="text1" w:themeTint="FF" w:themeShade="FF"/>
        </w:rPr>
        <w:t xml:space="preserve">confirmed </w:t>
      </w:r>
      <w:r w:rsidRPr="3B25E3AA" w:rsidR="3B25E3AA">
        <w:rPr>
          <w:rFonts w:ascii="Times New Roman" w:hAnsi="Times New Roman" w:eastAsia="Times New Roman" w:cs="Times New Roman"/>
          <w:noProof w:val="0"/>
          <w:sz w:val="24"/>
          <w:szCs w:val="24"/>
          <w:lang w:val="en-GB"/>
        </w:rPr>
        <w:t>the endowment of the priory.</w:t>
      </w:r>
      <w:r w:rsidRPr="3B25E3AA">
        <w:rPr>
          <w:rStyle w:val="FootnoteReference"/>
          <w:rFonts w:ascii="Times New Roman" w:hAnsi="Times New Roman" w:eastAsia="Times New Roman" w:cs="Times New Roman"/>
          <w:noProof w:val="0"/>
          <w:sz w:val="24"/>
          <w:szCs w:val="24"/>
          <w:lang w:val="en-GB"/>
        </w:rPr>
        <w:footnoteReference w:id="3630"/>
      </w:r>
      <w:r w:rsidRPr="3B25E3AA" w:rsidR="3B25E3AA">
        <w:rPr>
          <w:rFonts w:ascii="Times New Roman" w:hAnsi="Times New Roman" w:eastAsia="Times New Roman" w:cs="Times New Roman"/>
          <w:noProof w:val="0"/>
          <w:sz w:val="24"/>
          <w:szCs w:val="24"/>
          <w:lang w:val="en-GB"/>
        </w:rPr>
        <w:t xml:space="preserve"> </w:t>
      </w:r>
      <w:proofErr w:type="spellStart"/>
      <w:r w:rsidRPr="3B25E3AA" w:rsidR="3B25E3AA">
        <w:rPr>
          <w:color w:val="000000" w:themeColor="text1" w:themeTint="FF" w:themeShade="FF"/>
        </w:rPr>
        <w:t>Wihenoc</w:t>
      </w:r>
      <w:proofErr w:type="spellEnd"/>
      <w:r w:rsidRPr="3B25E3AA" w:rsidR="3B25E3AA">
        <w:rPr>
          <w:color w:val="000000" w:themeColor="text1" w:themeTint="FF" w:themeShade="FF"/>
        </w:rPr>
        <w:t xml:space="preserve"> was a Breton nobleman who helped William the Conqueror invade England. He was given Monmouth and the region surrounding it as a reward for his aid. William’s decision to place </w:t>
      </w:r>
      <w:proofErr w:type="spellStart"/>
      <w:r w:rsidRPr="3B25E3AA" w:rsidR="3B25E3AA">
        <w:rPr>
          <w:color w:val="000000" w:themeColor="text1" w:themeTint="FF" w:themeShade="FF"/>
        </w:rPr>
        <w:t>Wihenoc</w:t>
      </w:r>
      <w:proofErr w:type="spellEnd"/>
      <w:r w:rsidRPr="3B25E3AA" w:rsidR="3B25E3AA">
        <w:rPr>
          <w:color w:val="000000" w:themeColor="text1" w:themeTint="FF" w:themeShade="FF"/>
        </w:rPr>
        <w:t xml:space="preserve"> in Wales may have been influence by the mutual intelligibility of the Welsh and Breton languages at the time.</w:t>
      </w:r>
      <w:r w:rsidRPr="3B25E3AA">
        <w:rPr>
          <w:rStyle w:val="FootnoteReference"/>
          <w:color w:val="000000" w:themeColor="text1" w:themeTint="FF" w:themeShade="FF"/>
        </w:rPr>
        <w:footnoteReference w:id="26588"/>
      </w:r>
    </w:p>
    <w:p w:rsidRPr="00811DC8" w:rsidR="002652F2" w:rsidP="4A7995C3" w:rsidRDefault="002652F2" w14:paraId="06317C33" w14:textId="657DBB6E">
      <w:pPr>
        <w:pStyle w:val="Normal"/>
        <w:ind w:left="0" w:hanging="0" w:firstLine="567"/>
        <w:jc w:val="both"/>
        <w:rPr>
          <w:rStyle w:val="FootnoteReference"/>
          <w:color w:val="000000" w:themeColor="text1" w:themeTint="FF" w:themeShade="FF"/>
        </w:rPr>
      </w:pPr>
      <w:proofErr w:type="spellStart"/>
      <w:r w:rsidRPr="3B25E3AA" w:rsidR="3B25E3AA">
        <w:rPr>
          <w:color w:val="000000" w:themeColor="text1" w:themeTint="FF" w:themeShade="FF"/>
        </w:rPr>
        <w:t>Wihenoc’s</w:t>
      </w:r>
      <w:proofErr w:type="spellEnd"/>
      <w:r w:rsidRPr="3B25E3AA" w:rsidR="3B25E3AA">
        <w:rPr>
          <w:color w:val="000000" w:themeColor="text1" w:themeTint="FF" w:themeShade="FF"/>
        </w:rPr>
        <w:t xml:space="preserve"> brother </w:t>
      </w:r>
      <w:proofErr w:type="spellStart"/>
      <w:r w:rsidRPr="3B25E3AA" w:rsidR="3B25E3AA">
        <w:rPr>
          <w:color w:val="000000" w:themeColor="text1" w:themeTint="FF" w:themeShade="FF"/>
        </w:rPr>
        <w:t>Baderon</w:t>
      </w:r>
      <w:proofErr w:type="spellEnd"/>
      <w:r w:rsidRPr="3B25E3AA" w:rsidR="3B25E3AA">
        <w:rPr>
          <w:color w:val="000000" w:themeColor="text1" w:themeTint="FF" w:themeShade="FF"/>
        </w:rPr>
        <w:t xml:space="preserve"> and son </w:t>
      </w:r>
      <w:proofErr w:type="spellStart"/>
      <w:r w:rsidRPr="3B25E3AA" w:rsidR="3B25E3AA">
        <w:rPr>
          <w:color w:val="000000" w:themeColor="text1" w:themeTint="FF" w:themeShade="FF"/>
        </w:rPr>
        <w:t>Raterius</w:t>
      </w:r>
      <w:proofErr w:type="spellEnd"/>
      <w:r w:rsidRPr="3B25E3AA" w:rsidR="3B25E3AA">
        <w:rPr>
          <w:color w:val="000000" w:themeColor="text1" w:themeTint="FF" w:themeShade="FF"/>
        </w:rPr>
        <w:t xml:space="preserve"> w</w:t>
      </w:r>
      <w:r w:rsidRPr="3B25E3AA" w:rsidR="3B25E3AA">
        <w:rPr>
          <w:color w:val="000000" w:themeColor="text1" w:themeTint="FF" w:themeShade="FF"/>
        </w:rPr>
        <w:t>ere</w:t>
      </w:r>
      <w:r w:rsidRPr="3B25E3AA" w:rsidR="3B25E3AA">
        <w:rPr>
          <w:color w:val="000000" w:themeColor="text1" w:themeTint="FF" w:themeShade="FF"/>
        </w:rPr>
        <w:t xml:space="preserve"> monk</w:t>
      </w:r>
      <w:r w:rsidRPr="3B25E3AA" w:rsidR="3B25E3AA">
        <w:rPr>
          <w:color w:val="000000" w:themeColor="text1" w:themeTint="FF" w:themeShade="FF"/>
        </w:rPr>
        <w:t>s</w:t>
      </w:r>
      <w:r w:rsidRPr="3B25E3AA" w:rsidR="3B25E3AA">
        <w:rPr>
          <w:color w:val="000000" w:themeColor="text1" w:themeTint="FF" w:themeShade="FF"/>
        </w:rPr>
        <w:t xml:space="preserve"> in St. </w:t>
      </w:r>
      <w:proofErr w:type="spellStart"/>
      <w:r w:rsidRPr="3B25E3AA" w:rsidR="3B25E3AA">
        <w:rPr>
          <w:color w:val="000000" w:themeColor="text1" w:themeTint="FF" w:themeShade="FF"/>
        </w:rPr>
        <w:t>Fluerent</w:t>
      </w:r>
      <w:proofErr w:type="spellEnd"/>
      <w:r w:rsidRPr="3B25E3AA" w:rsidR="3B25E3AA">
        <w:rPr>
          <w:color w:val="000000" w:themeColor="text1" w:themeTint="FF" w:themeShade="FF"/>
        </w:rPr>
        <w:t xml:space="preserve"> de Saumur and </w:t>
      </w:r>
      <w:proofErr w:type="spellStart"/>
      <w:r w:rsidRPr="3B25E3AA" w:rsidR="3B25E3AA">
        <w:rPr>
          <w:color w:val="000000" w:themeColor="text1" w:themeTint="FF" w:themeShade="FF"/>
        </w:rPr>
        <w:t>Wihenoc</w:t>
      </w:r>
      <w:proofErr w:type="spellEnd"/>
      <w:r w:rsidRPr="3B25E3AA" w:rsidR="3B25E3AA">
        <w:rPr>
          <w:color w:val="000000" w:themeColor="text1" w:themeTint="FF" w:themeShade="FF"/>
        </w:rPr>
        <w:t xml:space="preserve"> would retire there, as a monk, himself. When </w:t>
      </w:r>
      <w:proofErr w:type="spellStart"/>
      <w:r w:rsidRPr="3B25E3AA" w:rsidR="3B25E3AA">
        <w:rPr>
          <w:color w:val="000000" w:themeColor="text1" w:themeTint="FF" w:themeShade="FF"/>
        </w:rPr>
        <w:t>Wihenoc</w:t>
      </w:r>
      <w:proofErr w:type="spellEnd"/>
      <w:r w:rsidRPr="3B25E3AA" w:rsidR="3B25E3AA">
        <w:rPr>
          <w:color w:val="000000" w:themeColor="text1" w:themeTint="FF" w:themeShade="FF"/>
        </w:rPr>
        <w:t xml:space="preserve"> retired his nephew William </w:t>
      </w:r>
      <w:proofErr w:type="spellStart"/>
      <w:r w:rsidRPr="3B25E3AA" w:rsidR="3B25E3AA">
        <w:rPr>
          <w:color w:val="000000" w:themeColor="text1" w:themeTint="FF" w:themeShade="FF"/>
        </w:rPr>
        <w:t>ftizBaderon</w:t>
      </w:r>
      <w:proofErr w:type="spellEnd"/>
      <w:r w:rsidRPr="3B25E3AA" w:rsidR="3B25E3AA">
        <w:rPr>
          <w:color w:val="000000" w:themeColor="text1" w:themeTint="FF" w:themeShade="FF"/>
        </w:rPr>
        <w:t xml:space="preserve"> became the lord of Monmouth and </w:t>
      </w:r>
      <w:r w:rsidRPr="3B25E3AA" w:rsidR="3B25E3AA">
        <w:rPr>
          <w:color w:val="000000" w:themeColor="text1" w:themeTint="FF" w:themeShade="FF"/>
        </w:rPr>
        <w:t xml:space="preserve">Bishop </w:t>
      </w:r>
      <w:r w:rsidRPr="3B25E3AA" w:rsidR="3B25E3AA">
        <w:rPr>
          <w:color w:val="000000" w:themeColor="text1" w:themeTint="FF" w:themeShade="FF"/>
        </w:rPr>
        <w:t>Hervey</w:t>
      </w:r>
      <w:r w:rsidRPr="3B25E3AA" w:rsidR="3B25E3AA">
        <w:rPr>
          <w:color w:val="000000" w:themeColor="text1" w:themeTint="FF" w:themeShade="FF"/>
        </w:rPr>
        <w:t xml:space="preserve"> of Bangor </w:t>
      </w:r>
      <w:r w:rsidRPr="3B25E3AA" w:rsidR="3B25E3AA">
        <w:rPr>
          <w:color w:val="000000" w:themeColor="text1" w:themeTint="FF" w:themeShade="FF"/>
        </w:rPr>
        <w:t xml:space="preserve">consecrated </w:t>
      </w:r>
      <w:r w:rsidRPr="3B25E3AA" w:rsidR="3B25E3AA">
        <w:rPr>
          <w:color w:val="000000" w:themeColor="text1" w:themeTint="FF" w:themeShade="FF"/>
        </w:rPr>
        <w:t xml:space="preserve">the priory under William’s influence with </w:t>
      </w:r>
      <w:proofErr w:type="spellStart"/>
      <w:r w:rsidRPr="3B25E3AA" w:rsidR="3B25E3AA">
        <w:rPr>
          <w:color w:val="000000" w:themeColor="text1" w:themeTint="FF" w:themeShade="FF"/>
        </w:rPr>
        <w:t>Wihenoc</w:t>
      </w:r>
      <w:proofErr w:type="spellEnd"/>
      <w:r w:rsidRPr="3B25E3AA" w:rsidR="3B25E3AA">
        <w:rPr>
          <w:color w:val="000000" w:themeColor="text1" w:themeTint="FF" w:themeShade="FF"/>
        </w:rPr>
        <w:t xml:space="preserve">, </w:t>
      </w:r>
      <w:proofErr w:type="spellStart"/>
      <w:r w:rsidRPr="3B25E3AA" w:rsidR="3B25E3AA">
        <w:rPr>
          <w:color w:val="000000" w:themeColor="text1" w:themeTint="FF" w:themeShade="FF"/>
        </w:rPr>
        <w:t>Baderon</w:t>
      </w:r>
      <w:proofErr w:type="spellEnd"/>
      <w:r w:rsidRPr="3B25E3AA" w:rsidR="3B25E3AA">
        <w:rPr>
          <w:color w:val="000000" w:themeColor="text1" w:themeTint="FF" w:themeShade="FF"/>
        </w:rPr>
        <w:t xml:space="preserve"> and many other family members being present.</w:t>
      </w:r>
      <w:r w:rsidRPr="3B25E3AA">
        <w:rPr>
          <w:rStyle w:val="FootnoteReference"/>
          <w:color w:val="000000" w:themeColor="text1" w:themeTint="FF" w:themeShade="FF"/>
        </w:rPr>
        <w:footnoteReference w:id="19918"/>
      </w:r>
      <w:r w:rsidRPr="3B25E3AA" w:rsidR="3B25E3AA">
        <w:rPr>
          <w:color w:val="000000" w:themeColor="text1" w:themeTint="FF" w:themeShade="FF"/>
        </w:rPr>
        <w:t xml:space="preserve"> As both </w:t>
      </w:r>
      <w:proofErr w:type="spellStart"/>
      <w:r w:rsidRPr="3B25E3AA" w:rsidR="3B25E3AA">
        <w:rPr>
          <w:color w:val="000000" w:themeColor="text1" w:themeTint="FF" w:themeShade="FF"/>
        </w:rPr>
        <w:t>Wihenoc</w:t>
      </w:r>
      <w:proofErr w:type="spellEnd"/>
      <w:r w:rsidRPr="3B25E3AA" w:rsidR="3B25E3AA">
        <w:rPr>
          <w:color w:val="000000" w:themeColor="text1" w:themeTint="FF" w:themeShade="FF"/>
        </w:rPr>
        <w:t xml:space="preserve"> and William are instrumental to the establishment of the priory, both have been credited as its founder.</w:t>
      </w:r>
    </w:p>
    <w:p w:rsidRPr="00811DC8" w:rsidR="002652F2" w:rsidP="4A7995C3" w:rsidRDefault="002652F2" w14:paraId="233DFC8A" w14:textId="57AF62F7" w14:noSpellErr="1">
      <w:pPr>
        <w:pStyle w:val="Normal"/>
        <w:ind w:left="0" w:hanging="0" w:firstLine="567"/>
        <w:jc w:val="both"/>
        <w:rPr>
          <w:color w:val="000000" w:themeColor="text1" w:themeTint="FF" w:themeShade="FF"/>
        </w:rPr>
      </w:pPr>
      <w:r w:rsidRPr="4A68D0D5" w:rsidR="4A68D0D5">
        <w:rPr>
          <w:color w:val="000000" w:themeColor="text1" w:themeTint="FF" w:themeShade="FF"/>
        </w:rPr>
        <w:t xml:space="preserve"/>
      </w:r>
    </w:p>
    <w:p w:rsidRPr="00811DC8" w:rsidR="002652F2" w:rsidP="4A7995C3" w:rsidRDefault="002652F2" w14:paraId="290786FF" w14:textId="3AAD2FD6" w14:noSpellErr="1">
      <w:pPr>
        <w:ind w:left="0" w:hanging="567"/>
        <w:jc w:val="left"/>
        <w:rPr>
          <w:color w:val="000000" w:themeColor="text1" w:themeTint="FF" w:themeShade="FF"/>
        </w:rPr>
      </w:pPr>
    </w:p>
    <w:p w:rsidRPr="00811DC8" w:rsidR="002652F2" w:rsidP="4A7995C3" w:rsidRDefault="002652F2" w14:paraId="4B262047" w14:textId="3A41453D" w14:noSpellErr="1">
      <w:pPr>
        <w:pStyle w:val="Heading3"/>
        <w:ind/>
        <w:jc w:val="left"/>
        <w:rPr>
          <w:color w:val="000000" w:themeColor="text1" w:themeTint="FF" w:themeShade="FF"/>
        </w:rPr>
      </w:pPr>
      <w:r w:rsidR="4A7995C3">
        <w:rPr/>
        <w:t>Are there any indications of why it was founded?</w:t>
      </w:r>
    </w:p>
    <w:p w:rsidRPr="00811DC8" w:rsidR="002652F2" w:rsidP="4A7995C3" w:rsidRDefault="002652F2" w14:paraId="341550EC" w14:textId="562D1633" w14:noSpellErr="1">
      <w:pPr>
        <w:pStyle w:val="Normal"/>
        <w:ind w:left="0" w:hanging="567"/>
        <w:jc w:val="left"/>
        <w:rPr>
          <w:color w:val="000000" w:themeColor="text1" w:themeTint="FF" w:themeShade="FF"/>
        </w:rPr>
      </w:pPr>
    </w:p>
    <w:p w:rsidRPr="00811DC8" w:rsidR="002652F2" w:rsidP="4A7995C3" w:rsidRDefault="002652F2" w14:paraId="71C8E414" w14:textId="4890F329">
      <w:pPr>
        <w:pStyle w:val="Normal"/>
        <w:ind w:left="0" w:hanging="0" w:firstLine="567"/>
        <w:jc w:val="both"/>
        <w:rPr>
          <w:color w:val="000000" w:themeColor="text1" w:themeTint="FF" w:themeShade="FF"/>
        </w:rPr>
      </w:pPr>
      <w:r w:rsidRPr="4A68D0D5" w:rsidR="4A68D0D5">
        <w:rPr>
          <w:color w:val="000000" w:themeColor="text1" w:themeTint="FF" w:themeShade="FF"/>
        </w:rPr>
        <w:t xml:space="preserve">Using men of the Church as colonisers was a </w:t>
      </w:r>
      <w:r w:rsidRPr="4A68D0D5" w:rsidR="4A68D0D5">
        <w:rPr>
          <w:color w:val="000000" w:themeColor="text1" w:themeTint="FF" w:themeShade="FF"/>
        </w:rPr>
        <w:t xml:space="preserve">well-established</w:t>
      </w:r>
      <w:r w:rsidRPr="4A68D0D5" w:rsidR="4A68D0D5">
        <w:rPr>
          <w:color w:val="000000" w:themeColor="text1" w:themeTint="FF" w:themeShade="FF"/>
        </w:rPr>
        <w:t xml:space="preserve"> tradition in the High Middle Ages.</w:t>
      </w:r>
      <w:r w:rsidRPr="3B25E3AA">
        <w:rPr>
          <w:rStyle w:val="FootnoteReference"/>
          <w:color w:val="000000" w:themeColor="text1" w:themeTint="FF" w:themeShade="FF"/>
        </w:rPr>
        <w:footnoteReference w:id="17642"/>
      </w:r>
      <w:r w:rsidRPr="3B25E3AA" w:rsidR="3B25E3AA">
        <w:rPr>
          <w:color w:val="000000" w:themeColor="text1" w:themeTint="FF" w:themeShade="FF"/>
        </w:rPr>
        <w:t xml:space="preserve"> </w:t>
      </w:r>
      <w:proofErr w:type="spellStart"/>
      <w:r w:rsidRPr="3B25E3AA" w:rsidR="3B25E3AA">
        <w:rPr>
          <w:color w:val="000000" w:themeColor="text1" w:themeTint="FF" w:themeShade="FF"/>
        </w:rPr>
        <w:t>Wihenoc</w:t>
      </w:r>
      <w:proofErr w:type="spellEnd"/>
      <w:r w:rsidRPr="3B25E3AA" w:rsidR="3B25E3AA">
        <w:rPr>
          <w:color w:val="000000" w:themeColor="text1" w:themeTint="FF" w:themeShade="FF"/>
        </w:rPr>
        <w:t>, who founded the priory, established a B</w:t>
      </w:r>
      <w:r w:rsidRPr="3B25E3AA" w:rsidR="3B25E3AA">
        <w:rPr>
          <w:color w:val="000000" w:themeColor="text1" w:themeTint="FF" w:themeShade="FF"/>
        </w:rPr>
        <w:t>reton</w:t>
      </w:r>
      <w:r w:rsidRPr="3B25E3AA" w:rsidR="3B25E3AA">
        <w:rPr>
          <w:color w:val="000000" w:themeColor="text1" w:themeTint="FF" w:themeShade="FF"/>
        </w:rPr>
        <w:t xml:space="preserve"> colony in Monmouth whose influence lasted at least until the time of Geoffrey of Monmouth.</w:t>
      </w:r>
      <w:r w:rsidRPr="3B25E3AA">
        <w:rPr>
          <w:rStyle w:val="FootnoteReference"/>
          <w:color w:val="000000" w:themeColor="text1" w:themeTint="FF" w:themeShade="FF"/>
        </w:rPr>
        <w:footnoteReference w:id="4174"/>
      </w:r>
      <w:r w:rsidRPr="3B25E3AA" w:rsidR="3B25E3AA">
        <w:rPr>
          <w:color w:val="000000" w:themeColor="text1" w:themeTint="FF" w:themeShade="FF"/>
        </w:rPr>
        <w:t xml:space="preserve"> It seems reasonable to assume that the monastery was a part of the colonisation efforts.</w:t>
      </w:r>
    </w:p>
    <w:p w:rsidRPr="00811DC8" w:rsidR="002652F2" w:rsidP="4A7995C3" w:rsidRDefault="002652F2" w14:paraId="72855B3E" w14:textId="532E83CC">
      <w:pPr>
        <w:pStyle w:val="Normal"/>
        <w:ind w:left="0" w:hanging="0" w:firstLine="567"/>
        <w:jc w:val="both"/>
        <w:rPr>
          <w:color w:val="000000" w:themeColor="text1" w:themeTint="FF" w:themeShade="FF"/>
        </w:rPr>
      </w:pPr>
      <w:proofErr w:type="spellStart"/>
      <w:r w:rsidRPr="3B25E3AA" w:rsidR="3B25E3AA">
        <w:rPr>
          <w:color w:val="000000" w:themeColor="text1" w:themeTint="FF" w:themeShade="FF"/>
        </w:rPr>
        <w:t>Wihenoc</w:t>
      </w:r>
      <w:proofErr w:type="spellEnd"/>
      <w:r w:rsidRPr="3B25E3AA" w:rsidR="3B25E3AA">
        <w:rPr>
          <w:color w:val="000000" w:themeColor="text1" w:themeTint="FF" w:themeShade="FF"/>
        </w:rPr>
        <w:t xml:space="preserve"> himself cited the health of his soul, as well as devotion to ‘God and the Holy Virgin at St. </w:t>
      </w:r>
      <w:proofErr w:type="spellStart"/>
      <w:r w:rsidRPr="3B25E3AA" w:rsidR="3B25E3AA">
        <w:rPr>
          <w:color w:val="000000" w:themeColor="text1" w:themeTint="FF" w:themeShade="FF"/>
        </w:rPr>
        <w:t>Florentius</w:t>
      </w:r>
      <w:proofErr w:type="spellEnd"/>
      <w:r w:rsidRPr="3B25E3AA" w:rsidR="3B25E3AA">
        <w:rPr>
          <w:color w:val="000000" w:themeColor="text1" w:themeTint="FF" w:themeShade="FF"/>
        </w:rPr>
        <w:t>’ as reasons for the priory’s establishment.</w:t>
      </w:r>
      <w:r w:rsidRPr="3B25E3AA">
        <w:rPr>
          <w:rStyle w:val="FootnoteReference"/>
          <w:color w:val="000000" w:themeColor="text1" w:themeTint="FF" w:themeShade="FF"/>
        </w:rPr>
        <w:footnoteReference w:id="17909"/>
      </w:r>
      <w:r w:rsidRPr="3B25E3AA" w:rsidR="3B25E3AA">
        <w:rPr>
          <w:color w:val="000000" w:themeColor="text1" w:themeTint="FF" w:themeShade="FF"/>
        </w:rPr>
        <w:t xml:space="preserve"> Given that eventually he retired there, and his brother and son were currently monks dedicated to St. </w:t>
      </w:r>
      <w:proofErr w:type="spellStart"/>
      <w:r w:rsidRPr="3B25E3AA" w:rsidR="3B25E3AA">
        <w:rPr>
          <w:color w:val="000000" w:themeColor="text1" w:themeTint="FF" w:themeShade="FF"/>
        </w:rPr>
        <w:t>Florentius</w:t>
      </w:r>
      <w:proofErr w:type="spellEnd"/>
      <w:r w:rsidRPr="3B25E3AA" w:rsidR="3B25E3AA">
        <w:rPr>
          <w:color w:val="000000" w:themeColor="text1" w:themeTint="FF" w:themeShade="FF"/>
        </w:rPr>
        <w:t xml:space="preserve"> it could be argued that he felt devotion towards the saint and the monastery with his name. It is also possible that he wanted to aid his family members, making his decision based on familial devotion, rather than piety.</w:t>
      </w:r>
    </w:p>
    <w:p w:rsidRPr="00811DC8" w:rsidR="002652F2" w:rsidP="4A7995C3" w:rsidRDefault="002652F2" w14:paraId="4B880056" w14:textId="40C469C8" w14:noSpellErr="1">
      <w:pPr>
        <w:ind w:left="0" w:hanging="567"/>
        <w:jc w:val="left"/>
        <w:rPr>
          <w:color w:val="000000" w:themeColor="text1" w:themeTint="FF" w:themeShade="FF"/>
        </w:rPr>
      </w:pPr>
    </w:p>
    <w:p w:rsidRPr="00811DC8" w:rsidR="002652F2" w:rsidP="4A7995C3" w:rsidRDefault="002652F2" w14:paraId="16CE9025" w14:textId="02985C37" w14:noSpellErr="1">
      <w:pPr>
        <w:pStyle w:val="Heading3"/>
        <w:ind/>
        <w:jc w:val="left"/>
        <w:rPr>
          <w:color w:val="000000" w:themeColor="text1" w:themeTint="FF" w:themeShade="FF"/>
        </w:rPr>
      </w:pPr>
      <w:r w:rsidR="4A7995C3">
        <w:rPr/>
        <w:t>What is the significance of its location?</w:t>
      </w:r>
    </w:p>
    <w:p w:rsidRPr="00811DC8" w:rsidR="002652F2" w:rsidP="4A7995C3" w:rsidRDefault="002652F2" w14:paraId="0528D36B" w14:textId="3FAA99BE" w14:noSpellErr="1">
      <w:pPr>
        <w:pStyle w:val="Normal"/>
        <w:ind w:left="0" w:hanging="567"/>
        <w:jc w:val="left"/>
        <w:rPr>
          <w:color w:val="000000" w:themeColor="text1" w:themeTint="FF" w:themeShade="FF"/>
        </w:rPr>
      </w:pPr>
    </w:p>
    <w:p w:rsidRPr="00811DC8" w:rsidR="002652F2" w:rsidP="4A7995C3" w:rsidRDefault="002652F2" w14:textId="6BCD783B" w14:paraId="1CB5ACC5">
      <w:pPr>
        <w:pStyle w:val="Normal"/>
        <w:ind w:left="0" w:hanging="0" w:firstLine="720"/>
        <w:jc w:val="both"/>
        <w:rPr>
          <w:color w:val="000000" w:themeColor="text1" w:themeTint="FF" w:themeShade="FF"/>
        </w:rPr>
      </w:pPr>
      <w:r w:rsidRPr="3B25E3AA" w:rsidR="3B25E3AA">
        <w:rPr>
          <w:color w:val="000000" w:themeColor="text1" w:themeTint="FF" w:themeShade="FF"/>
        </w:rPr>
        <w:t xml:space="preserve">Monmouth was in the Welsh Marches. It was a region of cultural, linguistic and ethnic diversity. </w:t>
      </w:r>
      <w:proofErr w:type="spellStart"/>
      <w:r w:rsidRPr="3B25E3AA" w:rsidR="3B25E3AA">
        <w:rPr>
          <w:color w:val="000000" w:themeColor="text1" w:themeTint="FF" w:themeShade="FF"/>
        </w:rPr>
        <w:t>Baderon</w:t>
      </w:r>
      <w:proofErr w:type="spellEnd"/>
      <w:r w:rsidRPr="3B25E3AA" w:rsidR="3B25E3AA">
        <w:rPr>
          <w:color w:val="000000" w:themeColor="text1" w:themeTint="FF" w:themeShade="FF"/>
        </w:rPr>
        <w:t xml:space="preserve"> </w:t>
      </w:r>
      <w:r w:rsidRPr="3B25E3AA" w:rsidR="3B25E3AA">
        <w:rPr>
          <w:color w:val="000000" w:themeColor="text1" w:themeTint="FF" w:themeShade="FF"/>
        </w:rPr>
        <w:t xml:space="preserve">acknowledged this fact when he </w:t>
      </w:r>
      <w:r w:rsidRPr="3B25E3AA" w:rsidR="3B25E3AA">
        <w:rPr>
          <w:color w:val="000000" w:themeColor="text1" w:themeTint="FF" w:themeShade="FF"/>
        </w:rPr>
        <w:t>addressed</w:t>
      </w:r>
      <w:r w:rsidRPr="3B25E3AA" w:rsidR="3B25E3AA">
        <w:rPr>
          <w:color w:val="000000" w:themeColor="text1" w:themeTint="FF" w:themeShade="FF"/>
        </w:rPr>
        <w:t xml:space="preserve"> the ‘French, English and Welch’ in a charter.</w:t>
      </w:r>
      <w:r w:rsidRPr="3B25E3AA">
        <w:rPr>
          <w:rStyle w:val="FootnoteReference"/>
          <w:color w:val="000000" w:themeColor="text1" w:themeTint="FF" w:themeShade="FF"/>
        </w:rPr>
        <w:footnoteReference w:id="5805"/>
      </w:r>
      <w:r w:rsidRPr="3B25E3AA" w:rsidR="3B25E3AA">
        <w:rPr>
          <w:color w:val="000000" w:themeColor="text1" w:themeTint="FF" w:themeShade="FF"/>
        </w:rPr>
        <w:t xml:space="preserve"> As a crossroad of cultures often in opposition the priory was placed in an area that required a unifying force. The priory’s </w:t>
      </w:r>
      <w:r w:rsidRPr="3B25E3AA" w:rsidR="3B25E3AA">
        <w:rPr>
          <w:color w:val="000000" w:themeColor="text1" w:themeTint="FF" w:themeShade="FF"/>
        </w:rPr>
        <w:t>existence</w:t>
      </w:r>
      <w:r w:rsidRPr="3B25E3AA" w:rsidR="3B25E3AA">
        <w:rPr>
          <w:color w:val="000000" w:themeColor="text1" w:themeTint="FF" w:themeShade="FF"/>
        </w:rPr>
        <w:t xml:space="preserve"> in the Welsh marches would likely have significance in many areas.</w:t>
      </w:r>
    </w:p>
    <w:p w:rsidR="3B25E3AA" w:rsidP="4A7995C3" w:rsidRDefault="3B25E3AA" w14:paraId="5895D2A9" w14:textId="58BDD47C" w14:noSpellErr="1">
      <w:pPr>
        <w:pStyle w:val="Normal"/>
        <w:ind w:left="0" w:hanging="567"/>
        <w:jc w:val="both"/>
        <w:rPr>
          <w:color w:val="000000" w:themeColor="text1" w:themeTint="FF" w:themeShade="FF"/>
        </w:rPr>
      </w:pPr>
    </w:p>
    <w:p w:rsidRPr="00811DC8" w:rsidR="002652F2" w:rsidP="4A7995C3" w:rsidRDefault="002652F2" w14:paraId="67EBF134" w14:textId="77777777" w14:noSpellErr="1">
      <w:pPr>
        <w:pStyle w:val="Heading3"/>
        <w:ind/>
        <w:jc w:val="both"/>
        <w:rPr>
          <w:color w:val="000000" w:themeColor="text1" w:themeTint="FF" w:themeShade="FF"/>
        </w:rPr>
      </w:pPr>
      <w:r w:rsidR="4A7995C3">
        <w:rPr/>
        <w:t>Discuss the significance of any of the recorded events in its history.</w:t>
      </w:r>
    </w:p>
    <w:p w:rsidR="3B25E3AA" w:rsidP="4A7995C3" w:rsidRDefault="3B25E3AA" w14:paraId="79AD972A" w14:textId="2FA2F6F5" w14:noSpellErr="1">
      <w:pPr>
        <w:pStyle w:val="Normal"/>
        <w:ind w:left="0" w:hanging="567"/>
        <w:jc w:val="both"/>
        <w:rPr>
          <w:color w:val="000000" w:themeColor="text1" w:themeTint="FF" w:themeShade="FF"/>
        </w:rPr>
      </w:pPr>
    </w:p>
    <w:p w:rsidR="3B25E3AA" w:rsidP="4A7995C3" w:rsidRDefault="3B25E3AA" w14:paraId="3ABFE11C" w14:textId="537EB2B1">
      <w:pPr>
        <w:pStyle w:val="Normal"/>
        <w:ind w:left="0" w:hanging="0" w:firstLine="720"/>
        <w:jc w:val="both"/>
        <w:rPr>
          <w:color w:val="000000" w:themeColor="text1" w:themeTint="FF" w:themeShade="FF"/>
        </w:rPr>
      </w:pPr>
      <w:r w:rsidRPr="3B25E3AA" w:rsidR="3B25E3AA">
        <w:rPr>
          <w:color w:val="000000" w:themeColor="text1" w:themeTint="FF" w:themeShade="FF"/>
        </w:rPr>
        <w:t xml:space="preserve">In the </w:t>
      </w:r>
      <w:r w:rsidRPr="3B25E3AA" w:rsidR="3B25E3AA">
        <w:rPr>
          <w:color w:val="000000" w:themeColor="text1" w:themeTint="FF" w:themeShade="FF"/>
        </w:rPr>
        <w:t>Twelfth</w:t>
      </w:r>
      <w:r w:rsidRPr="3B25E3AA" w:rsidR="3B25E3AA">
        <w:rPr>
          <w:color w:val="000000" w:themeColor="text1" w:themeTint="FF" w:themeShade="FF"/>
        </w:rPr>
        <w:t xml:space="preserve"> century Walter de Laci, a significant Marcher Lord, granted five </w:t>
      </w:r>
      <w:r w:rsidRPr="3B25E3AA" w:rsidR="3B25E3AA">
        <w:rPr>
          <w:color w:val="000000" w:themeColor="text1" w:themeTint="FF" w:themeShade="FF"/>
        </w:rPr>
        <w:t>carucates</w:t>
      </w:r>
      <w:r w:rsidRPr="3B25E3AA" w:rsidR="3B25E3AA">
        <w:rPr>
          <w:color w:val="000000" w:themeColor="text1" w:themeTint="FF" w:themeShade="FF"/>
        </w:rPr>
        <w:t xml:space="preserve"> of land in </w:t>
      </w:r>
      <w:proofErr w:type="spellStart"/>
      <w:r w:rsidRPr="3B25E3AA" w:rsidR="3B25E3AA">
        <w:rPr>
          <w:color w:val="000000" w:themeColor="text1" w:themeTint="FF" w:themeShade="FF"/>
        </w:rPr>
        <w:t>Radebranc</w:t>
      </w:r>
      <w:proofErr w:type="spellEnd"/>
      <w:r w:rsidRPr="3B25E3AA" w:rsidR="3B25E3AA">
        <w:rPr>
          <w:color w:val="000000" w:themeColor="text1" w:themeTint="FF" w:themeShade="FF"/>
        </w:rPr>
        <w:t xml:space="preserve"> to Monmouth Priory.</w:t>
      </w:r>
      <w:r w:rsidRPr="3B25E3AA">
        <w:rPr>
          <w:rStyle w:val="FootnoteReference"/>
          <w:color w:val="000000" w:themeColor="text1" w:themeTint="FF" w:themeShade="FF"/>
        </w:rPr>
        <w:footnoteReference w:id="29646"/>
      </w:r>
      <w:r w:rsidRPr="3B25E3AA" w:rsidR="3B25E3AA">
        <w:rPr>
          <w:color w:val="000000" w:themeColor="text1" w:themeTint="FF" w:themeShade="FF"/>
        </w:rPr>
        <w:t xml:space="preserve"> This suggests that Monmouth Priory had become significant and that people in the Welsh Marches who sided with the King of England wanted to keep the priory running. It could be argued, then, that Monmouth Priory had a significant effect in pacifying, or colonising, the area.</w:t>
      </w:r>
    </w:p>
    <w:p w:rsidR="3B25E3AA" w:rsidP="4A7995C3" w:rsidRDefault="3B25E3AA" w14:paraId="7E04DFF0" w14:noSpellErr="1" w14:textId="49D170FB">
      <w:pPr>
        <w:pStyle w:val="Normal"/>
        <w:ind w:left="0" w:hanging="0" w:firstLine="720"/>
        <w:jc w:val="both"/>
        <w:rPr>
          <w:color w:val="000000" w:themeColor="text1" w:themeTint="FF" w:themeShade="FF"/>
        </w:rPr>
      </w:pPr>
      <w:r w:rsidRPr="3B25E3AA" w:rsidR="3B25E3AA">
        <w:rPr>
          <w:color w:val="000000" w:themeColor="text1" w:themeTint="FF" w:themeShade="FF"/>
        </w:rPr>
        <w:t xml:space="preserve">In the </w:t>
      </w:r>
      <w:r w:rsidRPr="3B25E3AA" w:rsidR="3B25E3AA">
        <w:rPr>
          <w:color w:val="000000" w:themeColor="text1" w:themeTint="FF" w:themeShade="FF"/>
        </w:rPr>
        <w:t>twelfth</w:t>
      </w:r>
      <w:r w:rsidRPr="3B25E3AA" w:rsidR="3B25E3AA">
        <w:rPr>
          <w:color w:val="000000" w:themeColor="text1" w:themeTint="FF" w:themeShade="FF"/>
        </w:rPr>
        <w:t xml:space="preserve"> century </w:t>
      </w:r>
      <w:r w:rsidRPr="3B25E3AA" w:rsidR="3B25E3AA">
        <w:rPr>
          <w:color w:val="000000" w:themeColor="text1" w:themeTint="FF" w:themeShade="FF"/>
        </w:rPr>
        <w:t>Geoffrey of Monmouth wrote his works from Monmouth Priory</w:t>
      </w:r>
      <w:r w:rsidRPr="3B25E3AA">
        <w:rPr>
          <w:rStyle w:val="FootnoteReference"/>
          <w:color w:val="000000" w:themeColor="text1" w:themeTint="FF" w:themeShade="FF"/>
        </w:rPr>
        <w:footnoteReference w:id="10935"/>
      </w:r>
      <w:r w:rsidRPr="3B25E3AA" w:rsidR="3B25E3AA">
        <w:rPr>
          <w:color w:val="000000" w:themeColor="text1" w:themeTint="FF" w:themeShade="FF"/>
        </w:rPr>
        <w:t xml:space="preserve"> and the wide reception of his books could be argued to demonstrate how important a place in the medieval world Monmouth was.</w:t>
      </w:r>
    </w:p>
    <w:p w:rsidR="3B25E3AA" w:rsidP="4A7995C3" w:rsidRDefault="3B25E3AA" w14:paraId="11FEE0BE" w14:textId="43F2589D">
      <w:pPr>
        <w:pStyle w:val="Normal"/>
        <w:ind w:left="0" w:hanging="0" w:firstLine="720"/>
        <w:jc w:val="both"/>
        <w:rPr>
          <w:rStyle w:val="FootnoteReference"/>
          <w:color w:val="000000" w:themeColor="text1" w:themeTint="FF" w:themeShade="FF"/>
        </w:rPr>
      </w:pPr>
      <w:r w:rsidRPr="3B25E3AA" w:rsidR="3B25E3AA">
        <w:rPr>
          <w:color w:val="000000" w:themeColor="text1" w:themeTint="FF" w:themeShade="FF"/>
        </w:rPr>
        <w:t xml:space="preserve">In 1262 Monmouth Priory was in such financial difficulty that a monk from its mother abbey was sent to take over the church and solve its monetary problems. When this failed Bishop </w:t>
      </w:r>
      <w:r w:rsidRPr="3B25E3AA" w:rsidR="3B25E3AA">
        <w:rPr>
          <w:color w:val="000000" w:themeColor="text1" w:themeTint="FF" w:themeShade="FF"/>
        </w:rPr>
        <w:t xml:space="preserve">Thomas </w:t>
      </w:r>
      <w:r w:rsidRPr="3B25E3AA" w:rsidR="3B25E3AA">
        <w:rPr>
          <w:color w:val="000000" w:themeColor="text1" w:themeTint="FF" w:themeShade="FF"/>
        </w:rPr>
        <w:t xml:space="preserve">de </w:t>
      </w:r>
      <w:proofErr w:type="spellStart"/>
      <w:r w:rsidRPr="3B25E3AA" w:rsidR="3B25E3AA">
        <w:rPr>
          <w:color w:val="000000" w:themeColor="text1" w:themeTint="FF" w:themeShade="FF"/>
        </w:rPr>
        <w:t>Cantilupe</w:t>
      </w:r>
      <w:proofErr w:type="spellEnd"/>
      <w:r w:rsidRPr="3B25E3AA" w:rsidR="3B25E3AA">
        <w:rPr>
          <w:color w:val="000000" w:themeColor="text1" w:themeTint="FF" w:themeShade="FF"/>
        </w:rPr>
        <w:t xml:space="preserve"> of Hereford</w:t>
      </w:r>
      <w:r w:rsidRPr="3B25E3AA" w:rsidR="3B25E3AA">
        <w:rPr>
          <w:color w:val="000000" w:themeColor="text1" w:themeTint="FF" w:themeShade="FF"/>
        </w:rPr>
        <w:t xml:space="preserve"> had to intervene</w:t>
      </w:r>
      <w:r w:rsidRPr="3B25E3AA" w:rsidR="3B25E3AA">
        <w:rPr>
          <w:color w:val="000000" w:themeColor="text1" w:themeTint="FF" w:themeShade="FF"/>
        </w:rPr>
        <w:t xml:space="preserve"> in 1279 by granting an </w:t>
      </w:r>
      <w:r w:rsidRPr="3B25E3AA" w:rsidR="3B25E3AA">
        <w:rPr>
          <w:color w:val="000000" w:themeColor="text1" w:themeTint="FF" w:themeShade="FF"/>
        </w:rPr>
        <w:t xml:space="preserve">indulgence</w:t>
      </w:r>
      <w:r w:rsidRPr="3B25E3AA" w:rsidR="3B25E3AA">
        <w:rPr>
          <w:color w:val="000000" w:themeColor="text1" w:themeTint="FF" w:themeShade="FF"/>
        </w:rPr>
        <w:t xml:space="preserve"> to anyone who would visit the priory and pray</w:t>
      </w:r>
      <w:r w:rsidRPr="3B25E3AA" w:rsidR="3B25E3AA">
        <w:rPr>
          <w:color w:val="000000" w:themeColor="text1" w:themeTint="FF" w:themeShade="FF"/>
        </w:rPr>
        <w:t xml:space="preserve">.</w:t>
      </w:r>
      <w:r w:rsidRPr="3B25E3AA">
        <w:rPr>
          <w:rStyle w:val="FootnoteReference"/>
          <w:color w:val="000000" w:themeColor="text1" w:themeTint="FF" w:themeShade="FF"/>
        </w:rPr>
        <w:footnoteReference w:id="24105"/>
      </w:r>
      <w:r w:rsidRPr="3B25E3AA" w:rsidR="3B25E3AA">
        <w:rPr>
          <w:color w:val="000000" w:themeColor="text1" w:themeTint="FF" w:themeShade="FF"/>
        </w:rPr>
        <w:t xml:space="preserve"> The intervention of both the bishop Hereford and the Abbot of </w:t>
      </w:r>
      <w:r w:rsidRPr="3B25E3AA" w:rsidR="3B25E3AA">
        <w:rPr>
          <w:color w:val="000000" w:themeColor="text1" w:themeTint="FF" w:themeShade="FF"/>
        </w:rPr>
        <w:t xml:space="preserve">St. </w:t>
      </w:r>
      <w:proofErr w:type="spellStart"/>
      <w:r w:rsidRPr="3B25E3AA" w:rsidR="3B25E3AA">
        <w:rPr>
          <w:color w:val="000000" w:themeColor="text1" w:themeTint="FF" w:themeShade="FF"/>
        </w:rPr>
        <w:t>Fluerent</w:t>
      </w:r>
      <w:proofErr w:type="spellEnd"/>
      <w:r w:rsidRPr="3B25E3AA" w:rsidR="3B25E3AA">
        <w:rPr>
          <w:color w:val="000000" w:themeColor="text1" w:themeTint="FF" w:themeShade="FF"/>
        </w:rPr>
        <w:t xml:space="preserve"> de Saumur</w:t>
      </w:r>
      <w:r w:rsidRPr="3B25E3AA" w:rsidR="3B25E3AA">
        <w:rPr>
          <w:color w:val="000000" w:themeColor="text1" w:themeTint="FF" w:themeShade="FF"/>
        </w:rPr>
        <w:t xml:space="preserve"> demonstrates how significant Monmouth Priory was to both the English and French Church, </w:t>
      </w:r>
      <w:proofErr w:type="gramStart"/>
      <w:r w:rsidRPr="3B25E3AA" w:rsidR="3B25E3AA">
        <w:rPr>
          <w:color w:val="000000" w:themeColor="text1" w:themeTint="FF" w:themeShade="FF"/>
        </w:rPr>
        <w:t xml:space="preserve">in spite of</w:t>
      </w:r>
      <w:proofErr w:type="gramEnd"/>
      <w:r w:rsidRPr="3B25E3AA" w:rsidR="3B25E3AA">
        <w:rPr>
          <w:color w:val="000000" w:themeColor="text1" w:themeTint="FF" w:themeShade="FF"/>
        </w:rPr>
        <w:t xml:space="preserve"> its monetary problems</w:t>
      </w:r>
      <w:r w:rsidRPr="3B25E3AA" w:rsidR="3B25E3AA">
        <w:rPr>
          <w:color w:val="000000" w:themeColor="text1" w:themeTint="FF" w:themeShade="FF"/>
        </w:rPr>
        <w:t>.</w:t>
      </w:r>
      <w:r w:rsidRPr="3B25E3AA" w:rsidR="3B25E3AA">
        <w:rPr>
          <w:color w:val="000000" w:themeColor="text1" w:themeTint="FF" w:themeShade="FF"/>
        </w:rPr>
        <w:t xml:space="preserve"> The granting of the </w:t>
      </w:r>
      <w:r w:rsidRPr="3B25E3AA" w:rsidR="3B25E3AA">
        <w:rPr>
          <w:color w:val="000000" w:themeColor="text1" w:themeTint="FF" w:themeShade="FF"/>
        </w:rPr>
        <w:t>indulgence</w:t>
      </w:r>
      <w:r w:rsidRPr="3B25E3AA" w:rsidR="3B25E3AA">
        <w:rPr>
          <w:color w:val="000000" w:themeColor="text1" w:themeTint="FF" w:themeShade="FF"/>
        </w:rPr>
        <w:t xml:space="preserve"> could </w:t>
      </w:r>
      <w:proofErr w:type="gramStart"/>
      <w:r w:rsidRPr="3B25E3AA" w:rsidR="3B25E3AA">
        <w:rPr>
          <w:color w:val="000000" w:themeColor="text1" w:themeTint="FF" w:themeShade="FF"/>
        </w:rPr>
        <w:t>be seen as</w:t>
      </w:r>
      <w:proofErr w:type="gramEnd"/>
      <w:r w:rsidRPr="3B25E3AA" w:rsidR="3B25E3AA">
        <w:rPr>
          <w:color w:val="000000" w:themeColor="text1" w:themeTint="FF" w:themeShade="FF"/>
        </w:rPr>
        <w:t xml:space="preserve"> another indicator of the priory’s significance.</w:t>
      </w:r>
    </w:p>
    <w:p w:rsidR="3B25E3AA" w:rsidP="4A7995C3" w:rsidRDefault="3B25E3AA" w14:paraId="0D91C294" w14:textId="040E9EA0">
      <w:pPr>
        <w:pStyle w:val="Normal"/>
        <w:ind w:left="0" w:hanging="0" w:firstLine="720"/>
        <w:jc w:val="both"/>
        <w:rPr>
          <w:color w:val="000000" w:themeColor="text1" w:themeTint="FF" w:themeShade="FF"/>
        </w:rPr>
      </w:pPr>
      <w:r w:rsidRPr="3B25E3AA" w:rsidR="3B25E3AA">
        <w:rPr>
          <w:color w:val="000000" w:themeColor="text1" w:themeTint="FF" w:themeShade="FF"/>
        </w:rPr>
        <w:t xml:space="preserve">The </w:t>
      </w:r>
      <w:proofErr w:type="spellStart"/>
      <w:r w:rsidRPr="4A7995C3" w:rsidR="3B25E3AA">
        <w:rPr>
          <w:i w:val="1"/>
          <w:iCs w:val="1"/>
          <w:noProof w:val="0"/>
          <w:lang w:val="en-GB"/>
        </w:rPr>
        <w:t>Taxatio</w:t>
      </w:r>
      <w:proofErr w:type="spellEnd"/>
      <w:r w:rsidRPr="4A7995C3" w:rsidR="3B25E3AA">
        <w:rPr>
          <w:i w:val="1"/>
          <w:iCs w:val="1"/>
          <w:noProof w:val="0"/>
          <w:lang w:val="en-GB"/>
        </w:rPr>
        <w:t xml:space="preserve"> </w:t>
      </w:r>
      <w:proofErr w:type="spellStart"/>
      <w:r w:rsidRPr="4A7995C3" w:rsidR="3B25E3AA">
        <w:rPr>
          <w:i w:val="1"/>
          <w:iCs w:val="1"/>
          <w:noProof w:val="0"/>
          <w:lang w:val="en-GB"/>
        </w:rPr>
        <w:t>Ecclesiastica</w:t>
      </w:r>
      <w:proofErr w:type="spellEnd"/>
      <w:r w:rsidRPr="3B25E3AA" w:rsidR="3B25E3AA">
        <w:rPr>
          <w:noProof w:val="0"/>
          <w:lang w:val="en-GB"/>
        </w:rPr>
        <w:t xml:space="preserve"> of 1291</w:t>
      </w:r>
      <w:r w:rsidRPr="3B25E3AA" w:rsidR="3B25E3AA">
        <w:rPr>
          <w:color w:val="000000" w:themeColor="text1" w:themeTint="FF" w:themeShade="FF"/>
        </w:rPr>
        <w:t xml:space="preserve"> revealed that Monmouth Priory was by that point in control of around four-hundred and eighty acres of land and paid over £85 in taxes.</w:t>
      </w:r>
      <w:r w:rsidRPr="3B25E3AA">
        <w:rPr>
          <w:rStyle w:val="FootnoteReference"/>
          <w:color w:val="000000" w:themeColor="text1" w:themeTint="FF" w:themeShade="FF"/>
        </w:rPr>
        <w:footnoteReference w:id="17694"/>
      </w:r>
      <w:r w:rsidRPr="3B25E3AA" w:rsidR="3B25E3AA">
        <w:rPr>
          <w:color w:val="000000" w:themeColor="text1" w:themeTint="FF" w:themeShade="FF"/>
        </w:rPr>
        <w:t xml:space="preserve"> This made Monmouth Priory one of the largest establishments in Wales, however it was very small when compared with English establishments. This demonstrates the growth of Monmouth Priory’s influence as it attained more land over the period of its existence, however this also demonstrates how little money the priory made</w:t>
      </w:r>
      <w:r w:rsidRPr="3B25E3AA" w:rsidR="3B25E3AA">
        <w:rPr>
          <w:color w:val="000000" w:themeColor="text1" w:themeTint="FF" w:themeShade="FF"/>
        </w:rPr>
        <w:t xml:space="preserve"> even after </w:t>
      </w:r>
      <w:r w:rsidRPr="3B25E3AA" w:rsidR="3B25E3AA">
        <w:rPr>
          <w:color w:val="000000" w:themeColor="text1" w:themeTint="FF" w:themeShade="FF"/>
        </w:rPr>
        <w:t xml:space="preserve">Thomas </w:t>
      </w:r>
      <w:r w:rsidRPr="3B25E3AA" w:rsidR="3B25E3AA">
        <w:rPr>
          <w:color w:val="000000" w:themeColor="text1" w:themeTint="FF" w:themeShade="FF"/>
        </w:rPr>
        <w:t xml:space="preserve">de </w:t>
      </w:r>
      <w:proofErr w:type="spellStart"/>
      <w:r w:rsidRPr="3B25E3AA" w:rsidR="3B25E3AA">
        <w:rPr>
          <w:color w:val="000000" w:themeColor="text1" w:themeTint="FF" w:themeShade="FF"/>
        </w:rPr>
        <w:t>Cantilupe’s</w:t>
      </w:r>
      <w:proofErr w:type="spellEnd"/>
      <w:r w:rsidRPr="3B25E3AA" w:rsidR="3B25E3AA">
        <w:rPr>
          <w:color w:val="000000" w:themeColor="text1" w:themeTint="FF" w:themeShade="FF"/>
        </w:rPr>
        <w:t xml:space="preserve"> intervention</w:t>
      </w:r>
      <w:r w:rsidRPr="3B25E3AA" w:rsidR="3B25E3AA">
        <w:rPr>
          <w:color w:val="000000" w:themeColor="text1" w:themeTint="FF" w:themeShade="FF"/>
        </w:rPr>
        <w:t>.</w:t>
      </w:r>
    </w:p>
    <w:p w:rsidR="4A7995C3" w:rsidP="4A7995C3" w:rsidRDefault="4A7995C3" w14:paraId="4C36B446" w14:textId="1C3E4BFB">
      <w:pPr>
        <w:pStyle w:val="Normal"/>
        <w:ind w:left="0" w:hanging="0" w:firstLine="720"/>
        <w:jc w:val="both"/>
        <w:rPr>
          <w:color w:val="000000" w:themeColor="text1" w:themeTint="FF" w:themeShade="FF"/>
        </w:rPr>
      </w:pPr>
      <w:r w:rsidR="4A7995C3">
        <w:rPr/>
        <w:t xml:space="preserve">In 1415 Monmouth Priory achieved independence </w:t>
      </w:r>
      <w:r w:rsidR="4A7995C3">
        <w:rPr/>
        <w:t>from</w:t>
      </w:r>
      <w:r w:rsidRPr="4A7995C3" w:rsidR="4A7995C3">
        <w:rPr>
          <w:color w:val="000000" w:themeColor="text1" w:themeTint="FF" w:themeShade="FF"/>
        </w:rPr>
        <w:t xml:space="preserve"> St.</w:t>
      </w:r>
      <w:r w:rsidRPr="4A7995C3" w:rsidR="4A7995C3">
        <w:rPr>
          <w:color w:val="000000" w:themeColor="text1" w:themeTint="FF" w:themeShade="FF"/>
        </w:rPr>
        <w:t xml:space="preserve"> </w:t>
      </w:r>
      <w:proofErr w:type="spellStart"/>
      <w:r w:rsidRPr="4A7995C3" w:rsidR="4A7995C3">
        <w:rPr>
          <w:color w:val="000000" w:themeColor="text1" w:themeTint="FF" w:themeShade="FF"/>
        </w:rPr>
        <w:t>Fluerent</w:t>
      </w:r>
      <w:proofErr w:type="spellEnd"/>
      <w:r w:rsidRPr="4A7995C3" w:rsidR="4A7995C3">
        <w:rPr>
          <w:color w:val="000000" w:themeColor="text1" w:themeTint="FF" w:themeShade="FF"/>
        </w:rPr>
        <w:t xml:space="preserve"> de Saumur</w:t>
      </w:r>
      <w:r w:rsidRPr="4A7995C3" w:rsidR="4A7995C3">
        <w:rPr>
          <w:color w:val="000000" w:themeColor="text1" w:themeTint="FF" w:themeShade="FF"/>
        </w:rPr>
        <w:t>.</w:t>
      </w:r>
      <w:r w:rsidRPr="4A7995C3">
        <w:rPr>
          <w:rStyle w:val="FootnoteReference"/>
          <w:color w:val="000000" w:themeColor="text1" w:themeTint="FF" w:themeShade="FF"/>
        </w:rPr>
        <w:footnoteReference w:id="6659"/>
      </w:r>
      <w:r w:rsidRPr="4A7995C3" w:rsidR="4A7995C3">
        <w:rPr>
          <w:color w:val="000000" w:themeColor="text1" w:themeTint="FF" w:themeShade="FF"/>
        </w:rPr>
        <w:t xml:space="preserve"> Although the ongoing conflict with France would have been a major factor in Monmouth Priory’s independence, this event </w:t>
      </w:r>
      <w:proofErr w:type="gramStart"/>
      <w:r w:rsidRPr="4A7995C3" w:rsidR="4A7995C3">
        <w:rPr>
          <w:color w:val="000000" w:themeColor="text1" w:themeTint="FF" w:themeShade="FF"/>
        </w:rPr>
        <w:t>can be seen as</w:t>
      </w:r>
      <w:proofErr w:type="gramEnd"/>
      <w:r w:rsidRPr="4A7995C3" w:rsidR="4A7995C3">
        <w:rPr>
          <w:color w:val="000000" w:themeColor="text1" w:themeTint="FF" w:themeShade="FF"/>
        </w:rPr>
        <w:t xml:space="preserve"> demonstrating the Priory’s significance and could be a sign of how much the priory had grown since its foundation.</w:t>
      </w:r>
    </w:p>
    <w:p w:rsidR="4A68D0D5" w:rsidRDefault="4A68D0D5" w14:noSpellErr="1" w14:paraId="1E235D57" w14:textId="3B14AE0C">
      <w:r>
        <w:br w:type="page"/>
      </w:r>
    </w:p>
    <w:p w:rsidR="3B25E3AA" w:rsidP="3B25E3AA" w:rsidRDefault="3B25E3AA" w14:paraId="4C4C5902" w14:textId="1CDAF31B">
      <w:pPr>
        <w:pStyle w:val="Normal"/>
        <w:rPr>
          <w:noProof w:val="0"/>
          <w:lang w:val="en-GB"/>
        </w:rPr>
      </w:pPr>
    </w:p>
    <w:p w:rsidR="4A68D0D5" w:rsidP="4A68D0D5" w:rsidRDefault="4A68D0D5" w14:noSpellErr="1" w14:paraId="1D485956" w14:textId="11AA63F3">
      <w:pPr>
        <w:pStyle w:val="Heading1"/>
      </w:pPr>
      <w:r w:rsidR="3B25E3AA">
        <w:rPr/>
        <w:t>Bibliography</w:t>
      </w:r>
    </w:p>
    <w:p w:rsidR="3B25E3AA" w:rsidP="3B25E3AA" w:rsidRDefault="3B25E3AA" w14:noSpellErr="1" w14:paraId="6165CB65" w14:textId="39C69D60">
      <w:pPr>
        <w:pStyle w:val="Normal"/>
      </w:pPr>
    </w:p>
    <w:p w:rsidR="3B25E3AA" w:rsidP="3B25E3AA" w:rsidRDefault="3B25E3AA" w14:noSpellErr="1" w14:paraId="13F1BD06" w14:textId="6E3BBD67">
      <w:pPr>
        <w:pStyle w:val="Normal"/>
      </w:pPr>
      <w:r w:rsidRPr="3B25E3AA" w:rsidR="3B25E3AA">
        <w:rPr>
          <w:rFonts w:ascii="Times New Roman" w:hAnsi="Times New Roman" w:eastAsia="Times New Roman" w:cs="Times New Roman"/>
          <w:noProof w:val="0"/>
          <w:color w:val="666666"/>
          <w:sz w:val="19"/>
          <w:szCs w:val="19"/>
          <w:lang w:val="en-GB"/>
        </w:rPr>
        <w:t xml:space="preserve">Benedict and Verheyen, B. (n.d.). </w:t>
      </w:r>
      <w:r w:rsidRPr="3B25E3AA" w:rsidR="3B25E3AA">
        <w:rPr>
          <w:rFonts w:ascii="Times New Roman" w:hAnsi="Times New Roman" w:eastAsia="Times New Roman" w:cs="Times New Roman"/>
          <w:i w:val="1"/>
          <w:iCs w:val="1"/>
          <w:noProof w:val="0"/>
          <w:color w:val="666666"/>
          <w:sz w:val="19"/>
          <w:szCs w:val="19"/>
          <w:lang w:val="en-GB"/>
        </w:rPr>
        <w:t>The holy rule of St. Benedict</w:t>
      </w:r>
      <w:r w:rsidRPr="3B25E3AA" w:rsidR="3B25E3AA">
        <w:rPr>
          <w:rFonts w:ascii="Times New Roman" w:hAnsi="Times New Roman" w:eastAsia="Times New Roman" w:cs="Times New Roman"/>
          <w:noProof w:val="0"/>
          <w:color w:val="666666"/>
          <w:sz w:val="19"/>
          <w:szCs w:val="19"/>
          <w:lang w:val="en-GB"/>
        </w:rPr>
        <w:t>.</w:t>
      </w:r>
    </w:p>
    <w:p w:rsidR="3B25E3AA" w:rsidP="3B25E3AA" w:rsidRDefault="3B25E3AA" w14:noSpellErr="1" w14:paraId="6610E4AF" w14:textId="2CEFFED3">
      <w:pPr>
        <w:pStyle w:val="Normal"/>
        <w:rPr>
          <w:rFonts w:ascii="Times New Roman" w:hAnsi="Times New Roman" w:eastAsia="Times New Roman" w:cs="Times New Roman"/>
          <w:noProof w:val="0"/>
          <w:color w:val="666666"/>
          <w:sz w:val="19"/>
          <w:szCs w:val="19"/>
          <w:lang w:val="en-GB"/>
        </w:rPr>
      </w:pPr>
    </w:p>
    <w:p w:rsidR="3B25E3AA" w:rsidP="3B25E3AA" w:rsidRDefault="3B25E3AA" w14:noSpellErr="1" w14:paraId="3EBFAE9C" w14:textId="57221650">
      <w:pPr>
        <w:pStyle w:val="Normal"/>
      </w:pPr>
      <w:r w:rsidRPr="3B25E3AA" w:rsidR="3B25E3AA">
        <w:rPr>
          <w:rFonts w:ascii="Times New Roman" w:hAnsi="Times New Roman" w:eastAsia="Times New Roman" w:cs="Times New Roman"/>
          <w:noProof w:val="0"/>
          <w:color w:val="666666"/>
          <w:sz w:val="19"/>
          <w:szCs w:val="19"/>
          <w:lang w:val="en-GB"/>
        </w:rPr>
        <w:t xml:space="preserve">Burton, J. and Stober, K. (2013). </w:t>
      </w:r>
      <w:r w:rsidRPr="3B25E3AA" w:rsidR="3B25E3AA">
        <w:rPr>
          <w:rFonts w:ascii="Times New Roman" w:hAnsi="Times New Roman" w:eastAsia="Times New Roman" w:cs="Times New Roman"/>
          <w:i w:val="1"/>
          <w:iCs w:val="1"/>
          <w:noProof w:val="0"/>
          <w:color w:val="666666"/>
          <w:sz w:val="19"/>
          <w:szCs w:val="19"/>
          <w:lang w:val="en-GB"/>
        </w:rPr>
        <w:t>Monastic Wales: New Approaches</w:t>
      </w:r>
      <w:r w:rsidRPr="3B25E3AA" w:rsidR="3B25E3AA">
        <w:rPr>
          <w:rFonts w:ascii="Times New Roman" w:hAnsi="Times New Roman" w:eastAsia="Times New Roman" w:cs="Times New Roman"/>
          <w:noProof w:val="0"/>
          <w:color w:val="666666"/>
          <w:sz w:val="19"/>
          <w:szCs w:val="19"/>
          <w:lang w:val="en-GB"/>
        </w:rPr>
        <w:t>. University of Wales Press.</w:t>
      </w:r>
    </w:p>
    <w:p w:rsidR="3B25E3AA" w:rsidP="3B25E3AA" w:rsidRDefault="3B25E3AA" w14:noSpellErr="1" w14:paraId="663A2A52" w14:textId="4499930F">
      <w:pPr>
        <w:pStyle w:val="Normal"/>
        <w:rPr>
          <w:rFonts w:ascii="Times New Roman" w:hAnsi="Times New Roman" w:eastAsia="Times New Roman" w:cs="Times New Roman"/>
          <w:noProof w:val="0"/>
          <w:color w:val="666666"/>
          <w:sz w:val="19"/>
          <w:szCs w:val="19"/>
          <w:lang w:val="en-GB"/>
        </w:rPr>
      </w:pPr>
    </w:p>
    <w:p w:rsidR="3B25E3AA" w:rsidP="3B25E3AA" w:rsidRDefault="3B25E3AA" w14:noSpellErr="1" w14:paraId="7FAB5B48" w14:textId="7FA261B5">
      <w:pPr>
        <w:pStyle w:val="Normal"/>
      </w:pPr>
      <w:r w:rsidRPr="3B25E3AA" w:rsidR="3B25E3AA">
        <w:rPr>
          <w:rFonts w:ascii="Times New Roman" w:hAnsi="Times New Roman" w:eastAsia="Times New Roman" w:cs="Times New Roman"/>
          <w:noProof w:val="0"/>
          <w:color w:val="666666"/>
          <w:sz w:val="19"/>
          <w:szCs w:val="19"/>
          <w:lang w:val="en-GB"/>
        </w:rPr>
        <w:t xml:space="preserve">Clark, J. (2014). </w:t>
      </w:r>
      <w:r w:rsidRPr="3B25E3AA" w:rsidR="3B25E3AA">
        <w:rPr>
          <w:rFonts w:ascii="Times New Roman" w:hAnsi="Times New Roman" w:eastAsia="Times New Roman" w:cs="Times New Roman"/>
          <w:i w:val="1"/>
          <w:iCs w:val="1"/>
          <w:noProof w:val="0"/>
          <w:color w:val="666666"/>
          <w:sz w:val="19"/>
          <w:szCs w:val="19"/>
          <w:lang w:val="en-GB"/>
        </w:rPr>
        <w:t>The Benedictines in the Middle Ages</w:t>
      </w:r>
      <w:r w:rsidRPr="3B25E3AA" w:rsidR="3B25E3AA">
        <w:rPr>
          <w:rFonts w:ascii="Times New Roman" w:hAnsi="Times New Roman" w:eastAsia="Times New Roman" w:cs="Times New Roman"/>
          <w:noProof w:val="0"/>
          <w:color w:val="666666"/>
          <w:sz w:val="19"/>
          <w:szCs w:val="19"/>
          <w:lang w:val="en-GB"/>
        </w:rPr>
        <w:t>. New York: Boydell &amp; Brewer Group Ltd.</w:t>
      </w:r>
    </w:p>
    <w:p w:rsidR="3B25E3AA" w:rsidP="3B25E3AA" w:rsidRDefault="3B25E3AA" w14:noSpellErr="1" w14:paraId="7A32DA22" w14:textId="793FB847">
      <w:pPr>
        <w:pStyle w:val="Normal"/>
        <w:rPr>
          <w:rFonts w:ascii="Times New Roman" w:hAnsi="Times New Roman" w:eastAsia="Times New Roman" w:cs="Times New Roman"/>
          <w:noProof w:val="0"/>
          <w:color w:val="666666"/>
          <w:sz w:val="19"/>
          <w:szCs w:val="19"/>
          <w:lang w:val="en-GB"/>
        </w:rPr>
      </w:pPr>
    </w:p>
    <w:p w:rsidR="3B25E3AA" w:rsidP="3B25E3AA" w:rsidRDefault="3B25E3AA" w14:paraId="70FA183B" w14:textId="6689C33D">
      <w:pPr>
        <w:pStyle w:val="Normal"/>
      </w:pPr>
      <w:r w:rsidRPr="3B25E3AA" w:rsidR="3B25E3AA">
        <w:rPr>
          <w:rFonts w:ascii="Times New Roman" w:hAnsi="Times New Roman" w:eastAsia="Times New Roman" w:cs="Times New Roman"/>
          <w:noProof w:val="0"/>
          <w:color w:val="666666"/>
          <w:sz w:val="19"/>
          <w:szCs w:val="19"/>
          <w:lang w:val="en-GB"/>
        </w:rPr>
        <w:t xml:space="preserve">Evans, J. and Rhys, J. (1893). </w:t>
      </w:r>
      <w:r w:rsidRPr="3B25E3AA" w:rsidR="3B25E3AA">
        <w:rPr>
          <w:rFonts w:ascii="Times New Roman" w:hAnsi="Times New Roman" w:eastAsia="Times New Roman" w:cs="Times New Roman"/>
          <w:i w:val="1"/>
          <w:iCs w:val="1"/>
          <w:noProof w:val="0"/>
          <w:color w:val="666666"/>
          <w:sz w:val="19"/>
          <w:szCs w:val="19"/>
          <w:lang w:val="en-GB"/>
        </w:rPr>
        <w:t xml:space="preserve">The text of the Book of </w:t>
      </w:r>
      <w:proofErr w:type="spellStart"/>
      <w:r w:rsidRPr="3B25E3AA" w:rsidR="3B25E3AA">
        <w:rPr>
          <w:rFonts w:ascii="Times New Roman" w:hAnsi="Times New Roman" w:eastAsia="Times New Roman" w:cs="Times New Roman"/>
          <w:i w:val="1"/>
          <w:iCs w:val="1"/>
          <w:noProof w:val="0"/>
          <w:color w:val="666666"/>
          <w:sz w:val="19"/>
          <w:szCs w:val="19"/>
          <w:lang w:val="en-GB"/>
        </w:rPr>
        <w:t>Llan</w:t>
      </w:r>
      <w:proofErr w:type="spellEnd"/>
      <w:r w:rsidRPr="3B25E3AA" w:rsidR="3B25E3AA">
        <w:rPr>
          <w:rFonts w:ascii="Times New Roman" w:hAnsi="Times New Roman" w:eastAsia="Times New Roman" w:cs="Times New Roman"/>
          <w:i w:val="1"/>
          <w:iCs w:val="1"/>
          <w:noProof w:val="0"/>
          <w:color w:val="666666"/>
          <w:sz w:val="19"/>
          <w:szCs w:val="19"/>
          <w:lang w:val="en-GB"/>
        </w:rPr>
        <w:t xml:space="preserve"> </w:t>
      </w:r>
      <w:proofErr w:type="spellStart"/>
      <w:r w:rsidRPr="3B25E3AA" w:rsidR="3B25E3AA">
        <w:rPr>
          <w:rFonts w:ascii="Times New Roman" w:hAnsi="Times New Roman" w:eastAsia="Times New Roman" w:cs="Times New Roman"/>
          <w:i w:val="1"/>
          <w:iCs w:val="1"/>
          <w:noProof w:val="0"/>
          <w:color w:val="666666"/>
          <w:sz w:val="19"/>
          <w:szCs w:val="19"/>
          <w:lang w:val="en-GB"/>
        </w:rPr>
        <w:t>Dâv</w:t>
      </w:r>
      <w:proofErr w:type="spellEnd"/>
      <w:r w:rsidRPr="3B25E3AA" w:rsidR="3B25E3AA">
        <w:rPr>
          <w:rFonts w:ascii="Times New Roman" w:hAnsi="Times New Roman" w:eastAsia="Times New Roman" w:cs="Times New Roman"/>
          <w:noProof w:val="0"/>
          <w:color w:val="666666"/>
          <w:sz w:val="19"/>
          <w:szCs w:val="19"/>
          <w:lang w:val="en-GB"/>
        </w:rPr>
        <w:t>. 1st ed. Oxford.</w:t>
      </w:r>
    </w:p>
    <w:p w:rsidR="3B25E3AA" w:rsidP="3B25E3AA" w:rsidRDefault="3B25E3AA" w14:paraId="56635860" w14:textId="2DD382AC">
      <w:pPr>
        <w:pStyle w:val="Normal"/>
        <w:rPr>
          <w:rFonts w:ascii="Times New Roman" w:hAnsi="Times New Roman" w:eastAsia="Times New Roman" w:cs="Times New Roman"/>
          <w:noProof w:val="0"/>
          <w:color w:val="666666"/>
          <w:sz w:val="19"/>
          <w:szCs w:val="19"/>
          <w:lang w:val="en-GB"/>
        </w:rPr>
      </w:pPr>
    </w:p>
    <w:p w:rsidR="3B25E3AA" w:rsidP="3B25E3AA" w:rsidRDefault="3B25E3AA" w14:paraId="480F2D34" w14:textId="15623B2C">
      <w:pPr>
        <w:pStyle w:val="Normal"/>
      </w:pPr>
      <w:r w:rsidRPr="3B25E3AA" w:rsidR="3B25E3AA">
        <w:rPr>
          <w:rFonts w:ascii="Times New Roman" w:hAnsi="Times New Roman" w:eastAsia="Times New Roman" w:cs="Times New Roman"/>
          <w:noProof w:val="0"/>
          <w:color w:val="666666"/>
          <w:sz w:val="19"/>
          <w:szCs w:val="19"/>
          <w:lang w:val="en-GB"/>
        </w:rPr>
        <w:t xml:space="preserve">Heath, C. (2018). </w:t>
      </w:r>
      <w:r w:rsidRPr="3B25E3AA" w:rsidR="3B25E3AA">
        <w:rPr>
          <w:rFonts w:ascii="Times New Roman" w:hAnsi="Times New Roman" w:eastAsia="Times New Roman" w:cs="Times New Roman"/>
          <w:i w:val="1"/>
          <w:iCs w:val="1"/>
          <w:noProof w:val="0"/>
          <w:color w:val="666666"/>
          <w:sz w:val="19"/>
          <w:szCs w:val="19"/>
          <w:lang w:val="en-GB"/>
        </w:rPr>
        <w:t>Historical Descriptive Accounts Ancient Present State Town Monmouth</w:t>
      </w:r>
      <w:r w:rsidRPr="3B25E3AA" w:rsidR="3B25E3AA">
        <w:rPr>
          <w:rFonts w:ascii="Times New Roman" w:hAnsi="Times New Roman" w:eastAsia="Times New Roman" w:cs="Times New Roman"/>
          <w:noProof w:val="0"/>
          <w:color w:val="666666"/>
          <w:sz w:val="19"/>
          <w:szCs w:val="19"/>
          <w:lang w:val="en-GB"/>
        </w:rPr>
        <w:t xml:space="preserve">. 1st ed. </w:t>
      </w:r>
      <w:proofErr w:type="spellStart"/>
      <w:r w:rsidRPr="3B25E3AA" w:rsidR="3B25E3AA">
        <w:rPr>
          <w:rFonts w:ascii="Times New Roman" w:hAnsi="Times New Roman" w:eastAsia="Times New Roman" w:cs="Times New Roman"/>
          <w:noProof w:val="0"/>
          <w:color w:val="666666"/>
          <w:sz w:val="19"/>
          <w:szCs w:val="19"/>
          <w:lang w:val="en-GB"/>
        </w:rPr>
        <w:t>Palala</w:t>
      </w:r>
      <w:proofErr w:type="spellEnd"/>
      <w:r w:rsidRPr="3B25E3AA" w:rsidR="3B25E3AA">
        <w:rPr>
          <w:rFonts w:ascii="Times New Roman" w:hAnsi="Times New Roman" w:eastAsia="Times New Roman" w:cs="Times New Roman"/>
          <w:noProof w:val="0"/>
          <w:color w:val="666666"/>
          <w:sz w:val="19"/>
          <w:szCs w:val="19"/>
          <w:lang w:val="en-GB"/>
        </w:rPr>
        <w:t xml:space="preserve"> Press.</w:t>
      </w:r>
    </w:p>
    <w:p w:rsidR="3B25E3AA" w:rsidP="3B25E3AA" w:rsidRDefault="3B25E3AA" w14:paraId="3AEFDF42" w14:textId="43D67A26">
      <w:pPr>
        <w:pStyle w:val="Normal"/>
        <w:rPr>
          <w:rFonts w:ascii="Times New Roman" w:hAnsi="Times New Roman" w:eastAsia="Times New Roman" w:cs="Times New Roman"/>
          <w:noProof w:val="0"/>
          <w:color w:val="666666"/>
          <w:sz w:val="19"/>
          <w:szCs w:val="19"/>
          <w:lang w:val="en-GB"/>
        </w:rPr>
      </w:pPr>
    </w:p>
    <w:p w:rsidR="3B25E3AA" w:rsidP="3B25E3AA" w:rsidRDefault="3B25E3AA" w14:noSpellErr="1" w14:paraId="6977826A" w14:textId="04B6029C">
      <w:pPr>
        <w:pStyle w:val="Normal"/>
      </w:pPr>
      <w:r w:rsidRPr="3B25E3AA" w:rsidR="3B25E3AA">
        <w:rPr>
          <w:rFonts w:ascii="Times New Roman" w:hAnsi="Times New Roman" w:eastAsia="Times New Roman" w:cs="Times New Roman"/>
          <w:noProof w:val="0"/>
          <w:color w:val="666666"/>
          <w:sz w:val="19"/>
          <w:szCs w:val="19"/>
          <w:lang w:val="en-GB"/>
        </w:rPr>
        <w:t xml:space="preserve">Keats-Rohan, K. (1999). </w:t>
      </w:r>
      <w:r w:rsidRPr="3B25E3AA" w:rsidR="3B25E3AA">
        <w:rPr>
          <w:rFonts w:ascii="Times New Roman" w:hAnsi="Times New Roman" w:eastAsia="Times New Roman" w:cs="Times New Roman"/>
          <w:i w:val="1"/>
          <w:iCs w:val="1"/>
          <w:noProof w:val="0"/>
          <w:color w:val="666666"/>
          <w:sz w:val="19"/>
          <w:szCs w:val="19"/>
          <w:lang w:val="en-GB"/>
        </w:rPr>
        <w:t>Domesday People: A Prosopography of Persons Occurring in English Documents 1066-1166 I: Domesday Book</w:t>
      </w:r>
      <w:r w:rsidRPr="3B25E3AA" w:rsidR="3B25E3AA">
        <w:rPr>
          <w:rFonts w:ascii="Times New Roman" w:hAnsi="Times New Roman" w:eastAsia="Times New Roman" w:cs="Times New Roman"/>
          <w:noProof w:val="0"/>
          <w:color w:val="666666"/>
          <w:sz w:val="19"/>
          <w:szCs w:val="19"/>
          <w:lang w:val="en-GB"/>
        </w:rPr>
        <w:t>. Woodbridge, Suffolk: Boydell Press.</w:t>
      </w:r>
    </w:p>
    <w:p w:rsidR="3B25E3AA" w:rsidP="3B25E3AA" w:rsidRDefault="3B25E3AA" w14:noSpellErr="1" w14:paraId="59556E59" w14:textId="6006A6D7">
      <w:pPr>
        <w:pStyle w:val="Normal"/>
        <w:rPr>
          <w:rFonts w:ascii="Times New Roman" w:hAnsi="Times New Roman" w:eastAsia="Times New Roman" w:cs="Times New Roman"/>
          <w:noProof w:val="0"/>
          <w:color w:val="666666"/>
          <w:sz w:val="19"/>
          <w:szCs w:val="19"/>
          <w:lang w:val="en-GB"/>
        </w:rPr>
      </w:pPr>
    </w:p>
    <w:p w:rsidR="3B25E3AA" w:rsidP="3B25E3AA" w:rsidRDefault="3B25E3AA" w14:paraId="668A1031" w14:textId="41AF369C">
      <w:pPr>
        <w:pStyle w:val="Normal"/>
      </w:pPr>
      <w:r w:rsidRPr="3B25E3AA" w:rsidR="3B25E3AA">
        <w:rPr>
          <w:rFonts w:ascii="Times New Roman" w:hAnsi="Times New Roman" w:eastAsia="Times New Roman" w:cs="Times New Roman"/>
          <w:noProof w:val="0"/>
          <w:color w:val="666666"/>
          <w:sz w:val="19"/>
          <w:szCs w:val="19"/>
          <w:lang w:val="en-GB"/>
        </w:rPr>
        <w:t xml:space="preserve">Nelson, L. (2012). </w:t>
      </w:r>
      <w:r w:rsidRPr="3B25E3AA" w:rsidR="3B25E3AA">
        <w:rPr>
          <w:rFonts w:ascii="Times New Roman" w:hAnsi="Times New Roman" w:eastAsia="Times New Roman" w:cs="Times New Roman"/>
          <w:i w:val="1"/>
          <w:iCs w:val="1"/>
          <w:noProof w:val="0"/>
          <w:color w:val="666666"/>
          <w:sz w:val="19"/>
          <w:szCs w:val="19"/>
          <w:lang w:val="en-GB"/>
        </w:rPr>
        <w:t>Normans in south wales, 1070-1171</w:t>
      </w:r>
      <w:r w:rsidRPr="3B25E3AA" w:rsidR="3B25E3AA">
        <w:rPr>
          <w:rFonts w:ascii="Times New Roman" w:hAnsi="Times New Roman" w:eastAsia="Times New Roman" w:cs="Times New Roman"/>
          <w:noProof w:val="0"/>
          <w:color w:val="666666"/>
          <w:sz w:val="19"/>
          <w:szCs w:val="19"/>
          <w:lang w:val="en-GB"/>
        </w:rPr>
        <w:t xml:space="preserve">. [Place of publication not identified]: </w:t>
      </w:r>
      <w:proofErr w:type="spellStart"/>
      <w:r w:rsidRPr="3B25E3AA" w:rsidR="3B25E3AA">
        <w:rPr>
          <w:rFonts w:ascii="Times New Roman" w:hAnsi="Times New Roman" w:eastAsia="Times New Roman" w:cs="Times New Roman"/>
          <w:noProof w:val="0"/>
          <w:color w:val="666666"/>
          <w:sz w:val="19"/>
          <w:szCs w:val="19"/>
          <w:lang w:val="en-GB"/>
        </w:rPr>
        <w:t>Univ</w:t>
      </w:r>
      <w:proofErr w:type="spellEnd"/>
      <w:r w:rsidRPr="3B25E3AA" w:rsidR="3B25E3AA">
        <w:rPr>
          <w:rFonts w:ascii="Times New Roman" w:hAnsi="Times New Roman" w:eastAsia="Times New Roman" w:cs="Times New Roman"/>
          <w:noProof w:val="0"/>
          <w:color w:val="666666"/>
          <w:sz w:val="19"/>
          <w:szCs w:val="19"/>
          <w:lang w:val="en-GB"/>
        </w:rPr>
        <w:t xml:space="preserve"> Of Texas Press.</w:t>
      </w:r>
    </w:p>
    <w:p w:rsidR="3B25E3AA" w:rsidP="3B25E3AA" w:rsidRDefault="3B25E3AA" w14:paraId="4597882D" w14:textId="68E45CBF">
      <w:pPr>
        <w:pStyle w:val="Normal"/>
        <w:rPr>
          <w:rFonts w:ascii="Times New Roman" w:hAnsi="Times New Roman" w:eastAsia="Times New Roman" w:cs="Times New Roman"/>
          <w:noProof w:val="0"/>
          <w:color w:val="666666"/>
          <w:sz w:val="19"/>
          <w:szCs w:val="19"/>
          <w:lang w:val="en-GB"/>
        </w:rPr>
      </w:pPr>
    </w:p>
    <w:p w:rsidR="3B25E3AA" w:rsidP="3B25E3AA" w:rsidRDefault="3B25E3AA" w14:noSpellErr="1" w14:paraId="167EC9ED" w14:textId="6CD3D0E0">
      <w:pPr>
        <w:pStyle w:val="Normal"/>
      </w:pPr>
      <w:r w:rsidRPr="3B25E3AA" w:rsidR="3B25E3AA">
        <w:rPr>
          <w:rFonts w:ascii="Times New Roman" w:hAnsi="Times New Roman" w:eastAsia="Times New Roman" w:cs="Times New Roman"/>
          <w:noProof w:val="0"/>
          <w:color w:val="666666"/>
          <w:sz w:val="19"/>
          <w:szCs w:val="19"/>
          <w:lang w:val="en-GB"/>
        </w:rPr>
        <w:t xml:space="preserve">Monasticwales.org. (2018). </w:t>
      </w:r>
      <w:r w:rsidRPr="3B25E3AA" w:rsidR="3B25E3AA">
        <w:rPr>
          <w:rFonts w:ascii="Times New Roman" w:hAnsi="Times New Roman" w:eastAsia="Times New Roman" w:cs="Times New Roman"/>
          <w:i w:val="1"/>
          <w:iCs w:val="1"/>
          <w:noProof w:val="0"/>
          <w:color w:val="666666"/>
          <w:sz w:val="19"/>
          <w:szCs w:val="19"/>
          <w:lang w:val="en-GB"/>
        </w:rPr>
        <w:t>Site details: Monmouth - Monastic Wales - A Comprehensive Database of Sites and Sources</w:t>
      </w:r>
      <w:r w:rsidRPr="3B25E3AA" w:rsidR="3B25E3AA">
        <w:rPr>
          <w:rFonts w:ascii="Times New Roman" w:hAnsi="Times New Roman" w:eastAsia="Times New Roman" w:cs="Times New Roman"/>
          <w:noProof w:val="0"/>
          <w:color w:val="666666"/>
          <w:sz w:val="19"/>
          <w:szCs w:val="19"/>
          <w:lang w:val="en-GB"/>
        </w:rPr>
        <w:t>. [online] Available at: http://www.monasticwales.org/browsedb.php?func=showsite&amp;siteID=9 [Accessed 26 Sep. 2018].</w:t>
      </w:r>
    </w:p>
    <w:p w:rsidR="3B25E3AA" w:rsidP="3B25E3AA" w:rsidRDefault="3B25E3AA" w14:noSpellErr="1" w14:paraId="334A09D8" w14:textId="106E9739">
      <w:pPr>
        <w:pStyle w:val="Normal"/>
        <w:rPr>
          <w:rFonts w:ascii="Times New Roman" w:hAnsi="Times New Roman" w:eastAsia="Times New Roman" w:cs="Times New Roman"/>
          <w:noProof w:val="0"/>
          <w:color w:val="666666"/>
          <w:sz w:val="19"/>
          <w:szCs w:val="19"/>
          <w:lang w:val="en-GB"/>
        </w:rPr>
      </w:pPr>
    </w:p>
    <w:p w:rsidR="3B25E3AA" w:rsidP="3B25E3AA" w:rsidRDefault="3B25E3AA" w14:noSpellErr="1" w14:paraId="65E936A5" w14:textId="75B7DDC0">
      <w:pPr>
        <w:pStyle w:val="Normal"/>
      </w:pPr>
      <w:r w:rsidRPr="3B25E3AA" w:rsidR="3B25E3AA">
        <w:rPr>
          <w:rFonts w:ascii="Times New Roman" w:hAnsi="Times New Roman" w:eastAsia="Times New Roman" w:cs="Times New Roman"/>
          <w:noProof w:val="0"/>
          <w:color w:val="666666"/>
          <w:sz w:val="19"/>
          <w:szCs w:val="19"/>
          <w:lang w:val="en-GB"/>
        </w:rPr>
        <w:t xml:space="preserve">Walker, D. (2003). </w:t>
      </w:r>
      <w:r w:rsidRPr="3B25E3AA" w:rsidR="3B25E3AA">
        <w:rPr>
          <w:rFonts w:ascii="Times New Roman" w:hAnsi="Times New Roman" w:eastAsia="Times New Roman" w:cs="Times New Roman"/>
          <w:i w:val="1"/>
          <w:iCs w:val="1"/>
          <w:noProof w:val="0"/>
          <w:color w:val="666666"/>
          <w:sz w:val="19"/>
          <w:szCs w:val="19"/>
          <w:lang w:val="en-GB"/>
        </w:rPr>
        <w:t>Medieval Wales</w:t>
      </w:r>
      <w:r w:rsidRPr="3B25E3AA" w:rsidR="3B25E3AA">
        <w:rPr>
          <w:rFonts w:ascii="Times New Roman" w:hAnsi="Times New Roman" w:eastAsia="Times New Roman" w:cs="Times New Roman"/>
          <w:noProof w:val="0"/>
          <w:color w:val="666666"/>
          <w:sz w:val="19"/>
          <w:szCs w:val="19"/>
          <w:lang w:val="en-GB"/>
        </w:rPr>
        <w:t>. Cambridge [England]: Cambridge University Press.</w:t>
      </w:r>
    </w:p>
    <w:p w:rsidR="3B25E3AA" w:rsidP="3B25E3AA" w:rsidRDefault="3B25E3AA" w14:noSpellErr="1" w14:paraId="3E09E896" w14:textId="2AA0183E">
      <w:pPr>
        <w:pStyle w:val="Normal"/>
        <w:rPr>
          <w:rFonts w:ascii="Times New Roman" w:hAnsi="Times New Roman" w:eastAsia="Times New Roman" w:cs="Times New Roman"/>
          <w:noProof w:val="0"/>
          <w:color w:val="666666"/>
          <w:sz w:val="19"/>
          <w:szCs w:val="19"/>
          <w:lang w:val="en-GB"/>
        </w:rPr>
      </w:pPr>
    </w:p>
    <w:p w:rsidR="3B25E3AA" w:rsidP="3B25E3AA" w:rsidRDefault="3B25E3AA" w14:noSpellErr="1" w14:paraId="071627F7" w14:textId="57BB7C62">
      <w:pPr>
        <w:pStyle w:val="Normal"/>
      </w:pPr>
      <w:r w:rsidRPr="3B25E3AA" w:rsidR="3B25E3AA">
        <w:rPr>
          <w:rFonts w:ascii="Times New Roman" w:hAnsi="Times New Roman" w:eastAsia="Times New Roman" w:cs="Times New Roman"/>
          <w:noProof w:val="0"/>
          <w:color w:val="666666"/>
          <w:sz w:val="19"/>
          <w:szCs w:val="19"/>
          <w:lang w:val="en-GB"/>
        </w:rPr>
        <w:t xml:space="preserve">Discovery.nationalarchives.gov.uk. (2018). </w:t>
      </w:r>
      <w:r w:rsidRPr="3B25E3AA" w:rsidR="3B25E3AA">
        <w:rPr>
          <w:rFonts w:ascii="Times New Roman" w:hAnsi="Times New Roman" w:eastAsia="Times New Roman" w:cs="Times New Roman"/>
          <w:i w:val="1"/>
          <w:iCs w:val="1"/>
          <w:noProof w:val="0"/>
          <w:color w:val="666666"/>
          <w:sz w:val="19"/>
          <w:szCs w:val="19"/>
          <w:lang w:val="en-GB"/>
        </w:rPr>
        <w:t>Walter de Laci with the consent of (Margaret his wife) to Saumur Abbey and Monmouth... | The National Archives</w:t>
      </w:r>
      <w:r w:rsidRPr="3B25E3AA" w:rsidR="3B25E3AA">
        <w:rPr>
          <w:rFonts w:ascii="Times New Roman" w:hAnsi="Times New Roman" w:eastAsia="Times New Roman" w:cs="Times New Roman"/>
          <w:noProof w:val="0"/>
          <w:color w:val="666666"/>
          <w:sz w:val="19"/>
          <w:szCs w:val="19"/>
          <w:lang w:val="en-GB"/>
        </w:rPr>
        <w:t>. [online] Available at: http://discovery.nationalarchives.gov.uk/details/record?catid=7545922&amp;catln=6 [Accessed 26 Sep. 2018].</w:t>
      </w:r>
    </w:p>
    <w:sectPr w:rsidR="002652F2">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14="http://schemas.microsoft.com/office/word/2010/wordml" xmlns:w="http://schemas.openxmlformats.org/wordprocessingml/2006/main">
  <w:footnote w:type="separator" w:id="-1">
    <w:p w:rsidR="4A68D0D5" w:rsidRDefault="4A68D0D5" w14:paraId="18751F26" w14:textId="6CFDE72A">
      <w:pPr>
        <w:spacing w:after="0" w:line="240" w:lineRule="auto"/>
      </w:pPr>
      <w:r>
        <w:separator/>
      </w:r>
    </w:p>
  </w:footnote>
  <w:footnote w:type="continuationSeparator" w:id="0">
    <w:p w:rsidR="4A68D0D5" w:rsidRDefault="4A68D0D5" w14:paraId="6E1C9540" w14:textId="06041E8A">
      <w:pPr>
        <w:spacing w:after="0" w:line="240" w:lineRule="auto"/>
      </w:pPr>
      <w:r>
        <w:continuationSeparator/>
      </w:r>
    </w:p>
  </w:footnote>
  <w:footnote w:id="12383">
    <w:p w:rsidR="4A68D0D5" w:rsidP="4A68D0D5" w:rsidRDefault="4A68D0D5" w14:noSpellErr="1" w14:paraId="00B737B5" w14:textId="6451BB13">
      <w:pPr>
        <w:pStyle w:val="FootnoteText"/>
        <w:bidi w:val="0"/>
      </w:pPr>
      <w:r w:rsidRPr="4A68D0D5">
        <w:rPr>
          <w:rStyle w:val="FootnoteReference"/>
        </w:rPr>
        <w:footnoteRef/>
      </w:r>
      <w:r w:rsidR="4A68D0D5">
        <w:rPr/>
        <w:t xml:space="preserve"> </w:t>
      </w:r>
      <w:r w:rsidRPr="4A68D0D5" w:rsidR="4A68D0D5">
        <w:rPr>
          <w:noProof w:val="0"/>
          <w:color w:val="666666"/>
          <w:sz w:val="19"/>
          <w:szCs w:val="19"/>
          <w:lang w:val="en-GB"/>
        </w:rPr>
        <w:t>(Monasticwales.org, 2018)</w:t>
      </w:r>
    </w:p>
  </w:footnote>
  <w:footnote w:id="1005">
    <w:p w:rsidR="4A68D0D5" w:rsidP="4A68D0D5" w:rsidRDefault="4A68D0D5" w14:noSpellErr="1" w14:paraId="6BF1CDED" w14:textId="1986482C">
      <w:pPr>
        <w:pStyle w:val="FootnoteText"/>
        <w:bidi w:val="0"/>
      </w:pPr>
      <w:r w:rsidRPr="4A68D0D5">
        <w:rPr>
          <w:rStyle w:val="FootnoteReference"/>
        </w:rPr>
        <w:footnoteRef/>
      </w:r>
      <w:r w:rsidR="4A68D0D5">
        <w:rPr/>
        <w:t xml:space="preserve"> </w:t>
      </w:r>
      <w:r w:rsidRPr="4A68D0D5" w:rsidR="4A68D0D5">
        <w:rPr>
          <w:noProof w:val="0"/>
          <w:color w:val="666666"/>
          <w:sz w:val="19"/>
          <w:szCs w:val="19"/>
          <w:lang w:val="en-GB"/>
        </w:rPr>
        <w:t xml:space="preserve">Benedict and Verheyen, B. (n.d.). </w:t>
      </w:r>
      <w:r w:rsidRPr="4A68D0D5" w:rsidR="4A68D0D5">
        <w:rPr>
          <w:i w:val="1"/>
          <w:iCs w:val="1"/>
          <w:noProof w:val="0"/>
          <w:color w:val="666666"/>
          <w:sz w:val="19"/>
          <w:szCs w:val="19"/>
          <w:lang w:val="en-GB"/>
        </w:rPr>
        <w:t>The holy rule of St. Benedict</w:t>
      </w:r>
      <w:r w:rsidRPr="4A68D0D5" w:rsidR="4A68D0D5">
        <w:rPr>
          <w:noProof w:val="0"/>
          <w:color w:val="666666"/>
          <w:sz w:val="19"/>
          <w:szCs w:val="19"/>
          <w:lang w:val="en-GB"/>
        </w:rPr>
        <w:t>.</w:t>
      </w:r>
    </w:p>
  </w:footnote>
  <w:footnote w:id="12452">
    <w:p w:rsidR="4A68D0D5" w:rsidP="4A68D0D5" w:rsidRDefault="4A68D0D5" w14:paraId="621D1175" w14:noSpellErr="1" w14:textId="0D560326">
      <w:pPr>
        <w:pStyle w:val="FootnoteText"/>
        <w:bidi w:val="0"/>
      </w:pPr>
      <w:r w:rsidRPr="4A68D0D5">
        <w:rPr>
          <w:rStyle w:val="FootnoteReference"/>
        </w:rPr>
        <w:footnoteRef/>
      </w:r>
      <w:r w:rsidRPr="3B25E3AA" w:rsidR="4A68D0D5">
        <w:rPr/>
        <w:t xml:space="preserve"> </w:t>
      </w:r>
      <w:r w:rsidRPr="4A68D0D5" w:rsidR="4A68D0D5">
        <w:rPr>
          <w:noProof w:val="0"/>
          <w:color w:val="666666"/>
          <w:sz w:val="19"/>
          <w:szCs w:val="19"/>
          <w:lang w:val="en-GB"/>
        </w:rPr>
        <w:t>(Clark, 2014)</w:t>
      </w:r>
      <w:r w:rsidRPr="4A68D0D5" w:rsidR="4A68D0D5">
        <w:rPr>
          <w:noProof w:val="0"/>
          <w:color w:val="666666"/>
          <w:sz w:val="19"/>
          <w:szCs w:val="19"/>
          <w:lang w:val="en-GB"/>
        </w:rPr>
        <w:t xml:space="preserve"> p131</w:t>
      </w:r>
    </w:p>
  </w:footnote>
  <w:footnote w:id="17642">
    <w:p w:rsidR="3B25E3AA" w:rsidP="3B25E3AA" w:rsidRDefault="3B25E3AA" w14:noSpellErr="1" w14:paraId="44E0CCE5" w14:textId="6292965F">
      <w:pPr>
        <w:pStyle w:val="FootnoteText"/>
        <w:bidi w:val="0"/>
      </w:pPr>
      <w:r w:rsidRPr="3B25E3AA">
        <w:rPr>
          <w:rStyle w:val="FootnoteReference"/>
        </w:rPr>
        <w:footnoteRef/>
      </w:r>
      <w:r w:rsidR="3B25E3AA">
        <w:rPr/>
        <w:t xml:space="preserve"> </w:t>
      </w:r>
      <w:r w:rsidRPr="3B25E3AA" w:rsidR="3B25E3AA">
        <w:rPr>
          <w:noProof w:val="0"/>
          <w:color w:val="666666"/>
          <w:sz w:val="19"/>
          <w:szCs w:val="19"/>
          <w:lang w:val="en-GB"/>
        </w:rPr>
        <w:t>(Burton and Stober, 2013) p165</w:t>
      </w:r>
    </w:p>
  </w:footnote>
  <w:footnote w:id="1927">
    <w:p w:rsidR="3B25E3AA" w:rsidP="3B25E3AA" w:rsidRDefault="3B25E3AA" w14:noSpellErr="1" w14:paraId="05324858" w14:textId="21728B32">
      <w:pPr>
        <w:pStyle w:val="FootnoteText"/>
        <w:bidi w:val="0"/>
      </w:pPr>
      <w:r w:rsidRPr="3B25E3AA">
        <w:rPr>
          <w:rStyle w:val="FootnoteReference"/>
        </w:rPr>
        <w:footnoteRef/>
      </w:r>
      <w:r w:rsidR="3B25E3AA">
        <w:rPr/>
        <w:t xml:space="preserve"> </w:t>
      </w:r>
      <w:r w:rsidRPr="3B25E3AA" w:rsidR="3B25E3AA">
        <w:rPr>
          <w:noProof w:val="0"/>
          <w:color w:val="666666"/>
          <w:sz w:val="19"/>
          <w:szCs w:val="19"/>
          <w:lang w:val="en-GB"/>
        </w:rPr>
        <w:t>(Heath, 2018)</w:t>
      </w:r>
    </w:p>
  </w:footnote>
  <w:footnote w:id="4174">
    <w:p w:rsidR="3B25E3AA" w:rsidP="3B25E3AA" w:rsidRDefault="3B25E3AA" w14:noSpellErr="1" w14:paraId="7C622C34" w14:textId="558C9771">
      <w:pPr>
        <w:pStyle w:val="FootnoteText"/>
        <w:bidi w:val="0"/>
      </w:pPr>
      <w:r w:rsidRPr="3B25E3AA">
        <w:rPr>
          <w:rStyle w:val="FootnoteReference"/>
        </w:rPr>
        <w:footnoteRef/>
      </w:r>
      <w:r w:rsidR="3B25E3AA">
        <w:rPr/>
        <w:t xml:space="preserve"> </w:t>
      </w:r>
      <w:r w:rsidRPr="3B25E3AA" w:rsidR="3B25E3AA">
        <w:rPr>
          <w:noProof w:val="0"/>
          <w:color w:val="666666"/>
          <w:sz w:val="19"/>
          <w:szCs w:val="19"/>
          <w:lang w:val="en-GB"/>
        </w:rPr>
        <w:t>(Nelson, 2012)</w:t>
      </w:r>
    </w:p>
  </w:footnote>
  <w:footnote w:id="26588">
    <w:p w:rsidR="3B25E3AA" w:rsidP="3B25E3AA" w:rsidRDefault="3B25E3AA" w14:noSpellErr="1" w14:paraId="20A2F740" w14:textId="1268E586">
      <w:pPr>
        <w:pStyle w:val="FootnoteText"/>
        <w:bidi w:val="0"/>
      </w:pPr>
      <w:r w:rsidRPr="3B25E3AA">
        <w:rPr>
          <w:rStyle w:val="FootnoteReference"/>
        </w:rPr>
        <w:footnoteRef/>
      </w:r>
      <w:r w:rsidR="3B25E3AA">
        <w:rPr/>
        <w:t xml:space="preserve"> </w:t>
      </w:r>
      <w:r w:rsidRPr="3B25E3AA" w:rsidR="3B25E3AA">
        <w:rPr>
          <w:noProof w:val="0"/>
          <w:color w:val="666666"/>
          <w:sz w:val="19"/>
          <w:szCs w:val="19"/>
          <w:lang w:val="en-GB"/>
        </w:rPr>
        <w:t>(Evans and Rhys, 1893)</w:t>
      </w:r>
    </w:p>
  </w:footnote>
  <w:footnote w:id="15468">
    <w:p w:rsidR="3B25E3AA" w:rsidP="3B25E3AA" w:rsidRDefault="3B25E3AA" w14:noSpellErr="1" w14:paraId="6AF1F86C" w14:textId="21728B32">
      <w:pPr>
        <w:pStyle w:val="FootnoteText"/>
        <w:bidi w:val="0"/>
      </w:pPr>
      <w:r w:rsidRPr="3B25E3AA">
        <w:rPr>
          <w:rStyle w:val="FootnoteReference"/>
        </w:rPr>
        <w:footnoteRef/>
      </w:r>
      <w:r w:rsidR="3B25E3AA">
        <w:rPr/>
        <w:t xml:space="preserve"> </w:t>
      </w:r>
      <w:r w:rsidRPr="3B25E3AA" w:rsidR="3B25E3AA">
        <w:rPr>
          <w:noProof w:val="0"/>
          <w:color w:val="666666"/>
          <w:sz w:val="19"/>
          <w:szCs w:val="19"/>
          <w:lang w:val="en-GB"/>
        </w:rPr>
        <w:t>(Heath, 2018)</w:t>
      </w:r>
    </w:p>
  </w:footnote>
  <w:footnote w:id="19918">
    <w:p w:rsidR="3B25E3AA" w:rsidP="3B25E3AA" w:rsidRDefault="3B25E3AA" w14:noSpellErr="1" w14:paraId="5C2D6F43" w14:textId="4E85A149">
      <w:pPr>
        <w:pStyle w:val="FootnoteText"/>
        <w:bidi w:val="0"/>
      </w:pPr>
      <w:r w:rsidRPr="3B25E3AA">
        <w:rPr>
          <w:rStyle w:val="FootnoteReference"/>
        </w:rPr>
        <w:footnoteRef/>
      </w:r>
      <w:r w:rsidR="3B25E3AA">
        <w:rPr/>
        <w:t xml:space="preserve"> </w:t>
      </w:r>
      <w:r w:rsidRPr="3B25E3AA" w:rsidR="3B25E3AA">
        <w:rPr>
          <w:noProof w:val="0"/>
          <w:color w:val="666666"/>
          <w:sz w:val="19"/>
          <w:szCs w:val="19"/>
          <w:lang w:val="en-GB"/>
        </w:rPr>
        <w:t>(Keats-Rohan, 1999)</w:t>
      </w:r>
    </w:p>
  </w:footnote>
  <w:footnote w:id="3630">
    <w:p w:rsidR="3B25E3AA" w:rsidP="3B25E3AA" w:rsidRDefault="3B25E3AA" w14:noSpellErr="1" w14:paraId="37DCAC8A" w14:textId="1B8DD785">
      <w:pPr>
        <w:pStyle w:val="FootnoteText"/>
        <w:bidi w:val="0"/>
      </w:pPr>
      <w:r w:rsidRPr="3B25E3AA">
        <w:rPr>
          <w:rStyle w:val="FootnoteReference"/>
        </w:rPr>
        <w:footnoteRef/>
      </w:r>
      <w:r w:rsidR="3B25E3AA">
        <w:rPr/>
        <w:t xml:space="preserve"> </w:t>
      </w:r>
      <w:r w:rsidRPr="3B25E3AA" w:rsidR="3B25E3AA">
        <w:rPr>
          <w:noProof w:val="0"/>
          <w:color w:val="666666"/>
          <w:sz w:val="19"/>
          <w:szCs w:val="19"/>
          <w:lang w:val="en-GB"/>
        </w:rPr>
        <w:t>(Monasticwales.org, 2018)</w:t>
      </w:r>
    </w:p>
  </w:footnote>
  <w:footnote w:id="17909">
    <w:p w:rsidR="3B25E3AA" w:rsidP="3B25E3AA" w:rsidRDefault="3B25E3AA" w14:noSpellErr="1" w14:paraId="499FEDE1" w14:textId="23D38281">
      <w:pPr>
        <w:pStyle w:val="FootnoteText"/>
        <w:bidi w:val="0"/>
      </w:pPr>
      <w:r w:rsidRPr="3B25E3AA">
        <w:rPr>
          <w:rStyle w:val="FootnoteReference"/>
        </w:rPr>
        <w:footnoteRef/>
      </w:r>
      <w:r w:rsidR="3B25E3AA">
        <w:rPr/>
        <w:t xml:space="preserve"> </w:t>
      </w:r>
      <w:r w:rsidRPr="3B25E3AA" w:rsidR="3B25E3AA">
        <w:rPr>
          <w:noProof w:val="0"/>
          <w:color w:val="666666"/>
          <w:sz w:val="19"/>
          <w:szCs w:val="19"/>
          <w:lang w:val="en-GB"/>
        </w:rPr>
        <w:t>(Evans and Rhys, 1893)</w:t>
      </w:r>
    </w:p>
  </w:footnote>
  <w:footnote w:id="5805">
    <w:p w:rsidR="3B25E3AA" w:rsidP="3B25E3AA" w:rsidRDefault="3B25E3AA" w14:noSpellErr="1" w14:paraId="4C068E50" w14:textId="4AE90A27">
      <w:pPr>
        <w:pStyle w:val="FootnoteText"/>
        <w:bidi w:val="0"/>
      </w:pPr>
      <w:r w:rsidRPr="3B25E3AA">
        <w:rPr>
          <w:rStyle w:val="FootnoteReference"/>
        </w:rPr>
        <w:footnoteRef/>
      </w:r>
      <w:r w:rsidR="3B25E3AA">
        <w:rPr/>
        <w:t xml:space="preserve"> </w:t>
      </w:r>
      <w:r w:rsidRPr="3B25E3AA" w:rsidR="3B25E3AA">
        <w:rPr>
          <w:noProof w:val="0"/>
          <w:color w:val="666666"/>
          <w:sz w:val="19"/>
          <w:szCs w:val="19"/>
          <w:lang w:val="en-GB"/>
        </w:rPr>
        <w:t>(Evans and Rhys, 1893)</w:t>
      </w:r>
    </w:p>
  </w:footnote>
  <w:footnote w:id="29646">
    <w:p w:rsidR="3B25E3AA" w:rsidP="3B25E3AA" w:rsidRDefault="3B25E3AA" w14:paraId="1E56F150" w14:textId="345330DE">
      <w:pPr>
        <w:pStyle w:val="FootnoteText"/>
        <w:bidi w:val="0"/>
      </w:pPr>
      <w:r w:rsidRPr="3B25E3AA">
        <w:rPr>
          <w:rStyle w:val="FootnoteReference"/>
        </w:rPr>
        <w:footnoteRef/>
      </w:r>
      <w:r w:rsidR="3B25E3AA">
        <w:rPr/>
        <w:t xml:space="preserve"> </w:t>
      </w:r>
      <w:r w:rsidRPr="3B25E3AA" w:rsidR="3B25E3AA">
        <w:rPr>
          <w:noProof w:val="0"/>
          <w:color w:val="666666"/>
          <w:sz w:val="19"/>
          <w:szCs w:val="19"/>
          <w:lang w:val="en-GB"/>
        </w:rPr>
        <w:t>(Discovery.nationalarchives.gov.</w:t>
      </w:r>
      <w:proofErr w:type="spellStart"/>
      <w:r w:rsidRPr="3B25E3AA" w:rsidR="3B25E3AA">
        <w:rPr>
          <w:noProof w:val="0"/>
          <w:color w:val="666666"/>
          <w:sz w:val="19"/>
          <w:szCs w:val="19"/>
          <w:lang w:val="en-GB"/>
        </w:rPr>
        <w:t>uk</w:t>
      </w:r>
      <w:proofErr w:type="spellEnd"/>
      <w:r w:rsidRPr="3B25E3AA" w:rsidR="3B25E3AA">
        <w:rPr>
          <w:noProof w:val="0"/>
          <w:color w:val="666666"/>
          <w:sz w:val="19"/>
          <w:szCs w:val="19"/>
          <w:lang w:val="en-GB"/>
        </w:rPr>
        <w:t>, 2018)</w:t>
      </w:r>
    </w:p>
  </w:footnote>
  <w:footnote w:id="10935">
    <w:p w:rsidR="3B25E3AA" w:rsidP="3B25E3AA" w:rsidRDefault="3B25E3AA" w14:noSpellErr="1" w14:paraId="5F45C411" w14:textId="4177AA40">
      <w:pPr>
        <w:pStyle w:val="FootnoteText"/>
        <w:bidi w:val="0"/>
        <w:rPr>
          <w:rFonts w:ascii="Helvetica" w:hAnsi="Helvetica" w:eastAsia="Helvetica" w:cs="Helvetica"/>
          <w:noProof w:val="0"/>
          <w:sz w:val="19"/>
          <w:szCs w:val="19"/>
          <w:lang w:val="en-GB"/>
        </w:rPr>
      </w:pPr>
      <w:r w:rsidRPr="3B25E3AA">
        <w:rPr>
          <w:rStyle w:val="FootnoteReference"/>
        </w:rPr>
        <w:footnoteRef/>
      </w:r>
      <w:r w:rsidR="3B25E3AA">
        <w:rPr/>
        <w:t xml:space="preserve"> </w:t>
      </w:r>
      <w:r w:rsidRPr="3B25E3AA" w:rsidR="3B25E3AA">
        <w:rPr>
          <w:rFonts w:ascii="Helvetica" w:hAnsi="Helvetica" w:eastAsia="Helvetica" w:cs="Helvetica"/>
          <w:noProof w:val="0"/>
          <w:sz w:val="19"/>
          <w:szCs w:val="19"/>
          <w:lang w:val="en-GB"/>
        </w:rPr>
        <w:t>J. Harrison</w:t>
      </w:r>
    </w:p>
  </w:footnote>
  <w:footnote w:id="24105">
    <w:p w:rsidR="3B25E3AA" w:rsidP="3B25E3AA" w:rsidRDefault="3B25E3AA" w14:noSpellErr="1" w14:paraId="60AB4DDD" w14:textId="755C1143">
      <w:pPr>
        <w:pStyle w:val="FootnoteText"/>
        <w:bidi w:val="0"/>
      </w:pPr>
      <w:r w:rsidRPr="3B25E3AA">
        <w:rPr>
          <w:rStyle w:val="FootnoteReference"/>
        </w:rPr>
        <w:footnoteRef/>
      </w:r>
      <w:r w:rsidR="3B25E3AA">
        <w:rPr/>
        <w:t xml:space="preserve"> </w:t>
      </w:r>
      <w:r w:rsidRPr="3B25E3AA" w:rsidR="3B25E3AA">
        <w:rPr>
          <w:noProof w:val="0"/>
          <w:color w:val="666666"/>
          <w:sz w:val="19"/>
          <w:szCs w:val="19"/>
          <w:lang w:val="en-GB"/>
        </w:rPr>
        <w:t>(Walker, 2003) pp. 2</w:t>
      </w:r>
      <w:r w:rsidRPr="3B25E3AA" w:rsidR="3B25E3AA">
        <w:rPr>
          <w:noProof w:val="0"/>
          <w:color w:val="666666"/>
          <w:sz w:val="19"/>
          <w:szCs w:val="19"/>
          <w:lang w:val="en-GB"/>
        </w:rPr>
        <w:t>29-230</w:t>
      </w:r>
    </w:p>
  </w:footnote>
  <w:footnote w:id="17694">
    <w:p w:rsidR="3B25E3AA" w:rsidP="3B25E3AA" w:rsidRDefault="3B25E3AA" w14:noSpellErr="1" w14:paraId="7F5B21E5" w14:textId="78C12F17">
      <w:pPr>
        <w:pStyle w:val="FootnoteText"/>
        <w:bidi w:val="0"/>
      </w:pPr>
      <w:r w:rsidRPr="3B25E3AA">
        <w:rPr>
          <w:rStyle w:val="FootnoteReference"/>
        </w:rPr>
        <w:footnoteRef/>
      </w:r>
      <w:r w:rsidR="3B25E3AA">
        <w:rPr/>
        <w:t xml:space="preserve"> </w:t>
      </w:r>
      <w:r w:rsidRPr="3B25E3AA" w:rsidR="3B25E3AA">
        <w:rPr>
          <w:noProof w:val="0"/>
          <w:color w:val="666666"/>
          <w:sz w:val="19"/>
          <w:szCs w:val="19"/>
          <w:lang w:val="en-GB"/>
        </w:rPr>
        <w:t>(Walker, 2003)</w:t>
      </w:r>
    </w:p>
  </w:footnote>
  <w:footnote w:id="6659">
    <w:p w:rsidR="4A7995C3" w:rsidP="4A7995C3" w:rsidRDefault="4A7995C3" w14:noSpellErr="1" w14:paraId="6B8A8C5D" w14:textId="666F034C">
      <w:pPr>
        <w:pStyle w:val="FootnoteText"/>
        <w:bidi w:val="0"/>
      </w:pPr>
      <w:r w:rsidRPr="4A7995C3">
        <w:rPr>
          <w:rStyle w:val="FootnoteReference"/>
        </w:rPr>
        <w:footnoteRef/>
      </w:r>
      <w:r w:rsidR="4A7995C3">
        <w:rPr/>
        <w:t xml:space="preserve"> Monastic Wales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69371DE"/>
    <w:multiLevelType w:val="hybridMultilevel"/>
    <w:tmpl w:val="4FCA7A72"/>
    <w:lvl w:ilvl="0">
      <w:start w:val="1"/>
      <w:numFmt w:val="decimal"/>
      <w:lvlText w:val="%1"/>
      <w:lvlJc w:val="left"/>
      <w:pPr>
        <w:ind w:left="720" w:hanging="360"/>
      </w:pPr>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52F2"/>
    <w:rsid w:val="002652F2"/>
    <w:rsid w:val="3B25E3AA"/>
    <w:rsid w:val="4A68D0D5"/>
    <w:rsid w:val="4A799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DDAAA"/>
  <w15:chartTrackingRefBased/>
  <w15:docId w15:val="{C9BE5815-13EA-4AF8-909A-963B64C0943E}"/>
  <w:footnotePr>
    <w:footnote w:id="-1"/>
    <w:footnote w:id="0"/>
  </w:footnotePr>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2652F2"/>
    <w:pPr>
      <w:spacing w:after="0" w:line="240" w:lineRule="auto"/>
    </w:pPr>
    <w:rPr>
      <w:rFonts w:ascii="Times New Roman" w:hAnsi="Times New Roman" w:eastAsia="Times New Roman" w:cs="Times New Roman"/>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rsid w:val="002652F2"/>
    <w:rPr>
      <w:color w:val="0000FF"/>
      <w:u w:val="single"/>
    </w:rPr>
  </w:style>
  <w:style w:type="character" w:styleId="FollowedHyperlink">
    <w:name w:val="FollowedHyperlink"/>
    <w:basedOn w:val="DefaultParagraphFont"/>
    <w:uiPriority w:val="99"/>
    <w:semiHidden/>
    <w:unhideWhenUsed/>
    <w:rsid w:val="002652F2"/>
    <w:rPr>
      <w:color w:val="954F72" w:themeColor="followedHyperlink"/>
      <w:u w:val="single"/>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footnotes" Target="/word/footnotes.xml" Id="R5c2e960d6d62405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 Blackham (1802365)</dc:creator>
  <keywords/>
  <dc:description/>
  <lastModifiedBy>Paul Blackham (1802365)</lastModifiedBy>
  <revision>4</revision>
  <dcterms:created xsi:type="dcterms:W3CDTF">2018-09-26T14:14:00.0000000Z</dcterms:created>
  <dcterms:modified xsi:type="dcterms:W3CDTF">2018-09-26T20:19:39.4087759Z</dcterms:modified>
</coreProperties>
</file>