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C3D3435" w:rsidR="007D1947" w:rsidRDefault="00D916D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w:t>
              </w:r>
              <w:r w:rsidR="006737F1">
                <w:rPr>
                  <w:rFonts w:asciiTheme="majorHAnsi" w:eastAsiaTheme="majorEastAsia" w:hAnsiTheme="majorHAnsi" w:cstheme="majorBidi"/>
                  <w:caps/>
                  <w:color w:val="5B9BD5" w:themeColor="accent1"/>
                  <w:sz w:val="72"/>
                  <w:szCs w:val="72"/>
                </w:rPr>
                <w:t>proaches 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E04073C" w:rsidR="007D1947" w:rsidRDefault="00740AAE">
              <w:pPr>
                <w:pStyle w:val="NoSpacing"/>
                <w:jc w:val="center"/>
                <w:rPr>
                  <w:color w:val="5B9BD5" w:themeColor="accent1"/>
                  <w:sz w:val="28"/>
                  <w:szCs w:val="28"/>
                </w:rPr>
              </w:pPr>
              <w:r>
                <w:rPr>
                  <w:color w:val="5B9BD5" w:themeColor="accent1"/>
                  <w:sz w:val="28"/>
                  <w:szCs w:val="28"/>
                </w:rPr>
                <w:t>Luke Huzzey-Evans 220</w:t>
              </w:r>
              <w:r w:rsidR="00097AED">
                <w:rPr>
                  <w:color w:val="5B9BD5" w:themeColor="accent1"/>
                  <w:sz w:val="28"/>
                  <w:szCs w:val="28"/>
                </w:rPr>
                <w:t>5835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1D4E6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D4E6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1C03A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C03A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685288"/>
          <w:r>
            <w:lastRenderedPageBreak/>
            <w:t>Executive Summary</w:t>
          </w:r>
          <w:bookmarkEnd w:id="0"/>
        </w:p>
        <w:p w14:paraId="5F54BFB6" w14:textId="00DF51E7" w:rsidR="001C03AB" w:rsidRPr="001C03AB" w:rsidRDefault="001C03AB" w:rsidP="001C03AB">
          <w:r w:rsidRPr="001C03AB">
            <w:t xml:space="preserve">Aston Martin Lagonda (AML), a globally recognised luxury automotive manufacturer, recently initiated significant organisational changes within its final assembly and off-track areas at the St Athan facility. This change aimed to address shifting </w:t>
          </w:r>
          <w:r w:rsidR="007742BD">
            <w:t xml:space="preserve">downward </w:t>
          </w:r>
          <w:r w:rsidRPr="001C03AB">
            <w:t>market demands, increased competition, and disruptions caused by global supply chain issues and the COVID-19 pandemic. AML sought to realign production volumes, optimise workforce management, and enhance manufacturing efficiency.</w:t>
          </w:r>
        </w:p>
        <w:p w14:paraId="514BA307" w14:textId="34CA5765" w:rsidR="001C03AB" w:rsidRPr="001C03AB" w:rsidRDefault="001C03AB" w:rsidP="001C03AB">
          <w:r w:rsidRPr="001C03AB">
            <w:t xml:space="preserve">AML’s approach was critically evaluated using established frameworks, including Lewin’s Force Field Analysis, Kotter’s Eight-Step Change Model, and the ADKAR model. While AML successfully identified the need for change and implemented several </w:t>
          </w:r>
          <w:r>
            <w:t>practical</w:t>
          </w:r>
          <w:r w:rsidRPr="001C03AB">
            <w:t xml:space="preserve"> operational improvements, multiple challenges emerged. Resistance to change, driven by concerns around job security, inadequate training, rigid workflows, and inconsistent communication from leadership, hindered complete success.</w:t>
          </w:r>
        </w:p>
        <w:p w14:paraId="5DBA2253" w14:textId="1DE49892" w:rsidR="001C03AB" w:rsidRPr="001C03AB" w:rsidRDefault="001C03AB" w:rsidP="001C03AB">
          <w:r w:rsidRPr="001C03AB">
            <w:t xml:space="preserve">Key recommendations include strengthening motivational strategies to tackle workforce resistance and enhance employee engagement, adopting iterative and flexible change management processes for greater adaptability, and introducing decisive transformational leadership at the director level </w:t>
          </w:r>
          <w:r>
            <w:t>to sustain and embed changes effectively</w:t>
          </w:r>
          <w:r w:rsidRPr="001C03AB">
            <w:t>. Implementing these strategic recommendations will enable AML to build greater resilience, achieve sustainable operational excellence, and maintain a competitive advantage within the dynamic automotive industry.</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15213261" w14:textId="77777777" w:rsidR="007D1947" w:rsidRDefault="007D1947"/>
        <w:p w14:paraId="7E852B1B" w14:textId="77777777" w:rsidR="001C03AB" w:rsidRDefault="001C03AB"/>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628DB9A" w14:textId="1E56D5CE" w:rsidR="001D4E6E"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685288" w:history="1">
                <w:r w:rsidR="001D4E6E" w:rsidRPr="00FF4CE7">
                  <w:rPr>
                    <w:rStyle w:val="Hyperlink"/>
                    <w:noProof/>
                  </w:rPr>
                  <w:t>Executive Summary</w:t>
                </w:r>
                <w:r w:rsidR="001D4E6E">
                  <w:rPr>
                    <w:noProof/>
                    <w:webHidden/>
                  </w:rPr>
                  <w:tab/>
                </w:r>
                <w:r w:rsidR="001D4E6E">
                  <w:rPr>
                    <w:noProof/>
                    <w:webHidden/>
                  </w:rPr>
                  <w:fldChar w:fldCharType="begin"/>
                </w:r>
                <w:r w:rsidR="001D4E6E">
                  <w:rPr>
                    <w:noProof/>
                    <w:webHidden/>
                  </w:rPr>
                  <w:instrText xml:space="preserve"> PAGEREF _Toc196685288 \h </w:instrText>
                </w:r>
                <w:r w:rsidR="001D4E6E">
                  <w:rPr>
                    <w:noProof/>
                    <w:webHidden/>
                  </w:rPr>
                </w:r>
                <w:r w:rsidR="001D4E6E">
                  <w:rPr>
                    <w:noProof/>
                    <w:webHidden/>
                  </w:rPr>
                  <w:fldChar w:fldCharType="separate"/>
                </w:r>
                <w:r w:rsidR="001D4E6E">
                  <w:rPr>
                    <w:noProof/>
                    <w:webHidden/>
                  </w:rPr>
                  <w:t>1</w:t>
                </w:r>
                <w:r w:rsidR="001D4E6E">
                  <w:rPr>
                    <w:noProof/>
                    <w:webHidden/>
                  </w:rPr>
                  <w:fldChar w:fldCharType="end"/>
                </w:r>
              </w:hyperlink>
            </w:p>
            <w:p w14:paraId="287D87CD" w14:textId="4BA7FA71" w:rsidR="001D4E6E" w:rsidRDefault="001D4E6E">
              <w:pPr>
                <w:pStyle w:val="TOC1"/>
                <w:tabs>
                  <w:tab w:val="right" w:leader="dot" w:pos="9016"/>
                </w:tabs>
                <w:rPr>
                  <w:rFonts w:eastAsiaTheme="minorEastAsia"/>
                  <w:noProof/>
                  <w:kern w:val="2"/>
                  <w:sz w:val="24"/>
                  <w:szCs w:val="24"/>
                  <w:lang w:eastAsia="en-GB"/>
                  <w14:ligatures w14:val="standardContextual"/>
                </w:rPr>
              </w:pPr>
              <w:hyperlink w:anchor="_Toc196685289" w:history="1">
                <w:r w:rsidRPr="00FF4CE7">
                  <w:rPr>
                    <w:rStyle w:val="Hyperlink"/>
                    <w:noProof/>
                  </w:rPr>
                  <w:t>Introduction</w:t>
                </w:r>
                <w:r>
                  <w:rPr>
                    <w:noProof/>
                    <w:webHidden/>
                  </w:rPr>
                  <w:tab/>
                </w:r>
                <w:r>
                  <w:rPr>
                    <w:noProof/>
                    <w:webHidden/>
                  </w:rPr>
                  <w:fldChar w:fldCharType="begin"/>
                </w:r>
                <w:r>
                  <w:rPr>
                    <w:noProof/>
                    <w:webHidden/>
                  </w:rPr>
                  <w:instrText xml:space="preserve"> PAGEREF _Toc196685289 \h </w:instrText>
                </w:r>
                <w:r>
                  <w:rPr>
                    <w:noProof/>
                    <w:webHidden/>
                  </w:rPr>
                </w:r>
                <w:r>
                  <w:rPr>
                    <w:noProof/>
                    <w:webHidden/>
                  </w:rPr>
                  <w:fldChar w:fldCharType="separate"/>
                </w:r>
                <w:r>
                  <w:rPr>
                    <w:noProof/>
                    <w:webHidden/>
                  </w:rPr>
                  <w:t>3</w:t>
                </w:r>
                <w:r>
                  <w:rPr>
                    <w:noProof/>
                    <w:webHidden/>
                  </w:rPr>
                  <w:fldChar w:fldCharType="end"/>
                </w:r>
              </w:hyperlink>
            </w:p>
            <w:p w14:paraId="72CF89AD" w14:textId="1FCD3B97" w:rsidR="001D4E6E" w:rsidRDefault="001D4E6E">
              <w:pPr>
                <w:pStyle w:val="TOC1"/>
                <w:tabs>
                  <w:tab w:val="right" w:leader="dot" w:pos="9016"/>
                </w:tabs>
                <w:rPr>
                  <w:rFonts w:eastAsiaTheme="minorEastAsia"/>
                  <w:noProof/>
                  <w:kern w:val="2"/>
                  <w:sz w:val="24"/>
                  <w:szCs w:val="24"/>
                  <w:lang w:eastAsia="en-GB"/>
                  <w14:ligatures w14:val="standardContextual"/>
                </w:rPr>
              </w:pPr>
              <w:hyperlink w:anchor="_Toc196685290" w:history="1">
                <w:r w:rsidRPr="00FF4CE7">
                  <w:rPr>
                    <w:rStyle w:val="Hyperlink"/>
                    <w:noProof/>
                  </w:rPr>
                  <w:t>Main Findings</w:t>
                </w:r>
                <w:r>
                  <w:rPr>
                    <w:noProof/>
                    <w:webHidden/>
                  </w:rPr>
                  <w:tab/>
                </w:r>
                <w:r>
                  <w:rPr>
                    <w:noProof/>
                    <w:webHidden/>
                  </w:rPr>
                  <w:fldChar w:fldCharType="begin"/>
                </w:r>
                <w:r>
                  <w:rPr>
                    <w:noProof/>
                    <w:webHidden/>
                  </w:rPr>
                  <w:instrText xml:space="preserve"> PAGEREF _Toc196685290 \h </w:instrText>
                </w:r>
                <w:r>
                  <w:rPr>
                    <w:noProof/>
                    <w:webHidden/>
                  </w:rPr>
                </w:r>
                <w:r>
                  <w:rPr>
                    <w:noProof/>
                    <w:webHidden/>
                  </w:rPr>
                  <w:fldChar w:fldCharType="separate"/>
                </w:r>
                <w:r>
                  <w:rPr>
                    <w:noProof/>
                    <w:webHidden/>
                  </w:rPr>
                  <w:t>4</w:t>
                </w:r>
                <w:r>
                  <w:rPr>
                    <w:noProof/>
                    <w:webHidden/>
                  </w:rPr>
                  <w:fldChar w:fldCharType="end"/>
                </w:r>
              </w:hyperlink>
            </w:p>
            <w:p w14:paraId="1EE1B99F" w14:textId="4437D318" w:rsidR="001D4E6E" w:rsidRDefault="001D4E6E">
              <w:pPr>
                <w:pStyle w:val="TOC2"/>
                <w:tabs>
                  <w:tab w:val="right" w:leader="dot" w:pos="9016"/>
                </w:tabs>
                <w:rPr>
                  <w:rFonts w:eastAsiaTheme="minorEastAsia"/>
                  <w:noProof/>
                  <w:kern w:val="2"/>
                  <w:sz w:val="24"/>
                  <w:szCs w:val="24"/>
                  <w:lang w:eastAsia="en-GB"/>
                  <w14:ligatures w14:val="standardContextual"/>
                </w:rPr>
              </w:pPr>
              <w:hyperlink w:anchor="_Toc196685291" w:history="1">
                <w:r w:rsidRPr="00FF4CE7">
                  <w:rPr>
                    <w:rStyle w:val="Hyperlink"/>
                    <w:noProof/>
                  </w:rPr>
                  <w:t>Overview of the Change</w:t>
                </w:r>
                <w:r>
                  <w:rPr>
                    <w:noProof/>
                    <w:webHidden/>
                  </w:rPr>
                  <w:tab/>
                </w:r>
                <w:r>
                  <w:rPr>
                    <w:noProof/>
                    <w:webHidden/>
                  </w:rPr>
                  <w:fldChar w:fldCharType="begin"/>
                </w:r>
                <w:r>
                  <w:rPr>
                    <w:noProof/>
                    <w:webHidden/>
                  </w:rPr>
                  <w:instrText xml:space="preserve"> PAGEREF _Toc196685291 \h </w:instrText>
                </w:r>
                <w:r>
                  <w:rPr>
                    <w:noProof/>
                    <w:webHidden/>
                  </w:rPr>
                </w:r>
                <w:r>
                  <w:rPr>
                    <w:noProof/>
                    <w:webHidden/>
                  </w:rPr>
                  <w:fldChar w:fldCharType="separate"/>
                </w:r>
                <w:r>
                  <w:rPr>
                    <w:noProof/>
                    <w:webHidden/>
                  </w:rPr>
                  <w:t>4</w:t>
                </w:r>
                <w:r>
                  <w:rPr>
                    <w:noProof/>
                    <w:webHidden/>
                  </w:rPr>
                  <w:fldChar w:fldCharType="end"/>
                </w:r>
              </w:hyperlink>
            </w:p>
            <w:p w14:paraId="549AC155" w14:textId="4D2B8172" w:rsidR="001D4E6E" w:rsidRDefault="001D4E6E">
              <w:pPr>
                <w:pStyle w:val="TOC2"/>
                <w:tabs>
                  <w:tab w:val="right" w:leader="dot" w:pos="9016"/>
                </w:tabs>
                <w:rPr>
                  <w:rFonts w:eastAsiaTheme="minorEastAsia"/>
                  <w:noProof/>
                  <w:kern w:val="2"/>
                  <w:sz w:val="24"/>
                  <w:szCs w:val="24"/>
                  <w:lang w:eastAsia="en-GB"/>
                  <w14:ligatures w14:val="standardContextual"/>
                </w:rPr>
              </w:pPr>
              <w:hyperlink w:anchor="_Toc196685292" w:history="1">
                <w:r w:rsidRPr="00FF4CE7">
                  <w:rPr>
                    <w:rStyle w:val="Hyperlink"/>
                    <w:noProof/>
                  </w:rPr>
                  <w:t>Lewin’s Force Field Analysis</w:t>
                </w:r>
                <w:r>
                  <w:rPr>
                    <w:noProof/>
                    <w:webHidden/>
                  </w:rPr>
                  <w:tab/>
                </w:r>
                <w:r>
                  <w:rPr>
                    <w:noProof/>
                    <w:webHidden/>
                  </w:rPr>
                  <w:fldChar w:fldCharType="begin"/>
                </w:r>
                <w:r>
                  <w:rPr>
                    <w:noProof/>
                    <w:webHidden/>
                  </w:rPr>
                  <w:instrText xml:space="preserve"> PAGEREF _Toc196685292 \h </w:instrText>
                </w:r>
                <w:r>
                  <w:rPr>
                    <w:noProof/>
                    <w:webHidden/>
                  </w:rPr>
                </w:r>
                <w:r>
                  <w:rPr>
                    <w:noProof/>
                    <w:webHidden/>
                  </w:rPr>
                  <w:fldChar w:fldCharType="separate"/>
                </w:r>
                <w:r>
                  <w:rPr>
                    <w:noProof/>
                    <w:webHidden/>
                  </w:rPr>
                  <w:t>4</w:t>
                </w:r>
                <w:r>
                  <w:rPr>
                    <w:noProof/>
                    <w:webHidden/>
                  </w:rPr>
                  <w:fldChar w:fldCharType="end"/>
                </w:r>
              </w:hyperlink>
            </w:p>
            <w:p w14:paraId="4FF7B90A" w14:textId="5F69255B" w:rsidR="001D4E6E" w:rsidRDefault="001D4E6E">
              <w:pPr>
                <w:pStyle w:val="TOC2"/>
                <w:tabs>
                  <w:tab w:val="right" w:leader="dot" w:pos="9016"/>
                </w:tabs>
                <w:rPr>
                  <w:rFonts w:eastAsiaTheme="minorEastAsia"/>
                  <w:noProof/>
                  <w:kern w:val="2"/>
                  <w:sz w:val="24"/>
                  <w:szCs w:val="24"/>
                  <w:lang w:eastAsia="en-GB"/>
                  <w14:ligatures w14:val="standardContextual"/>
                </w:rPr>
              </w:pPr>
              <w:hyperlink w:anchor="_Toc196685293" w:history="1">
                <w:r w:rsidRPr="00FF4CE7">
                  <w:rPr>
                    <w:rStyle w:val="Hyperlink"/>
                    <w:noProof/>
                  </w:rPr>
                  <w:t>Kotter’s Eight-Step Change Model Analysis</w:t>
                </w:r>
                <w:r>
                  <w:rPr>
                    <w:noProof/>
                    <w:webHidden/>
                  </w:rPr>
                  <w:tab/>
                </w:r>
                <w:r>
                  <w:rPr>
                    <w:noProof/>
                    <w:webHidden/>
                  </w:rPr>
                  <w:fldChar w:fldCharType="begin"/>
                </w:r>
                <w:r>
                  <w:rPr>
                    <w:noProof/>
                    <w:webHidden/>
                  </w:rPr>
                  <w:instrText xml:space="preserve"> PAGEREF _Toc196685293 \h </w:instrText>
                </w:r>
                <w:r>
                  <w:rPr>
                    <w:noProof/>
                    <w:webHidden/>
                  </w:rPr>
                </w:r>
                <w:r>
                  <w:rPr>
                    <w:noProof/>
                    <w:webHidden/>
                  </w:rPr>
                  <w:fldChar w:fldCharType="separate"/>
                </w:r>
                <w:r>
                  <w:rPr>
                    <w:noProof/>
                    <w:webHidden/>
                  </w:rPr>
                  <w:t>5</w:t>
                </w:r>
                <w:r>
                  <w:rPr>
                    <w:noProof/>
                    <w:webHidden/>
                  </w:rPr>
                  <w:fldChar w:fldCharType="end"/>
                </w:r>
              </w:hyperlink>
            </w:p>
            <w:p w14:paraId="6D828255" w14:textId="3EADA59B" w:rsidR="001D4E6E" w:rsidRDefault="001D4E6E">
              <w:pPr>
                <w:pStyle w:val="TOC2"/>
                <w:tabs>
                  <w:tab w:val="right" w:leader="dot" w:pos="9016"/>
                </w:tabs>
                <w:rPr>
                  <w:rFonts w:eastAsiaTheme="minorEastAsia"/>
                  <w:noProof/>
                  <w:kern w:val="2"/>
                  <w:sz w:val="24"/>
                  <w:szCs w:val="24"/>
                  <w:lang w:eastAsia="en-GB"/>
                  <w14:ligatures w14:val="standardContextual"/>
                </w:rPr>
              </w:pPr>
              <w:hyperlink w:anchor="_Toc196685294" w:history="1">
                <w:r w:rsidRPr="00FF4CE7">
                  <w:rPr>
                    <w:rStyle w:val="Hyperlink"/>
                    <w:noProof/>
                  </w:rPr>
                  <w:t>Additional Critical Evaluation: ADKAR Model</w:t>
                </w:r>
                <w:r>
                  <w:rPr>
                    <w:noProof/>
                    <w:webHidden/>
                  </w:rPr>
                  <w:tab/>
                </w:r>
                <w:r>
                  <w:rPr>
                    <w:noProof/>
                    <w:webHidden/>
                  </w:rPr>
                  <w:fldChar w:fldCharType="begin"/>
                </w:r>
                <w:r>
                  <w:rPr>
                    <w:noProof/>
                    <w:webHidden/>
                  </w:rPr>
                  <w:instrText xml:space="preserve"> PAGEREF _Toc196685294 \h </w:instrText>
                </w:r>
                <w:r>
                  <w:rPr>
                    <w:noProof/>
                    <w:webHidden/>
                  </w:rPr>
                </w:r>
                <w:r>
                  <w:rPr>
                    <w:noProof/>
                    <w:webHidden/>
                  </w:rPr>
                  <w:fldChar w:fldCharType="separate"/>
                </w:r>
                <w:r>
                  <w:rPr>
                    <w:noProof/>
                    <w:webHidden/>
                  </w:rPr>
                  <w:t>5</w:t>
                </w:r>
                <w:r>
                  <w:rPr>
                    <w:noProof/>
                    <w:webHidden/>
                  </w:rPr>
                  <w:fldChar w:fldCharType="end"/>
                </w:r>
              </w:hyperlink>
            </w:p>
            <w:p w14:paraId="42CEDE94" w14:textId="139E465C" w:rsidR="001D4E6E" w:rsidRDefault="001D4E6E">
              <w:pPr>
                <w:pStyle w:val="TOC2"/>
                <w:tabs>
                  <w:tab w:val="right" w:leader="dot" w:pos="9016"/>
                </w:tabs>
                <w:rPr>
                  <w:rFonts w:eastAsiaTheme="minorEastAsia"/>
                  <w:noProof/>
                  <w:kern w:val="2"/>
                  <w:sz w:val="24"/>
                  <w:szCs w:val="24"/>
                  <w:lang w:eastAsia="en-GB"/>
                  <w14:ligatures w14:val="standardContextual"/>
                </w:rPr>
              </w:pPr>
              <w:hyperlink w:anchor="_Toc196685295" w:history="1">
                <w:r w:rsidRPr="00FF4CE7">
                  <w:rPr>
                    <w:rStyle w:val="Hyperlink"/>
                    <w:noProof/>
                  </w:rPr>
                  <w:t>Case Study Comparison: Jaguar Land Rover</w:t>
                </w:r>
                <w:r>
                  <w:rPr>
                    <w:noProof/>
                    <w:webHidden/>
                  </w:rPr>
                  <w:tab/>
                </w:r>
                <w:r>
                  <w:rPr>
                    <w:noProof/>
                    <w:webHidden/>
                  </w:rPr>
                  <w:fldChar w:fldCharType="begin"/>
                </w:r>
                <w:r>
                  <w:rPr>
                    <w:noProof/>
                    <w:webHidden/>
                  </w:rPr>
                  <w:instrText xml:space="preserve"> PAGEREF _Toc196685295 \h </w:instrText>
                </w:r>
                <w:r>
                  <w:rPr>
                    <w:noProof/>
                    <w:webHidden/>
                  </w:rPr>
                </w:r>
                <w:r>
                  <w:rPr>
                    <w:noProof/>
                    <w:webHidden/>
                  </w:rPr>
                  <w:fldChar w:fldCharType="separate"/>
                </w:r>
                <w:r>
                  <w:rPr>
                    <w:noProof/>
                    <w:webHidden/>
                  </w:rPr>
                  <w:t>6</w:t>
                </w:r>
                <w:r>
                  <w:rPr>
                    <w:noProof/>
                    <w:webHidden/>
                  </w:rPr>
                  <w:fldChar w:fldCharType="end"/>
                </w:r>
              </w:hyperlink>
            </w:p>
            <w:p w14:paraId="153DBC98" w14:textId="29BF27B3" w:rsidR="001D4E6E" w:rsidRDefault="001D4E6E">
              <w:pPr>
                <w:pStyle w:val="TOC2"/>
                <w:tabs>
                  <w:tab w:val="right" w:leader="dot" w:pos="9016"/>
                </w:tabs>
                <w:rPr>
                  <w:rFonts w:eastAsiaTheme="minorEastAsia"/>
                  <w:noProof/>
                  <w:kern w:val="2"/>
                  <w:sz w:val="24"/>
                  <w:szCs w:val="24"/>
                  <w:lang w:eastAsia="en-GB"/>
                  <w14:ligatures w14:val="standardContextual"/>
                </w:rPr>
              </w:pPr>
              <w:hyperlink w:anchor="_Toc196685296" w:history="1">
                <w:r w:rsidRPr="00FF4CE7">
                  <w:rPr>
                    <w:rStyle w:val="Hyperlink"/>
                    <w:noProof/>
                  </w:rPr>
                  <w:t>Conclusion</w:t>
                </w:r>
                <w:r>
                  <w:rPr>
                    <w:noProof/>
                    <w:webHidden/>
                  </w:rPr>
                  <w:tab/>
                </w:r>
                <w:r>
                  <w:rPr>
                    <w:noProof/>
                    <w:webHidden/>
                  </w:rPr>
                  <w:fldChar w:fldCharType="begin"/>
                </w:r>
                <w:r>
                  <w:rPr>
                    <w:noProof/>
                    <w:webHidden/>
                  </w:rPr>
                  <w:instrText xml:space="preserve"> PAGEREF _Toc196685296 \h </w:instrText>
                </w:r>
                <w:r>
                  <w:rPr>
                    <w:noProof/>
                    <w:webHidden/>
                  </w:rPr>
                </w:r>
                <w:r>
                  <w:rPr>
                    <w:noProof/>
                    <w:webHidden/>
                  </w:rPr>
                  <w:fldChar w:fldCharType="separate"/>
                </w:r>
                <w:r>
                  <w:rPr>
                    <w:noProof/>
                    <w:webHidden/>
                  </w:rPr>
                  <w:t>7</w:t>
                </w:r>
                <w:r>
                  <w:rPr>
                    <w:noProof/>
                    <w:webHidden/>
                  </w:rPr>
                  <w:fldChar w:fldCharType="end"/>
                </w:r>
              </w:hyperlink>
            </w:p>
            <w:p w14:paraId="7C78CB1D" w14:textId="289FE24B" w:rsidR="001D4E6E" w:rsidRDefault="001D4E6E">
              <w:pPr>
                <w:pStyle w:val="TOC1"/>
                <w:tabs>
                  <w:tab w:val="right" w:leader="dot" w:pos="9016"/>
                </w:tabs>
                <w:rPr>
                  <w:rFonts w:eastAsiaTheme="minorEastAsia"/>
                  <w:noProof/>
                  <w:kern w:val="2"/>
                  <w:sz w:val="24"/>
                  <w:szCs w:val="24"/>
                  <w:lang w:eastAsia="en-GB"/>
                  <w14:ligatures w14:val="standardContextual"/>
                </w:rPr>
              </w:pPr>
              <w:hyperlink w:anchor="_Toc196685297" w:history="1">
                <w:r w:rsidRPr="00FF4CE7">
                  <w:rPr>
                    <w:rStyle w:val="Hyperlink"/>
                    <w:noProof/>
                  </w:rPr>
                  <w:t>Bibliography    -  needs linking to text</w:t>
                </w:r>
                <w:r>
                  <w:rPr>
                    <w:noProof/>
                    <w:webHidden/>
                  </w:rPr>
                  <w:tab/>
                </w:r>
                <w:r>
                  <w:rPr>
                    <w:noProof/>
                    <w:webHidden/>
                  </w:rPr>
                  <w:fldChar w:fldCharType="begin"/>
                </w:r>
                <w:r>
                  <w:rPr>
                    <w:noProof/>
                    <w:webHidden/>
                  </w:rPr>
                  <w:instrText xml:space="preserve"> PAGEREF _Toc196685297 \h </w:instrText>
                </w:r>
                <w:r>
                  <w:rPr>
                    <w:noProof/>
                    <w:webHidden/>
                  </w:rPr>
                </w:r>
                <w:r>
                  <w:rPr>
                    <w:noProof/>
                    <w:webHidden/>
                  </w:rPr>
                  <w:fldChar w:fldCharType="separate"/>
                </w:r>
                <w:r>
                  <w:rPr>
                    <w:noProof/>
                    <w:webHidden/>
                  </w:rPr>
                  <w:t>8</w:t>
                </w:r>
                <w:r>
                  <w:rPr>
                    <w:noProof/>
                    <w:webHidden/>
                  </w:rPr>
                  <w:fldChar w:fldCharType="end"/>
                </w:r>
              </w:hyperlink>
            </w:p>
            <w:p w14:paraId="05194699" w14:textId="411504B5" w:rsidR="007D1947" w:rsidRDefault="007D1947">
              <w:r>
                <w:rPr>
                  <w:b/>
                  <w:bCs/>
                  <w:noProof/>
                </w:rPr>
                <w:fldChar w:fldCharType="end"/>
              </w:r>
              <w:r w:rsidR="00097AED">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620A49C8" w14:textId="77777777" w:rsidR="0092168F" w:rsidRDefault="0092168F"/>
        <w:p w14:paraId="5CD1CE9F" w14:textId="77777777" w:rsidR="007D1947" w:rsidRDefault="007D1947"/>
        <w:p w14:paraId="77F0A10B" w14:textId="737D2056" w:rsidR="007D1947" w:rsidRDefault="007D1947"/>
        <w:p w14:paraId="40447D20" w14:textId="77777777" w:rsidR="00DF4C8D" w:rsidRDefault="00DF4C8D"/>
        <w:p w14:paraId="4F364781" w14:textId="77777777" w:rsidR="00DF4C8D" w:rsidRDefault="00DF4C8D"/>
        <w:p w14:paraId="283A92F8" w14:textId="77777777" w:rsidR="001C03AB" w:rsidRDefault="001C03AB"/>
        <w:p w14:paraId="0ED321E6" w14:textId="0F0FB166" w:rsidR="007D1947" w:rsidRDefault="007D1947" w:rsidP="00A12B58">
          <w:pPr>
            <w:pStyle w:val="Heading1"/>
          </w:pPr>
          <w:bookmarkStart w:id="1" w:name="_Toc196685289"/>
          <w:r>
            <w:t>Introduction</w:t>
          </w:r>
          <w:bookmarkEnd w:id="1"/>
          <w:r w:rsidR="00480872">
            <w:t xml:space="preserve"> </w:t>
          </w:r>
          <w:r w:rsidR="00E91208">
            <w:t xml:space="preserve"> </w:t>
          </w:r>
        </w:p>
        <w:p w14:paraId="1BF8EE9E" w14:textId="77777777" w:rsidR="008654BD" w:rsidRPr="007E517D" w:rsidRDefault="008654BD" w:rsidP="008654BD">
          <w:r w:rsidRPr="007E517D">
            <w:t>Organisational change is crucial for businesses to remain competitive and responsive to market demands, particularly in the dynamic automotive sector post-COVID-19. Aston Martin Lagonda (AML), a renowned luxury automotive manufacturer, recently undertook significant organisational change within its final assembly and off-track areas at its St Athan facility. Driven by shifting customer demand, heightened market competition, and supply chain disruptions, AML aimed to realign production volumes, optimise workforce deployment, and enhance manufacturing efficiency. Effective leadership and management practices were essential components in facilitating and sustaining this change. This report critically examines AML’s approach using established change management models, including Lewin’s Force Field Analysis (1951) and Kotter’s Eight-Step Change Model (1996), alongside complementary frameworks such as the ADKAR model, to evaluate the effectiveness of the implemented strategies and highlight potential areas for future improvements. Furthermore, this report provides comparative insights from industry peers and explores the sustainability and long-term impact of AML’s organisational changes.</w:t>
          </w: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1359F054" w14:textId="77777777" w:rsidR="004A11F6" w:rsidRDefault="004A11F6" w:rsidP="007D1947"/>
        <w:p w14:paraId="5F7901CC" w14:textId="77777777" w:rsidR="0092168F" w:rsidRDefault="0092168F" w:rsidP="007D1947"/>
        <w:p w14:paraId="77BA36E2" w14:textId="77777777" w:rsidR="0092168F" w:rsidRDefault="0092168F" w:rsidP="007D1947"/>
        <w:p w14:paraId="35F1A4FA" w14:textId="77777777" w:rsidR="0092168F" w:rsidRDefault="0092168F" w:rsidP="007D1947"/>
        <w:p w14:paraId="0F85AB4E" w14:textId="77777777" w:rsidR="0092168F" w:rsidRDefault="0092168F" w:rsidP="007D1947"/>
        <w:p w14:paraId="7F75D26A" w14:textId="77777777" w:rsidR="0085355A" w:rsidRDefault="0085355A" w:rsidP="007D1947"/>
        <w:p w14:paraId="7C657C89" w14:textId="77777777" w:rsidR="00AA2A91" w:rsidRDefault="00AA2A91" w:rsidP="004D519C"/>
        <w:p w14:paraId="09787FEF" w14:textId="77777777" w:rsidR="001C03AB" w:rsidRDefault="001C03AB" w:rsidP="004D519C"/>
        <w:p w14:paraId="28111119" w14:textId="33F8B598" w:rsidR="00DF4C8D" w:rsidRPr="00486FFF" w:rsidRDefault="00480872" w:rsidP="00FB609A">
          <w:pPr>
            <w:pStyle w:val="Heading1"/>
          </w:pPr>
          <w:bookmarkStart w:id="2" w:name="_Toc196685290"/>
          <w:r>
            <w:lastRenderedPageBreak/>
            <w:t xml:space="preserve">Main </w:t>
          </w:r>
          <w:r w:rsidRPr="008D4C45">
            <w:t>Findings</w:t>
          </w:r>
          <w:bookmarkEnd w:id="2"/>
        </w:p>
        <w:p w14:paraId="1BCE1A8F" w14:textId="77777777" w:rsidR="00FB609A" w:rsidRPr="00A337BF" w:rsidRDefault="00B207CD" w:rsidP="00A337BF">
          <w:pPr>
            <w:pStyle w:val="Heading2"/>
          </w:pPr>
          <w:bookmarkStart w:id="3" w:name="_Toc196685291"/>
          <w:r w:rsidRPr="00A337BF">
            <w:t>Overview of the Change</w:t>
          </w:r>
          <w:bookmarkEnd w:id="3"/>
        </w:p>
        <w:p w14:paraId="6A508272" w14:textId="23EB1BCE" w:rsidR="00F055C1" w:rsidRPr="00312A06" w:rsidRDefault="00F055C1" w:rsidP="00753B41">
          <w:r w:rsidRPr="00F055C1">
            <w:t xml:space="preserve">Aston Martin Lagonda (AML), globally recognised for producing luxury and high-performance vehicles, operates within the high-stakes luxury automotive market, competing with renowned brands such as Bentley and Porsche. In recent years, the post-pandemic landscape has significantly altered the dynamics of this sector, with additional complications arising from Brexit-related trade complexities and widespread global supply chain disruptions. These external pressures created a volatile operating environment, leading to fluctuating customer demands and an industry-wide shift in consumer preferences toward more sustainable and technologically advanced vehicles. As a result, AML faced intensified competition, eroding profitability margins, and increased operational uncertainties. Recent financial performance reports highlighted these pressures, indicating a need for decisive strategic realignment to maintain AML’s competitive positioning and market share. Consequently, AML initiated a comprehensive organisational change within its final assembly and off-track areas at the St Athan facility. This initiative sought to recalibrate production volumes, redistribute workforce capacity, and adjust takt times to align with evolving but more precise customer expectations (Global Market Insights, 2025). The strategy aimed to enhance production efficiency, operational flexibility, and workforce optimisation </w:t>
          </w:r>
          <w:r>
            <w:t>to meet these market demands better</w:t>
          </w:r>
          <w:r w:rsidRPr="00F055C1">
            <w:t>. However, despite accurately identifying these opportunities, AML encountered a series of significant implementation challenges. Chief among these were operational disruptions and considerable workforce resistance, fuelled by concerns surrounding job security and inflexible workflow processes. These internal barriers revealed the complexity of executing change initiatives within the context of a luxury manufacturing environment, where employee engagement, leadership communication, and cultural adaptation play critical roles in the success of organisational transformation.</w:t>
          </w:r>
        </w:p>
        <w:p w14:paraId="05CF1B62" w14:textId="4DBE9255" w:rsidR="000A1F76" w:rsidRPr="007E517D" w:rsidRDefault="000A1F76" w:rsidP="001208FE">
          <w:pPr>
            <w:pStyle w:val="Heading2"/>
          </w:pPr>
          <w:bookmarkStart w:id="4" w:name="_Toc196685292"/>
          <w:r w:rsidRPr="007E517D">
            <w:t>Lewin’s Force Field Analysis</w:t>
          </w:r>
          <w:bookmarkEnd w:id="4"/>
        </w:p>
        <w:p w14:paraId="7A087981" w14:textId="2A8F56DB" w:rsidR="00B15264" w:rsidRDefault="00B15264" w:rsidP="00235E5A">
          <w:r w:rsidRPr="00B15264">
            <w:t xml:space="preserve">Lewin’s Force Field Analysis (1951) offers a structured framework for evaluating the driving and resisting forces during organisational change, which was applied to assess AML’s recent initiatives. At AML, the driving forces comprised </w:t>
          </w:r>
          <w:r>
            <w:t>intense</w:t>
          </w:r>
          <w:r w:rsidRPr="00B15264">
            <w:t xml:space="preserve"> market pressures for flexibility and agility, technological advancements, clear leadership commitment at the operational level, and objectives aimed at enhancing quality and production efficiency</w:t>
          </w:r>
          <w:r w:rsidR="00235E5A">
            <w:t xml:space="preserve">. </w:t>
          </w:r>
          <w:r w:rsidRPr="00B15264">
            <w:t>Conversely, the resisting forces included employee concerns about job security, insufficient initial training, rigid workflow processes, and entrenched cultural norms resistant to altering established practices. While Lewin’s model provided a foundational perspective for understanding these dynamics, its static nature posed a key limitation. It failed to fully account for the evolving patterns of resistance encountered at AML, where initial fears around redundancy gradually shifted towards dissatisfaction with the quality of training programmes and long-standing process inefficiencies, which had not previously been prioritised by management due to a historic focus on achieving fixed production volumes per business quarter. Addressing these challenges necessitates reinforcing the driving forces through more dynamic strategies. Recommendations include enhancing communication efforts and delivering targeted employee development initiatives to strengthen engagement and reduce resistance. Furthermore, embedding proactive engagement mechanisms such as iterative feedback loops would enable AML to respond more effectively to emerging resistance throughout the change lifecycle, promoting a culture of continuous improvement (</w:t>
          </w:r>
          <w:proofErr w:type="spellStart"/>
          <w:r w:rsidRPr="00B15264">
            <w:t>IndustryWeek</w:t>
          </w:r>
          <w:proofErr w:type="spellEnd"/>
          <w:r w:rsidRPr="00B15264">
            <w:t>, 2025). These adaptive measures would overcome the limitations of Lewin’s original model by introducing the flexibility required in AML’s complex manufacturing environment</w:t>
          </w:r>
          <w:r w:rsidR="00235E5A">
            <w:t>.</w:t>
          </w:r>
        </w:p>
        <w:p w14:paraId="026D286E" w14:textId="0345DF2C" w:rsidR="000A1F76" w:rsidRPr="007E517D" w:rsidRDefault="000A1F76" w:rsidP="00A337BF">
          <w:pPr>
            <w:pStyle w:val="Heading2"/>
          </w:pPr>
          <w:bookmarkStart w:id="5" w:name="_Toc196685293"/>
          <w:proofErr w:type="spellStart"/>
          <w:r w:rsidRPr="007E517D">
            <w:lastRenderedPageBreak/>
            <w:t>Kotter’s</w:t>
          </w:r>
          <w:proofErr w:type="spellEnd"/>
          <w:r w:rsidRPr="007E517D">
            <w:t xml:space="preserve"> Eight-Step Change Model Analysis</w:t>
          </w:r>
          <w:bookmarkEnd w:id="5"/>
        </w:p>
        <w:p w14:paraId="316DC26B" w14:textId="6FB1CD5C" w:rsidR="000A1F76" w:rsidRPr="007E517D" w:rsidRDefault="00BD6B61" w:rsidP="000A1F76">
          <w:r w:rsidRPr="00BD6B61">
            <w:t xml:space="preserve">Kotter’s Eight-Step Change Model (1996) provided AML with a structured and sequential framework for managing its organisational change; however, its linear approach posed significant limitations within AML’s dynamic manufacturing context. While the creation of urgency was effectively achieved through management briefings that emphasised market pressures, director-level engagement was inconsistent, leading to decision-making delays and critical initiatives being managed from the bottom up rather than </w:t>
          </w:r>
          <w:r w:rsidR="00105FA6">
            <w:t>top down</w:t>
          </w:r>
          <w:r w:rsidRPr="00BD6B61">
            <w:t xml:space="preserve"> as intended (</w:t>
          </w:r>
          <w:proofErr w:type="spellStart"/>
          <w:r w:rsidRPr="00BD6B61">
            <w:t>Prosci</w:t>
          </w:r>
          <w:proofErr w:type="spellEnd"/>
          <w:r w:rsidRPr="00BD6B61">
            <w:t>, 2025). A guiding coalition was successfully established at operational levels, with multi-disciplinary teams collaborating across specified assembly areas</w:t>
          </w:r>
          <w:r w:rsidR="00105FA6">
            <w:t>. AML</w:t>
          </w:r>
          <w:r w:rsidRPr="00BD6B61">
            <w:t xml:space="preserve"> clearly articulated a vision focused on takt adherence, workforce efficiency, and quality improvements. This vision was communicated effectively to operational staff but lacked consistency at senior management and engineering levels, undermining empowerment initiatives and </w:t>
          </w:r>
          <w:r w:rsidR="00105FA6">
            <w:t>training effectiveness</w:t>
          </w:r>
          <w:r w:rsidRPr="00BD6B61">
            <w:t>. Employee empowerment was only partially realised, as insufficient initial training for new processes led to frustrations around rigid workflows, exacerbating workforce resistance. Short-term wins were achieved, such as reduced defect rates and improved first-time-right assembly outcomes at the end-of-line secure gates (</w:t>
          </w:r>
          <w:proofErr w:type="spellStart"/>
          <w:r w:rsidRPr="00BD6B61">
            <w:t>SafetyCulture</w:t>
          </w:r>
          <w:proofErr w:type="spellEnd"/>
          <w:r w:rsidRPr="00BD6B61">
            <w:t>, 2025). However, the consolidation of these gains was hindered by overlapping implementation phases, causing confusion and disrupting momentum. Anchoring these changes into AML’s organisational culture remains an ongoing challenge, requiring enhanced director-level transformational leadership to champion and sustain cultural shifts (Bass &amp; Riggio, 2006). Additionally, AML’s future success depends on embedding iterative and flexible approaches, such as agile project management and lean manufacturing principles, to enhance adaptability amidst unpredictable supply chain disruptions (Culture Partners, 2025). Workforce dynamics played a crucial role in the change process. Applying Maslow’s Hierarchy of Needs, employee resistance can be attributed to fundamental concerns such as job security and safety (basic needs), inadequate training (esteem needs), and the absence of clear career progression pathways (self-actualisation). While operational managers employing transformational leadership addressed esteem and self-actualisation needs by involving employees more actively in decision-making, director-level leadership remained largely transactional, focusing on compliance and productivity. This gap in leadership approach contributed to ongoing resistance and limited the overall effectiveness of the change. Further recommendations include structured employee engagement programmes designed to align individual goals with organisational objectives, enhance motivational outcomes, and foster a culture of continuous improvement, ensuring that employees are both engaged and empowered to contribute to the organisation’s long-term success</w:t>
          </w:r>
          <w:r w:rsidR="000A1F76" w:rsidRPr="007E517D">
            <w:t>.</w:t>
          </w:r>
        </w:p>
        <w:p w14:paraId="5AC85870" w14:textId="77777777" w:rsidR="000A1F76" w:rsidRPr="007E517D" w:rsidRDefault="000A1F76" w:rsidP="00A337BF">
          <w:pPr>
            <w:pStyle w:val="Heading2"/>
          </w:pPr>
          <w:bookmarkStart w:id="6" w:name="_Toc196685294"/>
          <w:r w:rsidRPr="007E517D">
            <w:t>Additional Critical Evaluation: ADKAR Model</w:t>
          </w:r>
          <w:bookmarkEnd w:id="6"/>
        </w:p>
        <w:p w14:paraId="15E4DF99" w14:textId="4FD14415" w:rsidR="00954A51" w:rsidRDefault="005B6282" w:rsidP="00235E5A">
          <w:r w:rsidRPr="005B6282">
            <w:t>The ADKAR model (Awareness, Desire, Knowledge, Ability, Reinforcement) developed by Hiatt (2006) provided additional insights into AML’s change management approach, complementing other models applied during the organisational change. While AML successfully raised awareness of the need for change through management briefings and communication sessions, the desire phase proved significantly more challenging. Employee fears regarding job security, combined with inconsistencies in initial communication strategies, weakened engagement and limited the enthusiasm required for change adoption (</w:t>
          </w:r>
          <w:proofErr w:type="spellStart"/>
          <w:r w:rsidRPr="005B6282">
            <w:t>Gagné</w:t>
          </w:r>
          <w:proofErr w:type="spellEnd"/>
          <w:r w:rsidRPr="005B6282">
            <w:t xml:space="preserve"> &amp; Deci, 2005). Knowledge transfer, another critical ADKAR component, was only partially effective due to training inadequacies and a lack of consistent empowerment measures. Rigid workflows and limited opportunities for hands-on practice further constrained employees' ability to perform under the new processes, particularly in an environment where agility and flexibility are paramount. Reinforcement, the final and essential stage for embedding change, was inconsistent across AML, as recognition systems and continuous feedback mechanisms were either underdeveloped or inconsistently applied. This lack of reinforcement risked </w:t>
          </w:r>
          <w:r w:rsidRPr="005B6282">
            <w:lastRenderedPageBreak/>
            <w:t xml:space="preserve">undermining the long-term sustainability of the organisational changes (McKinsey &amp; Company, 2024). Comparing ADKAR to Kotter’s Eight-Step Change Model highlighted AML’s need for a more flexible, person-centred approach that integrates reinforcement principles with agile change management strategies, ensuring rapid adaptation to evolving market and operational demands. Furthermore, assessing the sustainability of AML’s changes, the shift towards improved workforce efficiency and production quality demonstrates early promise. However, to </w:t>
          </w:r>
          <w:r w:rsidR="00105FA6">
            <w:t>fully embed these practices into AML’s organisational culture, the company must enhance director-level leadership engagement, implement robust continuous improvement initiatives, and develop resilience-building mechanisms to</w:t>
          </w:r>
          <w:r w:rsidRPr="005B6282">
            <w:t xml:space="preserve"> withstand future market disruptions. </w:t>
          </w:r>
          <w:r w:rsidR="00105FA6">
            <w:t>A</w:t>
          </w:r>
          <w:r w:rsidRPr="005B6282">
            <w:t xml:space="preserve"> strategic focus on sustainable manufacturing practices, including environmentally friendly production techniques and robust supply chain management, will further solidify AML’s competitive position within the luxury automotive sector (Culture Partners, 2025).</w:t>
          </w:r>
        </w:p>
        <w:p w14:paraId="63254540" w14:textId="4B444A58" w:rsidR="000A1F76" w:rsidRPr="00954A51" w:rsidRDefault="000A1F76" w:rsidP="00A337BF">
          <w:pPr>
            <w:pStyle w:val="Heading2"/>
            <w:rPr>
              <w:rFonts w:asciiTheme="minorHAnsi" w:eastAsiaTheme="minorHAnsi" w:hAnsiTheme="minorHAnsi" w:cstheme="minorBidi"/>
              <w:color w:val="auto"/>
              <w:sz w:val="22"/>
              <w:szCs w:val="22"/>
            </w:rPr>
          </w:pPr>
          <w:bookmarkStart w:id="7" w:name="_Toc196685295"/>
          <w:r w:rsidRPr="007E517D">
            <w:t xml:space="preserve">Case Study Comparison: Jaguar Land </w:t>
          </w:r>
          <w:commentRangeStart w:id="8"/>
          <w:r w:rsidRPr="007E517D">
            <w:t>Rover</w:t>
          </w:r>
          <w:commentRangeEnd w:id="8"/>
          <w:r w:rsidR="006764EE">
            <w:rPr>
              <w:rStyle w:val="CommentReference"/>
              <w:rFonts w:asciiTheme="minorHAnsi" w:eastAsiaTheme="minorHAnsi" w:hAnsiTheme="minorHAnsi" w:cstheme="minorBidi"/>
              <w:color w:val="auto"/>
            </w:rPr>
            <w:commentReference w:id="8"/>
          </w:r>
          <w:bookmarkEnd w:id="7"/>
        </w:p>
        <w:p w14:paraId="27DE8BD5" w14:textId="1DA9EFAA" w:rsidR="000A1F76" w:rsidRDefault="001A2283" w:rsidP="000A1F76">
          <w:r w:rsidRPr="001A2283">
            <w:t xml:space="preserve">Jaguar Land Rover (JLR) provides a relevant comparative case study for AML, having successfully navigated similar organisational changes within the luxury automotive sector in response to growing industry pressures. JLR’s approach centred around integrating flexible manufacturing processes, robust workforce management strategies, and, crucially, fostering a culture of continuous improvement (Culture Partners, 2025). A key element of JLR’s success was intensive early-stage employee involvement, ensuring that staff at all levels were engaged from the outset of the change process. This involvement was complemented by transparent communication strategies from senior leadership, which aligned organisational objectives with workforce expectations, reducing resistance and fostering a shared commitment to transformation. Additionally, JLR embedded rigorous continuous improvement frameworks that allowed for iterative adaptation to market and operational challenges, ensuring long-term sustainability. These practices offer valuable lessons for AML, where leadership engagement gaps and motivational </w:t>
          </w:r>
          <w:r>
            <w:t>difficulties</w:t>
          </w:r>
          <w:r w:rsidRPr="001A2283">
            <w:t xml:space="preserve"> have hindered the full effectiveness of recent change initiatives. By adopting JLR’s model of transparent leadership communication, proactive employee engagement, and iterative change management, AML can bridge these gaps and foster a stronger culture of empowerment and adaptability. Aligning director-level leadership more closely with operational initiatives will </w:t>
          </w:r>
          <w:r>
            <w:t>enhance engagement and</w:t>
          </w:r>
          <w:r w:rsidRPr="001A2283">
            <w:t xml:space="preserve"> ensure that strategic objectives are consistently translated into practical outcomes on the shop floor. This alignment is essential for AML to position itself competitively within the luxury automotive sector, particularly as the market continues to evolve toward </w:t>
          </w:r>
          <w:r>
            <w:t>more significant</w:t>
          </w:r>
          <w:r w:rsidRPr="001A2283">
            <w:t xml:space="preserve"> demand for agility, sustainability, and operational resilience</w:t>
          </w:r>
          <w:r w:rsidR="000A1F76" w:rsidRPr="007E517D">
            <w:t>.</w:t>
          </w:r>
        </w:p>
        <w:p w14:paraId="38ED67D4" w14:textId="77777777" w:rsidR="00235E5A" w:rsidRDefault="00235E5A" w:rsidP="000A1F76"/>
        <w:p w14:paraId="684DFEFD" w14:textId="77777777" w:rsidR="00235E5A" w:rsidRDefault="00235E5A" w:rsidP="000A1F76"/>
        <w:p w14:paraId="06736132" w14:textId="77777777" w:rsidR="00235E5A" w:rsidRDefault="00235E5A" w:rsidP="000A1F76"/>
        <w:p w14:paraId="0DBEE938" w14:textId="77777777" w:rsidR="00235E5A" w:rsidRDefault="00235E5A" w:rsidP="000A1F76"/>
        <w:p w14:paraId="2A8DAEE8" w14:textId="77777777" w:rsidR="00235E5A" w:rsidRDefault="00235E5A" w:rsidP="000A1F76"/>
        <w:p w14:paraId="672B7768" w14:textId="77777777" w:rsidR="00235E5A" w:rsidRDefault="00235E5A" w:rsidP="000A1F76"/>
        <w:p w14:paraId="2B9F273A" w14:textId="77777777" w:rsidR="00235E5A" w:rsidRPr="007E517D" w:rsidRDefault="00235E5A" w:rsidP="000A1F76"/>
        <w:p w14:paraId="1FA72D38" w14:textId="77777777" w:rsidR="000A1F76" w:rsidRPr="007E517D" w:rsidRDefault="000A1F76" w:rsidP="009B0CFA">
          <w:pPr>
            <w:pStyle w:val="Heading2"/>
          </w:pPr>
          <w:bookmarkStart w:id="9" w:name="_Toc196685296"/>
          <w:r w:rsidRPr="007E517D">
            <w:lastRenderedPageBreak/>
            <w:t>Conclusion</w:t>
          </w:r>
          <w:bookmarkEnd w:id="9"/>
        </w:p>
        <w:p w14:paraId="6B7E71B7" w14:textId="6FEBA568" w:rsidR="000A1F76" w:rsidRPr="007E517D" w:rsidRDefault="00105FA6" w:rsidP="000A1F76">
          <w:r w:rsidRPr="00105FA6">
            <w:t xml:space="preserve">In conclusion, Aston Martin Lagonda’s recent organisational change initiative has demonstrated partial success, addressing key post-pandemic market challenges and </w:t>
          </w:r>
          <w:r>
            <w:t>improving</w:t>
          </w:r>
          <w:r w:rsidRPr="00105FA6">
            <w:t xml:space="preserve"> production efficiency and workforce management. The application of established change management frameworks</w:t>
          </w:r>
          <w:r>
            <w:t xml:space="preserve">, Lewin’s Force Field Analysis, Kotter’s Eight-Step Model, and the ADKAR framework </w:t>
          </w:r>
          <w:r w:rsidRPr="00105FA6">
            <w:t xml:space="preserve">has provided valuable insights into the effectiveness of the change process and revealed critical areas for improvement. Despite these structured approaches, challenges such as inconsistent director-level leadership engagement, employee resistance driven by job security concerns, and inadequate training provisions limited the full potential of AML’s change outcomes. To sustain and enhance these improvements, AML must strengthen transformational leadership at the director level, ensuring that cultural shifts are effectively anchored and that strategic objectives are consistently cascaded throughout the organisation (Bass &amp; Riggio, 2006). Incorporating more iterative and flexible change management strategies, including agile methodologies and continuous improvement practices, will better position AML to adapt swiftly to dynamic market conditions and unforeseen operational disruptions (Culture Partners, 2025). Additionally, fostering a culture of employee engagement through structured development programmes, clear communication, and robust feedback loops will </w:t>
          </w:r>
          <w:r>
            <w:t>enhance</w:t>
          </w:r>
          <w:r w:rsidRPr="00105FA6">
            <w:t xml:space="preserve"> workforce resilience and motivation (</w:t>
          </w:r>
          <w:proofErr w:type="spellStart"/>
          <w:r w:rsidRPr="00105FA6">
            <w:t>Gagné</w:t>
          </w:r>
          <w:proofErr w:type="spellEnd"/>
          <w:r w:rsidRPr="00105FA6">
            <w:t xml:space="preserve"> &amp; Hewett, 2025). By integrating these recommendations, AML can achieve long-term operational excellence, ensure sustainability, and maintain a competitive edge within the evolving luxury automotive sector, securing the long-term success of its organisational change initiatives</w:t>
          </w:r>
          <w:r w:rsidR="00DC60BE">
            <w:t>.</w:t>
          </w:r>
        </w:p>
        <w:p w14:paraId="3C2C4E14" w14:textId="77777777" w:rsidR="00AA2A91" w:rsidRDefault="00AA2A91" w:rsidP="00AA2A91"/>
        <w:p w14:paraId="2A6C49C9" w14:textId="77777777" w:rsidR="00250709" w:rsidRDefault="00250709" w:rsidP="00AA2A91"/>
        <w:p w14:paraId="0F7655C6" w14:textId="77777777" w:rsidR="00250709" w:rsidRDefault="00250709" w:rsidP="00AA2A91"/>
        <w:p w14:paraId="65D8AAA2" w14:textId="77777777" w:rsidR="00DC60BE" w:rsidRDefault="00DC60BE" w:rsidP="00AA2A91"/>
        <w:p w14:paraId="4278731F" w14:textId="77777777" w:rsidR="00DC60BE" w:rsidRDefault="00DC60BE" w:rsidP="00AA2A91"/>
        <w:p w14:paraId="727D3399" w14:textId="77777777" w:rsidR="00DC60BE" w:rsidRDefault="00DC60BE" w:rsidP="00AA2A91"/>
        <w:p w14:paraId="01B7F4AE" w14:textId="77777777" w:rsidR="00DC60BE" w:rsidRDefault="00DC60BE" w:rsidP="00AA2A91"/>
        <w:p w14:paraId="0ABC39D3" w14:textId="77777777" w:rsidR="00AA2A91" w:rsidRDefault="00AA2A91" w:rsidP="00AA2A91"/>
        <w:p w14:paraId="38925A03" w14:textId="77777777" w:rsidR="00E36479" w:rsidRDefault="00E36479" w:rsidP="00AA2A91"/>
        <w:p w14:paraId="06B3161C" w14:textId="77777777" w:rsidR="00E36479" w:rsidRDefault="00E36479" w:rsidP="00AA2A91"/>
        <w:p w14:paraId="561E491B" w14:textId="77777777" w:rsidR="00E36479" w:rsidRDefault="00E36479" w:rsidP="00AA2A91"/>
        <w:p w14:paraId="63800DA3" w14:textId="77777777" w:rsidR="00E36479" w:rsidRDefault="00E36479" w:rsidP="00AA2A91"/>
        <w:p w14:paraId="60715AC7" w14:textId="77777777" w:rsidR="00E36479" w:rsidRDefault="00E36479" w:rsidP="00AA2A91"/>
        <w:p w14:paraId="5E526719" w14:textId="77777777" w:rsidR="00E36479" w:rsidRDefault="00E36479" w:rsidP="00AA2A91"/>
        <w:p w14:paraId="27D82021" w14:textId="77777777" w:rsidR="00E36479" w:rsidRDefault="00E36479" w:rsidP="00AA2A91"/>
        <w:p w14:paraId="6D7C4573" w14:textId="77777777" w:rsidR="005D2DEA" w:rsidRDefault="005D2DEA" w:rsidP="00AA2A91"/>
        <w:p w14:paraId="2EFD8E8F" w14:textId="76E15147" w:rsidR="00312A06" w:rsidRDefault="00AA2A91" w:rsidP="00312A06">
          <w:pPr>
            <w:pStyle w:val="Heading1"/>
          </w:pPr>
          <w:bookmarkStart w:id="10" w:name="_Toc196685297"/>
          <w:r>
            <w:lastRenderedPageBreak/>
            <w:t>Bibliography</w:t>
          </w:r>
          <w:r w:rsidR="00235E5A">
            <w:t xml:space="preserve">    </w:t>
          </w:r>
          <w:proofErr w:type="gramStart"/>
          <w:r w:rsidR="00235E5A">
            <w:t>-  needs</w:t>
          </w:r>
          <w:proofErr w:type="gramEnd"/>
          <w:r w:rsidR="00235E5A">
            <w:t xml:space="preserve"> linking to text</w:t>
          </w:r>
          <w:bookmarkEnd w:id="10"/>
        </w:p>
        <w:p w14:paraId="094D344E" w14:textId="23F9534E" w:rsidR="00312A06" w:rsidRPr="00312A06" w:rsidRDefault="001D4E6E" w:rsidP="00312A06"/>
      </w:sdtContent>
    </w:sdt>
    <w:p w14:paraId="2FFE880B" w14:textId="550704BA" w:rsidR="00312A06" w:rsidRDefault="00312A06" w:rsidP="00312A06">
      <w:pPr>
        <w:spacing w:line="278" w:lineRule="auto"/>
      </w:pPr>
      <w:r>
        <w:t xml:space="preserve">Bass, B.M. &amp; Riggio, R.E. (2006) Transformational Leadership. 2nd </w:t>
      </w:r>
      <w:proofErr w:type="spellStart"/>
      <w:r>
        <w:t>edn</w:t>
      </w:r>
      <w:proofErr w:type="spellEnd"/>
      <w:r>
        <w:t>. Mahwah, NJ: Lawrence Erlbaum Associates.</w:t>
      </w:r>
    </w:p>
    <w:p w14:paraId="52B5E80F" w14:textId="77777777" w:rsidR="00312A06" w:rsidRDefault="00312A06" w:rsidP="00312A06"/>
    <w:p w14:paraId="27946E07" w14:textId="77777777" w:rsidR="00312A06" w:rsidRDefault="00312A06" w:rsidP="00312A06">
      <w:r>
        <w:t>Culture Partners (2025) 'The Top 7 Change Management Models for Effective Organizational Change'. Available at: https://culturepartners.com/insights/the-top-7-change-management-models-for-effective-organizational-change/ (Accessed: 27 April 2025).</w:t>
      </w:r>
    </w:p>
    <w:p w14:paraId="044DCF93" w14:textId="77777777" w:rsidR="00312A06" w:rsidRDefault="00312A06" w:rsidP="00312A06"/>
    <w:p w14:paraId="3820E364" w14:textId="77777777" w:rsidR="00312A06" w:rsidRDefault="00312A06" w:rsidP="00312A06">
      <w:r>
        <w:t>Financial Times (2025) 'Happy managers = happy staff', 23 April. Available at: https://www.ft.com/content/87f39dc8-bb16-44e5-b80e-724b1bae67b8 (Accessed: 27 April 2025).</w:t>
      </w:r>
    </w:p>
    <w:p w14:paraId="60C03484" w14:textId="77777777" w:rsidR="00312A06" w:rsidRDefault="00312A06" w:rsidP="00312A06"/>
    <w:p w14:paraId="48AB86D7" w14:textId="77777777" w:rsidR="00312A06" w:rsidRDefault="00312A06" w:rsidP="00312A06">
      <w:r>
        <w:t>Financial Times (2025) 'US tariffs threaten lay-offs at UK's luxury car plants, industry warns', 22 April. Available at: https://www.ft.com/content/ba16a417-40b5-4751-bac1-b2f3916c4eca (Accessed: 27 April 2025).</w:t>
      </w:r>
    </w:p>
    <w:p w14:paraId="7760CC9B" w14:textId="77777777" w:rsidR="00312A06" w:rsidRDefault="00312A06" w:rsidP="00312A06"/>
    <w:p w14:paraId="579642BB" w14:textId="77777777" w:rsidR="00312A06" w:rsidRDefault="00312A06" w:rsidP="00312A06">
      <w:proofErr w:type="spellStart"/>
      <w:r>
        <w:t>Gagné</w:t>
      </w:r>
      <w:proofErr w:type="spellEnd"/>
      <w:r>
        <w:t xml:space="preserve">, M. &amp; Deci, E.L. (2005) 'Self-determination theory and work motivation', Journal of Organizational </w:t>
      </w:r>
      <w:proofErr w:type="spellStart"/>
      <w:r>
        <w:t>Behavior</w:t>
      </w:r>
      <w:proofErr w:type="spellEnd"/>
      <w:r>
        <w:t>, 26(4), pp. 331–362.</w:t>
      </w:r>
    </w:p>
    <w:p w14:paraId="3A8AD37B" w14:textId="77777777" w:rsidR="00312A06" w:rsidRDefault="00312A06" w:rsidP="00312A06"/>
    <w:p w14:paraId="7ADFDD76" w14:textId="77777777" w:rsidR="00312A06" w:rsidRDefault="00312A06" w:rsidP="00312A06">
      <w:proofErr w:type="spellStart"/>
      <w:r>
        <w:t>Gagné</w:t>
      </w:r>
      <w:proofErr w:type="spellEnd"/>
      <w:r>
        <w:t>, M. &amp; Hewett, R. (2025) 'What Leaders Get Wrong About Employee Motivation', MIT Sloan Management Review, 66(2), pp. 45–52.</w:t>
      </w:r>
    </w:p>
    <w:p w14:paraId="793FF884" w14:textId="77777777" w:rsidR="00312A06" w:rsidRDefault="00312A06" w:rsidP="00312A06"/>
    <w:p w14:paraId="262DDB83" w14:textId="77777777" w:rsidR="00312A06" w:rsidRDefault="00312A06" w:rsidP="00312A06">
      <w:r>
        <w:t>Global Market Insights (2025) 'Top 6 Challenges Faced by the Automotive Industry: The Post-COVID-19 Era'. Available at: https://www.gminsights.com/blogs/top-challenges-in-the-automotive-industry-pre-COVID (Accessed: 27 April 2025).</w:t>
      </w:r>
    </w:p>
    <w:p w14:paraId="484AF84C" w14:textId="77777777" w:rsidR="00312A06" w:rsidRDefault="00312A06" w:rsidP="00312A06"/>
    <w:p w14:paraId="7F244EED" w14:textId="77777777" w:rsidR="00312A06" w:rsidRDefault="00312A06" w:rsidP="00312A06">
      <w:r>
        <w:t xml:space="preserve">Hiatt, J.M. (2006) ADKAR: A Model for Change in Business, Government and our Community. Loveland, CO: </w:t>
      </w:r>
      <w:proofErr w:type="spellStart"/>
      <w:r>
        <w:t>Prosci</w:t>
      </w:r>
      <w:proofErr w:type="spellEnd"/>
      <w:r>
        <w:t xml:space="preserve"> Learning </w:t>
      </w:r>
      <w:proofErr w:type="spellStart"/>
      <w:r>
        <w:t>Center</w:t>
      </w:r>
      <w:proofErr w:type="spellEnd"/>
      <w:r>
        <w:t xml:space="preserve"> Publications.</w:t>
      </w:r>
    </w:p>
    <w:p w14:paraId="2EF4D9B4" w14:textId="77777777" w:rsidR="00312A06" w:rsidRDefault="00312A06" w:rsidP="00312A06"/>
    <w:p w14:paraId="02508EC2" w14:textId="77777777" w:rsidR="00312A06" w:rsidRDefault="00312A06" w:rsidP="00312A06">
      <w:proofErr w:type="spellStart"/>
      <w:r>
        <w:t>IndustryWeek</w:t>
      </w:r>
      <w:proofErr w:type="spellEnd"/>
      <w:r>
        <w:t xml:space="preserve"> (2025) 'Continuous Improvement'. Available at: https://www.industryweek.com/operations/continuous-improvement (Accessed: 27 April 2025).</w:t>
      </w:r>
    </w:p>
    <w:p w14:paraId="67815D13" w14:textId="77777777" w:rsidR="00312A06" w:rsidRDefault="00312A06" w:rsidP="00312A06"/>
    <w:p w14:paraId="68DC8F5F" w14:textId="77777777" w:rsidR="00312A06" w:rsidRDefault="00312A06" w:rsidP="00312A06">
      <w:r>
        <w:t>Kotter, J.P. (1996) Leading Change. Boston, MA: Harvard Business School Press.</w:t>
      </w:r>
    </w:p>
    <w:p w14:paraId="70752ED0" w14:textId="77777777" w:rsidR="00312A06" w:rsidRDefault="00312A06" w:rsidP="00312A06"/>
    <w:p w14:paraId="5A91D2B4" w14:textId="77777777" w:rsidR="00312A06" w:rsidRDefault="00312A06" w:rsidP="00312A06">
      <w:r>
        <w:t>Lewin, K. (1951) Field Theory in Social Science: Selected Theoretical Papers. New York: Harper &amp; Row.</w:t>
      </w:r>
    </w:p>
    <w:p w14:paraId="274D2805" w14:textId="77777777" w:rsidR="00312A06" w:rsidRDefault="00312A06" w:rsidP="00312A06"/>
    <w:p w14:paraId="56051F7B" w14:textId="77777777" w:rsidR="00312A06" w:rsidRDefault="00312A06" w:rsidP="00312A06">
      <w:r>
        <w:t>McKinsey &amp; Company (2024) 'Going all in: Why employee 'will' can make or break transformations'. Available at: https://www.mckinsey.com/capabilities/transformation/our-insights/going-all-in-why-employee-will-can-make-or-break-transformations (Accessed: 27 April 2025).</w:t>
      </w:r>
    </w:p>
    <w:p w14:paraId="1D959F75" w14:textId="77777777" w:rsidR="00312A06" w:rsidRDefault="00312A06" w:rsidP="00312A06"/>
    <w:p w14:paraId="101302F4" w14:textId="77777777" w:rsidR="00312A06" w:rsidRDefault="00312A06" w:rsidP="00312A06">
      <w:r>
        <w:t xml:space="preserve">Mullins, L.J. (2016) Management and Organisational Behaviour. 11th </w:t>
      </w:r>
      <w:proofErr w:type="spellStart"/>
      <w:r>
        <w:t>edn</w:t>
      </w:r>
      <w:proofErr w:type="spellEnd"/>
      <w:r>
        <w:t>. Harlow: Pearson Education Limited.</w:t>
      </w:r>
    </w:p>
    <w:p w14:paraId="44650E00" w14:textId="77777777" w:rsidR="00312A06" w:rsidRDefault="00312A06" w:rsidP="00312A06"/>
    <w:p w14:paraId="73D6FB26" w14:textId="77777777" w:rsidR="00312A06" w:rsidRDefault="00312A06" w:rsidP="00312A06">
      <w:proofErr w:type="spellStart"/>
      <w:r>
        <w:t>Prosci</w:t>
      </w:r>
      <w:proofErr w:type="spellEnd"/>
      <w:r>
        <w:t xml:space="preserve"> (2025) 'Change Leadership: How to Lead Change as a Change Leader'. Available at: https://www.prosci.com/blog/change-leadership (Accessed: 27 April 2025).</w:t>
      </w:r>
    </w:p>
    <w:p w14:paraId="196DE940" w14:textId="77777777" w:rsidR="00312A06" w:rsidRDefault="00312A06" w:rsidP="00312A06"/>
    <w:p w14:paraId="289A0D40" w14:textId="77777777" w:rsidR="00312A06" w:rsidRDefault="00312A06" w:rsidP="00312A06">
      <w:proofErr w:type="spellStart"/>
      <w:r>
        <w:t>SafetyCulture</w:t>
      </w:r>
      <w:proofErr w:type="spellEnd"/>
      <w:r>
        <w:t xml:space="preserve"> (2025) 'Continuous Improvement in Manufacturing: A Guide'. Available at: https://safetyculture.com/topics/continuous-improvement-culture/continuous-improvement-in-manufacturing/ (Accessed: 27 April 2025).</w:t>
      </w:r>
    </w:p>
    <w:p w14:paraId="38FB114A" w14:textId="77777777" w:rsidR="00312A06" w:rsidRDefault="00312A06" w:rsidP="00312A06"/>
    <w:p w14:paraId="70B4B6C5" w14:textId="12D310D6" w:rsidR="00DC60BE" w:rsidRPr="00DC60BE" w:rsidRDefault="00312A06" w:rsidP="00312A06">
      <w:pPr>
        <w:rPr>
          <w:highlight w:val="yellow"/>
        </w:rPr>
      </w:pPr>
      <w:r>
        <w:t>The Guardian (2025) 'UK manufacturers to cut jobs 'within weeks unless ministers can strike trade deal'', 22 April. Available at: https://www.theguardian.com/business/2025/apr/22/uk-manufacturers-to-cut-jobs-within-weeks-unless-ministers-can-strike-trade-deal (Accessed: 27 April 2025).</w:t>
      </w:r>
    </w:p>
    <w:sectPr w:rsidR="00DC60BE" w:rsidRPr="00DC60BE" w:rsidSect="007D1947">
      <w:footerReference w:type="default" r:id="rId1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8" w:author="Huzzey-Evans1, Luke" w:date="2025-04-27T21:23:00Z" w:initials="LH">
    <w:p w14:paraId="51B30702" w14:textId="77777777" w:rsidR="006764EE" w:rsidRDefault="006764EE" w:rsidP="006764EE">
      <w:pPr>
        <w:pStyle w:val="CommentText"/>
      </w:pPr>
      <w:r>
        <w:rPr>
          <w:rStyle w:val="CommentReference"/>
        </w:rPr>
        <w:annotationRef/>
      </w:r>
      <w:r>
        <w:t>Need to add 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1B3070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9C3DAB4" w16cex:dateUtc="2025-04-27T20: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1B30702" w16cid:durableId="29C3DA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FFC97" w14:textId="77777777" w:rsidR="00A647D9" w:rsidRDefault="00A647D9" w:rsidP="00097AED">
      <w:pPr>
        <w:spacing w:after="0" w:line="240" w:lineRule="auto"/>
      </w:pPr>
      <w:r>
        <w:separator/>
      </w:r>
    </w:p>
  </w:endnote>
  <w:endnote w:type="continuationSeparator" w:id="0">
    <w:p w14:paraId="0260B9E7" w14:textId="77777777" w:rsidR="00A647D9" w:rsidRDefault="00A647D9" w:rsidP="00097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446211"/>
      <w:docPartObj>
        <w:docPartGallery w:val="Page Numbers (Bottom of Page)"/>
        <w:docPartUnique/>
      </w:docPartObj>
    </w:sdtPr>
    <w:sdtEndPr/>
    <w:sdtContent>
      <w:p w14:paraId="2225C199" w14:textId="38CEF7C2" w:rsidR="00097AED" w:rsidRDefault="00097AED">
        <w:pPr>
          <w:pStyle w:val="Footer"/>
          <w:jc w:val="center"/>
        </w:pPr>
        <w:r>
          <w:fldChar w:fldCharType="begin"/>
        </w:r>
        <w:r>
          <w:instrText>PAGE   \* MERGEFORMAT</w:instrText>
        </w:r>
        <w:r>
          <w:fldChar w:fldCharType="separate"/>
        </w:r>
        <w:r>
          <w:t>2</w:t>
        </w:r>
        <w:r>
          <w:fldChar w:fldCharType="end"/>
        </w:r>
      </w:p>
    </w:sdtContent>
  </w:sdt>
  <w:p w14:paraId="7E4AD028" w14:textId="77777777" w:rsidR="00097AED" w:rsidRDefault="00097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0A653" w14:textId="77777777" w:rsidR="00A647D9" w:rsidRDefault="00A647D9" w:rsidP="00097AED">
      <w:pPr>
        <w:spacing w:after="0" w:line="240" w:lineRule="auto"/>
      </w:pPr>
      <w:r>
        <w:separator/>
      </w:r>
    </w:p>
  </w:footnote>
  <w:footnote w:type="continuationSeparator" w:id="0">
    <w:p w14:paraId="67DAAA35" w14:textId="77777777" w:rsidR="00A647D9" w:rsidRDefault="00A647D9" w:rsidP="00097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E1904"/>
    <w:multiLevelType w:val="multilevel"/>
    <w:tmpl w:val="D23C00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B5034"/>
    <w:multiLevelType w:val="multilevel"/>
    <w:tmpl w:val="3CBC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C14B75"/>
    <w:multiLevelType w:val="multilevel"/>
    <w:tmpl w:val="276A8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0175433">
    <w:abstractNumId w:val="0"/>
  </w:num>
  <w:num w:numId="2" w16cid:durableId="955330777">
    <w:abstractNumId w:val="1"/>
  </w:num>
  <w:num w:numId="3" w16cid:durableId="202435346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uzzey-Evans1, Luke">
    <w15:presenceInfo w15:providerId="AD" w15:userId="S::Luke.Evans1@astonmartin.com::2f420cb3-9ea5-4072-b224-3498797c22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09C"/>
    <w:rsid w:val="000232C6"/>
    <w:rsid w:val="00027EFF"/>
    <w:rsid w:val="0003581B"/>
    <w:rsid w:val="000627C0"/>
    <w:rsid w:val="00097AED"/>
    <w:rsid w:val="000A1F76"/>
    <w:rsid w:val="000A49E6"/>
    <w:rsid w:val="000C4ABD"/>
    <w:rsid w:val="000D27AD"/>
    <w:rsid w:val="001029C6"/>
    <w:rsid w:val="00105FA6"/>
    <w:rsid w:val="00107936"/>
    <w:rsid w:val="001105D8"/>
    <w:rsid w:val="00115B96"/>
    <w:rsid w:val="001208FE"/>
    <w:rsid w:val="00145B23"/>
    <w:rsid w:val="001546E9"/>
    <w:rsid w:val="00184F68"/>
    <w:rsid w:val="00190BB9"/>
    <w:rsid w:val="001A2283"/>
    <w:rsid w:val="001B2476"/>
    <w:rsid w:val="001C0233"/>
    <w:rsid w:val="001C03AB"/>
    <w:rsid w:val="001D4E6E"/>
    <w:rsid w:val="001F27C1"/>
    <w:rsid w:val="00230061"/>
    <w:rsid w:val="00235E5A"/>
    <w:rsid w:val="00250709"/>
    <w:rsid w:val="00292977"/>
    <w:rsid w:val="002F0EC5"/>
    <w:rsid w:val="00312A06"/>
    <w:rsid w:val="00324CCD"/>
    <w:rsid w:val="0033218C"/>
    <w:rsid w:val="00340D28"/>
    <w:rsid w:val="00341789"/>
    <w:rsid w:val="00342777"/>
    <w:rsid w:val="0036678D"/>
    <w:rsid w:val="003B48F5"/>
    <w:rsid w:val="003D6798"/>
    <w:rsid w:val="00410073"/>
    <w:rsid w:val="00414E5B"/>
    <w:rsid w:val="00480872"/>
    <w:rsid w:val="0048341A"/>
    <w:rsid w:val="00486FFF"/>
    <w:rsid w:val="00495E57"/>
    <w:rsid w:val="004A11F6"/>
    <w:rsid w:val="004D519C"/>
    <w:rsid w:val="004D6C24"/>
    <w:rsid w:val="005014C5"/>
    <w:rsid w:val="00524FDD"/>
    <w:rsid w:val="0054089D"/>
    <w:rsid w:val="0056406A"/>
    <w:rsid w:val="0057521D"/>
    <w:rsid w:val="005B4C53"/>
    <w:rsid w:val="005B6282"/>
    <w:rsid w:val="005D2DEA"/>
    <w:rsid w:val="00611F7F"/>
    <w:rsid w:val="00650CB0"/>
    <w:rsid w:val="00672CE2"/>
    <w:rsid w:val="006737F1"/>
    <w:rsid w:val="006764EE"/>
    <w:rsid w:val="00693E27"/>
    <w:rsid w:val="006F42A1"/>
    <w:rsid w:val="00740AAE"/>
    <w:rsid w:val="00753633"/>
    <w:rsid w:val="00753B41"/>
    <w:rsid w:val="007742BD"/>
    <w:rsid w:val="007C4626"/>
    <w:rsid w:val="007C4F8E"/>
    <w:rsid w:val="007D1947"/>
    <w:rsid w:val="007E517D"/>
    <w:rsid w:val="007F2263"/>
    <w:rsid w:val="00841ACA"/>
    <w:rsid w:val="00847EF1"/>
    <w:rsid w:val="008513CA"/>
    <w:rsid w:val="0085355A"/>
    <w:rsid w:val="008654BD"/>
    <w:rsid w:val="008767D3"/>
    <w:rsid w:val="00882F15"/>
    <w:rsid w:val="008B1D49"/>
    <w:rsid w:val="008D4C45"/>
    <w:rsid w:val="008E7E90"/>
    <w:rsid w:val="0091572A"/>
    <w:rsid w:val="0092168F"/>
    <w:rsid w:val="0092394D"/>
    <w:rsid w:val="00931CAA"/>
    <w:rsid w:val="00954A51"/>
    <w:rsid w:val="009B085C"/>
    <w:rsid w:val="009B0CFA"/>
    <w:rsid w:val="00A12B58"/>
    <w:rsid w:val="00A2225C"/>
    <w:rsid w:val="00A22278"/>
    <w:rsid w:val="00A337BF"/>
    <w:rsid w:val="00A4233F"/>
    <w:rsid w:val="00A647D9"/>
    <w:rsid w:val="00AA0F25"/>
    <w:rsid w:val="00AA2A91"/>
    <w:rsid w:val="00AC2EBA"/>
    <w:rsid w:val="00AE2CCD"/>
    <w:rsid w:val="00B00B2E"/>
    <w:rsid w:val="00B15264"/>
    <w:rsid w:val="00B207CD"/>
    <w:rsid w:val="00B40E40"/>
    <w:rsid w:val="00BC6D52"/>
    <w:rsid w:val="00BD2AFF"/>
    <w:rsid w:val="00BD6B61"/>
    <w:rsid w:val="00BF0706"/>
    <w:rsid w:val="00C007A8"/>
    <w:rsid w:val="00C4546C"/>
    <w:rsid w:val="00C56E7E"/>
    <w:rsid w:val="00CA09F3"/>
    <w:rsid w:val="00D13860"/>
    <w:rsid w:val="00D22312"/>
    <w:rsid w:val="00D316C9"/>
    <w:rsid w:val="00D32767"/>
    <w:rsid w:val="00D854A5"/>
    <w:rsid w:val="00D916D2"/>
    <w:rsid w:val="00D96F3A"/>
    <w:rsid w:val="00DA3493"/>
    <w:rsid w:val="00DC60BE"/>
    <w:rsid w:val="00DF4C8D"/>
    <w:rsid w:val="00E36479"/>
    <w:rsid w:val="00E51619"/>
    <w:rsid w:val="00E70294"/>
    <w:rsid w:val="00E77947"/>
    <w:rsid w:val="00E8694D"/>
    <w:rsid w:val="00E91208"/>
    <w:rsid w:val="00EB2AAE"/>
    <w:rsid w:val="00ED3936"/>
    <w:rsid w:val="00F055C1"/>
    <w:rsid w:val="00F10B11"/>
    <w:rsid w:val="00F406B7"/>
    <w:rsid w:val="00F7455E"/>
    <w:rsid w:val="00F912DF"/>
    <w:rsid w:val="00FB609A"/>
    <w:rsid w:val="00FF63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F76"/>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E51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56E7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097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AED"/>
  </w:style>
  <w:style w:type="paragraph" w:styleId="Footer">
    <w:name w:val="footer"/>
    <w:basedOn w:val="Normal"/>
    <w:link w:val="FooterChar"/>
    <w:uiPriority w:val="99"/>
    <w:unhideWhenUsed/>
    <w:rsid w:val="00097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AED"/>
  </w:style>
  <w:style w:type="paragraph" w:styleId="ListParagraph">
    <w:name w:val="List Paragraph"/>
    <w:basedOn w:val="Normal"/>
    <w:uiPriority w:val="34"/>
    <w:qFormat/>
    <w:rsid w:val="00A22278"/>
    <w:pPr>
      <w:ind w:left="720"/>
      <w:contextualSpacing/>
    </w:pPr>
  </w:style>
  <w:style w:type="character" w:customStyle="1" w:styleId="Heading4Char">
    <w:name w:val="Heading 4 Char"/>
    <w:basedOn w:val="DefaultParagraphFont"/>
    <w:link w:val="Heading4"/>
    <w:uiPriority w:val="9"/>
    <w:semiHidden/>
    <w:rsid w:val="00C56E7E"/>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7E517D"/>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6764EE"/>
    <w:rPr>
      <w:sz w:val="16"/>
      <w:szCs w:val="16"/>
    </w:rPr>
  </w:style>
  <w:style w:type="paragraph" w:styleId="CommentText">
    <w:name w:val="annotation text"/>
    <w:basedOn w:val="Normal"/>
    <w:link w:val="CommentTextChar"/>
    <w:uiPriority w:val="99"/>
    <w:unhideWhenUsed/>
    <w:rsid w:val="006764EE"/>
    <w:pPr>
      <w:spacing w:line="240" w:lineRule="auto"/>
    </w:pPr>
    <w:rPr>
      <w:sz w:val="20"/>
      <w:szCs w:val="20"/>
    </w:rPr>
  </w:style>
  <w:style w:type="character" w:customStyle="1" w:styleId="CommentTextChar">
    <w:name w:val="Comment Text Char"/>
    <w:basedOn w:val="DefaultParagraphFont"/>
    <w:link w:val="CommentText"/>
    <w:uiPriority w:val="99"/>
    <w:rsid w:val="006764EE"/>
    <w:rPr>
      <w:sz w:val="20"/>
      <w:szCs w:val="20"/>
    </w:rPr>
  </w:style>
  <w:style w:type="paragraph" w:styleId="CommentSubject">
    <w:name w:val="annotation subject"/>
    <w:basedOn w:val="CommentText"/>
    <w:next w:val="CommentText"/>
    <w:link w:val="CommentSubjectChar"/>
    <w:uiPriority w:val="99"/>
    <w:semiHidden/>
    <w:unhideWhenUsed/>
    <w:rsid w:val="006764EE"/>
    <w:rPr>
      <w:b/>
      <w:bCs/>
    </w:rPr>
  </w:style>
  <w:style w:type="character" w:customStyle="1" w:styleId="CommentSubjectChar">
    <w:name w:val="Comment Subject Char"/>
    <w:basedOn w:val="CommentTextChar"/>
    <w:link w:val="CommentSubject"/>
    <w:uiPriority w:val="99"/>
    <w:semiHidden/>
    <w:rsid w:val="006764E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99971">
      <w:bodyDiv w:val="1"/>
      <w:marLeft w:val="0"/>
      <w:marRight w:val="0"/>
      <w:marTop w:val="0"/>
      <w:marBottom w:val="0"/>
      <w:divBdr>
        <w:top w:val="none" w:sz="0" w:space="0" w:color="auto"/>
        <w:left w:val="none" w:sz="0" w:space="0" w:color="auto"/>
        <w:bottom w:val="none" w:sz="0" w:space="0" w:color="auto"/>
        <w:right w:val="none" w:sz="0" w:space="0" w:color="auto"/>
      </w:divBdr>
    </w:div>
    <w:div w:id="185871170">
      <w:bodyDiv w:val="1"/>
      <w:marLeft w:val="0"/>
      <w:marRight w:val="0"/>
      <w:marTop w:val="0"/>
      <w:marBottom w:val="0"/>
      <w:divBdr>
        <w:top w:val="none" w:sz="0" w:space="0" w:color="auto"/>
        <w:left w:val="none" w:sz="0" w:space="0" w:color="auto"/>
        <w:bottom w:val="none" w:sz="0" w:space="0" w:color="auto"/>
        <w:right w:val="none" w:sz="0" w:space="0" w:color="auto"/>
      </w:divBdr>
    </w:div>
    <w:div w:id="342050407">
      <w:bodyDiv w:val="1"/>
      <w:marLeft w:val="0"/>
      <w:marRight w:val="0"/>
      <w:marTop w:val="0"/>
      <w:marBottom w:val="0"/>
      <w:divBdr>
        <w:top w:val="none" w:sz="0" w:space="0" w:color="auto"/>
        <w:left w:val="none" w:sz="0" w:space="0" w:color="auto"/>
        <w:bottom w:val="none" w:sz="0" w:space="0" w:color="auto"/>
        <w:right w:val="none" w:sz="0" w:space="0" w:color="auto"/>
      </w:divBdr>
    </w:div>
    <w:div w:id="420684265">
      <w:bodyDiv w:val="1"/>
      <w:marLeft w:val="0"/>
      <w:marRight w:val="0"/>
      <w:marTop w:val="0"/>
      <w:marBottom w:val="0"/>
      <w:divBdr>
        <w:top w:val="none" w:sz="0" w:space="0" w:color="auto"/>
        <w:left w:val="none" w:sz="0" w:space="0" w:color="auto"/>
        <w:bottom w:val="none" w:sz="0" w:space="0" w:color="auto"/>
        <w:right w:val="none" w:sz="0" w:space="0" w:color="auto"/>
      </w:divBdr>
    </w:div>
    <w:div w:id="440609722">
      <w:bodyDiv w:val="1"/>
      <w:marLeft w:val="0"/>
      <w:marRight w:val="0"/>
      <w:marTop w:val="0"/>
      <w:marBottom w:val="0"/>
      <w:divBdr>
        <w:top w:val="none" w:sz="0" w:space="0" w:color="auto"/>
        <w:left w:val="none" w:sz="0" w:space="0" w:color="auto"/>
        <w:bottom w:val="none" w:sz="0" w:space="0" w:color="auto"/>
        <w:right w:val="none" w:sz="0" w:space="0" w:color="auto"/>
      </w:divBdr>
    </w:div>
    <w:div w:id="441000822">
      <w:bodyDiv w:val="1"/>
      <w:marLeft w:val="0"/>
      <w:marRight w:val="0"/>
      <w:marTop w:val="0"/>
      <w:marBottom w:val="0"/>
      <w:divBdr>
        <w:top w:val="none" w:sz="0" w:space="0" w:color="auto"/>
        <w:left w:val="none" w:sz="0" w:space="0" w:color="auto"/>
        <w:bottom w:val="none" w:sz="0" w:space="0" w:color="auto"/>
        <w:right w:val="none" w:sz="0" w:space="0" w:color="auto"/>
      </w:divBdr>
    </w:div>
    <w:div w:id="498932733">
      <w:bodyDiv w:val="1"/>
      <w:marLeft w:val="0"/>
      <w:marRight w:val="0"/>
      <w:marTop w:val="0"/>
      <w:marBottom w:val="0"/>
      <w:divBdr>
        <w:top w:val="none" w:sz="0" w:space="0" w:color="auto"/>
        <w:left w:val="none" w:sz="0" w:space="0" w:color="auto"/>
        <w:bottom w:val="none" w:sz="0" w:space="0" w:color="auto"/>
        <w:right w:val="none" w:sz="0" w:space="0" w:color="auto"/>
      </w:divBdr>
    </w:div>
    <w:div w:id="523907886">
      <w:bodyDiv w:val="1"/>
      <w:marLeft w:val="0"/>
      <w:marRight w:val="0"/>
      <w:marTop w:val="0"/>
      <w:marBottom w:val="0"/>
      <w:divBdr>
        <w:top w:val="none" w:sz="0" w:space="0" w:color="auto"/>
        <w:left w:val="none" w:sz="0" w:space="0" w:color="auto"/>
        <w:bottom w:val="none" w:sz="0" w:space="0" w:color="auto"/>
        <w:right w:val="none" w:sz="0" w:space="0" w:color="auto"/>
      </w:divBdr>
    </w:div>
    <w:div w:id="592710661">
      <w:bodyDiv w:val="1"/>
      <w:marLeft w:val="0"/>
      <w:marRight w:val="0"/>
      <w:marTop w:val="0"/>
      <w:marBottom w:val="0"/>
      <w:divBdr>
        <w:top w:val="none" w:sz="0" w:space="0" w:color="auto"/>
        <w:left w:val="none" w:sz="0" w:space="0" w:color="auto"/>
        <w:bottom w:val="none" w:sz="0" w:space="0" w:color="auto"/>
        <w:right w:val="none" w:sz="0" w:space="0" w:color="auto"/>
      </w:divBdr>
    </w:div>
    <w:div w:id="637153090">
      <w:bodyDiv w:val="1"/>
      <w:marLeft w:val="0"/>
      <w:marRight w:val="0"/>
      <w:marTop w:val="0"/>
      <w:marBottom w:val="0"/>
      <w:divBdr>
        <w:top w:val="none" w:sz="0" w:space="0" w:color="auto"/>
        <w:left w:val="none" w:sz="0" w:space="0" w:color="auto"/>
        <w:bottom w:val="none" w:sz="0" w:space="0" w:color="auto"/>
        <w:right w:val="none" w:sz="0" w:space="0" w:color="auto"/>
      </w:divBdr>
    </w:div>
    <w:div w:id="801381839">
      <w:bodyDiv w:val="1"/>
      <w:marLeft w:val="0"/>
      <w:marRight w:val="0"/>
      <w:marTop w:val="0"/>
      <w:marBottom w:val="0"/>
      <w:divBdr>
        <w:top w:val="none" w:sz="0" w:space="0" w:color="auto"/>
        <w:left w:val="none" w:sz="0" w:space="0" w:color="auto"/>
        <w:bottom w:val="none" w:sz="0" w:space="0" w:color="auto"/>
        <w:right w:val="none" w:sz="0" w:space="0" w:color="auto"/>
      </w:divBdr>
    </w:div>
    <w:div w:id="915820265">
      <w:bodyDiv w:val="1"/>
      <w:marLeft w:val="0"/>
      <w:marRight w:val="0"/>
      <w:marTop w:val="0"/>
      <w:marBottom w:val="0"/>
      <w:divBdr>
        <w:top w:val="none" w:sz="0" w:space="0" w:color="auto"/>
        <w:left w:val="none" w:sz="0" w:space="0" w:color="auto"/>
        <w:bottom w:val="none" w:sz="0" w:space="0" w:color="auto"/>
        <w:right w:val="none" w:sz="0" w:space="0" w:color="auto"/>
      </w:divBdr>
    </w:div>
    <w:div w:id="1124496351">
      <w:bodyDiv w:val="1"/>
      <w:marLeft w:val="0"/>
      <w:marRight w:val="0"/>
      <w:marTop w:val="0"/>
      <w:marBottom w:val="0"/>
      <w:divBdr>
        <w:top w:val="none" w:sz="0" w:space="0" w:color="auto"/>
        <w:left w:val="none" w:sz="0" w:space="0" w:color="auto"/>
        <w:bottom w:val="none" w:sz="0" w:space="0" w:color="auto"/>
        <w:right w:val="none" w:sz="0" w:space="0" w:color="auto"/>
      </w:divBdr>
    </w:div>
    <w:div w:id="1202594340">
      <w:bodyDiv w:val="1"/>
      <w:marLeft w:val="0"/>
      <w:marRight w:val="0"/>
      <w:marTop w:val="0"/>
      <w:marBottom w:val="0"/>
      <w:divBdr>
        <w:top w:val="none" w:sz="0" w:space="0" w:color="auto"/>
        <w:left w:val="none" w:sz="0" w:space="0" w:color="auto"/>
        <w:bottom w:val="none" w:sz="0" w:space="0" w:color="auto"/>
        <w:right w:val="none" w:sz="0" w:space="0" w:color="auto"/>
      </w:divBdr>
    </w:div>
    <w:div w:id="1327441505">
      <w:bodyDiv w:val="1"/>
      <w:marLeft w:val="0"/>
      <w:marRight w:val="0"/>
      <w:marTop w:val="0"/>
      <w:marBottom w:val="0"/>
      <w:divBdr>
        <w:top w:val="none" w:sz="0" w:space="0" w:color="auto"/>
        <w:left w:val="none" w:sz="0" w:space="0" w:color="auto"/>
        <w:bottom w:val="none" w:sz="0" w:space="0" w:color="auto"/>
        <w:right w:val="none" w:sz="0" w:space="0" w:color="auto"/>
      </w:divBdr>
    </w:div>
    <w:div w:id="1387026951">
      <w:bodyDiv w:val="1"/>
      <w:marLeft w:val="0"/>
      <w:marRight w:val="0"/>
      <w:marTop w:val="0"/>
      <w:marBottom w:val="0"/>
      <w:divBdr>
        <w:top w:val="none" w:sz="0" w:space="0" w:color="auto"/>
        <w:left w:val="none" w:sz="0" w:space="0" w:color="auto"/>
        <w:bottom w:val="none" w:sz="0" w:space="0" w:color="auto"/>
        <w:right w:val="none" w:sz="0" w:space="0" w:color="auto"/>
      </w:divBdr>
    </w:div>
    <w:div w:id="1393193860">
      <w:bodyDiv w:val="1"/>
      <w:marLeft w:val="0"/>
      <w:marRight w:val="0"/>
      <w:marTop w:val="0"/>
      <w:marBottom w:val="0"/>
      <w:divBdr>
        <w:top w:val="none" w:sz="0" w:space="0" w:color="auto"/>
        <w:left w:val="none" w:sz="0" w:space="0" w:color="auto"/>
        <w:bottom w:val="none" w:sz="0" w:space="0" w:color="auto"/>
        <w:right w:val="none" w:sz="0" w:space="0" w:color="auto"/>
      </w:divBdr>
    </w:div>
    <w:div w:id="1715353220">
      <w:bodyDiv w:val="1"/>
      <w:marLeft w:val="0"/>
      <w:marRight w:val="0"/>
      <w:marTop w:val="0"/>
      <w:marBottom w:val="0"/>
      <w:divBdr>
        <w:top w:val="none" w:sz="0" w:space="0" w:color="auto"/>
        <w:left w:val="none" w:sz="0" w:space="0" w:color="auto"/>
        <w:bottom w:val="none" w:sz="0" w:space="0" w:color="auto"/>
        <w:right w:val="none" w:sz="0" w:space="0" w:color="auto"/>
      </w:divBdr>
    </w:div>
    <w:div w:id="1824543046">
      <w:bodyDiv w:val="1"/>
      <w:marLeft w:val="0"/>
      <w:marRight w:val="0"/>
      <w:marTop w:val="0"/>
      <w:marBottom w:val="0"/>
      <w:divBdr>
        <w:top w:val="none" w:sz="0" w:space="0" w:color="auto"/>
        <w:left w:val="none" w:sz="0" w:space="0" w:color="auto"/>
        <w:bottom w:val="none" w:sz="0" w:space="0" w:color="auto"/>
        <w:right w:val="none" w:sz="0" w:space="0" w:color="auto"/>
      </w:divBdr>
    </w:div>
    <w:div w:id="1939101847">
      <w:bodyDiv w:val="1"/>
      <w:marLeft w:val="0"/>
      <w:marRight w:val="0"/>
      <w:marTop w:val="0"/>
      <w:marBottom w:val="0"/>
      <w:divBdr>
        <w:top w:val="none" w:sz="0" w:space="0" w:color="auto"/>
        <w:left w:val="none" w:sz="0" w:space="0" w:color="auto"/>
        <w:bottom w:val="none" w:sz="0" w:space="0" w:color="auto"/>
        <w:right w:val="none" w:sz="0" w:space="0" w:color="auto"/>
      </w:divBdr>
    </w:div>
    <w:div w:id="1983802348">
      <w:bodyDiv w:val="1"/>
      <w:marLeft w:val="0"/>
      <w:marRight w:val="0"/>
      <w:marTop w:val="0"/>
      <w:marBottom w:val="0"/>
      <w:divBdr>
        <w:top w:val="none" w:sz="0" w:space="0" w:color="auto"/>
        <w:left w:val="none" w:sz="0" w:space="0" w:color="auto"/>
        <w:bottom w:val="none" w:sz="0" w:space="0" w:color="auto"/>
        <w:right w:val="none" w:sz="0" w:space="0" w:color="auto"/>
      </w:divBdr>
    </w:div>
    <w:div w:id="2001541188">
      <w:bodyDiv w:val="1"/>
      <w:marLeft w:val="0"/>
      <w:marRight w:val="0"/>
      <w:marTop w:val="0"/>
      <w:marBottom w:val="0"/>
      <w:divBdr>
        <w:top w:val="none" w:sz="0" w:space="0" w:color="auto"/>
        <w:left w:val="none" w:sz="0" w:space="0" w:color="auto"/>
        <w:bottom w:val="none" w:sz="0" w:space="0" w:color="auto"/>
        <w:right w:val="none" w:sz="0" w:space="0" w:color="auto"/>
      </w:divBdr>
    </w:div>
    <w:div w:id="211624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glossaryDocument" Target="glossary/document.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5CF6"/>
    <w:rsid w:val="000D4516"/>
    <w:rsid w:val="00145AD8"/>
    <w:rsid w:val="00184F68"/>
    <w:rsid w:val="001B2476"/>
    <w:rsid w:val="00242260"/>
    <w:rsid w:val="002450A7"/>
    <w:rsid w:val="003203C2"/>
    <w:rsid w:val="003B48F5"/>
    <w:rsid w:val="004D25D2"/>
    <w:rsid w:val="007C4626"/>
    <w:rsid w:val="008513CA"/>
    <w:rsid w:val="009D7389"/>
    <w:rsid w:val="00A34C42"/>
    <w:rsid w:val="00BC1251"/>
    <w:rsid w:val="00BC6D52"/>
    <w:rsid w:val="00C67429"/>
    <w:rsid w:val="00D13860"/>
    <w:rsid w:val="00D22312"/>
    <w:rsid w:val="00ED39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5BAA90-52A3-4267-BCF1-E2D9F7774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10</Pages>
  <Words>2317</Words>
  <Characters>17377</Characters>
  <Application>Microsoft Office Word</Application>
  <DocSecurity>0</DocSecurity>
  <Lines>347</Lines>
  <Paragraphs>54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Luke Huzzey-Evans 2205835</dc:subject>
  <dc:creator>Marie Pitson</dc:creator>
  <cp:keywords/>
  <dc:description/>
  <cp:lastModifiedBy>Huzzey-Evans1, Luke</cp:lastModifiedBy>
  <cp:revision>109</cp:revision>
  <dcterms:created xsi:type="dcterms:W3CDTF">2025-02-14T19:20:00Z</dcterms:created>
  <dcterms:modified xsi:type="dcterms:W3CDTF">2025-04-27T21:28:00Z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e920cbaf24157dc7e7179346e79247f73df75a5703d10f52c54a555731d41785</vt:lpwstr>
  </property>
</Properties>
</file>