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900F7" w14:textId="634576E9" w:rsidR="00E501E2" w:rsidRDefault="00E501E2" w:rsidP="00E501E2">
      <w:pPr>
        <w:jc w:val="center"/>
        <w:rPr>
          <w:b/>
          <w:sz w:val="50"/>
          <w:szCs w:val="50"/>
        </w:rPr>
      </w:pPr>
    </w:p>
    <w:p w14:paraId="104C46FF" w14:textId="77777777" w:rsidR="00E501E2" w:rsidRPr="00C77DD2" w:rsidRDefault="00E501E2" w:rsidP="00E501E2"/>
    <w:p w14:paraId="594C5963" w14:textId="77777777" w:rsidR="00E501E2" w:rsidRPr="006F6E46" w:rsidRDefault="00E501E2" w:rsidP="00E501E2">
      <w:pPr>
        <w:jc w:val="center"/>
      </w:pPr>
      <w:r w:rsidRPr="006F6E46">
        <w:rPr>
          <w:noProof/>
          <w:lang w:val="en-IN" w:eastAsia="en-IN"/>
        </w:rPr>
        <w:drawing>
          <wp:inline distT="0" distB="0" distL="0" distR="0" wp14:anchorId="5C413110" wp14:editId="4C042980">
            <wp:extent cx="3985260" cy="1371600"/>
            <wp:effectExtent l="0" t="0" r="0" b="0"/>
            <wp:docPr id="2080421357" name="Picture 1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421357" name="Picture 11" descr="A close-up of a sig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85260" cy="1371600"/>
                    </a:xfrm>
                    <a:prstGeom prst="rect">
                      <a:avLst/>
                    </a:prstGeom>
                    <a:noFill/>
                    <a:ln>
                      <a:noFill/>
                    </a:ln>
                  </pic:spPr>
                </pic:pic>
              </a:graphicData>
            </a:graphic>
          </wp:inline>
        </w:drawing>
      </w:r>
    </w:p>
    <w:p w14:paraId="610E0002" w14:textId="77777777" w:rsidR="00E501E2" w:rsidRPr="00C77DD2" w:rsidRDefault="00E501E2" w:rsidP="00E501E2"/>
    <w:p w14:paraId="71232CC8" w14:textId="77777777" w:rsidR="00E501E2" w:rsidRPr="00C77DD2" w:rsidRDefault="00E501E2" w:rsidP="00E501E2"/>
    <w:p w14:paraId="6D79EF9C" w14:textId="77777777" w:rsidR="00E501E2" w:rsidRPr="00C77DD2" w:rsidRDefault="00E501E2" w:rsidP="00E501E2"/>
    <w:p w14:paraId="79EA36B8" w14:textId="1B26F1BC" w:rsidR="00E501E2" w:rsidRPr="005E7AC2" w:rsidRDefault="00E501E2" w:rsidP="00E501E2">
      <w:pPr>
        <w:shd w:val="clear" w:color="auto" w:fill="FFFFFF"/>
        <w:spacing w:after="100" w:afterAutospacing="1" w:line="240" w:lineRule="auto"/>
        <w:outlineLvl w:val="0"/>
        <w:rPr>
          <w:b/>
          <w:bCs/>
          <w:color w:val="1D2125"/>
          <w:kern w:val="36"/>
          <w:sz w:val="32"/>
          <w:szCs w:val="32"/>
        </w:rPr>
      </w:pPr>
      <w:r>
        <w:rPr>
          <w:b/>
          <w:bCs/>
          <w:color w:val="1D2125"/>
          <w:kern w:val="36"/>
          <w:sz w:val="32"/>
          <w:szCs w:val="32"/>
        </w:rPr>
        <w:t xml:space="preserve">           </w:t>
      </w:r>
      <w:r w:rsidR="002732CD">
        <w:rPr>
          <w:b/>
          <w:bCs/>
          <w:color w:val="1D2125"/>
          <w:kern w:val="36"/>
          <w:sz w:val="32"/>
          <w:szCs w:val="32"/>
        </w:rPr>
        <w:t xml:space="preserve">     </w:t>
      </w:r>
      <w:r>
        <w:rPr>
          <w:b/>
          <w:bCs/>
          <w:color w:val="1D2125"/>
          <w:kern w:val="36"/>
          <w:sz w:val="32"/>
          <w:szCs w:val="32"/>
        </w:rPr>
        <w:t xml:space="preserve">  </w:t>
      </w:r>
      <w:r w:rsidRPr="005E7AC2">
        <w:rPr>
          <w:b/>
          <w:bCs/>
          <w:color w:val="1D2125"/>
          <w:kern w:val="36"/>
          <w:sz w:val="32"/>
          <w:szCs w:val="32"/>
        </w:rPr>
        <w:t>Management</w:t>
      </w:r>
      <w:r>
        <w:rPr>
          <w:b/>
          <w:bCs/>
          <w:color w:val="1D2125"/>
          <w:kern w:val="36"/>
          <w:sz w:val="32"/>
          <w:szCs w:val="32"/>
        </w:rPr>
        <w:t xml:space="preserve"> and Organisational Behaviour</w:t>
      </w:r>
    </w:p>
    <w:p w14:paraId="29422536" w14:textId="77777777" w:rsidR="00E501E2" w:rsidRDefault="00E501E2" w:rsidP="00E501E2">
      <w:pPr>
        <w:ind w:left="2160" w:firstLine="720"/>
        <w:rPr>
          <w:b/>
          <w:bCs/>
          <w:sz w:val="32"/>
          <w:szCs w:val="28"/>
        </w:rPr>
      </w:pPr>
    </w:p>
    <w:p w14:paraId="699A3F8A" w14:textId="77777777" w:rsidR="00E501E2" w:rsidRDefault="00E501E2" w:rsidP="00E501E2">
      <w:pPr>
        <w:ind w:left="2880" w:firstLine="720"/>
        <w:rPr>
          <w:b/>
          <w:bCs/>
          <w:sz w:val="32"/>
          <w:szCs w:val="28"/>
        </w:rPr>
      </w:pPr>
      <w:r>
        <w:rPr>
          <w:b/>
          <w:bCs/>
          <w:sz w:val="32"/>
          <w:szCs w:val="28"/>
        </w:rPr>
        <w:t>BMIH5004</w:t>
      </w:r>
    </w:p>
    <w:p w14:paraId="5D847071" w14:textId="77777777" w:rsidR="00E501E2" w:rsidRDefault="00E501E2" w:rsidP="00E501E2">
      <w:pPr>
        <w:jc w:val="center"/>
        <w:rPr>
          <w:b/>
          <w:bCs/>
          <w:sz w:val="32"/>
          <w:szCs w:val="28"/>
        </w:rPr>
      </w:pPr>
    </w:p>
    <w:p w14:paraId="3CDA7AB0" w14:textId="77777777" w:rsidR="00E501E2" w:rsidRDefault="00E501E2" w:rsidP="00E501E2">
      <w:pPr>
        <w:jc w:val="center"/>
        <w:rPr>
          <w:color w:val="000000"/>
          <w:kern w:val="24"/>
          <w:sz w:val="36"/>
          <w:szCs w:val="36"/>
          <w:lang w:val="en-US"/>
        </w:rPr>
      </w:pPr>
      <w:r>
        <w:rPr>
          <w:b/>
          <w:bCs/>
          <w:sz w:val="32"/>
          <w:szCs w:val="28"/>
        </w:rPr>
        <w:t>Student Name: Maria Magdalena Radu</w:t>
      </w:r>
      <w:r w:rsidRPr="006F6E46">
        <w:rPr>
          <w:color w:val="000000"/>
          <w:kern w:val="24"/>
          <w:sz w:val="36"/>
          <w:szCs w:val="36"/>
          <w:lang w:val="en-US"/>
        </w:rPr>
        <w:t xml:space="preserve"> </w:t>
      </w:r>
    </w:p>
    <w:p w14:paraId="24A19166" w14:textId="77777777" w:rsidR="00E501E2" w:rsidRDefault="00E501E2" w:rsidP="00E501E2">
      <w:pPr>
        <w:jc w:val="center"/>
        <w:rPr>
          <w:b/>
          <w:bCs/>
          <w:color w:val="000000"/>
          <w:kern w:val="24"/>
          <w:sz w:val="32"/>
          <w:szCs w:val="32"/>
          <w:lang w:val="en-US"/>
        </w:rPr>
      </w:pPr>
      <w:r w:rsidRPr="006F6E46">
        <w:rPr>
          <w:b/>
          <w:bCs/>
          <w:color w:val="000000"/>
          <w:kern w:val="24"/>
          <w:sz w:val="32"/>
          <w:szCs w:val="32"/>
          <w:lang w:val="en-US"/>
        </w:rPr>
        <w:t>Student id: 2126508</w:t>
      </w:r>
    </w:p>
    <w:p w14:paraId="6553B943" w14:textId="77777777" w:rsidR="00E501E2" w:rsidRDefault="00E501E2" w:rsidP="00E501E2">
      <w:pPr>
        <w:jc w:val="center"/>
        <w:rPr>
          <w:b/>
          <w:bCs/>
          <w:color w:val="000000"/>
          <w:kern w:val="24"/>
          <w:sz w:val="32"/>
          <w:szCs w:val="32"/>
          <w:lang w:val="en-US"/>
        </w:rPr>
      </w:pPr>
    </w:p>
    <w:p w14:paraId="5374BF71" w14:textId="77777777" w:rsidR="002732CD" w:rsidRDefault="00E501E2" w:rsidP="002732CD">
      <w:pPr>
        <w:jc w:val="center"/>
        <w:rPr>
          <w:b/>
          <w:sz w:val="50"/>
          <w:szCs w:val="50"/>
        </w:rPr>
      </w:pPr>
      <w:r>
        <w:rPr>
          <w:b/>
          <w:bCs/>
          <w:color w:val="000000"/>
          <w:kern w:val="24"/>
          <w:sz w:val="32"/>
          <w:szCs w:val="32"/>
          <w:lang w:val="en-US"/>
        </w:rPr>
        <w:t>Lecturer: Charlotte Joyner</w:t>
      </w:r>
      <w:r w:rsidR="002732CD" w:rsidRPr="002732CD">
        <w:rPr>
          <w:b/>
          <w:sz w:val="50"/>
          <w:szCs w:val="50"/>
        </w:rPr>
        <w:t xml:space="preserve"> </w:t>
      </w:r>
    </w:p>
    <w:p w14:paraId="195ABBA2" w14:textId="77777777" w:rsidR="002732CD" w:rsidRDefault="002732CD" w:rsidP="002732CD">
      <w:pPr>
        <w:jc w:val="center"/>
        <w:rPr>
          <w:b/>
          <w:sz w:val="50"/>
          <w:szCs w:val="50"/>
        </w:rPr>
      </w:pPr>
    </w:p>
    <w:p w14:paraId="7F84BD09" w14:textId="1278FA3A" w:rsidR="002732CD" w:rsidRPr="002732CD" w:rsidRDefault="002732CD" w:rsidP="002732CD">
      <w:pPr>
        <w:jc w:val="center"/>
        <w:rPr>
          <w:b/>
          <w:sz w:val="32"/>
          <w:szCs w:val="32"/>
          <w:lang w:val="en-GB"/>
        </w:rPr>
      </w:pPr>
      <w:r>
        <w:rPr>
          <w:b/>
          <w:sz w:val="32"/>
          <w:szCs w:val="32"/>
        </w:rPr>
        <w:t>WRITTEN REPORT</w:t>
      </w:r>
    </w:p>
    <w:p w14:paraId="2254ECD2" w14:textId="77777777" w:rsidR="002732CD" w:rsidRPr="002732CD" w:rsidRDefault="002732CD" w:rsidP="002732CD">
      <w:pPr>
        <w:jc w:val="center"/>
        <w:rPr>
          <w:b/>
          <w:sz w:val="32"/>
          <w:szCs w:val="32"/>
        </w:rPr>
      </w:pPr>
      <w:r w:rsidRPr="002732CD">
        <w:rPr>
          <w:b/>
          <w:sz w:val="32"/>
          <w:szCs w:val="32"/>
        </w:rPr>
        <w:t>IHG Hotels</w:t>
      </w:r>
    </w:p>
    <w:p w14:paraId="42A2AA57" w14:textId="2F0DF328" w:rsidR="00E501E2" w:rsidRDefault="00E501E2" w:rsidP="00E501E2">
      <w:pPr>
        <w:jc w:val="center"/>
        <w:rPr>
          <w:b/>
          <w:bCs/>
          <w:color w:val="000000"/>
          <w:kern w:val="24"/>
          <w:sz w:val="32"/>
          <w:szCs w:val="32"/>
          <w:lang w:val="en-US"/>
        </w:rPr>
      </w:pPr>
    </w:p>
    <w:p w14:paraId="6F2CC518" w14:textId="77777777" w:rsidR="002732CD" w:rsidRDefault="002732CD" w:rsidP="00E501E2">
      <w:pPr>
        <w:jc w:val="center"/>
        <w:rPr>
          <w:b/>
          <w:bCs/>
          <w:color w:val="000000"/>
          <w:kern w:val="24"/>
          <w:sz w:val="32"/>
          <w:szCs w:val="32"/>
          <w:lang w:val="en-US"/>
        </w:rPr>
      </w:pPr>
    </w:p>
    <w:p w14:paraId="35C73DDE" w14:textId="61FD36EC" w:rsidR="002732CD" w:rsidRPr="00E501E2" w:rsidRDefault="002732CD" w:rsidP="00B91BD6">
      <w:pPr>
        <w:rPr>
          <w:b/>
          <w:bCs/>
          <w:color w:val="000000"/>
          <w:kern w:val="24"/>
          <w:sz w:val="32"/>
          <w:szCs w:val="32"/>
          <w:lang w:val="en-US"/>
        </w:rPr>
      </w:pPr>
    </w:p>
    <w:p w14:paraId="756D96D5" w14:textId="77777777" w:rsidR="00E501E2" w:rsidRPr="00AC2C2E" w:rsidRDefault="00E501E2" w:rsidP="00E501E2">
      <w:pPr>
        <w:rPr>
          <w:b/>
          <w:bCs/>
          <w:sz w:val="32"/>
          <w:szCs w:val="32"/>
        </w:rPr>
      </w:pPr>
    </w:p>
    <w:p w14:paraId="0840514F" w14:textId="77777777" w:rsidR="00E501E2" w:rsidRDefault="00E501E2" w:rsidP="00E501E2"/>
    <w:p w14:paraId="267BF4C7" w14:textId="77777777" w:rsidR="00E501E2" w:rsidRDefault="00E501E2" w:rsidP="00E501E2"/>
    <w:p w14:paraId="7C6A4F28" w14:textId="77777777" w:rsidR="00E501E2" w:rsidRDefault="00E501E2" w:rsidP="00E501E2"/>
    <w:p w14:paraId="0A36C166" w14:textId="7AAE3BF6" w:rsidR="00E501E2" w:rsidRDefault="00E501E2" w:rsidP="00784C31">
      <w:pPr>
        <w:rPr>
          <w:b/>
          <w:sz w:val="50"/>
          <w:szCs w:val="50"/>
        </w:rPr>
      </w:pPr>
    </w:p>
    <w:p w14:paraId="71A62C56" w14:textId="77777777" w:rsidR="00E501E2" w:rsidRDefault="00E501E2" w:rsidP="00E501E2">
      <w:pPr>
        <w:jc w:val="center"/>
        <w:rPr>
          <w:b/>
          <w:sz w:val="50"/>
          <w:szCs w:val="50"/>
        </w:rPr>
      </w:pPr>
    </w:p>
    <w:p w14:paraId="53504AF8" w14:textId="77777777" w:rsidR="002732CD" w:rsidRDefault="002732CD" w:rsidP="002732CD">
      <w:pPr>
        <w:jc w:val="center"/>
        <w:rPr>
          <w:b/>
          <w:sz w:val="32"/>
          <w:szCs w:val="32"/>
          <w:lang w:val="en-GB"/>
        </w:rPr>
      </w:pPr>
      <w:r>
        <w:rPr>
          <w:b/>
          <w:sz w:val="32"/>
          <w:szCs w:val="32"/>
        </w:rPr>
        <w:t>Table of Contents</w:t>
      </w:r>
    </w:p>
    <w:sdt>
      <w:sdtPr>
        <w:id w:val="1166520786"/>
        <w:docPartObj>
          <w:docPartGallery w:val="Table of Contents"/>
          <w:docPartUnique/>
        </w:docPartObj>
      </w:sdtPr>
      <w:sdtContent>
        <w:p w14:paraId="4A58F179" w14:textId="77777777" w:rsidR="002732CD" w:rsidRDefault="002732CD" w:rsidP="002732CD">
          <w:pPr>
            <w:widowControl w:val="0"/>
            <w:tabs>
              <w:tab w:val="right" w:pos="12000"/>
            </w:tabs>
            <w:spacing w:before="60" w:line="480" w:lineRule="auto"/>
            <w:jc w:val="left"/>
            <w:rPr>
              <w:color w:val="000000"/>
            </w:rPr>
          </w:pPr>
          <w:r>
            <w:fldChar w:fldCharType="begin"/>
          </w:r>
          <w:r>
            <w:instrText xml:space="preserve"> TOC \h \u \z \t "Heading 1,1,Heading 2,2,Heading 3,3,Heading 4,4,Heading 5,5,Heading 6,6,"</w:instrText>
          </w:r>
          <w:r>
            <w:fldChar w:fldCharType="separate"/>
          </w:r>
          <w:hyperlink r:id="rId6" w:anchor="_j6k7k9ev9l" w:history="1">
            <w:r>
              <w:rPr>
                <w:rStyle w:val="Hyperlink"/>
                <w:color w:val="000000"/>
              </w:rPr>
              <w:t>Introduction</w:t>
            </w:r>
            <w:r>
              <w:rPr>
                <w:rStyle w:val="Hyperlink"/>
                <w:color w:val="000000"/>
              </w:rPr>
              <w:tab/>
              <w:t>3</w:t>
            </w:r>
          </w:hyperlink>
        </w:p>
        <w:p w14:paraId="51347F94" w14:textId="77777777" w:rsidR="002732CD" w:rsidRDefault="00000000" w:rsidP="002732CD">
          <w:pPr>
            <w:widowControl w:val="0"/>
            <w:tabs>
              <w:tab w:val="right" w:pos="12000"/>
            </w:tabs>
            <w:spacing w:before="60" w:line="480" w:lineRule="auto"/>
            <w:jc w:val="left"/>
            <w:rPr>
              <w:color w:val="000000"/>
            </w:rPr>
          </w:pPr>
          <w:hyperlink r:id="rId7" w:anchor="_akfr1mjeklj0" w:history="1">
            <w:r w:rsidR="002732CD">
              <w:rPr>
                <w:rStyle w:val="Hyperlink"/>
                <w:color w:val="000000"/>
              </w:rPr>
              <w:t>Discussions</w:t>
            </w:r>
            <w:r w:rsidR="002732CD">
              <w:rPr>
                <w:rStyle w:val="Hyperlink"/>
                <w:color w:val="000000"/>
              </w:rPr>
              <w:tab/>
              <w:t>3</w:t>
            </w:r>
          </w:hyperlink>
        </w:p>
        <w:p w14:paraId="660F3BB0" w14:textId="77777777" w:rsidR="002732CD" w:rsidRDefault="00000000" w:rsidP="002732CD">
          <w:pPr>
            <w:widowControl w:val="0"/>
            <w:tabs>
              <w:tab w:val="right" w:pos="12000"/>
            </w:tabs>
            <w:spacing w:before="60" w:line="480" w:lineRule="auto"/>
            <w:jc w:val="left"/>
            <w:rPr>
              <w:color w:val="000000"/>
            </w:rPr>
          </w:pPr>
          <w:hyperlink r:id="rId8" w:anchor="_rwqyqxwf8efu" w:history="1">
            <w:r w:rsidR="002732CD">
              <w:rPr>
                <w:rStyle w:val="Hyperlink"/>
                <w:color w:val="000000"/>
              </w:rPr>
              <w:t>Conclusion</w:t>
            </w:r>
            <w:r w:rsidR="002732CD">
              <w:rPr>
                <w:rStyle w:val="Hyperlink"/>
                <w:color w:val="000000"/>
              </w:rPr>
              <w:tab/>
              <w:t>8</w:t>
            </w:r>
          </w:hyperlink>
        </w:p>
        <w:p w14:paraId="7171B07E" w14:textId="77777777" w:rsidR="002732CD" w:rsidRDefault="00000000" w:rsidP="002732CD">
          <w:pPr>
            <w:widowControl w:val="0"/>
            <w:tabs>
              <w:tab w:val="right" w:pos="12000"/>
            </w:tabs>
            <w:spacing w:before="60" w:line="480" w:lineRule="auto"/>
            <w:jc w:val="left"/>
            <w:rPr>
              <w:color w:val="000000"/>
            </w:rPr>
          </w:pPr>
          <w:hyperlink r:id="rId9" w:anchor="_dti8afi4p6cu" w:history="1">
            <w:r w:rsidR="002732CD">
              <w:rPr>
                <w:rStyle w:val="Hyperlink"/>
                <w:color w:val="000000"/>
              </w:rPr>
              <w:t>References</w:t>
            </w:r>
            <w:r w:rsidR="002732CD">
              <w:rPr>
                <w:rStyle w:val="Hyperlink"/>
                <w:color w:val="000000"/>
              </w:rPr>
              <w:tab/>
              <w:t>10</w:t>
            </w:r>
          </w:hyperlink>
          <w:r w:rsidR="002732CD">
            <w:fldChar w:fldCharType="end"/>
          </w:r>
        </w:p>
      </w:sdtContent>
    </w:sdt>
    <w:p w14:paraId="318CBEA5" w14:textId="77777777" w:rsidR="002732CD" w:rsidRDefault="002732CD" w:rsidP="002732CD">
      <w:pPr>
        <w:pStyle w:val="Heading1"/>
      </w:pPr>
      <w:bookmarkStart w:id="0" w:name="_fgey8jwnaymy"/>
      <w:bookmarkEnd w:id="0"/>
    </w:p>
    <w:p w14:paraId="7F7A96EE" w14:textId="77777777" w:rsidR="002732CD" w:rsidRDefault="002732CD" w:rsidP="002732CD">
      <w:pPr>
        <w:pStyle w:val="Heading1"/>
      </w:pPr>
      <w:r>
        <w:rPr>
          <w:b w:val="0"/>
        </w:rPr>
        <w:br w:type="page"/>
      </w:r>
      <w:bookmarkStart w:id="1" w:name="_wm80kxz8pxe3"/>
      <w:bookmarkEnd w:id="1"/>
    </w:p>
    <w:p w14:paraId="1CFD243F" w14:textId="77777777" w:rsidR="002732CD" w:rsidRDefault="002732CD" w:rsidP="002732CD">
      <w:pPr>
        <w:pStyle w:val="Heading1"/>
      </w:pPr>
      <w:bookmarkStart w:id="2" w:name="_j6k7k9ev9l"/>
      <w:bookmarkEnd w:id="2"/>
      <w:r>
        <w:lastRenderedPageBreak/>
        <w:t>Introduction</w:t>
      </w:r>
    </w:p>
    <w:p w14:paraId="36643B10" w14:textId="77777777" w:rsidR="002732CD" w:rsidRDefault="002732CD" w:rsidP="002732CD">
      <w:r>
        <w:t xml:space="preserve">The Intercontinental Hotel Group (IHG) has been one of the most efficient global players in the hospitality organisation, and it is spread into multiple broad portfolios that include Intercontinental, Holiday Inn, and Crowne Plaza. A collection of more than 1000 hotels with a Global reach of more than 100 countries helps in empowering the brand as a global player. The establishment of IHG as a leader in hospitality has passed through multiple experiences to meet diverse needs (Jones, 2020). The property's significance ranges from luxury accommodations to friendly stays, which deliver high-quality services and provide memorable experiences for a global forum of travellers. The purpose of the audit was to conduct an effective evaluation process to mark the operation of efficiency and consistency of the brand. The audit process also ascertains the identification of satisfaction levels and the maintenance of financial performance by the organisation to mark its physical viability and process. The method includes the identification of the areas of strength for the organisation. It also marks the opportunities that can prove the organisation's growth in the future (Voegeli, 2021). The audit process helps provide an inside and recommends the enhancement of a competitive edge, influencing the Global market. </w:t>
      </w:r>
      <w:r>
        <w:br/>
        <w:t xml:space="preserve">The report focuses on the identification of the scope of the organisation through the analysis of the portfolio management process. The significance of the organisation's market strategies, consumer engagement practices, financial health, and sustainability initiatives is clearly defined in the report. The report also helps in considering the identification of external impacting factors regarding the maintenance of global economic conditions. Understanding an evolving preference for travel is also significant in the report's outcome—the impact of the audit AIMS on providing a holistic approach towards the operational sections of IHG. The facilitation process involves decision-making and strategic planning to enlarge the organisation's endeavours. </w:t>
      </w:r>
    </w:p>
    <w:p w14:paraId="3E3A94CD" w14:textId="77777777" w:rsidR="002732CD" w:rsidRDefault="002732CD" w:rsidP="002732CD">
      <w:pPr>
        <w:pStyle w:val="Heading1"/>
      </w:pPr>
      <w:bookmarkStart w:id="3" w:name="_akfr1mjeklj0"/>
      <w:bookmarkEnd w:id="3"/>
      <w:r>
        <w:t>Discussions</w:t>
      </w:r>
    </w:p>
    <w:p w14:paraId="686B5AF5" w14:textId="77777777" w:rsidR="002732CD" w:rsidRDefault="002732CD" w:rsidP="002732CD">
      <w:pPr>
        <w:rPr>
          <w:i/>
        </w:rPr>
      </w:pPr>
      <w:r>
        <w:rPr>
          <w:i/>
        </w:rPr>
        <w:t>Organisational Structure in IHG</w:t>
      </w:r>
    </w:p>
    <w:p w14:paraId="798D44B7" w14:textId="32BE0BD1" w:rsidR="002732CD" w:rsidRDefault="002732CD" w:rsidP="002732CD">
      <w:pPr>
        <w:jc w:val="center"/>
        <w:rPr>
          <w:i/>
        </w:rPr>
      </w:pPr>
      <w:r>
        <w:rPr>
          <w:i/>
          <w:noProof/>
          <w:bdr w:val="thickThinSmallGap" w:sz="24" w:space="0" w:color="auto" w:frame="1"/>
          <w:lang w:val="en-US" w:eastAsia="en-US"/>
        </w:rPr>
        <w:lastRenderedPageBreak/>
        <w:drawing>
          <wp:inline distT="0" distB="0" distL="0" distR="0" wp14:anchorId="524C4718" wp14:editId="39093EE1">
            <wp:extent cx="5455920" cy="4290060"/>
            <wp:effectExtent l="0" t="0" r="0" b="0"/>
            <wp:docPr id="2064404550" name="Picture 1" descr="A diagram of hotels and reso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404550" name="Picture 1" descr="A diagram of hotels and resort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55920" cy="4290060"/>
                    </a:xfrm>
                    <a:prstGeom prst="rect">
                      <a:avLst/>
                    </a:prstGeom>
                    <a:noFill/>
                    <a:ln>
                      <a:noFill/>
                    </a:ln>
                  </pic:spPr>
                </pic:pic>
              </a:graphicData>
            </a:graphic>
          </wp:inline>
        </w:drawing>
      </w:r>
    </w:p>
    <w:p w14:paraId="3B9206E8" w14:textId="77777777" w:rsidR="002732CD" w:rsidRDefault="002732CD" w:rsidP="002732CD">
      <w:pPr>
        <w:jc w:val="center"/>
        <w:rPr>
          <w:iCs/>
        </w:rPr>
      </w:pPr>
      <w:r>
        <w:rPr>
          <w:iCs/>
        </w:rPr>
        <w:t>Figure 1: Decentralised business structure at IHG</w:t>
      </w:r>
    </w:p>
    <w:p w14:paraId="6C1FD7CF" w14:textId="77777777" w:rsidR="002732CD" w:rsidRDefault="002732CD" w:rsidP="002732CD">
      <w:pPr>
        <w:jc w:val="center"/>
        <w:rPr>
          <w:iCs/>
        </w:rPr>
      </w:pPr>
      <w:r>
        <w:rPr>
          <w:iCs/>
        </w:rPr>
        <w:t>Source: (IHG, 2024)</w:t>
      </w:r>
    </w:p>
    <w:p w14:paraId="1CA6FEC3" w14:textId="77777777" w:rsidR="002732CD" w:rsidRDefault="002732CD" w:rsidP="002732CD">
      <w:r>
        <w:t xml:space="preserve">The impacting factor of the provided organisation signifies that a flexible organisational structure governs the operation process within hospitality. The structure helps support extensive global reach-out regarding operations to maintain strategic objectives. The structure's significance facilitates an effective decision-making process for promoting and even brand consistency. The process also helps ensure a high-quality consumer experience and maintain a divorce portfolio among hotel brands (Group, 2022). The brand's hierarchy explicitly involves the board of directors being on top of the exclusive chain. They are supported by the chief executive officer (CEO), chief financial officer (CFO), and other responsible executives. Maintaining a strategic decision towards corporate governance is a dignified win in the group through the higher trial structure. The organisation structure below the board of members involves a branching hierarchy with several functional divisions, including operations, marketing, human resources, and finance (Journals, </w:t>
      </w:r>
      <w:r>
        <w:lastRenderedPageBreak/>
        <w:t xml:space="preserve">2021). The management of these divisions is executed by senior executives who will assist in restoring global strategies in respective areas. </w:t>
      </w:r>
    </w:p>
    <w:p w14:paraId="4D883B4E" w14:textId="77777777" w:rsidR="002732CD" w:rsidRDefault="002732CD" w:rsidP="002732CD">
      <w:r>
        <w:t xml:space="preserve">The identification of operations within the hotel brand is segmented according to the region of the brand. Regional and brand managers help implement the impact of global strategies at local levels. They take care of the adaptation to specific market demands and preferences. The implication of regional structure within the hotel group helps develop the brand image according to the process resonance by offering a tailored experience and maintaining local culture according to consumer expectations (Zhao, 2020). </w:t>
      </w:r>
    </w:p>
    <w:p w14:paraId="7E580F93" w14:textId="77777777" w:rsidR="002732CD" w:rsidRDefault="002732CD" w:rsidP="002732CD">
      <w:r>
        <w:t xml:space="preserve">The hotel managers hold the organisation's critical roles in maintaining daily management tasks. Ensuring better operational efficiency and staff performance is significant because it signifies consumer satisfaction. Handling marketing teams and brand promotion processes engages consumers in the development division. The impact of new opportunities and growth also helps attain acquisitions for opening new hotels. </w:t>
      </w:r>
    </w:p>
    <w:p w14:paraId="135A7E5B" w14:textId="77777777" w:rsidR="002732CD" w:rsidRDefault="002732CD" w:rsidP="002732CD">
      <w:pPr>
        <w:rPr>
          <w:i/>
        </w:rPr>
      </w:pPr>
      <w:r>
        <w:rPr>
          <w:i/>
        </w:rPr>
        <w:t>Organisational Culture</w:t>
      </w:r>
    </w:p>
    <w:p w14:paraId="11AE1798" w14:textId="77777777" w:rsidR="002732CD" w:rsidRDefault="002732CD" w:rsidP="002732CD">
      <w:r>
        <w:t xml:space="preserve">The hospitality organisation maintains a corporate culture focused on innovation and global inclusivity. The organisation's culture is committed to providing exceptional service and impactful experiences to its guests. The approach helps devise a consumer-centric thought process integral to the hospitality industry (Emerald, 2023). IHG focuses on maintaining diversity, inclusion, and equity in all sustainability prospects and employees' will. These organisational cultures help align the organisation's contemporary values with societal expectations. A practical comparison of the cultural aspects against the theoretical framework of the organisation helps provide and understand the levels of culture. According to Edgar Schein's model, the value of artefacts and espoused values is based on the significance of assumptions regarding the focus of hospitality innovation and inclusivity. Applying these values helps manifest global operations, community engagement, and marketing strategies that serve visibly for cultural benefits (Antón and Almeida, 2019). The impact of the underlying exams helps include beliefs and the importance of diversity and environmental fostering. The process helps to develop creativity to maintain hospitality's role in promoting connections and supporting diversity in background. </w:t>
      </w:r>
    </w:p>
    <w:p w14:paraId="5ECBCDFA" w14:textId="77777777" w:rsidR="002732CD" w:rsidRDefault="002732CD" w:rsidP="002732CD">
      <w:r>
        <w:t xml:space="preserve">The organisational culture at IHG helps align the topology by Charles Handy for resembling “person culture.” Culture helps establish the freedom of expressing oneself for innovation. The organisation emphasises the empowerment of its employees by encouraging multiple initiatives. </w:t>
      </w:r>
      <w:r>
        <w:lastRenderedPageBreak/>
        <w:t xml:space="preserve">They also support the contribution of ideas and enhance the guest experience by maintaining operational efficiency (Kandampully, Zhang, and Jaakkola, 2018). The significance of group culture helps in reflecting on the blend of adhocracy and market persistence. Cameron and Quinn support the impact of these cultures through the process of computing values framework. The focus of this culture helps drive innovation to a competitive age within the hospitality industry. The hotel signifies a commitment to sustainability and maintaining DIE initiatives in the evening, illustrating responsiveness to societal values.  </w:t>
      </w:r>
    </w:p>
    <w:p w14:paraId="4BA9CCA8" w14:textId="77777777" w:rsidR="002732CD" w:rsidRDefault="002732CD" w:rsidP="002732CD">
      <w:pPr>
        <w:rPr>
          <w:i/>
        </w:rPr>
      </w:pPr>
      <w:r>
        <w:rPr>
          <w:i/>
        </w:rPr>
        <w:t>Goals, Vision and Aim of the Organization</w:t>
      </w:r>
    </w:p>
    <w:p w14:paraId="4C1D24E5" w14:textId="77777777" w:rsidR="002732CD" w:rsidRDefault="002732CD" w:rsidP="002732CD">
      <w:r>
        <w:t xml:space="preserve">The organisation's articulation of clear business goals and the maintenance of objectives in implementing sustainability determine the organisation's ability to be a global hospitality leader. The maintenance of industry norms to ensure responsible environmental stewardship and the maintenance of social responsibilities also envisions the organisation for a blooming future. The vision of the hotel is to deliver genuine hospitality to every individual. The organisation's mission is to understand commitment regarding the providence of genuineness and structure of caring services to guests' community and their employees (Rivera, 2019). The significance of the vision helps the operations analyse the maintenance of a specific series of strategic objectives. The objective includes encompassing financial performance—the growth of sustainability procedures and the maintenance of corporate social responsibility. </w:t>
      </w:r>
    </w:p>
    <w:p w14:paraId="151D3332" w14:textId="77777777" w:rsidR="002732CD" w:rsidRDefault="002732CD" w:rsidP="002732CD">
      <w:r>
        <w:rPr>
          <w:i/>
        </w:rPr>
        <w:t>Growth and Expansion:</w:t>
      </w:r>
      <w:r>
        <w:t xml:space="preserve"> The organisation aims to extend its footprint by increasing the Global reach of the frequency of properties. The approach also helps focus on the key market segments and enhances high growth potential (Rengel Jara, Babb and Flohr, 2019). The process includes the impact of organic growth processes and acquisitions to improve a better portfolio. </w:t>
      </w:r>
    </w:p>
    <w:p w14:paraId="1C41BC04" w14:textId="77777777" w:rsidR="002732CD" w:rsidRDefault="002732CD" w:rsidP="002732CD">
      <w:r>
        <w:rPr>
          <w:i/>
        </w:rPr>
        <w:t>Improve Guest Experience:</w:t>
      </w:r>
      <w:r>
        <w:t xml:space="preserve"> The key objective is to implement advantage in technology and enhance innovation towards guest experience Signify. IHG, as an exclusive brand, invests in implementing digital platforms and services to enable better-personalised guest experience and interaction processes to maintain operational efficiency.</w:t>
      </w:r>
    </w:p>
    <w:p w14:paraId="20D6976F" w14:textId="77777777" w:rsidR="002732CD" w:rsidRDefault="002732CD" w:rsidP="002732CD">
      <w:r>
        <w:rPr>
          <w:i/>
        </w:rPr>
        <w:t>Enhance Employee Development:</w:t>
      </w:r>
      <w:r>
        <w:t xml:space="preserve"> The implementation of IHG places help signify a strong emphasis on developing an enabling workforce. The process helps attract and retain talent nurturing. It also helps provide opportunities for growth in leadership and training processes. </w:t>
      </w:r>
    </w:p>
    <w:p w14:paraId="637C36B8" w14:textId="77777777" w:rsidR="002732CD" w:rsidRDefault="002732CD" w:rsidP="002732CD">
      <w:r>
        <w:rPr>
          <w:i/>
        </w:rPr>
        <w:t>Strategic sustainability:</w:t>
      </w:r>
      <w:r>
        <w:t xml:space="preserve"> The organisation's strategy for sustainability initiatives is committed to reducing its environmental footprint (Gursoy and Chi, 2020). The legacy of the “Journey to </w:t>
      </w:r>
      <w:r>
        <w:lastRenderedPageBreak/>
        <w:t xml:space="preserve">Tomorrow” has been one of the inclusive targets to minimise carbon emissions, which are generation and water usage by the organisation. The significance of the ambitious goal is to achieve a net zero carbon footprint by 2050 to combat climate change. </w:t>
      </w:r>
    </w:p>
    <w:p w14:paraId="2F4C0FEE" w14:textId="77777777" w:rsidR="002732CD" w:rsidRDefault="002732CD" w:rsidP="002732CD">
      <w:r>
        <w:rPr>
          <w:i/>
        </w:rPr>
        <w:t>Implement diversity and Inclusion:</w:t>
      </w:r>
      <w:r>
        <w:t xml:space="preserve"> The implementation of sustainability is based on promoting diversity, equity, and inclusion. The significance of it is that a better workforce culture and operational position helps to provide a strategic priority. Creating an inclusive culture reflects the organisation's maintenance of diverse communities. </w:t>
      </w:r>
    </w:p>
    <w:p w14:paraId="140BE432" w14:textId="77777777" w:rsidR="002732CD" w:rsidRDefault="002732CD" w:rsidP="002732CD">
      <w:pPr>
        <w:rPr>
          <w:i/>
        </w:rPr>
      </w:pPr>
      <w:r>
        <w:rPr>
          <w:i/>
        </w:rPr>
        <w:t>Observation of Changes in Strategies</w:t>
      </w:r>
    </w:p>
    <w:p w14:paraId="273E17A0" w14:textId="77777777" w:rsidR="002732CD" w:rsidRDefault="002732CD" w:rsidP="002732CD">
      <w:r>
        <w:t>The hotel has significantly changed multiple initiatives to strengthen its market position. The process helps enhance operations and address market trends. It also supports economic factors by strategizing organisations' adaptive approach towards dynamic hospitality.</w:t>
      </w:r>
    </w:p>
    <w:p w14:paraId="141D1737" w14:textId="77777777" w:rsidR="002732CD" w:rsidRDefault="002732CD" w:rsidP="002732CD">
      <w:r>
        <w:t xml:space="preserve">In the case of digital transformations, the observations can be identified according to the initiative rationale and the driving force. The organisation is focused on accelerating digital transformation by maintaining digital platforms and mobile services to engage the consumer experience. The process includes rolling out new reservation systems framed according to the style of the IHG concerto (Hallin and Marnburg, 2019). The rationale behind the process helps provide digital innovation regarding the application, which stems from meeting the growing expectations of travellers. Providing a significant and personalised experience is also supported by the aim of improving operational efficiency and maintaining data analytic capabilities. The impact of the driving force is based on the identification of market trends that are relevant to implementing digitalisation. Enhancing increased competition and maintaining online Travel agencies help direct consumer engagement against significant drivers. </w:t>
      </w:r>
    </w:p>
    <w:p w14:paraId="3B105466" w14:textId="77777777" w:rsidR="002732CD" w:rsidRDefault="002732CD" w:rsidP="002732CD">
      <w:r>
        <w:rPr>
          <w:i/>
        </w:rPr>
        <w:t xml:space="preserve">Social And Sustainable Responsibilities: </w:t>
      </w:r>
      <w:r>
        <w:t xml:space="preserve">The initiative towards the maintenance of sustainability and Social Responsibility in the implication of ambitious goals to maintain the “Journey to Tomorrow.” The plan focuses on the reduction of carbon emissions and the elimination of single-use items. The rationale behind the strategy is initiated by the response of increasing consumers and the impact of stakeholders on assertive environment-friendly work structures. The rationale aims to mitigate environmental impact by aligning global sustainability goals (Rawal, 2022). The regulatory pressures and the changes in global shifts towards sustainability tourism signify the driving force of the process. </w:t>
      </w:r>
    </w:p>
    <w:p w14:paraId="7C82A877" w14:textId="77777777" w:rsidR="002732CD" w:rsidRDefault="002732CD" w:rsidP="002732CD">
      <w:pPr>
        <w:rPr>
          <w:i/>
        </w:rPr>
      </w:pPr>
      <w:r>
        <w:rPr>
          <w:i/>
        </w:rPr>
        <w:t>Analysis of Business Performance</w:t>
      </w:r>
    </w:p>
    <w:p w14:paraId="3B85CE26" w14:textId="77777777" w:rsidR="002732CD" w:rsidRDefault="002732CD" w:rsidP="002732CD">
      <w:r>
        <w:lastRenderedPageBreak/>
        <w:t xml:space="preserve">The organisation has significantly demonstrated resilience and adaptability while facing the challenges of the global hospitality industry. The inclusion is the unprecedented impact of the pandemic on the strategic direction of recent business performance. The recovery and growth must leverage the competitive advantages of the organisation. The brand's business performance has grown significantly after the pandemic (Heimerl </w:t>
      </w:r>
      <w:r>
        <w:rPr>
          <w:i/>
        </w:rPr>
        <w:t>et al.</w:t>
      </w:r>
      <w:r>
        <w:t>, 2020). The financial reports improvise upon the gradual increase of Occupancy rates and the maintenance of the RevPAR value. The approach enables a vision of travel demand to Rebound in these conditions. The maintenance of a diversified portfolio helps span the mainstream segments of luxury. It also helps set Global footprints based on the instrumental recovery of capitalising over the regional travel boom. The factors constrain the significance of domestic tourism and international travel.</w:t>
      </w:r>
    </w:p>
    <w:p w14:paraId="17425775" w14:textId="77777777" w:rsidR="002732CD" w:rsidRDefault="002732CD" w:rsidP="002732CD">
      <w:r>
        <w:t xml:space="preserve">The development of a SWOT analysis would help in determining the strategic direction of IHG hotels in maintaining transformation and sustainability. The organisation's expansion signifies its presence in critical luxury and lifestyle markets. The impact of digital transformation also enables better initiatives for booking platforms and consumer engagement processes. </w:t>
      </w:r>
    </w:p>
    <w:p w14:paraId="6721DA33" w14:textId="77777777" w:rsidR="002732CD" w:rsidRDefault="002732CD" w:rsidP="002732CD"/>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732CD" w14:paraId="0689FDE2" w14:textId="77777777" w:rsidTr="002732CD">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BCC74C" w14:textId="77777777" w:rsidR="002732CD" w:rsidRDefault="002732CD">
            <w:pPr>
              <w:widowControl w:val="0"/>
              <w:rPr>
                <w:b/>
                <w:i/>
              </w:rPr>
            </w:pPr>
            <w:r>
              <w:rPr>
                <w:b/>
                <w:i/>
              </w:rPr>
              <w:t>Strengths</w:t>
            </w:r>
          </w:p>
          <w:p w14:paraId="1D367040" w14:textId="77777777" w:rsidR="002732CD" w:rsidRDefault="002732CD" w:rsidP="001105CE">
            <w:pPr>
              <w:widowControl w:val="0"/>
              <w:numPr>
                <w:ilvl w:val="0"/>
                <w:numId w:val="1"/>
              </w:numPr>
            </w:pPr>
            <w:r>
              <w:t>Maintenance of a divorce portfolio</w:t>
            </w:r>
          </w:p>
          <w:p w14:paraId="4C7CFF39" w14:textId="77777777" w:rsidR="002732CD" w:rsidRDefault="002732CD" w:rsidP="001105CE">
            <w:pPr>
              <w:widowControl w:val="0"/>
              <w:numPr>
                <w:ilvl w:val="0"/>
                <w:numId w:val="1"/>
              </w:numPr>
            </w:pPr>
            <w:r>
              <w:t xml:space="preserve"> enabling effective Global presence</w:t>
            </w:r>
          </w:p>
          <w:p w14:paraId="7257FB7B" w14:textId="77777777" w:rsidR="002732CD" w:rsidRDefault="002732CD" w:rsidP="001105CE">
            <w:pPr>
              <w:widowControl w:val="0"/>
              <w:numPr>
                <w:ilvl w:val="0"/>
                <w:numId w:val="1"/>
              </w:numPr>
            </w:pPr>
            <w:r>
              <w:t xml:space="preserve"> development of loyalty programs to enhance consumer retention</w:t>
            </w:r>
            <w:r>
              <w:tab/>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578C5B" w14:textId="77777777" w:rsidR="002732CD" w:rsidRDefault="002732CD">
            <w:pPr>
              <w:widowControl w:val="0"/>
              <w:rPr>
                <w:b/>
                <w:i/>
              </w:rPr>
            </w:pPr>
            <w:r>
              <w:rPr>
                <w:b/>
                <w:i/>
              </w:rPr>
              <w:t>Weaknesses</w:t>
            </w:r>
          </w:p>
          <w:p w14:paraId="1DB03D7A" w14:textId="77777777" w:rsidR="002732CD" w:rsidRDefault="002732CD" w:rsidP="001105CE">
            <w:pPr>
              <w:widowControl w:val="0"/>
              <w:numPr>
                <w:ilvl w:val="0"/>
                <w:numId w:val="2"/>
              </w:numPr>
            </w:pPr>
            <w:r>
              <w:t>High dependency on a franchise model</w:t>
            </w:r>
          </w:p>
          <w:p w14:paraId="0D333090" w14:textId="77777777" w:rsidR="002732CD" w:rsidRDefault="002732CD" w:rsidP="001105CE">
            <w:pPr>
              <w:widowControl w:val="0"/>
              <w:numPr>
                <w:ilvl w:val="0"/>
                <w:numId w:val="2"/>
              </w:numPr>
            </w:pPr>
            <w:r>
              <w:t xml:space="preserve"> distortions due to the impact of the pandemic</w:t>
            </w:r>
          </w:p>
          <w:p w14:paraId="7FDAC379" w14:textId="77777777" w:rsidR="002732CD" w:rsidRDefault="002732CD" w:rsidP="001105CE">
            <w:pPr>
              <w:widowControl w:val="0"/>
              <w:numPr>
                <w:ilvl w:val="0"/>
                <w:numId w:val="2"/>
              </w:numPr>
            </w:pPr>
            <w:r>
              <w:t xml:space="preserve"> necessity of performance according to industrial adjustment</w:t>
            </w:r>
          </w:p>
        </w:tc>
      </w:tr>
      <w:tr w:rsidR="002732CD" w14:paraId="79EAF38C" w14:textId="77777777" w:rsidTr="002732CD">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DD8391" w14:textId="77777777" w:rsidR="002732CD" w:rsidRDefault="002732CD">
            <w:pPr>
              <w:widowControl w:val="0"/>
              <w:rPr>
                <w:b/>
                <w:i/>
              </w:rPr>
            </w:pPr>
            <w:r>
              <w:rPr>
                <w:b/>
                <w:i/>
              </w:rPr>
              <w:t>Opportunities</w:t>
            </w:r>
          </w:p>
          <w:p w14:paraId="2B0D41EC" w14:textId="77777777" w:rsidR="002732CD" w:rsidRDefault="002732CD" w:rsidP="001105CE">
            <w:pPr>
              <w:widowControl w:val="0"/>
              <w:numPr>
                <w:ilvl w:val="0"/>
                <w:numId w:val="3"/>
              </w:numPr>
            </w:pPr>
            <w:r>
              <w:t>The maintenance of emerging markets according to regions</w:t>
            </w:r>
          </w:p>
          <w:p w14:paraId="36A6B21B" w14:textId="77777777" w:rsidR="002732CD" w:rsidRDefault="002732CD" w:rsidP="001105CE">
            <w:pPr>
              <w:widowControl w:val="0"/>
              <w:numPr>
                <w:ilvl w:val="0"/>
                <w:numId w:val="3"/>
              </w:numPr>
            </w:pPr>
            <w:r>
              <w:t xml:space="preserve"> significance of sustainability leadership to enhance brand reputation</w:t>
            </w:r>
          </w:p>
          <w:p w14:paraId="340B9891" w14:textId="77777777" w:rsidR="002732CD" w:rsidRDefault="002732CD" w:rsidP="001105CE">
            <w:pPr>
              <w:widowControl w:val="0"/>
              <w:numPr>
                <w:ilvl w:val="0"/>
                <w:numId w:val="3"/>
              </w:numPr>
            </w:pPr>
            <w:r>
              <w:t xml:space="preserve"> position as a leader in the hospitality industry</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E8B596" w14:textId="77777777" w:rsidR="002732CD" w:rsidRDefault="002732CD">
            <w:pPr>
              <w:widowControl w:val="0"/>
              <w:rPr>
                <w:b/>
                <w:i/>
              </w:rPr>
            </w:pPr>
            <w:r>
              <w:rPr>
                <w:b/>
                <w:i/>
              </w:rPr>
              <w:t>Threats</w:t>
            </w:r>
          </w:p>
          <w:p w14:paraId="698B1D32" w14:textId="77777777" w:rsidR="002732CD" w:rsidRDefault="002732CD" w:rsidP="001105CE">
            <w:pPr>
              <w:widowControl w:val="0"/>
              <w:numPr>
                <w:ilvl w:val="0"/>
                <w:numId w:val="4"/>
              </w:numPr>
            </w:pPr>
            <w:r>
              <w:t>The presence of highly competitive pressure</w:t>
            </w:r>
          </w:p>
          <w:p w14:paraId="18EC01F9" w14:textId="77777777" w:rsidR="002732CD" w:rsidRDefault="002732CD" w:rsidP="001105CE">
            <w:pPr>
              <w:widowControl w:val="0"/>
              <w:numPr>
                <w:ilvl w:val="0"/>
                <w:numId w:val="4"/>
              </w:numPr>
            </w:pPr>
            <w:r>
              <w:t xml:space="preserve"> possible economic down terms based on global uncertainty</w:t>
            </w:r>
          </w:p>
          <w:p w14:paraId="31147C22" w14:textId="77777777" w:rsidR="002732CD" w:rsidRDefault="002732CD" w:rsidP="001105CE">
            <w:pPr>
              <w:widowControl w:val="0"/>
              <w:numPr>
                <w:ilvl w:val="0"/>
                <w:numId w:val="4"/>
              </w:numPr>
            </w:pPr>
            <w:r>
              <w:t xml:space="preserve"> Low requirement of travel during extreme conditions</w:t>
            </w:r>
          </w:p>
        </w:tc>
      </w:tr>
    </w:tbl>
    <w:p w14:paraId="458E41D6" w14:textId="77777777" w:rsidR="002732CD" w:rsidRDefault="002732CD" w:rsidP="002732CD">
      <w:pPr>
        <w:jc w:val="center"/>
        <w:rPr>
          <w:lang w:eastAsia="en-IN"/>
        </w:rPr>
      </w:pPr>
      <w:r>
        <w:t>Table 1: SWOT analysis of IHG Hotels</w:t>
      </w:r>
    </w:p>
    <w:p w14:paraId="7D8091DE" w14:textId="77777777" w:rsidR="002732CD" w:rsidRDefault="002732CD" w:rsidP="002732CD">
      <w:pPr>
        <w:jc w:val="center"/>
      </w:pPr>
      <w:r>
        <w:t>(Source: Self-developed)</w:t>
      </w:r>
    </w:p>
    <w:p w14:paraId="4868FDC4" w14:textId="77777777" w:rsidR="002732CD" w:rsidRDefault="002732CD" w:rsidP="002732CD">
      <w:pPr>
        <w:rPr>
          <w:i/>
        </w:rPr>
      </w:pPr>
      <w:r>
        <w:rPr>
          <w:i/>
        </w:rPr>
        <w:lastRenderedPageBreak/>
        <w:t>Audit Process</w:t>
      </w:r>
    </w:p>
    <w:p w14:paraId="7EDC1573" w14:textId="77777777" w:rsidR="002732CD" w:rsidRDefault="002732CD" w:rsidP="002732CD">
      <w:r>
        <w:t xml:space="preserve">The audit process for the IHG group of hotels has been conducted by implementing a comprehensive review of publicly available information. The process involved the analysis of the annual report, sustainability reports, reputed industry analysis, and press releases. The focus on the key areas is signified by understanding the organisational structure, the business goals and objectives, change initiatives, strategic directions, effective business performance and the organisation's corporate culture (Batchenko </w:t>
      </w:r>
      <w:r>
        <w:rPr>
          <w:i/>
        </w:rPr>
        <w:t>et al.</w:t>
      </w:r>
      <w:r>
        <w:t xml:space="preserve">, 2023). The methodology signifies quality in the strategic positioning and the operation dynamics against the market challenges for the organisation. </w:t>
      </w:r>
    </w:p>
    <w:p w14:paraId="5C2FE765" w14:textId="77777777" w:rsidR="002732CD" w:rsidRDefault="002732CD" w:rsidP="002732CD">
      <w:pPr>
        <w:rPr>
          <w:i/>
        </w:rPr>
      </w:pPr>
      <w:r>
        <w:rPr>
          <w:i/>
        </w:rPr>
        <w:t>Recommendations</w:t>
      </w:r>
    </w:p>
    <w:p w14:paraId="34CCE908" w14:textId="77777777" w:rsidR="002732CD" w:rsidRDefault="002732CD" w:rsidP="002732CD">
      <w:r>
        <w:t xml:space="preserve">According to the audit process findings, the organisation should consider enhancing the implementation of digital transformation initiatives. The increase in leveraging Technology can help create a better-personalised guest experience. Expanding sustainability efforts can help position the organisation within the competitive market. It also helps address the consumer demand for environmental responsibility and increases the preference for operational travel. The focus of expansion emerges through providing compelling growth opportunities particular to specific regions. </w:t>
      </w:r>
    </w:p>
    <w:p w14:paraId="34149B7E" w14:textId="77777777" w:rsidR="002732CD" w:rsidRDefault="002732CD" w:rsidP="002732CD">
      <w:pPr>
        <w:pStyle w:val="Heading1"/>
      </w:pPr>
      <w:bookmarkStart w:id="4" w:name="_rwqyqxwf8efu"/>
      <w:bookmarkEnd w:id="4"/>
      <w:r>
        <w:t>Conclusion</w:t>
      </w:r>
    </w:p>
    <w:p w14:paraId="159E0479" w14:textId="77777777" w:rsidR="002732CD" w:rsidRDefault="002732CD" w:rsidP="002732CD">
      <w:r>
        <w:t xml:space="preserve">It can be effectively concluded that the concept of highlighting organisational robustness is enabled by recovering digital transformation strategies. The implementation of sustainability and global expansion has been among the organisation's most effective approaches. The implementation of a diversified and practical innovation in sustainability orders can be helpful. The organisation has been impressing audit insights for studying the operations, sustainable growth and market. It has been crucial to delivering the IHG brand's better-evolving process for the Global Hospitality industry. </w:t>
      </w:r>
    </w:p>
    <w:p w14:paraId="6A1E454F" w14:textId="77777777" w:rsidR="002732CD" w:rsidRDefault="002732CD" w:rsidP="002732CD">
      <w:pPr>
        <w:pStyle w:val="Heading1"/>
      </w:pPr>
      <w:r>
        <w:rPr>
          <w:b w:val="0"/>
        </w:rPr>
        <w:br w:type="page"/>
      </w:r>
      <w:bookmarkStart w:id="5" w:name="_yzdh5c27h26h"/>
      <w:bookmarkEnd w:id="5"/>
    </w:p>
    <w:p w14:paraId="2655E01C" w14:textId="77777777" w:rsidR="002732CD" w:rsidRDefault="002732CD" w:rsidP="002732CD">
      <w:pPr>
        <w:pStyle w:val="Heading1"/>
      </w:pPr>
      <w:bookmarkStart w:id="6" w:name="_dti8afi4p6cu"/>
      <w:bookmarkEnd w:id="6"/>
      <w:r>
        <w:lastRenderedPageBreak/>
        <w:t>References</w:t>
      </w:r>
    </w:p>
    <w:p w14:paraId="4783680A" w14:textId="77777777" w:rsidR="002732CD" w:rsidRDefault="002732CD" w:rsidP="002732CD">
      <w:pPr>
        <w:spacing w:after="240"/>
      </w:pPr>
      <w:r>
        <w:t xml:space="preserve">Antón, R. and Almeida, A. (2019) ‘The Circular Economy Strategy in Hospitality: A Multicase Approach’, </w:t>
      </w:r>
      <w:r>
        <w:rPr>
          <w:i/>
        </w:rPr>
        <w:t>Sustainability</w:t>
      </w:r>
      <w:r>
        <w:t>, 11(20), p. 5665. doi: https://doi.org/10.3390/su11205665.</w:t>
      </w:r>
    </w:p>
    <w:p w14:paraId="173B279E" w14:textId="77777777" w:rsidR="002732CD" w:rsidRDefault="002732CD" w:rsidP="002732CD">
      <w:pPr>
        <w:spacing w:after="240"/>
      </w:pPr>
      <w:r>
        <w:t xml:space="preserve">Batchenko, L. </w:t>
      </w:r>
      <w:r>
        <w:rPr>
          <w:i/>
        </w:rPr>
        <w:t>et al.</w:t>
      </w:r>
      <w:r>
        <w:t xml:space="preserve"> (2023) ‘Formation of a Business Idea for the Development of Hospitality Industry Enterprises in Crisis Conditions’, </w:t>
      </w:r>
      <w:r>
        <w:rPr>
          <w:i/>
        </w:rPr>
        <w:t>International Journal of Professional Business Review</w:t>
      </w:r>
      <w:r>
        <w:t>, 8(2), p. e1141. doi: https://doi.org/10.26668/businessreview/2023.v8i2.1541.</w:t>
      </w:r>
    </w:p>
    <w:p w14:paraId="536BA606" w14:textId="77777777" w:rsidR="002732CD" w:rsidRDefault="002732CD" w:rsidP="002732CD">
      <w:pPr>
        <w:spacing w:after="240"/>
      </w:pPr>
      <w:r>
        <w:t xml:space="preserve">Emerald (2023) ‘Recruitment goes into overdrive as InterContinental Hotels battles for talent’, </w:t>
      </w:r>
      <w:r>
        <w:rPr>
          <w:i/>
        </w:rPr>
        <w:t>Human Resource Management International Digest</w:t>
      </w:r>
      <w:r>
        <w:t>, 16(5), pp. 5–8. doi: https://doi.org/10.1108/09670730810888410.</w:t>
      </w:r>
    </w:p>
    <w:p w14:paraId="63CD14E9" w14:textId="77777777" w:rsidR="002732CD" w:rsidRDefault="002732CD" w:rsidP="002732CD">
      <w:pPr>
        <w:spacing w:after="240"/>
      </w:pPr>
      <w:r>
        <w:t xml:space="preserve">Group, E. (2022) ‘InterContinental Hotels Group finds merit in pay‐review reforms’, </w:t>
      </w:r>
      <w:r>
        <w:rPr>
          <w:i/>
        </w:rPr>
        <w:t>Human Resource Management International Digest</w:t>
      </w:r>
      <w:r>
        <w:t>, 14(2), pp. 32–33. doi: https://doi.org/10.1108/09670730610656923.</w:t>
      </w:r>
    </w:p>
    <w:p w14:paraId="4DA81B97" w14:textId="77777777" w:rsidR="002732CD" w:rsidRDefault="002732CD" w:rsidP="002732CD">
      <w:pPr>
        <w:spacing w:after="240"/>
      </w:pPr>
      <w:r>
        <w:t xml:space="preserve">Gursoy, D. and Chi, C. G. (2020) ‘Effects of COVID-19 pandemic on hospitality industry: review of the current situations and a research agenda’, </w:t>
      </w:r>
      <w:r>
        <w:rPr>
          <w:i/>
        </w:rPr>
        <w:t>Journal of Hospitality Marketing &amp; Management</w:t>
      </w:r>
      <w:r>
        <w:t>, 29(5), pp. 527–529. doi: https://doi.org/10.1080/19368623.2020.1788231.</w:t>
      </w:r>
    </w:p>
    <w:p w14:paraId="45374DBE" w14:textId="77777777" w:rsidR="002732CD" w:rsidRDefault="002732CD" w:rsidP="002732CD">
      <w:pPr>
        <w:spacing w:after="240"/>
      </w:pPr>
      <w:r>
        <w:t xml:space="preserve">Hallin, C. A. and Marnburg, E. (2019) ‘Knowledge management in the hospitality industry: A review of empirical research’, </w:t>
      </w:r>
      <w:r>
        <w:rPr>
          <w:i/>
        </w:rPr>
        <w:t>Tourism Management</w:t>
      </w:r>
      <w:r>
        <w:t>, 29(2), pp. 366–381. doi: https://doi.org/10.1016/j.tourman.2007.02.019.</w:t>
      </w:r>
    </w:p>
    <w:p w14:paraId="75AE3C59" w14:textId="77777777" w:rsidR="002732CD" w:rsidRDefault="002732CD" w:rsidP="002732CD">
      <w:pPr>
        <w:spacing w:after="240"/>
      </w:pPr>
      <w:r>
        <w:t xml:space="preserve">Heimerl, P. </w:t>
      </w:r>
      <w:r>
        <w:rPr>
          <w:i/>
        </w:rPr>
        <w:t>et al.</w:t>
      </w:r>
      <w:r>
        <w:t xml:space="preserve"> (2020) ‘Factors Influencing Job Satisfaction in Hospitality Industry’, </w:t>
      </w:r>
      <w:r>
        <w:rPr>
          <w:i/>
        </w:rPr>
        <w:t>SAGE Open</w:t>
      </w:r>
      <w:r>
        <w:t>, 10(4), p. 215824402098299. doi: https://doi.org/10.1177/2158244020982998.</w:t>
      </w:r>
    </w:p>
    <w:p w14:paraId="384E29BA" w14:textId="77777777" w:rsidR="002732CD" w:rsidRDefault="002732CD" w:rsidP="002732CD">
      <w:pPr>
        <w:spacing w:after="240"/>
      </w:pPr>
      <w:r>
        <w:t xml:space="preserve">Jones, P. (2020) ‘A “sound strategy” for Intercontinental Hotels’, </w:t>
      </w:r>
      <w:r>
        <w:rPr>
          <w:i/>
        </w:rPr>
        <w:t>Tourism and Hospitality Research</w:t>
      </w:r>
      <w:r>
        <w:t>, 9(3), pp. 271–276. Available at: https://www.jstor.org/stable/23745363 (Accessed: 26 February 2024).</w:t>
      </w:r>
    </w:p>
    <w:p w14:paraId="29A3A71A" w14:textId="77777777" w:rsidR="002732CD" w:rsidRDefault="002732CD" w:rsidP="002732CD">
      <w:pPr>
        <w:spacing w:after="240"/>
      </w:pPr>
      <w:r>
        <w:t xml:space="preserve">Journals, M. (2021) ‘A Case Study of Knowledge Management Practices at the Intercontinental Hotels’ Group’, </w:t>
      </w:r>
      <w:r>
        <w:rPr>
          <w:i/>
        </w:rPr>
        <w:t>ijthr</w:t>
      </w:r>
      <w:r>
        <w:t xml:space="preserve">. Available at: </w:t>
      </w:r>
      <w:r>
        <w:lastRenderedPageBreak/>
        <w:t>https://www.academia.edu/45642919/A_Case_Study_Of_Knowledge_Management_Practices_At_The_Intercontinental_Hotels_Group (Accessed: 26 February 2024).</w:t>
      </w:r>
    </w:p>
    <w:p w14:paraId="064E64D2" w14:textId="77777777" w:rsidR="002732CD" w:rsidRDefault="002732CD" w:rsidP="002732CD">
      <w:pPr>
        <w:spacing w:after="240"/>
      </w:pPr>
      <w:r>
        <w:t xml:space="preserve">Kandampully, J., Zhang, T. and Jaakkola, E. (2018) ‘Customer Experience Management in Hospitality’, </w:t>
      </w:r>
      <w:r>
        <w:rPr>
          <w:i/>
        </w:rPr>
        <w:t>International Journal of Contemporary Hospitality Management</w:t>
      </w:r>
      <w:r>
        <w:t>, 30(1), pp. 21–56. doi: https://doi.org/10.1108/ijchm-10-2015-0549.</w:t>
      </w:r>
    </w:p>
    <w:p w14:paraId="087E6DA3" w14:textId="77777777" w:rsidR="002732CD" w:rsidRDefault="002732CD" w:rsidP="002732CD">
      <w:pPr>
        <w:spacing w:after="240"/>
      </w:pPr>
      <w:r>
        <w:t xml:space="preserve">Rawal, Y. S. (2022) </w:t>
      </w:r>
      <w:r>
        <w:rPr>
          <w:i/>
        </w:rPr>
        <w:t>Research in Tourism and Hospitality Management</w:t>
      </w:r>
      <w:r>
        <w:t>. Edited by Y. S. Rawal, H. Soni, and R. Dani. AIJR Publisher. doi: https://doi.org/10.21467/books.134.</w:t>
      </w:r>
    </w:p>
    <w:p w14:paraId="7540B32B" w14:textId="77777777" w:rsidR="002732CD" w:rsidRDefault="002732CD" w:rsidP="002732CD">
      <w:pPr>
        <w:spacing w:after="240"/>
      </w:pPr>
      <w:r>
        <w:t xml:space="preserve">Rengel Jara, E. V., Babb, J. W. and Flohr, T. M. (2019) ‘Status and scope of project management in the hospitality industry’, </w:t>
      </w:r>
      <w:r>
        <w:rPr>
          <w:i/>
        </w:rPr>
        <w:t>International Hospitality Review</w:t>
      </w:r>
      <w:r>
        <w:t>, ahead-of-print(ahead-of-print). doi: https://doi.org/10.1108/ihr-09-2019-0016.</w:t>
      </w:r>
    </w:p>
    <w:p w14:paraId="4E267839" w14:textId="77777777" w:rsidR="002732CD" w:rsidRDefault="002732CD" w:rsidP="002732CD">
      <w:pPr>
        <w:spacing w:after="240"/>
      </w:pPr>
      <w:r>
        <w:t xml:space="preserve">Rivera, M. (2019) </w:t>
      </w:r>
      <w:r>
        <w:rPr>
          <w:i/>
        </w:rPr>
        <w:t>International Journal of Hospitality Management | ScienceDirect.com</w:t>
      </w:r>
      <w:r>
        <w:t xml:space="preserve">, </w:t>
      </w:r>
      <w:r>
        <w:rPr>
          <w:i/>
        </w:rPr>
        <w:t>Sciencedirect.com</w:t>
      </w:r>
      <w:r>
        <w:t>. Available at: https://www.sciencedirect.com/journal/international-journal-of-hospitality-management (Accessed: 26 February 2024).</w:t>
      </w:r>
    </w:p>
    <w:p w14:paraId="34DF096F" w14:textId="77777777" w:rsidR="002732CD" w:rsidRDefault="002732CD" w:rsidP="002732CD">
      <w:pPr>
        <w:spacing w:after="240"/>
      </w:pPr>
      <w:r>
        <w:t xml:space="preserve">Voegeli, C. (2021) ‘A Case Study Of Knowledge Management Practices At The Intercontinental Hotels’ Group’, </w:t>
      </w:r>
      <w:r>
        <w:rPr>
          <w:i/>
        </w:rPr>
        <w:t>International Journal of Tourism &amp; Hospitality Reviews</w:t>
      </w:r>
      <w:r>
        <w:t>, 8(1), pp. 17–29. doi: https://doi.org/10.18510/ijthr.2021.812.</w:t>
      </w:r>
    </w:p>
    <w:p w14:paraId="6B79C249" w14:textId="77777777" w:rsidR="002732CD" w:rsidRDefault="002732CD" w:rsidP="002732CD">
      <w:pPr>
        <w:spacing w:after="240"/>
      </w:pPr>
      <w:r>
        <w:t xml:space="preserve">Zhao, Y. (2020) ‘Report on Hotel Revenue and IHG’s Improvement Plan during COVID-19’, </w:t>
      </w:r>
      <w:r>
        <w:rPr>
          <w:i/>
        </w:rPr>
        <w:t>Research in Economics and Management</w:t>
      </w:r>
      <w:r>
        <w:t xml:space="preserve">, 5(4), p. p164. doi: </w:t>
      </w:r>
      <w:hyperlink r:id="rId11" w:history="1">
        <w:r>
          <w:rPr>
            <w:rStyle w:val="Hyperlink"/>
          </w:rPr>
          <w:t>https://doi.org/10.22158/rem.v5n4p164</w:t>
        </w:r>
      </w:hyperlink>
      <w:r>
        <w:t>.</w:t>
      </w:r>
    </w:p>
    <w:p w14:paraId="391F57FE" w14:textId="77777777" w:rsidR="002732CD" w:rsidRDefault="002732CD" w:rsidP="002732CD">
      <w:pPr>
        <w:pStyle w:val="NormalWeb"/>
        <w:spacing w:before="0" w:beforeAutospacing="0" w:after="240" w:afterAutospacing="0" w:line="360" w:lineRule="auto"/>
        <w:jc w:val="both"/>
      </w:pPr>
      <w:r>
        <w:t xml:space="preserve">IHG (2024) </w:t>
      </w:r>
      <w:r>
        <w:rPr>
          <w:i/>
          <w:iCs/>
        </w:rPr>
        <w:t>Get Inspiration for Your Next Getaway</w:t>
      </w:r>
      <w:r>
        <w:t xml:space="preserve">, </w:t>
      </w:r>
      <w:r>
        <w:rPr>
          <w:i/>
          <w:iCs/>
        </w:rPr>
        <w:t>https://www.ihg.com/explore?fromRedirect=true&amp;qSrt=sAV&amp;setPMCookies=true&amp;dp=true&amp;gclid=CjwKCAiA0PuuBhBsEiwAS7fsNSPCPkUOKN6LX_-OX9zhEB6qZyjvCRynkXgW21winwT4Jd3hxzwH8hoCA1EQAvD_BwE&amp;cm_mmc=PDSEA-_-G_F-IMEA_FS-SWA_H-IMEA_HS-SWA_6C_BSF_EXM_CORE-IHG_EN&amp;srb_u=1</w:t>
      </w:r>
      <w:r>
        <w:t>. IHG Hotels.</w:t>
      </w:r>
    </w:p>
    <w:p w14:paraId="602E723C" w14:textId="77F34B5F" w:rsidR="00E501E2" w:rsidRDefault="00E501E2" w:rsidP="00E501E2">
      <w:pPr>
        <w:rPr>
          <w:b/>
          <w:sz w:val="50"/>
          <w:szCs w:val="50"/>
        </w:rPr>
      </w:pPr>
    </w:p>
    <w:p w14:paraId="6D862E15" w14:textId="77777777" w:rsidR="008D2975" w:rsidRDefault="008D2975">
      <w:bookmarkStart w:id="7" w:name="_ky0w7j93q8hz" w:colFirst="0" w:colLast="0"/>
      <w:bookmarkEnd w:id="7"/>
    </w:p>
    <w:p w14:paraId="070FEFDF" w14:textId="77777777" w:rsidR="002732CD" w:rsidRDefault="002732CD"/>
    <w:sectPr w:rsidR="002732CD" w:rsidSect="005B3A1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B4357"/>
    <w:multiLevelType w:val="multilevel"/>
    <w:tmpl w:val="4B824E5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67056EFD"/>
    <w:multiLevelType w:val="multilevel"/>
    <w:tmpl w:val="63EE047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69907D45"/>
    <w:multiLevelType w:val="multilevel"/>
    <w:tmpl w:val="1E12DA7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702F02CE"/>
    <w:multiLevelType w:val="multilevel"/>
    <w:tmpl w:val="A83CA3C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126339510">
    <w:abstractNumId w:val="3"/>
  </w:num>
  <w:num w:numId="2" w16cid:durableId="564728013">
    <w:abstractNumId w:val="0"/>
  </w:num>
  <w:num w:numId="3" w16cid:durableId="312177718">
    <w:abstractNumId w:val="1"/>
  </w:num>
  <w:num w:numId="4" w16cid:durableId="19506992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33C"/>
    <w:rsid w:val="001A0118"/>
    <w:rsid w:val="002732CD"/>
    <w:rsid w:val="004A25D4"/>
    <w:rsid w:val="0054233C"/>
    <w:rsid w:val="0059216D"/>
    <w:rsid w:val="005B3A1B"/>
    <w:rsid w:val="00784C31"/>
    <w:rsid w:val="007F57F9"/>
    <w:rsid w:val="008D2975"/>
    <w:rsid w:val="00A4245A"/>
    <w:rsid w:val="00B71959"/>
    <w:rsid w:val="00B91BD6"/>
    <w:rsid w:val="00DA5943"/>
    <w:rsid w:val="00E50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9B30C"/>
  <w15:chartTrackingRefBased/>
  <w15:docId w15:val="{13D7D95E-CAE9-4B0C-BCE1-501070AB4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1E2"/>
    <w:pPr>
      <w:spacing w:after="0" w:line="360" w:lineRule="auto"/>
      <w:jc w:val="both"/>
    </w:pPr>
    <w:rPr>
      <w:rFonts w:ascii="Times New Roman" w:eastAsia="Times New Roman" w:hAnsi="Times New Roman" w:cs="Times New Roman"/>
      <w:kern w:val="0"/>
      <w:sz w:val="24"/>
      <w:szCs w:val="24"/>
      <w:lang w:val="en" w:eastAsia="en-GB"/>
      <w14:ligatures w14:val="none"/>
    </w:rPr>
  </w:style>
  <w:style w:type="paragraph" w:styleId="Heading1">
    <w:name w:val="heading 1"/>
    <w:basedOn w:val="Normal"/>
    <w:next w:val="Normal"/>
    <w:link w:val="Heading1Char"/>
    <w:uiPriority w:val="9"/>
    <w:qFormat/>
    <w:rsid w:val="00E501E2"/>
    <w:pPr>
      <w:keepNext/>
      <w:keepLines/>
      <w:outlineLvl w:val="0"/>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01E2"/>
    <w:rPr>
      <w:rFonts w:ascii="Times New Roman" w:eastAsia="Times New Roman" w:hAnsi="Times New Roman" w:cs="Times New Roman"/>
      <w:b/>
      <w:kern w:val="0"/>
      <w:sz w:val="28"/>
      <w:szCs w:val="28"/>
      <w:lang w:val="en" w:eastAsia="en-GB"/>
      <w14:ligatures w14:val="none"/>
    </w:rPr>
  </w:style>
  <w:style w:type="character" w:styleId="Hyperlink">
    <w:name w:val="Hyperlink"/>
    <w:basedOn w:val="DefaultParagraphFont"/>
    <w:uiPriority w:val="99"/>
    <w:semiHidden/>
    <w:unhideWhenUsed/>
    <w:rsid w:val="002732CD"/>
    <w:rPr>
      <w:color w:val="0563C1" w:themeColor="hyperlink"/>
      <w:u w:val="single"/>
    </w:rPr>
  </w:style>
  <w:style w:type="paragraph" w:styleId="NormalWeb">
    <w:name w:val="Normal (Web)"/>
    <w:basedOn w:val="Normal"/>
    <w:uiPriority w:val="99"/>
    <w:semiHidden/>
    <w:unhideWhenUsed/>
    <w:rsid w:val="002732CD"/>
    <w:pPr>
      <w:spacing w:before="100" w:beforeAutospacing="1" w:after="100" w:afterAutospacing="1" w:line="240" w:lineRule="auto"/>
      <w:jc w:val="left"/>
    </w:pPr>
    <w:rPr>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420802">
      <w:bodyDiv w:val="1"/>
      <w:marLeft w:val="0"/>
      <w:marRight w:val="0"/>
      <w:marTop w:val="0"/>
      <w:marBottom w:val="0"/>
      <w:divBdr>
        <w:top w:val="none" w:sz="0" w:space="0" w:color="auto"/>
        <w:left w:val="none" w:sz="0" w:space="0" w:color="auto"/>
        <w:bottom w:val="none" w:sz="0" w:space="0" w:color="auto"/>
        <w:right w:val="none" w:sz="0" w:space="0" w:color="auto"/>
      </w:divBdr>
    </w:div>
    <w:div w:id="197683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radum\Downloads\Management%20and%20organisational%20behaviour%20assignment%202%20(Magda).doc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radum\Downloads\Management%20and%20organisational%20behaviour%20assignment%202%20(Magda).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radum\Downloads\Management%20and%20organisational%20behaviour%20assignment%202%20(Magda).docx" TargetMode="External"/><Relationship Id="rId11" Type="http://schemas.openxmlformats.org/officeDocument/2006/relationships/hyperlink" Target="https://doi.org/10.22158/rem.v5n4p164" TargetMode="External"/><Relationship Id="rId5" Type="http://schemas.openxmlformats.org/officeDocument/2006/relationships/image" Target="media/image1.pn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file:///C:\Users\radum\Downloads\Management%20and%20organisational%20behaviour%20assignment%202%20(Magda).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2968</Words>
  <Characters>16920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Radu</dc:creator>
  <cp:keywords/>
  <dc:description/>
  <cp:lastModifiedBy>Magda Radu</cp:lastModifiedBy>
  <cp:revision>7</cp:revision>
  <dcterms:created xsi:type="dcterms:W3CDTF">2024-02-20T20:23:00Z</dcterms:created>
  <dcterms:modified xsi:type="dcterms:W3CDTF">2024-03-01T16:47:00Z</dcterms:modified>
</cp:coreProperties>
</file>