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531069600"/>
        <w:docPartObj>
          <w:docPartGallery w:val="Cover Pages"/>
          <w:docPartUnique/>
        </w:docPartObj>
      </w:sdtPr>
      <w:sdtEndPr>
        <w:rPr>
          <w:rFonts w:ascii="Times New Roman" w:hAnsi="Times New Roman" w:cs="Times New Roman"/>
          <w:color w:val="000000" w:themeColor="text1"/>
          <w:sz w:val="24"/>
          <w:szCs w:val="24"/>
          <w:lang w:val="en-US"/>
        </w:rPr>
      </w:sdtEndPr>
      <w:sdtContent>
        <w:p w14:paraId="55965D65" w14:textId="3C874CFD" w:rsidR="00C514C1" w:rsidRDefault="00C514C1">
          <w:pPr>
            <w:pStyle w:val="NoSpacing"/>
            <w:spacing w:before="1540" w:after="240"/>
            <w:jc w:val="center"/>
            <w:rPr>
              <w:color w:val="4472C4" w:themeColor="accent1"/>
            </w:rPr>
          </w:pPr>
          <w:r>
            <w:rPr>
              <w:noProof/>
              <w:color w:val="4472C4" w:themeColor="accent1"/>
            </w:rPr>
            <w:drawing>
              <wp:inline distT="0" distB="0" distL="0" distR="0" wp14:anchorId="50D1C8A8" wp14:editId="1B0BB82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Calibri" w:hAnsi="Calibri"/>
              <w:b/>
              <w:sz w:val="96"/>
              <w:szCs w:val="96"/>
            </w:rPr>
            <w:alias w:val="Title"/>
            <w:tag w:val=""/>
            <w:id w:val="1735040861"/>
            <w:placeholder>
              <w:docPart w:val="815D9CD6248CF04A8CE7208EF2C9D0DF"/>
            </w:placeholder>
            <w:dataBinding w:prefixMappings="xmlns:ns0='http://purl.org/dc/elements/1.1/' xmlns:ns1='http://schemas.openxmlformats.org/package/2006/metadata/core-properties' " w:xpath="/ns1:coreProperties[1]/ns0:title[1]" w:storeItemID="{6C3C8BC8-F283-45AE-878A-BAB7291924A1}"/>
            <w:text/>
          </w:sdtPr>
          <w:sdtContent>
            <w:p w14:paraId="0489C024" w14:textId="42DAD35C" w:rsidR="00C514C1" w:rsidRPr="00C514C1" w:rsidRDefault="00C514C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96"/>
                  <w:szCs w:val="96"/>
                </w:rPr>
              </w:pPr>
              <w:r w:rsidRPr="00C514C1">
                <w:rPr>
                  <w:rFonts w:ascii="Calibri" w:hAnsi="Calibri"/>
                  <w:b/>
                  <w:sz w:val="96"/>
                  <w:szCs w:val="96"/>
                </w:rPr>
                <w:t>Analysis of the Financial Statements</w:t>
              </w:r>
              <w:r w:rsidRPr="00C514C1">
                <w:rPr>
                  <w:rFonts w:ascii="Calibri" w:hAnsi="Calibri"/>
                  <w:b/>
                  <w:sz w:val="96"/>
                  <w:szCs w:val="96"/>
                </w:rPr>
                <w:t xml:space="preserve"> of Hilton</w:t>
              </w:r>
            </w:p>
          </w:sdtContent>
        </w:sdt>
        <w:sdt>
          <w:sdtPr>
            <w:rPr>
              <w:color w:val="4472C4" w:themeColor="accent1"/>
              <w:sz w:val="28"/>
              <w:szCs w:val="28"/>
            </w:rPr>
            <w:alias w:val="Subtitle"/>
            <w:tag w:val=""/>
            <w:id w:val="328029620"/>
            <w:placeholder>
              <w:docPart w:val="639FC0C107884947A0FBB03843277084"/>
            </w:placeholder>
            <w:dataBinding w:prefixMappings="xmlns:ns0='http://purl.org/dc/elements/1.1/' xmlns:ns1='http://schemas.openxmlformats.org/package/2006/metadata/core-properties' " w:xpath="/ns1:coreProperties[1]/ns0:subject[1]" w:storeItemID="{6C3C8BC8-F283-45AE-878A-BAB7291924A1}"/>
            <w:text/>
          </w:sdtPr>
          <w:sdtContent>
            <w:p w14:paraId="339CCD64" w14:textId="1D4985E8" w:rsidR="00C514C1" w:rsidRDefault="00C514C1">
              <w:pPr>
                <w:pStyle w:val="NoSpacing"/>
                <w:jc w:val="center"/>
                <w:rPr>
                  <w:color w:val="4472C4" w:themeColor="accent1"/>
                  <w:sz w:val="28"/>
                  <w:szCs w:val="28"/>
                </w:rPr>
              </w:pPr>
              <w:r>
                <w:rPr>
                  <w:color w:val="4472C4" w:themeColor="accent1"/>
                  <w:sz w:val="28"/>
                  <w:szCs w:val="28"/>
                </w:rPr>
                <w:t>ANGUR MIAH.   2021261</w:t>
              </w:r>
            </w:p>
          </w:sdtContent>
        </w:sdt>
        <w:p w14:paraId="21804488" w14:textId="77777777" w:rsidR="00C514C1" w:rsidRDefault="00C514C1">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BA4E2A6" wp14:editId="270F43C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8890" b="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6-01T00:00:00Z">
                                    <w:dateFormat w:val="MMMM d, yyyy"/>
                                    <w:lid w:val="en-US"/>
                                    <w:storeMappedDataAs w:val="dateTime"/>
                                    <w:calendar w:val="gregorian"/>
                                  </w:date>
                                </w:sdtPr>
                                <w:sdtContent>
                                  <w:p w14:paraId="42B6D007" w14:textId="11F8BE60" w:rsidR="00C514C1" w:rsidRDefault="00C514C1">
                                    <w:pPr>
                                      <w:pStyle w:val="NoSpacing"/>
                                      <w:spacing w:after="40"/>
                                      <w:jc w:val="center"/>
                                      <w:rPr>
                                        <w:caps/>
                                        <w:color w:val="4472C4" w:themeColor="accent1"/>
                                        <w:sz w:val="28"/>
                                        <w:szCs w:val="28"/>
                                      </w:rPr>
                                    </w:pPr>
                                    <w:r>
                                      <w:rPr>
                                        <w:caps/>
                                        <w:color w:val="4472C4" w:themeColor="accent1"/>
                                        <w:sz w:val="28"/>
                                        <w:szCs w:val="28"/>
                                        <w:lang w:val="en-US"/>
                                      </w:rPr>
                                      <w:t>June 1, 2022</w:t>
                                    </w:r>
                                  </w:p>
                                </w:sdtContent>
                              </w:sdt>
                              <w:p w14:paraId="7A577135" w14:textId="1A81C8A5" w:rsidR="00C514C1" w:rsidRDefault="00C514C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UWTSD</w:t>
                                    </w:r>
                                  </w:sdtContent>
                                </w:sdt>
                              </w:p>
                              <w:p w14:paraId="079F0833" w14:textId="4757C686" w:rsidR="00C514C1" w:rsidRDefault="00C514C1">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UNIVERSITY</w:t>
                                    </w:r>
                                  </w:sdtContent>
                                </w:sdt>
                                <w:r>
                                  <w:rPr>
                                    <w:color w:val="4472C4" w:themeColor="accent1"/>
                                  </w:rPr>
                                  <w:t>1</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BA4E2A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6-01T00:00:00Z">
                              <w:dateFormat w:val="MMMM d, yyyy"/>
                              <w:lid w:val="en-US"/>
                              <w:storeMappedDataAs w:val="dateTime"/>
                              <w:calendar w:val="gregorian"/>
                            </w:date>
                          </w:sdtPr>
                          <w:sdtContent>
                            <w:p w14:paraId="42B6D007" w14:textId="11F8BE60" w:rsidR="00C514C1" w:rsidRDefault="00C514C1">
                              <w:pPr>
                                <w:pStyle w:val="NoSpacing"/>
                                <w:spacing w:after="40"/>
                                <w:jc w:val="center"/>
                                <w:rPr>
                                  <w:caps/>
                                  <w:color w:val="4472C4" w:themeColor="accent1"/>
                                  <w:sz w:val="28"/>
                                  <w:szCs w:val="28"/>
                                </w:rPr>
                              </w:pPr>
                              <w:r>
                                <w:rPr>
                                  <w:caps/>
                                  <w:color w:val="4472C4" w:themeColor="accent1"/>
                                  <w:sz w:val="28"/>
                                  <w:szCs w:val="28"/>
                                  <w:lang w:val="en-US"/>
                                </w:rPr>
                                <w:t>June 1, 2022</w:t>
                              </w:r>
                            </w:p>
                          </w:sdtContent>
                        </w:sdt>
                        <w:p w14:paraId="7A577135" w14:textId="1A81C8A5" w:rsidR="00C514C1" w:rsidRDefault="00C514C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UWTSD</w:t>
                              </w:r>
                            </w:sdtContent>
                          </w:sdt>
                        </w:p>
                        <w:p w14:paraId="079F0833" w14:textId="4757C686" w:rsidR="00C514C1" w:rsidRDefault="00C514C1">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UNIVERSITY</w:t>
                              </w:r>
                            </w:sdtContent>
                          </w:sdt>
                          <w:r>
                            <w:rPr>
                              <w:color w:val="4472C4" w:themeColor="accent1"/>
                            </w:rPr>
                            <w:t>1</w:t>
                          </w:r>
                        </w:p>
                      </w:txbxContent>
                    </v:textbox>
                    <w10:wrap anchorx="margin" anchory="page"/>
                  </v:shape>
                </w:pict>
              </mc:Fallback>
            </mc:AlternateContent>
          </w:r>
          <w:r>
            <w:rPr>
              <w:noProof/>
              <w:color w:val="4472C4" w:themeColor="accent1"/>
            </w:rPr>
            <w:drawing>
              <wp:inline distT="0" distB="0" distL="0" distR="0" wp14:anchorId="2CC9B71A" wp14:editId="51821D8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1FD1579" w14:textId="63175D4E" w:rsidR="00C514C1" w:rsidRDefault="00C514C1">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br w:type="page"/>
          </w:r>
        </w:p>
      </w:sdtContent>
    </w:sdt>
    <w:p w14:paraId="61413727" w14:textId="5A868BAB" w:rsidR="00C514C1" w:rsidRDefault="00C514C1">
      <w:r>
        <w:rPr>
          <w:rFonts w:ascii="Calibri" w:hAnsi="Calibri"/>
          <w:b/>
          <w:sz w:val="24"/>
          <w:szCs w:val="24"/>
        </w:rPr>
        <w:lastRenderedPageBreak/>
        <w:t xml:space="preserve">ANALYSIS OF THE FINANCIAL STATEMENTS FOR HILTON </w:t>
      </w:r>
    </w:p>
    <w:tbl>
      <w:tblPr>
        <w:tblpPr w:leftFromText="180" w:rightFromText="180" w:vertAnchor="page" w:horzAnchor="page" w:tblpX="1850" w:tblpY="6383"/>
        <w:tblW w:w="9480" w:type="dxa"/>
        <w:tblLook w:val="04A0" w:firstRow="1" w:lastRow="0" w:firstColumn="1" w:lastColumn="0" w:noHBand="0" w:noVBand="1"/>
      </w:tblPr>
      <w:tblGrid>
        <w:gridCol w:w="3100"/>
        <w:gridCol w:w="1580"/>
        <w:gridCol w:w="1620"/>
        <w:gridCol w:w="1060"/>
        <w:gridCol w:w="1060"/>
        <w:gridCol w:w="1060"/>
      </w:tblGrid>
      <w:tr w:rsidR="00A11891" w:rsidRPr="00A11891" w14:paraId="093A186C" w14:textId="77777777" w:rsidTr="00673FC1">
        <w:trPr>
          <w:trHeight w:val="300"/>
        </w:trPr>
        <w:tc>
          <w:tcPr>
            <w:tcW w:w="3100" w:type="dxa"/>
            <w:tcBorders>
              <w:top w:val="nil"/>
              <w:left w:val="nil"/>
              <w:bottom w:val="nil"/>
              <w:right w:val="nil"/>
            </w:tcBorders>
            <w:shd w:val="clear" w:color="auto" w:fill="auto"/>
            <w:noWrap/>
            <w:vAlign w:val="bottom"/>
            <w:hideMark/>
          </w:tcPr>
          <w:p w14:paraId="69AE0D35" w14:textId="77777777" w:rsidR="00A11891" w:rsidRPr="00A11891" w:rsidRDefault="00A11891" w:rsidP="00673FC1">
            <w:pPr>
              <w:spacing w:after="0" w:line="240" w:lineRule="auto"/>
              <w:rPr>
                <w:rFonts w:ascii="Times New Roman" w:eastAsia="Times New Roman" w:hAnsi="Times New Roman" w:cs="Times New Roman"/>
                <w:sz w:val="24"/>
                <w:szCs w:val="24"/>
                <w:lang w:val="en-TR" w:eastAsia="en-GB"/>
              </w:rPr>
            </w:pPr>
          </w:p>
        </w:tc>
        <w:tc>
          <w:tcPr>
            <w:tcW w:w="1580" w:type="dxa"/>
            <w:tcBorders>
              <w:top w:val="nil"/>
              <w:left w:val="nil"/>
              <w:bottom w:val="nil"/>
              <w:right w:val="nil"/>
            </w:tcBorders>
            <w:shd w:val="clear" w:color="auto" w:fill="auto"/>
            <w:noWrap/>
            <w:vAlign w:val="bottom"/>
            <w:hideMark/>
          </w:tcPr>
          <w:p w14:paraId="553D9FF7"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c>
          <w:tcPr>
            <w:tcW w:w="1620" w:type="dxa"/>
            <w:tcBorders>
              <w:top w:val="nil"/>
              <w:left w:val="nil"/>
              <w:bottom w:val="nil"/>
              <w:right w:val="nil"/>
            </w:tcBorders>
            <w:shd w:val="clear" w:color="auto" w:fill="auto"/>
            <w:noWrap/>
            <w:vAlign w:val="bottom"/>
            <w:hideMark/>
          </w:tcPr>
          <w:p w14:paraId="382EAE48"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c>
          <w:tcPr>
            <w:tcW w:w="1060" w:type="dxa"/>
            <w:tcBorders>
              <w:top w:val="nil"/>
              <w:left w:val="nil"/>
              <w:bottom w:val="nil"/>
              <w:right w:val="nil"/>
            </w:tcBorders>
            <w:shd w:val="clear" w:color="auto" w:fill="auto"/>
            <w:noWrap/>
            <w:vAlign w:val="bottom"/>
            <w:hideMark/>
          </w:tcPr>
          <w:p w14:paraId="71E0DB0B"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c>
          <w:tcPr>
            <w:tcW w:w="1060" w:type="dxa"/>
            <w:tcBorders>
              <w:top w:val="nil"/>
              <w:left w:val="nil"/>
              <w:bottom w:val="nil"/>
              <w:right w:val="nil"/>
            </w:tcBorders>
            <w:shd w:val="clear" w:color="auto" w:fill="auto"/>
            <w:noWrap/>
            <w:vAlign w:val="bottom"/>
            <w:hideMark/>
          </w:tcPr>
          <w:p w14:paraId="5A401B7F"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c>
          <w:tcPr>
            <w:tcW w:w="1060" w:type="dxa"/>
            <w:tcBorders>
              <w:top w:val="nil"/>
              <w:left w:val="nil"/>
              <w:bottom w:val="nil"/>
              <w:right w:val="nil"/>
            </w:tcBorders>
            <w:shd w:val="clear" w:color="auto" w:fill="auto"/>
            <w:noWrap/>
            <w:vAlign w:val="bottom"/>
            <w:hideMark/>
          </w:tcPr>
          <w:p w14:paraId="686BC38E"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r>
      <w:tr w:rsidR="00A11891" w:rsidRPr="00A11891" w14:paraId="5E009F83" w14:textId="77777777" w:rsidTr="00673FC1">
        <w:trPr>
          <w:trHeight w:val="300"/>
        </w:trPr>
        <w:tc>
          <w:tcPr>
            <w:tcW w:w="3100" w:type="dxa"/>
            <w:tcBorders>
              <w:top w:val="nil"/>
              <w:left w:val="nil"/>
              <w:bottom w:val="nil"/>
              <w:right w:val="nil"/>
            </w:tcBorders>
            <w:shd w:val="clear" w:color="auto" w:fill="auto"/>
            <w:noWrap/>
            <w:vAlign w:val="bottom"/>
            <w:hideMark/>
          </w:tcPr>
          <w:p w14:paraId="14C7A80D" w14:textId="77777777" w:rsidR="00A11891" w:rsidRPr="00A11891" w:rsidRDefault="00A11891" w:rsidP="00673FC1">
            <w:pPr>
              <w:spacing w:after="0" w:line="240" w:lineRule="auto"/>
              <w:rPr>
                <w:rFonts w:ascii="Calibri" w:eastAsia="Times New Roman" w:hAnsi="Calibri" w:cs="Calibri"/>
                <w:b/>
                <w:bCs/>
                <w:color w:val="000000"/>
                <w:sz w:val="22"/>
                <w:szCs w:val="22"/>
                <w:lang w:val="en-TR" w:eastAsia="en-GB"/>
              </w:rPr>
            </w:pPr>
            <w:r w:rsidRPr="00A11891">
              <w:rPr>
                <w:rFonts w:ascii="Calibri" w:eastAsia="Times New Roman" w:hAnsi="Calibri" w:cs="Calibri"/>
                <w:b/>
                <w:bCs/>
                <w:color w:val="000000"/>
                <w:sz w:val="22"/>
                <w:szCs w:val="22"/>
                <w:lang w:val="en-TR" w:eastAsia="en-GB"/>
              </w:rPr>
              <w:t>Income statement2019 &amp;2020</w:t>
            </w:r>
          </w:p>
        </w:tc>
        <w:tc>
          <w:tcPr>
            <w:tcW w:w="1580" w:type="dxa"/>
            <w:tcBorders>
              <w:top w:val="nil"/>
              <w:left w:val="nil"/>
              <w:bottom w:val="nil"/>
              <w:right w:val="nil"/>
            </w:tcBorders>
            <w:shd w:val="clear" w:color="auto" w:fill="auto"/>
            <w:noWrap/>
            <w:vAlign w:val="bottom"/>
            <w:hideMark/>
          </w:tcPr>
          <w:p w14:paraId="4A86B2C5" w14:textId="77777777" w:rsidR="00A11891" w:rsidRPr="00A11891" w:rsidRDefault="00A11891" w:rsidP="00673FC1">
            <w:pPr>
              <w:spacing w:after="0" w:line="240" w:lineRule="auto"/>
              <w:rPr>
                <w:rFonts w:ascii="Calibri" w:eastAsia="Times New Roman" w:hAnsi="Calibri" w:cs="Calibri"/>
                <w:b/>
                <w:bCs/>
                <w:color w:val="000000"/>
                <w:sz w:val="22"/>
                <w:szCs w:val="22"/>
                <w:lang w:val="en-TR" w:eastAsia="en-GB"/>
              </w:rPr>
            </w:pPr>
          </w:p>
        </w:tc>
        <w:tc>
          <w:tcPr>
            <w:tcW w:w="1620" w:type="dxa"/>
            <w:tcBorders>
              <w:top w:val="nil"/>
              <w:left w:val="nil"/>
              <w:bottom w:val="nil"/>
              <w:right w:val="nil"/>
            </w:tcBorders>
            <w:shd w:val="clear" w:color="auto" w:fill="auto"/>
            <w:noWrap/>
            <w:vAlign w:val="bottom"/>
            <w:hideMark/>
          </w:tcPr>
          <w:p w14:paraId="2C850450"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c>
          <w:tcPr>
            <w:tcW w:w="1060" w:type="dxa"/>
            <w:tcBorders>
              <w:top w:val="nil"/>
              <w:left w:val="nil"/>
              <w:bottom w:val="nil"/>
              <w:right w:val="nil"/>
            </w:tcBorders>
            <w:shd w:val="clear" w:color="auto" w:fill="auto"/>
            <w:noWrap/>
            <w:vAlign w:val="bottom"/>
            <w:hideMark/>
          </w:tcPr>
          <w:p w14:paraId="06033540"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c>
          <w:tcPr>
            <w:tcW w:w="1060" w:type="dxa"/>
            <w:tcBorders>
              <w:top w:val="nil"/>
              <w:left w:val="nil"/>
              <w:bottom w:val="nil"/>
              <w:right w:val="nil"/>
            </w:tcBorders>
            <w:shd w:val="clear" w:color="auto" w:fill="auto"/>
            <w:noWrap/>
            <w:vAlign w:val="bottom"/>
            <w:hideMark/>
          </w:tcPr>
          <w:p w14:paraId="441E96F7"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c>
          <w:tcPr>
            <w:tcW w:w="1060" w:type="dxa"/>
            <w:tcBorders>
              <w:top w:val="nil"/>
              <w:left w:val="nil"/>
              <w:bottom w:val="nil"/>
              <w:right w:val="nil"/>
            </w:tcBorders>
            <w:shd w:val="clear" w:color="auto" w:fill="auto"/>
            <w:noWrap/>
            <w:vAlign w:val="bottom"/>
            <w:hideMark/>
          </w:tcPr>
          <w:p w14:paraId="64925CD7"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r>
      <w:tr w:rsidR="00A11891" w:rsidRPr="00A11891" w14:paraId="3B8D37D9" w14:textId="77777777" w:rsidTr="00673FC1">
        <w:trPr>
          <w:trHeight w:val="300"/>
        </w:trPr>
        <w:tc>
          <w:tcPr>
            <w:tcW w:w="3100" w:type="dxa"/>
            <w:tcBorders>
              <w:top w:val="nil"/>
              <w:left w:val="nil"/>
              <w:bottom w:val="nil"/>
              <w:right w:val="nil"/>
            </w:tcBorders>
            <w:shd w:val="clear" w:color="auto" w:fill="auto"/>
            <w:noWrap/>
            <w:vAlign w:val="bottom"/>
            <w:hideMark/>
          </w:tcPr>
          <w:p w14:paraId="58F444A6"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c>
          <w:tcPr>
            <w:tcW w:w="1580" w:type="dxa"/>
            <w:tcBorders>
              <w:top w:val="nil"/>
              <w:left w:val="nil"/>
              <w:bottom w:val="nil"/>
              <w:right w:val="nil"/>
            </w:tcBorders>
            <w:shd w:val="clear" w:color="auto" w:fill="auto"/>
            <w:noWrap/>
            <w:vAlign w:val="bottom"/>
            <w:hideMark/>
          </w:tcPr>
          <w:p w14:paraId="2DFA68E6"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c>
          <w:tcPr>
            <w:tcW w:w="1620" w:type="dxa"/>
            <w:tcBorders>
              <w:top w:val="nil"/>
              <w:left w:val="nil"/>
              <w:bottom w:val="nil"/>
              <w:right w:val="nil"/>
            </w:tcBorders>
            <w:shd w:val="clear" w:color="auto" w:fill="auto"/>
            <w:noWrap/>
            <w:vAlign w:val="bottom"/>
            <w:hideMark/>
          </w:tcPr>
          <w:p w14:paraId="7A971C2A"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c>
          <w:tcPr>
            <w:tcW w:w="1060" w:type="dxa"/>
            <w:tcBorders>
              <w:top w:val="nil"/>
              <w:left w:val="nil"/>
              <w:bottom w:val="nil"/>
              <w:right w:val="nil"/>
            </w:tcBorders>
            <w:shd w:val="clear" w:color="auto" w:fill="auto"/>
            <w:noWrap/>
            <w:vAlign w:val="bottom"/>
            <w:hideMark/>
          </w:tcPr>
          <w:p w14:paraId="12206495"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c>
          <w:tcPr>
            <w:tcW w:w="1060" w:type="dxa"/>
            <w:tcBorders>
              <w:top w:val="nil"/>
              <w:left w:val="nil"/>
              <w:bottom w:val="nil"/>
              <w:right w:val="nil"/>
            </w:tcBorders>
            <w:shd w:val="clear" w:color="auto" w:fill="auto"/>
            <w:noWrap/>
            <w:vAlign w:val="bottom"/>
            <w:hideMark/>
          </w:tcPr>
          <w:p w14:paraId="7FBF5C33"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c>
          <w:tcPr>
            <w:tcW w:w="1060" w:type="dxa"/>
            <w:tcBorders>
              <w:top w:val="nil"/>
              <w:left w:val="nil"/>
              <w:bottom w:val="nil"/>
              <w:right w:val="nil"/>
            </w:tcBorders>
            <w:shd w:val="clear" w:color="auto" w:fill="auto"/>
            <w:noWrap/>
            <w:vAlign w:val="bottom"/>
            <w:hideMark/>
          </w:tcPr>
          <w:p w14:paraId="6B4119F2"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r>
      <w:tr w:rsidR="00A11891" w:rsidRPr="00A11891" w14:paraId="5A081A80" w14:textId="77777777" w:rsidTr="00673FC1">
        <w:trPr>
          <w:trHeight w:val="300"/>
        </w:trPr>
        <w:tc>
          <w:tcPr>
            <w:tcW w:w="4680" w:type="dxa"/>
            <w:gridSpan w:val="2"/>
            <w:tcBorders>
              <w:top w:val="nil"/>
              <w:left w:val="nil"/>
              <w:bottom w:val="nil"/>
              <w:right w:val="nil"/>
            </w:tcBorders>
            <w:shd w:val="clear" w:color="auto" w:fill="auto"/>
            <w:noWrap/>
            <w:vAlign w:val="bottom"/>
            <w:hideMark/>
          </w:tcPr>
          <w:p w14:paraId="33A45F11" w14:textId="77777777" w:rsidR="00A11891" w:rsidRPr="00A11891" w:rsidRDefault="00A11891" w:rsidP="00673FC1">
            <w:pPr>
              <w:spacing w:after="0" w:line="240" w:lineRule="auto"/>
              <w:rPr>
                <w:rFonts w:ascii="Calibri" w:eastAsia="Times New Roman" w:hAnsi="Calibri" w:cs="Calibri"/>
                <w:b/>
                <w:bCs/>
                <w:color w:val="000000"/>
                <w:sz w:val="22"/>
                <w:szCs w:val="22"/>
                <w:lang w:val="en-TR" w:eastAsia="en-GB"/>
              </w:rPr>
            </w:pPr>
            <w:r w:rsidRPr="00A11891">
              <w:rPr>
                <w:rFonts w:ascii="Calibri" w:eastAsia="Times New Roman" w:hAnsi="Calibri" w:cs="Calibri"/>
                <w:b/>
                <w:bCs/>
                <w:color w:val="000000"/>
                <w:sz w:val="22"/>
                <w:szCs w:val="22"/>
                <w:lang w:val="en-TR" w:eastAsia="en-GB"/>
              </w:rPr>
              <w:t>Hilton worldwide Holdings inc.(HLT)</w:t>
            </w:r>
          </w:p>
        </w:tc>
        <w:tc>
          <w:tcPr>
            <w:tcW w:w="1620" w:type="dxa"/>
            <w:tcBorders>
              <w:top w:val="nil"/>
              <w:left w:val="nil"/>
              <w:bottom w:val="nil"/>
              <w:right w:val="nil"/>
            </w:tcBorders>
            <w:shd w:val="clear" w:color="auto" w:fill="auto"/>
            <w:noWrap/>
            <w:vAlign w:val="bottom"/>
            <w:hideMark/>
          </w:tcPr>
          <w:p w14:paraId="43DFE3D8" w14:textId="77777777" w:rsidR="00A11891" w:rsidRPr="00A11891" w:rsidRDefault="00A11891" w:rsidP="00673FC1">
            <w:pPr>
              <w:spacing w:after="0" w:line="240" w:lineRule="auto"/>
              <w:rPr>
                <w:rFonts w:ascii="Calibri" w:eastAsia="Times New Roman" w:hAnsi="Calibri" w:cs="Calibri"/>
                <w:b/>
                <w:bCs/>
                <w:color w:val="000000"/>
                <w:sz w:val="22"/>
                <w:szCs w:val="22"/>
                <w:lang w:val="en-TR" w:eastAsia="en-GB"/>
              </w:rPr>
            </w:pPr>
          </w:p>
        </w:tc>
        <w:tc>
          <w:tcPr>
            <w:tcW w:w="1060" w:type="dxa"/>
            <w:tcBorders>
              <w:top w:val="nil"/>
              <w:left w:val="nil"/>
              <w:bottom w:val="nil"/>
              <w:right w:val="nil"/>
            </w:tcBorders>
            <w:shd w:val="clear" w:color="auto" w:fill="auto"/>
            <w:noWrap/>
            <w:vAlign w:val="bottom"/>
            <w:hideMark/>
          </w:tcPr>
          <w:p w14:paraId="7F34B90B"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c>
          <w:tcPr>
            <w:tcW w:w="1060" w:type="dxa"/>
            <w:tcBorders>
              <w:top w:val="nil"/>
              <w:left w:val="nil"/>
              <w:bottom w:val="nil"/>
              <w:right w:val="nil"/>
            </w:tcBorders>
            <w:shd w:val="clear" w:color="auto" w:fill="auto"/>
            <w:noWrap/>
            <w:vAlign w:val="bottom"/>
            <w:hideMark/>
          </w:tcPr>
          <w:p w14:paraId="24ABEA90"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c>
          <w:tcPr>
            <w:tcW w:w="1060" w:type="dxa"/>
            <w:tcBorders>
              <w:top w:val="nil"/>
              <w:left w:val="nil"/>
              <w:bottom w:val="nil"/>
              <w:right w:val="nil"/>
            </w:tcBorders>
            <w:shd w:val="clear" w:color="auto" w:fill="auto"/>
            <w:noWrap/>
            <w:vAlign w:val="bottom"/>
            <w:hideMark/>
          </w:tcPr>
          <w:p w14:paraId="72524AAF"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r>
      <w:tr w:rsidR="00A11891" w:rsidRPr="00A11891" w14:paraId="79CEC237" w14:textId="77777777" w:rsidTr="00673FC1">
        <w:trPr>
          <w:trHeight w:val="300"/>
        </w:trPr>
        <w:tc>
          <w:tcPr>
            <w:tcW w:w="3100" w:type="dxa"/>
            <w:tcBorders>
              <w:top w:val="nil"/>
              <w:left w:val="nil"/>
              <w:bottom w:val="nil"/>
              <w:right w:val="nil"/>
            </w:tcBorders>
            <w:shd w:val="clear" w:color="auto" w:fill="auto"/>
            <w:noWrap/>
            <w:vAlign w:val="bottom"/>
            <w:hideMark/>
          </w:tcPr>
          <w:p w14:paraId="03ED9551"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c>
          <w:tcPr>
            <w:tcW w:w="1580" w:type="dxa"/>
            <w:tcBorders>
              <w:top w:val="nil"/>
              <w:left w:val="nil"/>
              <w:bottom w:val="nil"/>
              <w:right w:val="nil"/>
            </w:tcBorders>
            <w:shd w:val="clear" w:color="auto" w:fill="auto"/>
            <w:noWrap/>
            <w:vAlign w:val="bottom"/>
            <w:hideMark/>
          </w:tcPr>
          <w:p w14:paraId="4C85FEB8"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c>
          <w:tcPr>
            <w:tcW w:w="1620" w:type="dxa"/>
            <w:tcBorders>
              <w:top w:val="nil"/>
              <w:left w:val="nil"/>
              <w:bottom w:val="nil"/>
              <w:right w:val="nil"/>
            </w:tcBorders>
            <w:shd w:val="clear" w:color="auto" w:fill="auto"/>
            <w:noWrap/>
            <w:vAlign w:val="bottom"/>
            <w:hideMark/>
          </w:tcPr>
          <w:p w14:paraId="4B89BED2"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c>
          <w:tcPr>
            <w:tcW w:w="1060" w:type="dxa"/>
            <w:tcBorders>
              <w:top w:val="nil"/>
              <w:left w:val="nil"/>
              <w:bottom w:val="nil"/>
              <w:right w:val="nil"/>
            </w:tcBorders>
            <w:shd w:val="clear" w:color="auto" w:fill="auto"/>
            <w:noWrap/>
            <w:vAlign w:val="bottom"/>
            <w:hideMark/>
          </w:tcPr>
          <w:p w14:paraId="7E6A604B"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c>
          <w:tcPr>
            <w:tcW w:w="1060" w:type="dxa"/>
            <w:tcBorders>
              <w:top w:val="nil"/>
              <w:left w:val="nil"/>
              <w:bottom w:val="nil"/>
              <w:right w:val="nil"/>
            </w:tcBorders>
            <w:shd w:val="clear" w:color="auto" w:fill="auto"/>
            <w:noWrap/>
            <w:vAlign w:val="bottom"/>
            <w:hideMark/>
          </w:tcPr>
          <w:p w14:paraId="51FD0D90"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c>
          <w:tcPr>
            <w:tcW w:w="1060" w:type="dxa"/>
            <w:tcBorders>
              <w:top w:val="nil"/>
              <w:left w:val="nil"/>
              <w:bottom w:val="nil"/>
              <w:right w:val="nil"/>
            </w:tcBorders>
            <w:shd w:val="clear" w:color="auto" w:fill="auto"/>
            <w:noWrap/>
            <w:vAlign w:val="bottom"/>
            <w:hideMark/>
          </w:tcPr>
          <w:p w14:paraId="73FE31F0"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r>
      <w:tr w:rsidR="00A11891" w:rsidRPr="00A11891" w14:paraId="1A4A520F" w14:textId="77777777" w:rsidTr="00673FC1">
        <w:trPr>
          <w:trHeight w:val="300"/>
        </w:trPr>
        <w:tc>
          <w:tcPr>
            <w:tcW w:w="3100" w:type="dxa"/>
            <w:tcBorders>
              <w:top w:val="nil"/>
              <w:left w:val="nil"/>
              <w:bottom w:val="nil"/>
              <w:right w:val="nil"/>
            </w:tcBorders>
            <w:shd w:val="clear" w:color="auto" w:fill="auto"/>
            <w:noWrap/>
            <w:vAlign w:val="bottom"/>
            <w:hideMark/>
          </w:tcPr>
          <w:p w14:paraId="0BFDA5E7" w14:textId="77777777" w:rsidR="00A11891" w:rsidRPr="00A11891" w:rsidRDefault="00A11891" w:rsidP="00673FC1">
            <w:pPr>
              <w:spacing w:after="0" w:line="240" w:lineRule="auto"/>
              <w:rPr>
                <w:rFonts w:ascii="Calibri" w:eastAsia="Times New Roman" w:hAnsi="Calibri" w:cs="Calibri"/>
                <w:b/>
                <w:bCs/>
                <w:color w:val="000000"/>
                <w:sz w:val="22"/>
                <w:szCs w:val="22"/>
                <w:lang w:val="en-TR" w:eastAsia="en-GB"/>
              </w:rPr>
            </w:pPr>
            <w:r w:rsidRPr="00A11891">
              <w:rPr>
                <w:rFonts w:ascii="Calibri" w:eastAsia="Times New Roman" w:hAnsi="Calibri" w:cs="Calibri"/>
                <w:b/>
                <w:bCs/>
                <w:color w:val="000000"/>
                <w:sz w:val="22"/>
                <w:szCs w:val="22"/>
                <w:lang w:val="en-TR" w:eastAsia="en-GB"/>
              </w:rPr>
              <w:t>Income Statement</w:t>
            </w:r>
          </w:p>
        </w:tc>
        <w:tc>
          <w:tcPr>
            <w:tcW w:w="1580" w:type="dxa"/>
            <w:tcBorders>
              <w:top w:val="nil"/>
              <w:left w:val="nil"/>
              <w:bottom w:val="nil"/>
              <w:right w:val="nil"/>
            </w:tcBorders>
            <w:shd w:val="clear" w:color="auto" w:fill="auto"/>
            <w:noWrap/>
            <w:vAlign w:val="bottom"/>
            <w:hideMark/>
          </w:tcPr>
          <w:p w14:paraId="1CD25461" w14:textId="77777777" w:rsidR="00A11891" w:rsidRPr="00A11891" w:rsidRDefault="00A11891" w:rsidP="00673FC1">
            <w:pPr>
              <w:spacing w:after="0" w:line="240" w:lineRule="auto"/>
              <w:rPr>
                <w:rFonts w:ascii="Calibri" w:eastAsia="Times New Roman" w:hAnsi="Calibri" w:cs="Calibri"/>
                <w:b/>
                <w:bCs/>
                <w:color w:val="000000"/>
                <w:sz w:val="22"/>
                <w:szCs w:val="22"/>
                <w:lang w:val="en-TR" w:eastAsia="en-GB"/>
              </w:rPr>
            </w:pPr>
          </w:p>
        </w:tc>
        <w:tc>
          <w:tcPr>
            <w:tcW w:w="1620" w:type="dxa"/>
            <w:tcBorders>
              <w:top w:val="nil"/>
              <w:left w:val="nil"/>
              <w:bottom w:val="nil"/>
              <w:right w:val="nil"/>
            </w:tcBorders>
            <w:shd w:val="clear" w:color="auto" w:fill="auto"/>
            <w:noWrap/>
            <w:vAlign w:val="bottom"/>
            <w:hideMark/>
          </w:tcPr>
          <w:p w14:paraId="4BFBCF53"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c>
          <w:tcPr>
            <w:tcW w:w="1060" w:type="dxa"/>
            <w:tcBorders>
              <w:top w:val="nil"/>
              <w:left w:val="nil"/>
              <w:bottom w:val="nil"/>
              <w:right w:val="nil"/>
            </w:tcBorders>
            <w:shd w:val="clear" w:color="auto" w:fill="auto"/>
            <w:noWrap/>
            <w:vAlign w:val="bottom"/>
            <w:hideMark/>
          </w:tcPr>
          <w:p w14:paraId="164D84F0"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c>
          <w:tcPr>
            <w:tcW w:w="1060" w:type="dxa"/>
            <w:tcBorders>
              <w:top w:val="nil"/>
              <w:left w:val="nil"/>
              <w:bottom w:val="nil"/>
              <w:right w:val="nil"/>
            </w:tcBorders>
            <w:shd w:val="clear" w:color="auto" w:fill="auto"/>
            <w:noWrap/>
            <w:vAlign w:val="bottom"/>
            <w:hideMark/>
          </w:tcPr>
          <w:p w14:paraId="36F1A03D"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c>
          <w:tcPr>
            <w:tcW w:w="1060" w:type="dxa"/>
            <w:tcBorders>
              <w:top w:val="nil"/>
              <w:left w:val="nil"/>
              <w:bottom w:val="nil"/>
              <w:right w:val="nil"/>
            </w:tcBorders>
            <w:shd w:val="clear" w:color="auto" w:fill="auto"/>
            <w:noWrap/>
            <w:vAlign w:val="bottom"/>
            <w:hideMark/>
          </w:tcPr>
          <w:p w14:paraId="6E9D0EB6"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r>
      <w:tr w:rsidR="00A11891" w:rsidRPr="00A11891" w14:paraId="0A4D03FB" w14:textId="77777777" w:rsidTr="00673FC1">
        <w:trPr>
          <w:trHeight w:val="300"/>
        </w:trPr>
        <w:tc>
          <w:tcPr>
            <w:tcW w:w="3100" w:type="dxa"/>
            <w:tcBorders>
              <w:top w:val="nil"/>
              <w:left w:val="nil"/>
              <w:bottom w:val="nil"/>
              <w:right w:val="nil"/>
            </w:tcBorders>
            <w:shd w:val="clear" w:color="auto" w:fill="auto"/>
            <w:noWrap/>
            <w:vAlign w:val="bottom"/>
            <w:hideMark/>
          </w:tcPr>
          <w:p w14:paraId="303AB954"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c>
          <w:tcPr>
            <w:tcW w:w="1580" w:type="dxa"/>
            <w:tcBorders>
              <w:top w:val="nil"/>
              <w:left w:val="nil"/>
              <w:bottom w:val="nil"/>
              <w:right w:val="nil"/>
            </w:tcBorders>
            <w:shd w:val="clear" w:color="auto" w:fill="auto"/>
            <w:noWrap/>
            <w:vAlign w:val="bottom"/>
            <w:hideMark/>
          </w:tcPr>
          <w:p w14:paraId="57E4A7FA" w14:textId="77777777" w:rsidR="00A11891" w:rsidRPr="00A11891" w:rsidRDefault="00A11891" w:rsidP="00673FC1">
            <w:pPr>
              <w:spacing w:after="0" w:line="240" w:lineRule="auto"/>
              <w:jc w:val="right"/>
              <w:rPr>
                <w:rFonts w:ascii="Calibri" w:eastAsia="Times New Roman" w:hAnsi="Calibri" w:cs="Calibri"/>
                <w:b/>
                <w:bCs/>
                <w:color w:val="000000"/>
                <w:sz w:val="22"/>
                <w:szCs w:val="22"/>
                <w:lang w:val="en-TR" w:eastAsia="en-GB"/>
              </w:rPr>
            </w:pPr>
            <w:r w:rsidRPr="00A11891">
              <w:rPr>
                <w:rFonts w:ascii="Calibri" w:eastAsia="Times New Roman" w:hAnsi="Calibri" w:cs="Calibri"/>
                <w:b/>
                <w:bCs/>
                <w:color w:val="000000"/>
                <w:sz w:val="22"/>
                <w:szCs w:val="22"/>
                <w:lang w:val="en-TR" w:eastAsia="en-GB"/>
              </w:rPr>
              <w:t>2020</w:t>
            </w:r>
          </w:p>
        </w:tc>
        <w:tc>
          <w:tcPr>
            <w:tcW w:w="1620" w:type="dxa"/>
            <w:tcBorders>
              <w:top w:val="nil"/>
              <w:left w:val="nil"/>
              <w:bottom w:val="nil"/>
              <w:right w:val="nil"/>
            </w:tcBorders>
            <w:shd w:val="clear" w:color="auto" w:fill="auto"/>
            <w:noWrap/>
            <w:vAlign w:val="bottom"/>
            <w:hideMark/>
          </w:tcPr>
          <w:p w14:paraId="7A0D0133" w14:textId="77777777" w:rsidR="00A11891" w:rsidRPr="00A11891" w:rsidRDefault="00A11891" w:rsidP="00673FC1">
            <w:pPr>
              <w:spacing w:after="0" w:line="240" w:lineRule="auto"/>
              <w:jc w:val="right"/>
              <w:rPr>
                <w:rFonts w:ascii="Calibri" w:eastAsia="Times New Roman" w:hAnsi="Calibri" w:cs="Calibri"/>
                <w:b/>
                <w:bCs/>
                <w:color w:val="000000"/>
                <w:sz w:val="22"/>
                <w:szCs w:val="22"/>
                <w:lang w:val="en-TR" w:eastAsia="en-GB"/>
              </w:rPr>
            </w:pPr>
            <w:r w:rsidRPr="00A11891">
              <w:rPr>
                <w:rFonts w:ascii="Calibri" w:eastAsia="Times New Roman" w:hAnsi="Calibri" w:cs="Calibri"/>
                <w:b/>
                <w:bCs/>
                <w:color w:val="000000"/>
                <w:sz w:val="22"/>
                <w:szCs w:val="22"/>
                <w:lang w:val="en-TR" w:eastAsia="en-GB"/>
              </w:rPr>
              <w:t>2019</w:t>
            </w:r>
          </w:p>
        </w:tc>
        <w:tc>
          <w:tcPr>
            <w:tcW w:w="1060" w:type="dxa"/>
            <w:tcBorders>
              <w:top w:val="nil"/>
              <w:left w:val="nil"/>
              <w:bottom w:val="nil"/>
              <w:right w:val="nil"/>
            </w:tcBorders>
            <w:shd w:val="clear" w:color="auto" w:fill="auto"/>
            <w:noWrap/>
            <w:vAlign w:val="bottom"/>
            <w:hideMark/>
          </w:tcPr>
          <w:p w14:paraId="5FF40A7F" w14:textId="77777777" w:rsidR="00A11891" w:rsidRPr="00A11891" w:rsidRDefault="00A11891" w:rsidP="00673FC1">
            <w:pPr>
              <w:spacing w:after="0" w:line="240" w:lineRule="auto"/>
              <w:rPr>
                <w:rFonts w:ascii="Calibri" w:eastAsia="Times New Roman" w:hAnsi="Calibri" w:cs="Calibri"/>
                <w:b/>
                <w:bCs/>
                <w:color w:val="000000"/>
                <w:sz w:val="22"/>
                <w:szCs w:val="22"/>
                <w:lang w:val="en-TR" w:eastAsia="en-GB"/>
              </w:rPr>
            </w:pPr>
            <w:r w:rsidRPr="00A11891">
              <w:rPr>
                <w:rFonts w:ascii="Calibri" w:eastAsia="Times New Roman" w:hAnsi="Calibri" w:cs="Calibri"/>
                <w:b/>
                <w:bCs/>
                <w:color w:val="000000"/>
                <w:sz w:val="22"/>
                <w:szCs w:val="22"/>
                <w:lang w:val="en-TR" w:eastAsia="en-GB"/>
              </w:rPr>
              <w:t>Change</w:t>
            </w:r>
          </w:p>
        </w:tc>
        <w:tc>
          <w:tcPr>
            <w:tcW w:w="1060" w:type="dxa"/>
            <w:tcBorders>
              <w:top w:val="nil"/>
              <w:left w:val="nil"/>
              <w:bottom w:val="nil"/>
              <w:right w:val="nil"/>
            </w:tcBorders>
            <w:shd w:val="clear" w:color="auto" w:fill="auto"/>
            <w:noWrap/>
            <w:vAlign w:val="bottom"/>
            <w:hideMark/>
          </w:tcPr>
          <w:p w14:paraId="3043857A" w14:textId="77777777" w:rsidR="00A11891" w:rsidRPr="00A11891" w:rsidRDefault="00A11891" w:rsidP="00673FC1">
            <w:pPr>
              <w:spacing w:after="0" w:line="240" w:lineRule="auto"/>
              <w:rPr>
                <w:rFonts w:ascii="Calibri" w:eastAsia="Times New Roman" w:hAnsi="Calibri" w:cs="Calibri"/>
                <w:b/>
                <w:bCs/>
                <w:color w:val="000000"/>
                <w:sz w:val="22"/>
                <w:szCs w:val="22"/>
                <w:lang w:val="en-TR" w:eastAsia="en-GB"/>
              </w:rPr>
            </w:pPr>
            <w:r w:rsidRPr="00A11891">
              <w:rPr>
                <w:rFonts w:ascii="Calibri" w:eastAsia="Times New Roman" w:hAnsi="Calibri" w:cs="Calibri"/>
                <w:b/>
                <w:bCs/>
                <w:color w:val="000000"/>
                <w:sz w:val="22"/>
                <w:szCs w:val="22"/>
                <w:lang w:val="en-TR" w:eastAsia="en-GB"/>
              </w:rPr>
              <w:t>% Change</w:t>
            </w:r>
          </w:p>
        </w:tc>
        <w:tc>
          <w:tcPr>
            <w:tcW w:w="1060" w:type="dxa"/>
            <w:tcBorders>
              <w:top w:val="nil"/>
              <w:left w:val="nil"/>
              <w:bottom w:val="nil"/>
              <w:right w:val="nil"/>
            </w:tcBorders>
            <w:shd w:val="clear" w:color="auto" w:fill="auto"/>
            <w:noWrap/>
            <w:vAlign w:val="bottom"/>
            <w:hideMark/>
          </w:tcPr>
          <w:p w14:paraId="29645CE8" w14:textId="77777777" w:rsidR="00A11891" w:rsidRPr="00A11891" w:rsidRDefault="00A11891" w:rsidP="00673FC1">
            <w:pPr>
              <w:spacing w:after="0" w:line="240" w:lineRule="auto"/>
              <w:rPr>
                <w:rFonts w:ascii="Calibri" w:eastAsia="Times New Roman" w:hAnsi="Calibri" w:cs="Calibri"/>
                <w:b/>
                <w:bCs/>
                <w:color w:val="000000"/>
                <w:sz w:val="22"/>
                <w:szCs w:val="22"/>
                <w:lang w:val="en-TR" w:eastAsia="en-GB"/>
              </w:rPr>
            </w:pPr>
          </w:p>
        </w:tc>
      </w:tr>
      <w:tr w:rsidR="00A11891" w:rsidRPr="00A11891" w14:paraId="62229925" w14:textId="77777777" w:rsidTr="00673FC1">
        <w:trPr>
          <w:trHeight w:val="300"/>
        </w:trPr>
        <w:tc>
          <w:tcPr>
            <w:tcW w:w="3100" w:type="dxa"/>
            <w:tcBorders>
              <w:top w:val="nil"/>
              <w:left w:val="nil"/>
              <w:bottom w:val="nil"/>
              <w:right w:val="nil"/>
            </w:tcBorders>
            <w:shd w:val="clear" w:color="auto" w:fill="auto"/>
            <w:noWrap/>
            <w:vAlign w:val="bottom"/>
            <w:hideMark/>
          </w:tcPr>
          <w:p w14:paraId="479E638A" w14:textId="77777777" w:rsidR="00A11891" w:rsidRPr="00A11891" w:rsidRDefault="00A11891" w:rsidP="00673FC1">
            <w:pPr>
              <w:spacing w:after="0" w:line="240" w:lineRule="auto"/>
              <w:rPr>
                <w:rFonts w:ascii="Calibri" w:eastAsia="Times New Roman" w:hAnsi="Calibri" w:cs="Calibri"/>
                <w:b/>
                <w:bCs/>
                <w:color w:val="000000"/>
                <w:sz w:val="22"/>
                <w:szCs w:val="22"/>
                <w:lang w:val="en-TR" w:eastAsia="en-GB"/>
              </w:rPr>
            </w:pPr>
            <w:r w:rsidRPr="00A11891">
              <w:rPr>
                <w:rFonts w:ascii="Calibri" w:eastAsia="Times New Roman" w:hAnsi="Calibri" w:cs="Calibri"/>
                <w:b/>
                <w:bCs/>
                <w:color w:val="000000"/>
                <w:sz w:val="22"/>
                <w:szCs w:val="22"/>
                <w:lang w:val="en-TR" w:eastAsia="en-GB"/>
              </w:rPr>
              <w:t>Fiscal Year Ends</w:t>
            </w:r>
          </w:p>
        </w:tc>
        <w:tc>
          <w:tcPr>
            <w:tcW w:w="1580" w:type="dxa"/>
            <w:tcBorders>
              <w:top w:val="nil"/>
              <w:left w:val="nil"/>
              <w:bottom w:val="nil"/>
              <w:right w:val="nil"/>
            </w:tcBorders>
            <w:shd w:val="clear" w:color="auto" w:fill="auto"/>
            <w:noWrap/>
            <w:vAlign w:val="bottom"/>
            <w:hideMark/>
          </w:tcPr>
          <w:p w14:paraId="225D772E" w14:textId="77777777" w:rsidR="00A11891" w:rsidRPr="00A11891" w:rsidRDefault="00A11891" w:rsidP="00673FC1">
            <w:pPr>
              <w:spacing w:after="0" w:line="240" w:lineRule="auto"/>
              <w:jc w:val="right"/>
              <w:rPr>
                <w:rFonts w:ascii="Calibri" w:eastAsia="Times New Roman" w:hAnsi="Calibri" w:cs="Calibri"/>
                <w:b/>
                <w:bCs/>
                <w:color w:val="000000"/>
                <w:sz w:val="22"/>
                <w:szCs w:val="22"/>
                <w:lang w:val="en-TR" w:eastAsia="en-GB"/>
              </w:rPr>
            </w:pPr>
            <w:r w:rsidRPr="00A11891">
              <w:rPr>
                <w:rFonts w:ascii="Calibri" w:eastAsia="Times New Roman" w:hAnsi="Calibri" w:cs="Calibri"/>
                <w:b/>
                <w:bCs/>
                <w:color w:val="000000"/>
                <w:sz w:val="22"/>
                <w:szCs w:val="22"/>
                <w:lang w:val="en-TR" w:eastAsia="en-GB"/>
              </w:rPr>
              <w:t>31.12.2021</w:t>
            </w:r>
          </w:p>
        </w:tc>
        <w:tc>
          <w:tcPr>
            <w:tcW w:w="1620" w:type="dxa"/>
            <w:tcBorders>
              <w:top w:val="nil"/>
              <w:left w:val="nil"/>
              <w:bottom w:val="nil"/>
              <w:right w:val="nil"/>
            </w:tcBorders>
            <w:shd w:val="clear" w:color="auto" w:fill="auto"/>
            <w:noWrap/>
            <w:vAlign w:val="bottom"/>
            <w:hideMark/>
          </w:tcPr>
          <w:p w14:paraId="76B1F593" w14:textId="77777777" w:rsidR="00A11891" w:rsidRPr="00A11891" w:rsidRDefault="00A11891" w:rsidP="00673FC1">
            <w:pPr>
              <w:spacing w:after="0" w:line="240" w:lineRule="auto"/>
              <w:jc w:val="right"/>
              <w:rPr>
                <w:rFonts w:ascii="Calibri" w:eastAsia="Times New Roman" w:hAnsi="Calibri" w:cs="Calibri"/>
                <w:b/>
                <w:bCs/>
                <w:color w:val="000000"/>
                <w:sz w:val="22"/>
                <w:szCs w:val="22"/>
                <w:lang w:val="en-TR" w:eastAsia="en-GB"/>
              </w:rPr>
            </w:pPr>
            <w:r w:rsidRPr="00A11891">
              <w:rPr>
                <w:rFonts w:ascii="Calibri" w:eastAsia="Times New Roman" w:hAnsi="Calibri" w:cs="Calibri"/>
                <w:b/>
                <w:bCs/>
                <w:color w:val="000000"/>
                <w:sz w:val="22"/>
                <w:szCs w:val="22"/>
                <w:lang w:val="en-TR" w:eastAsia="en-GB"/>
              </w:rPr>
              <w:t>31.12.2020</w:t>
            </w:r>
          </w:p>
        </w:tc>
        <w:tc>
          <w:tcPr>
            <w:tcW w:w="1060" w:type="dxa"/>
            <w:tcBorders>
              <w:top w:val="nil"/>
              <w:left w:val="nil"/>
              <w:bottom w:val="nil"/>
              <w:right w:val="nil"/>
            </w:tcBorders>
            <w:shd w:val="clear" w:color="auto" w:fill="auto"/>
            <w:noWrap/>
            <w:vAlign w:val="bottom"/>
            <w:hideMark/>
          </w:tcPr>
          <w:p w14:paraId="24270EC0" w14:textId="77777777" w:rsidR="00A11891" w:rsidRPr="00A11891" w:rsidRDefault="00A11891" w:rsidP="00673FC1">
            <w:pPr>
              <w:spacing w:after="0" w:line="240" w:lineRule="auto"/>
              <w:jc w:val="right"/>
              <w:rPr>
                <w:rFonts w:ascii="Calibri" w:eastAsia="Times New Roman" w:hAnsi="Calibri" w:cs="Calibri"/>
                <w:b/>
                <w:bCs/>
                <w:color w:val="000000"/>
                <w:sz w:val="22"/>
                <w:szCs w:val="22"/>
                <w:lang w:val="en-TR" w:eastAsia="en-GB"/>
              </w:rPr>
            </w:pPr>
          </w:p>
        </w:tc>
        <w:tc>
          <w:tcPr>
            <w:tcW w:w="1060" w:type="dxa"/>
            <w:tcBorders>
              <w:top w:val="nil"/>
              <w:left w:val="nil"/>
              <w:bottom w:val="nil"/>
              <w:right w:val="nil"/>
            </w:tcBorders>
            <w:shd w:val="clear" w:color="auto" w:fill="auto"/>
            <w:noWrap/>
            <w:vAlign w:val="bottom"/>
            <w:hideMark/>
          </w:tcPr>
          <w:p w14:paraId="096DA974"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c>
          <w:tcPr>
            <w:tcW w:w="1060" w:type="dxa"/>
            <w:tcBorders>
              <w:top w:val="nil"/>
              <w:left w:val="nil"/>
              <w:bottom w:val="nil"/>
              <w:right w:val="nil"/>
            </w:tcBorders>
            <w:shd w:val="clear" w:color="auto" w:fill="auto"/>
            <w:noWrap/>
            <w:vAlign w:val="bottom"/>
            <w:hideMark/>
          </w:tcPr>
          <w:p w14:paraId="4F0A887A"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r>
      <w:tr w:rsidR="00A11891" w:rsidRPr="00A11891" w14:paraId="59274277" w14:textId="77777777" w:rsidTr="00673FC1">
        <w:trPr>
          <w:trHeight w:val="300"/>
        </w:trPr>
        <w:tc>
          <w:tcPr>
            <w:tcW w:w="3100" w:type="dxa"/>
            <w:tcBorders>
              <w:top w:val="nil"/>
              <w:left w:val="nil"/>
              <w:bottom w:val="nil"/>
              <w:right w:val="nil"/>
            </w:tcBorders>
            <w:shd w:val="clear" w:color="auto" w:fill="auto"/>
            <w:noWrap/>
            <w:vAlign w:val="bottom"/>
            <w:hideMark/>
          </w:tcPr>
          <w:p w14:paraId="6459FEB3" w14:textId="77777777" w:rsidR="00A11891" w:rsidRPr="00A11891" w:rsidRDefault="00A11891" w:rsidP="00673FC1">
            <w:pPr>
              <w:spacing w:after="0" w:line="240" w:lineRule="auto"/>
              <w:rPr>
                <w:rFonts w:ascii="Calibri" w:eastAsia="Times New Roman" w:hAnsi="Calibri" w:cs="Calibri"/>
                <w:b/>
                <w:bCs/>
                <w:color w:val="000000"/>
                <w:sz w:val="22"/>
                <w:szCs w:val="22"/>
                <w:lang w:val="en-TR" w:eastAsia="en-GB"/>
              </w:rPr>
            </w:pPr>
            <w:r w:rsidRPr="00A11891">
              <w:rPr>
                <w:rFonts w:ascii="Calibri" w:eastAsia="Times New Roman" w:hAnsi="Calibri" w:cs="Calibri"/>
                <w:b/>
                <w:bCs/>
                <w:color w:val="000000"/>
                <w:sz w:val="22"/>
                <w:szCs w:val="22"/>
                <w:lang w:val="en-TR" w:eastAsia="en-GB"/>
              </w:rPr>
              <w:t>Sales</w:t>
            </w:r>
          </w:p>
        </w:tc>
        <w:tc>
          <w:tcPr>
            <w:tcW w:w="1580" w:type="dxa"/>
            <w:tcBorders>
              <w:top w:val="nil"/>
              <w:left w:val="nil"/>
              <w:bottom w:val="nil"/>
              <w:right w:val="nil"/>
            </w:tcBorders>
            <w:shd w:val="clear" w:color="auto" w:fill="auto"/>
            <w:noWrap/>
            <w:vAlign w:val="bottom"/>
            <w:hideMark/>
          </w:tcPr>
          <w:p w14:paraId="6B8D0632" w14:textId="77777777" w:rsidR="00A11891" w:rsidRPr="00A11891" w:rsidRDefault="00A11891" w:rsidP="00673FC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4.307.000</w:t>
            </w:r>
          </w:p>
        </w:tc>
        <w:tc>
          <w:tcPr>
            <w:tcW w:w="1620" w:type="dxa"/>
            <w:tcBorders>
              <w:top w:val="nil"/>
              <w:left w:val="nil"/>
              <w:bottom w:val="nil"/>
              <w:right w:val="nil"/>
            </w:tcBorders>
            <w:shd w:val="clear" w:color="auto" w:fill="auto"/>
            <w:noWrap/>
            <w:vAlign w:val="bottom"/>
            <w:hideMark/>
          </w:tcPr>
          <w:p w14:paraId="1C339EF5" w14:textId="77777777" w:rsidR="00A11891" w:rsidRPr="00A11891" w:rsidRDefault="00A11891" w:rsidP="00673FC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9.452.000</w:t>
            </w:r>
          </w:p>
        </w:tc>
        <w:tc>
          <w:tcPr>
            <w:tcW w:w="1060" w:type="dxa"/>
            <w:tcBorders>
              <w:top w:val="nil"/>
              <w:left w:val="nil"/>
              <w:bottom w:val="nil"/>
              <w:right w:val="nil"/>
            </w:tcBorders>
            <w:shd w:val="clear" w:color="auto" w:fill="auto"/>
            <w:noWrap/>
            <w:vAlign w:val="bottom"/>
            <w:hideMark/>
          </w:tcPr>
          <w:p w14:paraId="0365DAF9" w14:textId="77777777" w:rsidR="00A11891" w:rsidRPr="00A11891" w:rsidRDefault="00A11891" w:rsidP="00673FC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-5145000</w:t>
            </w:r>
          </w:p>
        </w:tc>
        <w:tc>
          <w:tcPr>
            <w:tcW w:w="1060" w:type="dxa"/>
            <w:tcBorders>
              <w:top w:val="nil"/>
              <w:left w:val="nil"/>
              <w:bottom w:val="nil"/>
              <w:right w:val="nil"/>
            </w:tcBorders>
            <w:shd w:val="clear" w:color="auto" w:fill="auto"/>
            <w:noWrap/>
            <w:vAlign w:val="bottom"/>
            <w:hideMark/>
          </w:tcPr>
          <w:p w14:paraId="758E3E3F" w14:textId="77777777" w:rsidR="00A11891" w:rsidRPr="00A11891" w:rsidRDefault="00A11891" w:rsidP="00673FC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-0,5</w:t>
            </w:r>
          </w:p>
        </w:tc>
        <w:tc>
          <w:tcPr>
            <w:tcW w:w="1060" w:type="dxa"/>
            <w:tcBorders>
              <w:top w:val="nil"/>
              <w:left w:val="nil"/>
              <w:bottom w:val="nil"/>
              <w:right w:val="nil"/>
            </w:tcBorders>
            <w:shd w:val="clear" w:color="auto" w:fill="auto"/>
            <w:noWrap/>
            <w:vAlign w:val="bottom"/>
            <w:hideMark/>
          </w:tcPr>
          <w:p w14:paraId="6CF6F523" w14:textId="77777777" w:rsidR="00A11891" w:rsidRPr="00A11891" w:rsidRDefault="00A11891" w:rsidP="00673FC1">
            <w:pPr>
              <w:spacing w:after="0" w:line="240" w:lineRule="auto"/>
              <w:jc w:val="right"/>
              <w:rPr>
                <w:rFonts w:ascii="Calibri" w:eastAsia="Times New Roman" w:hAnsi="Calibri" w:cs="Calibri"/>
                <w:color w:val="000000"/>
                <w:sz w:val="22"/>
                <w:szCs w:val="22"/>
                <w:lang w:val="en-TR" w:eastAsia="en-GB"/>
              </w:rPr>
            </w:pPr>
          </w:p>
        </w:tc>
      </w:tr>
      <w:tr w:rsidR="00A11891" w:rsidRPr="00A11891" w14:paraId="528BA839" w14:textId="77777777" w:rsidTr="00673FC1">
        <w:trPr>
          <w:trHeight w:val="300"/>
        </w:trPr>
        <w:tc>
          <w:tcPr>
            <w:tcW w:w="3100" w:type="dxa"/>
            <w:tcBorders>
              <w:top w:val="nil"/>
              <w:left w:val="nil"/>
              <w:bottom w:val="nil"/>
              <w:right w:val="nil"/>
            </w:tcBorders>
            <w:shd w:val="clear" w:color="auto" w:fill="auto"/>
            <w:noWrap/>
            <w:vAlign w:val="bottom"/>
            <w:hideMark/>
          </w:tcPr>
          <w:p w14:paraId="522DA7B8" w14:textId="77777777" w:rsidR="00A11891" w:rsidRPr="00A11891" w:rsidRDefault="00A11891" w:rsidP="00673FC1">
            <w:pPr>
              <w:spacing w:after="0" w:line="240" w:lineRule="auto"/>
              <w:rPr>
                <w:rFonts w:ascii="Calibri" w:eastAsia="Times New Roman" w:hAnsi="Calibri" w:cs="Calibri"/>
                <w:b/>
                <w:bCs/>
                <w:color w:val="000000"/>
                <w:sz w:val="22"/>
                <w:szCs w:val="22"/>
                <w:lang w:val="en-TR" w:eastAsia="en-GB"/>
              </w:rPr>
            </w:pPr>
            <w:r w:rsidRPr="00A11891">
              <w:rPr>
                <w:rFonts w:ascii="Calibri" w:eastAsia="Times New Roman" w:hAnsi="Calibri" w:cs="Calibri"/>
                <w:b/>
                <w:bCs/>
                <w:color w:val="000000"/>
                <w:sz w:val="22"/>
                <w:szCs w:val="22"/>
                <w:lang w:val="en-TR" w:eastAsia="en-GB"/>
              </w:rPr>
              <w:t>Cost of goods sold</w:t>
            </w:r>
          </w:p>
        </w:tc>
        <w:tc>
          <w:tcPr>
            <w:tcW w:w="1580" w:type="dxa"/>
            <w:tcBorders>
              <w:top w:val="nil"/>
              <w:left w:val="nil"/>
              <w:bottom w:val="nil"/>
              <w:right w:val="nil"/>
            </w:tcBorders>
            <w:shd w:val="clear" w:color="auto" w:fill="auto"/>
            <w:noWrap/>
            <w:vAlign w:val="bottom"/>
            <w:hideMark/>
          </w:tcPr>
          <w:p w14:paraId="3C882B8A" w14:textId="77777777" w:rsidR="00A11891" w:rsidRPr="00A11891" w:rsidRDefault="00A11891" w:rsidP="00673FC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3.724.000</w:t>
            </w:r>
          </w:p>
        </w:tc>
        <w:tc>
          <w:tcPr>
            <w:tcW w:w="1620" w:type="dxa"/>
            <w:tcBorders>
              <w:top w:val="nil"/>
              <w:left w:val="nil"/>
              <w:bottom w:val="nil"/>
              <w:right w:val="nil"/>
            </w:tcBorders>
            <w:shd w:val="clear" w:color="auto" w:fill="auto"/>
            <w:noWrap/>
            <w:vAlign w:val="bottom"/>
            <w:hideMark/>
          </w:tcPr>
          <w:p w14:paraId="4EFB23F9" w14:textId="77777777" w:rsidR="00A11891" w:rsidRPr="00A11891" w:rsidRDefault="00A11891" w:rsidP="00673FC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7.017.000</w:t>
            </w:r>
          </w:p>
        </w:tc>
        <w:tc>
          <w:tcPr>
            <w:tcW w:w="1060" w:type="dxa"/>
            <w:tcBorders>
              <w:top w:val="nil"/>
              <w:left w:val="nil"/>
              <w:bottom w:val="nil"/>
              <w:right w:val="nil"/>
            </w:tcBorders>
            <w:shd w:val="clear" w:color="auto" w:fill="auto"/>
            <w:noWrap/>
            <w:vAlign w:val="bottom"/>
            <w:hideMark/>
          </w:tcPr>
          <w:p w14:paraId="139FF54E" w14:textId="77777777" w:rsidR="00A11891" w:rsidRPr="00A11891" w:rsidRDefault="00A11891" w:rsidP="00673FC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-3293000</w:t>
            </w:r>
          </w:p>
        </w:tc>
        <w:tc>
          <w:tcPr>
            <w:tcW w:w="1060" w:type="dxa"/>
            <w:tcBorders>
              <w:top w:val="nil"/>
              <w:left w:val="nil"/>
              <w:bottom w:val="nil"/>
              <w:right w:val="nil"/>
            </w:tcBorders>
            <w:shd w:val="clear" w:color="auto" w:fill="auto"/>
            <w:noWrap/>
            <w:vAlign w:val="bottom"/>
            <w:hideMark/>
          </w:tcPr>
          <w:p w14:paraId="7A926FBF" w14:textId="77777777" w:rsidR="00A11891" w:rsidRPr="00A11891" w:rsidRDefault="00A11891" w:rsidP="00673FC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-0,4</w:t>
            </w:r>
          </w:p>
        </w:tc>
        <w:tc>
          <w:tcPr>
            <w:tcW w:w="1060" w:type="dxa"/>
            <w:tcBorders>
              <w:top w:val="nil"/>
              <w:left w:val="nil"/>
              <w:bottom w:val="nil"/>
              <w:right w:val="nil"/>
            </w:tcBorders>
            <w:shd w:val="clear" w:color="auto" w:fill="auto"/>
            <w:noWrap/>
            <w:vAlign w:val="bottom"/>
            <w:hideMark/>
          </w:tcPr>
          <w:p w14:paraId="5ED5FE5A" w14:textId="77777777" w:rsidR="00A11891" w:rsidRPr="00A11891" w:rsidRDefault="00A11891" w:rsidP="00673FC1">
            <w:pPr>
              <w:spacing w:after="0" w:line="240" w:lineRule="auto"/>
              <w:jc w:val="right"/>
              <w:rPr>
                <w:rFonts w:ascii="Calibri" w:eastAsia="Times New Roman" w:hAnsi="Calibri" w:cs="Calibri"/>
                <w:color w:val="000000"/>
                <w:sz w:val="22"/>
                <w:szCs w:val="22"/>
                <w:lang w:val="en-TR" w:eastAsia="en-GB"/>
              </w:rPr>
            </w:pPr>
          </w:p>
        </w:tc>
      </w:tr>
      <w:tr w:rsidR="00A11891" w:rsidRPr="00A11891" w14:paraId="1606158B" w14:textId="77777777" w:rsidTr="00673FC1">
        <w:trPr>
          <w:trHeight w:val="300"/>
        </w:trPr>
        <w:tc>
          <w:tcPr>
            <w:tcW w:w="3100" w:type="dxa"/>
            <w:tcBorders>
              <w:top w:val="nil"/>
              <w:left w:val="nil"/>
              <w:bottom w:val="nil"/>
              <w:right w:val="nil"/>
            </w:tcBorders>
            <w:shd w:val="clear" w:color="auto" w:fill="auto"/>
            <w:noWrap/>
            <w:vAlign w:val="bottom"/>
            <w:hideMark/>
          </w:tcPr>
          <w:p w14:paraId="52C17144" w14:textId="77777777" w:rsidR="00A11891" w:rsidRPr="00A11891" w:rsidRDefault="00A11891" w:rsidP="00673FC1">
            <w:pPr>
              <w:spacing w:after="0" w:line="240" w:lineRule="auto"/>
              <w:rPr>
                <w:rFonts w:ascii="Calibri" w:eastAsia="Times New Roman" w:hAnsi="Calibri" w:cs="Calibri"/>
                <w:b/>
                <w:bCs/>
                <w:color w:val="000000"/>
                <w:sz w:val="22"/>
                <w:szCs w:val="22"/>
                <w:lang w:val="en-TR" w:eastAsia="en-GB"/>
              </w:rPr>
            </w:pPr>
            <w:r w:rsidRPr="00A11891">
              <w:rPr>
                <w:rFonts w:ascii="Calibri" w:eastAsia="Times New Roman" w:hAnsi="Calibri" w:cs="Calibri"/>
                <w:b/>
                <w:bCs/>
                <w:color w:val="000000"/>
                <w:sz w:val="22"/>
                <w:szCs w:val="22"/>
                <w:lang w:val="en-TR" w:eastAsia="en-GB"/>
              </w:rPr>
              <w:t>Gross profit</w:t>
            </w:r>
          </w:p>
        </w:tc>
        <w:tc>
          <w:tcPr>
            <w:tcW w:w="1580" w:type="dxa"/>
            <w:tcBorders>
              <w:top w:val="nil"/>
              <w:left w:val="nil"/>
              <w:bottom w:val="nil"/>
              <w:right w:val="nil"/>
            </w:tcBorders>
            <w:shd w:val="clear" w:color="auto" w:fill="auto"/>
            <w:noWrap/>
            <w:vAlign w:val="bottom"/>
            <w:hideMark/>
          </w:tcPr>
          <w:p w14:paraId="62232062" w14:textId="77777777" w:rsidR="00A11891" w:rsidRPr="00A11891" w:rsidRDefault="00A11891" w:rsidP="00673FC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583.000</w:t>
            </w:r>
          </w:p>
        </w:tc>
        <w:tc>
          <w:tcPr>
            <w:tcW w:w="1620" w:type="dxa"/>
            <w:tcBorders>
              <w:top w:val="nil"/>
              <w:left w:val="nil"/>
              <w:bottom w:val="nil"/>
              <w:right w:val="nil"/>
            </w:tcBorders>
            <w:shd w:val="clear" w:color="auto" w:fill="auto"/>
            <w:noWrap/>
            <w:vAlign w:val="bottom"/>
            <w:hideMark/>
          </w:tcPr>
          <w:p w14:paraId="789E31E8" w14:textId="77777777" w:rsidR="00A11891" w:rsidRPr="00A11891" w:rsidRDefault="00A11891" w:rsidP="00673FC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2.435.000</w:t>
            </w:r>
          </w:p>
        </w:tc>
        <w:tc>
          <w:tcPr>
            <w:tcW w:w="1060" w:type="dxa"/>
            <w:tcBorders>
              <w:top w:val="nil"/>
              <w:left w:val="nil"/>
              <w:bottom w:val="nil"/>
              <w:right w:val="nil"/>
            </w:tcBorders>
            <w:shd w:val="clear" w:color="auto" w:fill="auto"/>
            <w:noWrap/>
            <w:vAlign w:val="bottom"/>
            <w:hideMark/>
          </w:tcPr>
          <w:p w14:paraId="67ED771B" w14:textId="77777777" w:rsidR="00A11891" w:rsidRPr="00A11891" w:rsidRDefault="00A11891" w:rsidP="00673FC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-2382000</w:t>
            </w:r>
          </w:p>
        </w:tc>
        <w:tc>
          <w:tcPr>
            <w:tcW w:w="1060" w:type="dxa"/>
            <w:tcBorders>
              <w:top w:val="nil"/>
              <w:left w:val="nil"/>
              <w:bottom w:val="nil"/>
              <w:right w:val="nil"/>
            </w:tcBorders>
            <w:shd w:val="clear" w:color="auto" w:fill="auto"/>
            <w:noWrap/>
            <w:vAlign w:val="bottom"/>
            <w:hideMark/>
          </w:tcPr>
          <w:p w14:paraId="1BFF4152" w14:textId="77777777" w:rsidR="00A11891" w:rsidRPr="00A11891" w:rsidRDefault="00A11891" w:rsidP="00673FC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-0,1</w:t>
            </w:r>
          </w:p>
        </w:tc>
        <w:tc>
          <w:tcPr>
            <w:tcW w:w="1060" w:type="dxa"/>
            <w:tcBorders>
              <w:top w:val="nil"/>
              <w:left w:val="nil"/>
              <w:bottom w:val="nil"/>
              <w:right w:val="nil"/>
            </w:tcBorders>
            <w:shd w:val="clear" w:color="auto" w:fill="auto"/>
            <w:noWrap/>
            <w:vAlign w:val="bottom"/>
            <w:hideMark/>
          </w:tcPr>
          <w:p w14:paraId="2A799998" w14:textId="77777777" w:rsidR="00A11891" w:rsidRPr="00A11891" w:rsidRDefault="00A11891" w:rsidP="00673FC1">
            <w:pPr>
              <w:spacing w:after="0" w:line="240" w:lineRule="auto"/>
              <w:jc w:val="right"/>
              <w:rPr>
                <w:rFonts w:ascii="Calibri" w:eastAsia="Times New Roman" w:hAnsi="Calibri" w:cs="Calibri"/>
                <w:color w:val="000000"/>
                <w:sz w:val="22"/>
                <w:szCs w:val="22"/>
                <w:lang w:val="en-TR" w:eastAsia="en-GB"/>
              </w:rPr>
            </w:pPr>
          </w:p>
        </w:tc>
      </w:tr>
      <w:tr w:rsidR="00A11891" w:rsidRPr="00A11891" w14:paraId="35924342" w14:textId="77777777" w:rsidTr="00673FC1">
        <w:trPr>
          <w:trHeight w:val="300"/>
        </w:trPr>
        <w:tc>
          <w:tcPr>
            <w:tcW w:w="3100" w:type="dxa"/>
            <w:tcBorders>
              <w:top w:val="nil"/>
              <w:left w:val="nil"/>
              <w:bottom w:val="nil"/>
              <w:right w:val="nil"/>
            </w:tcBorders>
            <w:shd w:val="clear" w:color="auto" w:fill="auto"/>
            <w:noWrap/>
            <w:vAlign w:val="bottom"/>
            <w:hideMark/>
          </w:tcPr>
          <w:p w14:paraId="02752741" w14:textId="77777777" w:rsidR="00A11891" w:rsidRPr="00A11891" w:rsidRDefault="00A11891" w:rsidP="00673FC1">
            <w:pPr>
              <w:spacing w:after="0" w:line="240" w:lineRule="auto"/>
              <w:rPr>
                <w:rFonts w:ascii="Calibri" w:eastAsia="Times New Roman" w:hAnsi="Calibri" w:cs="Calibri"/>
                <w:b/>
                <w:bCs/>
                <w:color w:val="000000"/>
                <w:sz w:val="22"/>
                <w:szCs w:val="22"/>
                <w:lang w:val="en-TR" w:eastAsia="en-GB"/>
              </w:rPr>
            </w:pPr>
            <w:r w:rsidRPr="00A11891">
              <w:rPr>
                <w:rFonts w:ascii="Calibri" w:eastAsia="Times New Roman" w:hAnsi="Calibri" w:cs="Calibri"/>
                <w:b/>
                <w:bCs/>
                <w:color w:val="000000"/>
                <w:sz w:val="22"/>
                <w:szCs w:val="22"/>
                <w:lang w:val="en-TR" w:eastAsia="en-GB"/>
              </w:rPr>
              <w:t>Operating Expenses</w:t>
            </w:r>
          </w:p>
        </w:tc>
        <w:tc>
          <w:tcPr>
            <w:tcW w:w="1580" w:type="dxa"/>
            <w:tcBorders>
              <w:top w:val="nil"/>
              <w:left w:val="nil"/>
              <w:bottom w:val="nil"/>
              <w:right w:val="nil"/>
            </w:tcBorders>
            <w:shd w:val="clear" w:color="auto" w:fill="auto"/>
            <w:noWrap/>
            <w:vAlign w:val="bottom"/>
            <w:hideMark/>
          </w:tcPr>
          <w:p w14:paraId="636F8D1A" w14:textId="77777777" w:rsidR="00A11891" w:rsidRPr="00A11891" w:rsidRDefault="00A11891" w:rsidP="00673FC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702.000</w:t>
            </w:r>
          </w:p>
        </w:tc>
        <w:tc>
          <w:tcPr>
            <w:tcW w:w="1620" w:type="dxa"/>
            <w:tcBorders>
              <w:top w:val="nil"/>
              <w:left w:val="nil"/>
              <w:bottom w:val="nil"/>
              <w:right w:val="nil"/>
            </w:tcBorders>
            <w:shd w:val="clear" w:color="auto" w:fill="auto"/>
            <w:noWrap/>
            <w:vAlign w:val="bottom"/>
            <w:hideMark/>
          </w:tcPr>
          <w:p w14:paraId="498509E5" w14:textId="77777777" w:rsidR="00A11891" w:rsidRPr="00A11891" w:rsidRDefault="00A11891" w:rsidP="00673FC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859.000</w:t>
            </w:r>
          </w:p>
        </w:tc>
        <w:tc>
          <w:tcPr>
            <w:tcW w:w="1060" w:type="dxa"/>
            <w:tcBorders>
              <w:top w:val="nil"/>
              <w:left w:val="nil"/>
              <w:bottom w:val="nil"/>
              <w:right w:val="nil"/>
            </w:tcBorders>
            <w:shd w:val="clear" w:color="auto" w:fill="auto"/>
            <w:noWrap/>
            <w:vAlign w:val="bottom"/>
            <w:hideMark/>
          </w:tcPr>
          <w:p w14:paraId="0FD972CE" w14:textId="77777777" w:rsidR="00A11891" w:rsidRPr="00A11891" w:rsidRDefault="00A11891" w:rsidP="00673FC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-157000</w:t>
            </w:r>
          </w:p>
        </w:tc>
        <w:tc>
          <w:tcPr>
            <w:tcW w:w="1060" w:type="dxa"/>
            <w:tcBorders>
              <w:top w:val="nil"/>
              <w:left w:val="nil"/>
              <w:bottom w:val="nil"/>
              <w:right w:val="nil"/>
            </w:tcBorders>
            <w:shd w:val="clear" w:color="auto" w:fill="auto"/>
            <w:noWrap/>
            <w:vAlign w:val="bottom"/>
            <w:hideMark/>
          </w:tcPr>
          <w:p w14:paraId="24160FCC" w14:textId="77777777" w:rsidR="00A11891" w:rsidRPr="00A11891" w:rsidRDefault="00A11891" w:rsidP="00673FC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-0,2</w:t>
            </w:r>
          </w:p>
        </w:tc>
        <w:tc>
          <w:tcPr>
            <w:tcW w:w="1060" w:type="dxa"/>
            <w:tcBorders>
              <w:top w:val="nil"/>
              <w:left w:val="nil"/>
              <w:bottom w:val="nil"/>
              <w:right w:val="nil"/>
            </w:tcBorders>
            <w:shd w:val="clear" w:color="auto" w:fill="auto"/>
            <w:noWrap/>
            <w:vAlign w:val="bottom"/>
            <w:hideMark/>
          </w:tcPr>
          <w:p w14:paraId="7D68B91B" w14:textId="77777777" w:rsidR="00A11891" w:rsidRPr="00A11891" w:rsidRDefault="00A11891" w:rsidP="00673FC1">
            <w:pPr>
              <w:spacing w:after="0" w:line="240" w:lineRule="auto"/>
              <w:jc w:val="right"/>
              <w:rPr>
                <w:rFonts w:ascii="Calibri" w:eastAsia="Times New Roman" w:hAnsi="Calibri" w:cs="Calibri"/>
                <w:color w:val="000000"/>
                <w:sz w:val="22"/>
                <w:szCs w:val="22"/>
                <w:lang w:val="en-TR" w:eastAsia="en-GB"/>
              </w:rPr>
            </w:pPr>
          </w:p>
        </w:tc>
      </w:tr>
      <w:tr w:rsidR="00A11891" w:rsidRPr="00A11891" w14:paraId="246A7380" w14:textId="77777777" w:rsidTr="00673FC1">
        <w:trPr>
          <w:trHeight w:val="300"/>
        </w:trPr>
        <w:tc>
          <w:tcPr>
            <w:tcW w:w="3100" w:type="dxa"/>
            <w:tcBorders>
              <w:top w:val="nil"/>
              <w:left w:val="nil"/>
              <w:bottom w:val="nil"/>
              <w:right w:val="nil"/>
            </w:tcBorders>
            <w:shd w:val="clear" w:color="auto" w:fill="auto"/>
            <w:noWrap/>
            <w:vAlign w:val="bottom"/>
            <w:hideMark/>
          </w:tcPr>
          <w:p w14:paraId="472B1DF5" w14:textId="77777777" w:rsidR="00A11891" w:rsidRPr="00A11891" w:rsidRDefault="00A11891" w:rsidP="00673FC1">
            <w:pPr>
              <w:spacing w:after="0" w:line="240" w:lineRule="auto"/>
              <w:rPr>
                <w:rFonts w:ascii="Calibri" w:eastAsia="Times New Roman" w:hAnsi="Calibri" w:cs="Calibri"/>
                <w:b/>
                <w:bCs/>
                <w:color w:val="000000"/>
                <w:sz w:val="22"/>
                <w:szCs w:val="22"/>
                <w:lang w:val="en-TR" w:eastAsia="en-GB"/>
              </w:rPr>
            </w:pPr>
            <w:r w:rsidRPr="00A11891">
              <w:rPr>
                <w:rFonts w:ascii="Calibri" w:eastAsia="Times New Roman" w:hAnsi="Calibri" w:cs="Calibri"/>
                <w:b/>
                <w:bCs/>
                <w:color w:val="000000"/>
                <w:sz w:val="22"/>
                <w:szCs w:val="22"/>
                <w:lang w:val="en-TR" w:eastAsia="en-GB"/>
              </w:rPr>
              <w:t>Operating income</w:t>
            </w:r>
          </w:p>
        </w:tc>
        <w:tc>
          <w:tcPr>
            <w:tcW w:w="1580" w:type="dxa"/>
            <w:tcBorders>
              <w:top w:val="nil"/>
              <w:left w:val="nil"/>
              <w:bottom w:val="nil"/>
              <w:right w:val="nil"/>
            </w:tcBorders>
            <w:shd w:val="clear" w:color="auto" w:fill="auto"/>
            <w:noWrap/>
            <w:vAlign w:val="bottom"/>
            <w:hideMark/>
          </w:tcPr>
          <w:p w14:paraId="5C2917D2" w14:textId="77777777" w:rsidR="00A11891" w:rsidRPr="00A11891" w:rsidRDefault="00A11891" w:rsidP="00673FC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-119.000</w:t>
            </w:r>
          </w:p>
        </w:tc>
        <w:tc>
          <w:tcPr>
            <w:tcW w:w="1620" w:type="dxa"/>
            <w:tcBorders>
              <w:top w:val="nil"/>
              <w:left w:val="nil"/>
              <w:bottom w:val="nil"/>
              <w:right w:val="nil"/>
            </w:tcBorders>
            <w:shd w:val="clear" w:color="auto" w:fill="auto"/>
            <w:noWrap/>
            <w:vAlign w:val="bottom"/>
            <w:hideMark/>
          </w:tcPr>
          <w:p w14:paraId="2F83A8A2" w14:textId="77777777" w:rsidR="00A11891" w:rsidRPr="00A11891" w:rsidRDefault="00A11891" w:rsidP="00673FC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1.576.000</w:t>
            </w:r>
          </w:p>
        </w:tc>
        <w:tc>
          <w:tcPr>
            <w:tcW w:w="1060" w:type="dxa"/>
            <w:tcBorders>
              <w:top w:val="nil"/>
              <w:left w:val="nil"/>
              <w:bottom w:val="nil"/>
              <w:right w:val="nil"/>
            </w:tcBorders>
            <w:shd w:val="clear" w:color="auto" w:fill="auto"/>
            <w:noWrap/>
            <w:vAlign w:val="bottom"/>
            <w:hideMark/>
          </w:tcPr>
          <w:p w14:paraId="68E9246B" w14:textId="77777777" w:rsidR="00A11891" w:rsidRPr="00A11891" w:rsidRDefault="00A11891" w:rsidP="00673FC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-1695000</w:t>
            </w:r>
          </w:p>
        </w:tc>
        <w:tc>
          <w:tcPr>
            <w:tcW w:w="1060" w:type="dxa"/>
            <w:tcBorders>
              <w:top w:val="nil"/>
              <w:left w:val="nil"/>
              <w:bottom w:val="nil"/>
              <w:right w:val="nil"/>
            </w:tcBorders>
            <w:shd w:val="clear" w:color="auto" w:fill="auto"/>
            <w:noWrap/>
            <w:vAlign w:val="bottom"/>
            <w:hideMark/>
          </w:tcPr>
          <w:p w14:paraId="53270758" w14:textId="77777777" w:rsidR="00A11891" w:rsidRPr="00A11891" w:rsidRDefault="00A11891" w:rsidP="00673FC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-1</w:t>
            </w:r>
          </w:p>
        </w:tc>
        <w:tc>
          <w:tcPr>
            <w:tcW w:w="1060" w:type="dxa"/>
            <w:tcBorders>
              <w:top w:val="nil"/>
              <w:left w:val="nil"/>
              <w:bottom w:val="nil"/>
              <w:right w:val="nil"/>
            </w:tcBorders>
            <w:shd w:val="clear" w:color="auto" w:fill="auto"/>
            <w:noWrap/>
            <w:vAlign w:val="bottom"/>
            <w:hideMark/>
          </w:tcPr>
          <w:p w14:paraId="1B519915" w14:textId="77777777" w:rsidR="00A11891" w:rsidRPr="00A11891" w:rsidRDefault="00A11891" w:rsidP="00673FC1">
            <w:pPr>
              <w:spacing w:after="0" w:line="240" w:lineRule="auto"/>
              <w:jc w:val="right"/>
              <w:rPr>
                <w:rFonts w:ascii="Calibri" w:eastAsia="Times New Roman" w:hAnsi="Calibri" w:cs="Calibri"/>
                <w:color w:val="000000"/>
                <w:sz w:val="22"/>
                <w:szCs w:val="22"/>
                <w:lang w:val="en-TR" w:eastAsia="en-GB"/>
              </w:rPr>
            </w:pPr>
          </w:p>
        </w:tc>
      </w:tr>
      <w:tr w:rsidR="00A11891" w:rsidRPr="00A11891" w14:paraId="2B8E2D16" w14:textId="77777777" w:rsidTr="00673FC1">
        <w:trPr>
          <w:trHeight w:val="300"/>
        </w:trPr>
        <w:tc>
          <w:tcPr>
            <w:tcW w:w="3100" w:type="dxa"/>
            <w:tcBorders>
              <w:top w:val="nil"/>
              <w:left w:val="nil"/>
              <w:bottom w:val="nil"/>
              <w:right w:val="nil"/>
            </w:tcBorders>
            <w:shd w:val="clear" w:color="auto" w:fill="auto"/>
            <w:noWrap/>
            <w:vAlign w:val="bottom"/>
            <w:hideMark/>
          </w:tcPr>
          <w:p w14:paraId="22DDCA2C" w14:textId="77777777" w:rsidR="00A11891" w:rsidRPr="00A11891" w:rsidRDefault="00A11891" w:rsidP="00673FC1">
            <w:pPr>
              <w:spacing w:after="0" w:line="240" w:lineRule="auto"/>
              <w:rPr>
                <w:rFonts w:ascii="Calibri" w:eastAsia="Times New Roman" w:hAnsi="Calibri" w:cs="Calibri"/>
                <w:b/>
                <w:bCs/>
                <w:color w:val="000000"/>
                <w:sz w:val="22"/>
                <w:szCs w:val="22"/>
                <w:lang w:val="en-TR" w:eastAsia="en-GB"/>
              </w:rPr>
            </w:pPr>
            <w:r w:rsidRPr="00A11891">
              <w:rPr>
                <w:rFonts w:ascii="Calibri" w:eastAsia="Times New Roman" w:hAnsi="Calibri" w:cs="Calibri"/>
                <w:b/>
                <w:bCs/>
                <w:color w:val="000000"/>
                <w:sz w:val="22"/>
                <w:szCs w:val="22"/>
                <w:lang w:val="en-TR" w:eastAsia="en-GB"/>
              </w:rPr>
              <w:t>Interest Expense</w:t>
            </w:r>
          </w:p>
        </w:tc>
        <w:tc>
          <w:tcPr>
            <w:tcW w:w="1580" w:type="dxa"/>
            <w:tcBorders>
              <w:top w:val="nil"/>
              <w:left w:val="nil"/>
              <w:bottom w:val="nil"/>
              <w:right w:val="nil"/>
            </w:tcBorders>
            <w:shd w:val="clear" w:color="auto" w:fill="auto"/>
            <w:noWrap/>
            <w:vAlign w:val="bottom"/>
            <w:hideMark/>
          </w:tcPr>
          <w:p w14:paraId="31A1B734" w14:textId="77777777" w:rsidR="00A11891" w:rsidRPr="00A11891" w:rsidRDefault="00A11891" w:rsidP="00673FC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429.000</w:t>
            </w:r>
          </w:p>
        </w:tc>
        <w:tc>
          <w:tcPr>
            <w:tcW w:w="1620" w:type="dxa"/>
            <w:tcBorders>
              <w:top w:val="nil"/>
              <w:left w:val="nil"/>
              <w:bottom w:val="nil"/>
              <w:right w:val="nil"/>
            </w:tcBorders>
            <w:shd w:val="clear" w:color="auto" w:fill="auto"/>
            <w:noWrap/>
            <w:vAlign w:val="bottom"/>
            <w:hideMark/>
          </w:tcPr>
          <w:p w14:paraId="23FE08BB" w14:textId="77777777" w:rsidR="00A11891" w:rsidRPr="00A11891" w:rsidRDefault="00A11891" w:rsidP="00673FC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414.000</w:t>
            </w:r>
          </w:p>
        </w:tc>
        <w:tc>
          <w:tcPr>
            <w:tcW w:w="1060" w:type="dxa"/>
            <w:tcBorders>
              <w:top w:val="nil"/>
              <w:left w:val="nil"/>
              <w:bottom w:val="nil"/>
              <w:right w:val="nil"/>
            </w:tcBorders>
            <w:shd w:val="clear" w:color="auto" w:fill="auto"/>
            <w:noWrap/>
            <w:vAlign w:val="bottom"/>
            <w:hideMark/>
          </w:tcPr>
          <w:p w14:paraId="63A1A24E" w14:textId="77777777" w:rsidR="00A11891" w:rsidRPr="00A11891" w:rsidRDefault="00A11891" w:rsidP="00673FC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-372000</w:t>
            </w:r>
          </w:p>
        </w:tc>
        <w:tc>
          <w:tcPr>
            <w:tcW w:w="1060" w:type="dxa"/>
            <w:tcBorders>
              <w:top w:val="nil"/>
              <w:left w:val="nil"/>
              <w:bottom w:val="nil"/>
              <w:right w:val="nil"/>
            </w:tcBorders>
            <w:shd w:val="clear" w:color="auto" w:fill="auto"/>
            <w:noWrap/>
            <w:vAlign w:val="bottom"/>
            <w:hideMark/>
          </w:tcPr>
          <w:p w14:paraId="4ADC8944" w14:textId="77777777" w:rsidR="00A11891" w:rsidRPr="00A11891" w:rsidRDefault="00A11891" w:rsidP="00673FC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-0,9</w:t>
            </w:r>
          </w:p>
        </w:tc>
        <w:tc>
          <w:tcPr>
            <w:tcW w:w="1060" w:type="dxa"/>
            <w:tcBorders>
              <w:top w:val="nil"/>
              <w:left w:val="nil"/>
              <w:bottom w:val="nil"/>
              <w:right w:val="nil"/>
            </w:tcBorders>
            <w:shd w:val="clear" w:color="auto" w:fill="auto"/>
            <w:noWrap/>
            <w:vAlign w:val="bottom"/>
            <w:hideMark/>
          </w:tcPr>
          <w:p w14:paraId="098AC402" w14:textId="77777777" w:rsidR="00A11891" w:rsidRPr="00A11891" w:rsidRDefault="00A11891" w:rsidP="00673FC1">
            <w:pPr>
              <w:spacing w:after="0" w:line="240" w:lineRule="auto"/>
              <w:jc w:val="right"/>
              <w:rPr>
                <w:rFonts w:ascii="Calibri" w:eastAsia="Times New Roman" w:hAnsi="Calibri" w:cs="Calibri"/>
                <w:color w:val="000000"/>
                <w:sz w:val="22"/>
                <w:szCs w:val="22"/>
                <w:lang w:val="en-TR" w:eastAsia="en-GB"/>
              </w:rPr>
            </w:pPr>
          </w:p>
        </w:tc>
      </w:tr>
      <w:tr w:rsidR="00A11891" w:rsidRPr="00A11891" w14:paraId="61E835EC" w14:textId="77777777" w:rsidTr="00673FC1">
        <w:trPr>
          <w:trHeight w:val="300"/>
        </w:trPr>
        <w:tc>
          <w:tcPr>
            <w:tcW w:w="3100" w:type="dxa"/>
            <w:tcBorders>
              <w:top w:val="nil"/>
              <w:left w:val="nil"/>
              <w:bottom w:val="nil"/>
              <w:right w:val="nil"/>
            </w:tcBorders>
            <w:shd w:val="clear" w:color="auto" w:fill="auto"/>
            <w:noWrap/>
            <w:vAlign w:val="bottom"/>
            <w:hideMark/>
          </w:tcPr>
          <w:p w14:paraId="08646CDA" w14:textId="77777777" w:rsidR="00A11891" w:rsidRPr="00A11891" w:rsidRDefault="00A11891" w:rsidP="00673FC1">
            <w:pPr>
              <w:spacing w:after="0" w:line="240" w:lineRule="auto"/>
              <w:rPr>
                <w:rFonts w:ascii="Calibri" w:eastAsia="Times New Roman" w:hAnsi="Calibri" w:cs="Calibri"/>
                <w:b/>
                <w:bCs/>
                <w:color w:val="000000"/>
                <w:sz w:val="22"/>
                <w:szCs w:val="22"/>
                <w:lang w:val="en-TR" w:eastAsia="en-GB"/>
              </w:rPr>
            </w:pPr>
            <w:r w:rsidRPr="00A11891">
              <w:rPr>
                <w:rFonts w:ascii="Calibri" w:eastAsia="Times New Roman" w:hAnsi="Calibri" w:cs="Calibri"/>
                <w:b/>
                <w:bCs/>
                <w:color w:val="000000"/>
                <w:sz w:val="22"/>
                <w:szCs w:val="22"/>
                <w:lang w:val="en-TR" w:eastAsia="en-GB"/>
              </w:rPr>
              <w:t xml:space="preserve">Total other income/expenses </w:t>
            </w:r>
          </w:p>
        </w:tc>
        <w:tc>
          <w:tcPr>
            <w:tcW w:w="1580" w:type="dxa"/>
            <w:tcBorders>
              <w:top w:val="nil"/>
              <w:left w:val="nil"/>
              <w:bottom w:val="nil"/>
              <w:right w:val="nil"/>
            </w:tcBorders>
            <w:shd w:val="clear" w:color="auto" w:fill="auto"/>
            <w:noWrap/>
            <w:vAlign w:val="bottom"/>
            <w:hideMark/>
          </w:tcPr>
          <w:p w14:paraId="0FB0A218" w14:textId="77777777" w:rsidR="00A11891" w:rsidRPr="00A11891" w:rsidRDefault="00A11891" w:rsidP="00673FC1">
            <w:pPr>
              <w:spacing w:after="0" w:line="240" w:lineRule="auto"/>
              <w:rPr>
                <w:rFonts w:ascii="Calibri" w:eastAsia="Times New Roman" w:hAnsi="Calibri" w:cs="Calibri"/>
                <w:b/>
                <w:bCs/>
                <w:color w:val="000000"/>
                <w:sz w:val="22"/>
                <w:szCs w:val="22"/>
                <w:lang w:val="en-TR" w:eastAsia="en-GB"/>
              </w:rPr>
            </w:pPr>
          </w:p>
        </w:tc>
        <w:tc>
          <w:tcPr>
            <w:tcW w:w="1620" w:type="dxa"/>
            <w:tcBorders>
              <w:top w:val="nil"/>
              <w:left w:val="nil"/>
              <w:bottom w:val="nil"/>
              <w:right w:val="nil"/>
            </w:tcBorders>
            <w:shd w:val="clear" w:color="auto" w:fill="auto"/>
            <w:noWrap/>
            <w:vAlign w:val="bottom"/>
            <w:hideMark/>
          </w:tcPr>
          <w:p w14:paraId="06471D5B"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c>
          <w:tcPr>
            <w:tcW w:w="1060" w:type="dxa"/>
            <w:tcBorders>
              <w:top w:val="nil"/>
              <w:left w:val="nil"/>
              <w:bottom w:val="nil"/>
              <w:right w:val="nil"/>
            </w:tcBorders>
            <w:shd w:val="clear" w:color="auto" w:fill="auto"/>
            <w:noWrap/>
            <w:vAlign w:val="bottom"/>
            <w:hideMark/>
          </w:tcPr>
          <w:p w14:paraId="713DED18"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c>
          <w:tcPr>
            <w:tcW w:w="1060" w:type="dxa"/>
            <w:tcBorders>
              <w:top w:val="nil"/>
              <w:left w:val="nil"/>
              <w:bottom w:val="nil"/>
              <w:right w:val="nil"/>
            </w:tcBorders>
            <w:shd w:val="clear" w:color="auto" w:fill="auto"/>
            <w:noWrap/>
            <w:vAlign w:val="bottom"/>
            <w:hideMark/>
          </w:tcPr>
          <w:p w14:paraId="6FBDA508"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c>
          <w:tcPr>
            <w:tcW w:w="1060" w:type="dxa"/>
            <w:tcBorders>
              <w:top w:val="nil"/>
              <w:left w:val="nil"/>
              <w:bottom w:val="nil"/>
              <w:right w:val="nil"/>
            </w:tcBorders>
            <w:shd w:val="clear" w:color="auto" w:fill="auto"/>
            <w:noWrap/>
            <w:vAlign w:val="bottom"/>
            <w:hideMark/>
          </w:tcPr>
          <w:p w14:paraId="597112B9"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r>
      <w:tr w:rsidR="00A11891" w:rsidRPr="00A11891" w14:paraId="4D4585DC" w14:textId="77777777" w:rsidTr="00673FC1">
        <w:trPr>
          <w:trHeight w:val="300"/>
        </w:trPr>
        <w:tc>
          <w:tcPr>
            <w:tcW w:w="3100" w:type="dxa"/>
            <w:tcBorders>
              <w:top w:val="nil"/>
              <w:left w:val="nil"/>
              <w:bottom w:val="nil"/>
              <w:right w:val="nil"/>
            </w:tcBorders>
            <w:shd w:val="clear" w:color="auto" w:fill="auto"/>
            <w:noWrap/>
            <w:vAlign w:val="bottom"/>
            <w:hideMark/>
          </w:tcPr>
          <w:p w14:paraId="24697C19" w14:textId="77777777" w:rsidR="00A11891" w:rsidRPr="00A11891" w:rsidRDefault="00A11891" w:rsidP="00673FC1">
            <w:pPr>
              <w:spacing w:after="0" w:line="240" w:lineRule="auto"/>
              <w:rPr>
                <w:rFonts w:ascii="Calibri" w:eastAsia="Times New Roman" w:hAnsi="Calibri" w:cs="Calibri"/>
                <w:b/>
                <w:bCs/>
                <w:color w:val="000000"/>
                <w:sz w:val="22"/>
                <w:szCs w:val="22"/>
                <w:lang w:val="en-TR" w:eastAsia="en-GB"/>
              </w:rPr>
            </w:pPr>
            <w:r w:rsidRPr="00A11891">
              <w:rPr>
                <w:rFonts w:ascii="Calibri" w:eastAsia="Times New Roman" w:hAnsi="Calibri" w:cs="Calibri"/>
                <w:b/>
                <w:bCs/>
                <w:color w:val="000000"/>
                <w:sz w:val="22"/>
                <w:szCs w:val="22"/>
                <w:lang w:val="en-TR" w:eastAsia="en-GB"/>
              </w:rPr>
              <w:t>net</w:t>
            </w:r>
          </w:p>
        </w:tc>
        <w:tc>
          <w:tcPr>
            <w:tcW w:w="1580" w:type="dxa"/>
            <w:tcBorders>
              <w:top w:val="nil"/>
              <w:left w:val="nil"/>
              <w:bottom w:val="nil"/>
              <w:right w:val="nil"/>
            </w:tcBorders>
            <w:shd w:val="clear" w:color="auto" w:fill="auto"/>
            <w:noWrap/>
            <w:vAlign w:val="bottom"/>
            <w:hideMark/>
          </w:tcPr>
          <w:p w14:paraId="7DCA8AFE" w14:textId="77777777" w:rsidR="00A11891" w:rsidRPr="00A11891" w:rsidRDefault="00A11891" w:rsidP="00673FC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-376.000</w:t>
            </w:r>
          </w:p>
        </w:tc>
        <w:tc>
          <w:tcPr>
            <w:tcW w:w="1620" w:type="dxa"/>
            <w:tcBorders>
              <w:top w:val="nil"/>
              <w:left w:val="nil"/>
              <w:bottom w:val="nil"/>
              <w:right w:val="nil"/>
            </w:tcBorders>
            <w:shd w:val="clear" w:color="auto" w:fill="auto"/>
            <w:noWrap/>
            <w:vAlign w:val="bottom"/>
            <w:hideMark/>
          </w:tcPr>
          <w:p w14:paraId="5E433027" w14:textId="77777777" w:rsidR="00A11891" w:rsidRPr="00A11891" w:rsidRDefault="00A11891" w:rsidP="00673FC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82.000</w:t>
            </w:r>
          </w:p>
        </w:tc>
        <w:tc>
          <w:tcPr>
            <w:tcW w:w="1060" w:type="dxa"/>
            <w:tcBorders>
              <w:top w:val="nil"/>
              <w:left w:val="nil"/>
              <w:bottom w:val="nil"/>
              <w:right w:val="nil"/>
            </w:tcBorders>
            <w:shd w:val="clear" w:color="auto" w:fill="auto"/>
            <w:noWrap/>
            <w:vAlign w:val="bottom"/>
            <w:hideMark/>
          </w:tcPr>
          <w:p w14:paraId="529B2800" w14:textId="77777777" w:rsidR="00A11891" w:rsidRPr="00A11891" w:rsidRDefault="00A11891" w:rsidP="00673FC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-458000</w:t>
            </w:r>
          </w:p>
        </w:tc>
        <w:tc>
          <w:tcPr>
            <w:tcW w:w="1060" w:type="dxa"/>
            <w:tcBorders>
              <w:top w:val="nil"/>
              <w:left w:val="nil"/>
              <w:bottom w:val="nil"/>
              <w:right w:val="nil"/>
            </w:tcBorders>
            <w:shd w:val="clear" w:color="auto" w:fill="auto"/>
            <w:noWrap/>
            <w:vAlign w:val="bottom"/>
            <w:hideMark/>
          </w:tcPr>
          <w:p w14:paraId="255A6E0E" w14:textId="77777777" w:rsidR="00A11891" w:rsidRPr="00A11891" w:rsidRDefault="00A11891" w:rsidP="00673FC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-5,5</w:t>
            </w:r>
          </w:p>
        </w:tc>
        <w:tc>
          <w:tcPr>
            <w:tcW w:w="1060" w:type="dxa"/>
            <w:tcBorders>
              <w:top w:val="nil"/>
              <w:left w:val="nil"/>
              <w:bottom w:val="nil"/>
              <w:right w:val="nil"/>
            </w:tcBorders>
            <w:shd w:val="clear" w:color="auto" w:fill="auto"/>
            <w:noWrap/>
            <w:vAlign w:val="bottom"/>
            <w:hideMark/>
          </w:tcPr>
          <w:p w14:paraId="193CD1B3" w14:textId="77777777" w:rsidR="00A11891" w:rsidRPr="00A11891" w:rsidRDefault="00A11891" w:rsidP="00673FC1">
            <w:pPr>
              <w:spacing w:after="0" w:line="240" w:lineRule="auto"/>
              <w:jc w:val="right"/>
              <w:rPr>
                <w:rFonts w:ascii="Calibri" w:eastAsia="Times New Roman" w:hAnsi="Calibri" w:cs="Calibri"/>
                <w:color w:val="000000"/>
                <w:sz w:val="22"/>
                <w:szCs w:val="22"/>
                <w:lang w:val="en-TR" w:eastAsia="en-GB"/>
              </w:rPr>
            </w:pPr>
          </w:p>
        </w:tc>
      </w:tr>
      <w:tr w:rsidR="00A11891" w:rsidRPr="00A11891" w14:paraId="2395AEBA" w14:textId="77777777" w:rsidTr="00673FC1">
        <w:trPr>
          <w:trHeight w:val="300"/>
        </w:trPr>
        <w:tc>
          <w:tcPr>
            <w:tcW w:w="3100" w:type="dxa"/>
            <w:tcBorders>
              <w:top w:val="nil"/>
              <w:left w:val="nil"/>
              <w:bottom w:val="nil"/>
              <w:right w:val="nil"/>
            </w:tcBorders>
            <w:shd w:val="clear" w:color="auto" w:fill="auto"/>
            <w:noWrap/>
            <w:vAlign w:val="bottom"/>
            <w:hideMark/>
          </w:tcPr>
          <w:p w14:paraId="7F2D2DD9" w14:textId="77777777" w:rsidR="00A11891" w:rsidRPr="00A11891" w:rsidRDefault="00A11891" w:rsidP="00673FC1">
            <w:pPr>
              <w:spacing w:after="0" w:line="240" w:lineRule="auto"/>
              <w:rPr>
                <w:rFonts w:ascii="Calibri" w:eastAsia="Times New Roman" w:hAnsi="Calibri" w:cs="Calibri"/>
                <w:b/>
                <w:bCs/>
                <w:color w:val="000000"/>
                <w:sz w:val="22"/>
                <w:szCs w:val="22"/>
                <w:lang w:val="en-TR" w:eastAsia="en-GB"/>
              </w:rPr>
            </w:pPr>
            <w:r w:rsidRPr="00A11891">
              <w:rPr>
                <w:rFonts w:ascii="Calibri" w:eastAsia="Times New Roman" w:hAnsi="Calibri" w:cs="Calibri"/>
                <w:b/>
                <w:bCs/>
                <w:color w:val="000000"/>
                <w:sz w:val="22"/>
                <w:szCs w:val="22"/>
                <w:lang w:val="en-TR" w:eastAsia="en-GB"/>
              </w:rPr>
              <w:t>Income before taxes</w:t>
            </w:r>
          </w:p>
        </w:tc>
        <w:tc>
          <w:tcPr>
            <w:tcW w:w="1580" w:type="dxa"/>
            <w:tcBorders>
              <w:top w:val="nil"/>
              <w:left w:val="nil"/>
              <w:bottom w:val="nil"/>
              <w:right w:val="nil"/>
            </w:tcBorders>
            <w:shd w:val="clear" w:color="auto" w:fill="auto"/>
            <w:noWrap/>
            <w:vAlign w:val="bottom"/>
            <w:hideMark/>
          </w:tcPr>
          <w:p w14:paraId="0344D160" w14:textId="77777777" w:rsidR="00A11891" w:rsidRPr="00A11891" w:rsidRDefault="00A11891" w:rsidP="00673FC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-924.000</w:t>
            </w:r>
          </w:p>
        </w:tc>
        <w:tc>
          <w:tcPr>
            <w:tcW w:w="1620" w:type="dxa"/>
            <w:tcBorders>
              <w:top w:val="nil"/>
              <w:left w:val="nil"/>
              <w:bottom w:val="nil"/>
              <w:right w:val="nil"/>
            </w:tcBorders>
            <w:shd w:val="clear" w:color="auto" w:fill="auto"/>
            <w:noWrap/>
            <w:vAlign w:val="bottom"/>
            <w:hideMark/>
          </w:tcPr>
          <w:p w14:paraId="022106F4" w14:textId="77777777" w:rsidR="00A11891" w:rsidRPr="00A11891" w:rsidRDefault="00A11891" w:rsidP="00673FC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1.244.000</w:t>
            </w:r>
          </w:p>
        </w:tc>
        <w:tc>
          <w:tcPr>
            <w:tcW w:w="1060" w:type="dxa"/>
            <w:tcBorders>
              <w:top w:val="nil"/>
              <w:left w:val="nil"/>
              <w:bottom w:val="nil"/>
              <w:right w:val="nil"/>
            </w:tcBorders>
            <w:shd w:val="clear" w:color="auto" w:fill="auto"/>
            <w:noWrap/>
            <w:vAlign w:val="bottom"/>
            <w:hideMark/>
          </w:tcPr>
          <w:p w14:paraId="48145F29" w14:textId="77777777" w:rsidR="00A11891" w:rsidRPr="00A11891" w:rsidRDefault="00A11891" w:rsidP="00673FC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-2168000</w:t>
            </w:r>
          </w:p>
        </w:tc>
        <w:tc>
          <w:tcPr>
            <w:tcW w:w="1060" w:type="dxa"/>
            <w:tcBorders>
              <w:top w:val="nil"/>
              <w:left w:val="nil"/>
              <w:bottom w:val="nil"/>
              <w:right w:val="nil"/>
            </w:tcBorders>
            <w:shd w:val="clear" w:color="auto" w:fill="auto"/>
            <w:noWrap/>
            <w:vAlign w:val="bottom"/>
            <w:hideMark/>
          </w:tcPr>
          <w:p w14:paraId="5093924A" w14:textId="77777777" w:rsidR="00A11891" w:rsidRPr="00A11891" w:rsidRDefault="00A11891" w:rsidP="00673FC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-2</w:t>
            </w:r>
          </w:p>
        </w:tc>
        <w:tc>
          <w:tcPr>
            <w:tcW w:w="1060" w:type="dxa"/>
            <w:tcBorders>
              <w:top w:val="nil"/>
              <w:left w:val="nil"/>
              <w:bottom w:val="nil"/>
              <w:right w:val="nil"/>
            </w:tcBorders>
            <w:shd w:val="clear" w:color="auto" w:fill="auto"/>
            <w:noWrap/>
            <w:vAlign w:val="bottom"/>
            <w:hideMark/>
          </w:tcPr>
          <w:p w14:paraId="485FF062" w14:textId="77777777" w:rsidR="00A11891" w:rsidRPr="00A11891" w:rsidRDefault="00A11891" w:rsidP="00673FC1">
            <w:pPr>
              <w:spacing w:after="0" w:line="240" w:lineRule="auto"/>
              <w:jc w:val="right"/>
              <w:rPr>
                <w:rFonts w:ascii="Calibri" w:eastAsia="Times New Roman" w:hAnsi="Calibri" w:cs="Calibri"/>
                <w:color w:val="000000"/>
                <w:sz w:val="22"/>
                <w:szCs w:val="22"/>
                <w:lang w:val="en-TR" w:eastAsia="en-GB"/>
              </w:rPr>
            </w:pPr>
          </w:p>
        </w:tc>
      </w:tr>
      <w:tr w:rsidR="00A11891" w:rsidRPr="00A11891" w14:paraId="5D30AAAC" w14:textId="77777777" w:rsidTr="00673FC1">
        <w:trPr>
          <w:trHeight w:val="300"/>
        </w:trPr>
        <w:tc>
          <w:tcPr>
            <w:tcW w:w="3100" w:type="dxa"/>
            <w:tcBorders>
              <w:top w:val="nil"/>
              <w:left w:val="nil"/>
              <w:bottom w:val="nil"/>
              <w:right w:val="nil"/>
            </w:tcBorders>
            <w:shd w:val="clear" w:color="auto" w:fill="auto"/>
            <w:noWrap/>
            <w:vAlign w:val="bottom"/>
            <w:hideMark/>
          </w:tcPr>
          <w:p w14:paraId="405CE837" w14:textId="77777777" w:rsidR="00A11891" w:rsidRPr="00A11891" w:rsidRDefault="00A11891" w:rsidP="00673FC1">
            <w:pPr>
              <w:spacing w:after="0" w:line="240" w:lineRule="auto"/>
              <w:rPr>
                <w:rFonts w:ascii="Calibri" w:eastAsia="Times New Roman" w:hAnsi="Calibri" w:cs="Calibri"/>
                <w:b/>
                <w:bCs/>
                <w:color w:val="000000"/>
                <w:sz w:val="22"/>
                <w:szCs w:val="22"/>
                <w:lang w:val="en-TR" w:eastAsia="en-GB"/>
              </w:rPr>
            </w:pPr>
            <w:r w:rsidRPr="00A11891">
              <w:rPr>
                <w:rFonts w:ascii="Calibri" w:eastAsia="Times New Roman" w:hAnsi="Calibri" w:cs="Calibri"/>
                <w:b/>
                <w:bCs/>
                <w:color w:val="000000"/>
                <w:sz w:val="22"/>
                <w:szCs w:val="22"/>
                <w:lang w:val="en-TR" w:eastAsia="en-GB"/>
              </w:rPr>
              <w:t>Net Income</w:t>
            </w:r>
          </w:p>
        </w:tc>
        <w:tc>
          <w:tcPr>
            <w:tcW w:w="1580" w:type="dxa"/>
            <w:tcBorders>
              <w:top w:val="nil"/>
              <w:left w:val="nil"/>
              <w:bottom w:val="nil"/>
              <w:right w:val="nil"/>
            </w:tcBorders>
            <w:shd w:val="clear" w:color="auto" w:fill="auto"/>
            <w:noWrap/>
            <w:vAlign w:val="bottom"/>
            <w:hideMark/>
          </w:tcPr>
          <w:p w14:paraId="47456D3B" w14:textId="77777777" w:rsidR="00A11891" w:rsidRPr="00A11891" w:rsidRDefault="00A11891" w:rsidP="00673FC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-715.000</w:t>
            </w:r>
          </w:p>
        </w:tc>
        <w:tc>
          <w:tcPr>
            <w:tcW w:w="1620" w:type="dxa"/>
            <w:tcBorders>
              <w:top w:val="nil"/>
              <w:left w:val="nil"/>
              <w:bottom w:val="nil"/>
              <w:right w:val="nil"/>
            </w:tcBorders>
            <w:shd w:val="clear" w:color="auto" w:fill="auto"/>
            <w:noWrap/>
            <w:vAlign w:val="bottom"/>
            <w:hideMark/>
          </w:tcPr>
          <w:p w14:paraId="4D7C55D0" w14:textId="77777777" w:rsidR="00A11891" w:rsidRPr="00A11891" w:rsidRDefault="00A11891" w:rsidP="00673FC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881.000</w:t>
            </w:r>
          </w:p>
        </w:tc>
        <w:tc>
          <w:tcPr>
            <w:tcW w:w="1060" w:type="dxa"/>
            <w:tcBorders>
              <w:top w:val="nil"/>
              <w:left w:val="nil"/>
              <w:bottom w:val="nil"/>
              <w:right w:val="nil"/>
            </w:tcBorders>
            <w:shd w:val="clear" w:color="auto" w:fill="auto"/>
            <w:noWrap/>
            <w:vAlign w:val="bottom"/>
            <w:hideMark/>
          </w:tcPr>
          <w:p w14:paraId="35F4DD30" w14:textId="77777777" w:rsidR="00A11891" w:rsidRPr="00A11891" w:rsidRDefault="00A11891" w:rsidP="00673FC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-1596000</w:t>
            </w:r>
          </w:p>
        </w:tc>
        <w:tc>
          <w:tcPr>
            <w:tcW w:w="1060" w:type="dxa"/>
            <w:tcBorders>
              <w:top w:val="nil"/>
              <w:left w:val="nil"/>
              <w:bottom w:val="nil"/>
              <w:right w:val="nil"/>
            </w:tcBorders>
            <w:shd w:val="clear" w:color="auto" w:fill="auto"/>
            <w:noWrap/>
            <w:vAlign w:val="bottom"/>
            <w:hideMark/>
          </w:tcPr>
          <w:p w14:paraId="0DD63F00" w14:textId="77777777" w:rsidR="00A11891" w:rsidRPr="00A11891" w:rsidRDefault="00A11891" w:rsidP="00673FC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-2</w:t>
            </w:r>
          </w:p>
        </w:tc>
        <w:tc>
          <w:tcPr>
            <w:tcW w:w="1060" w:type="dxa"/>
            <w:tcBorders>
              <w:top w:val="nil"/>
              <w:left w:val="nil"/>
              <w:bottom w:val="nil"/>
              <w:right w:val="nil"/>
            </w:tcBorders>
            <w:shd w:val="clear" w:color="auto" w:fill="auto"/>
            <w:noWrap/>
            <w:vAlign w:val="bottom"/>
            <w:hideMark/>
          </w:tcPr>
          <w:p w14:paraId="6F3B9E31" w14:textId="77777777" w:rsidR="00A11891" w:rsidRPr="00A11891" w:rsidRDefault="00A11891" w:rsidP="00673FC1">
            <w:pPr>
              <w:spacing w:after="0" w:line="240" w:lineRule="auto"/>
              <w:jc w:val="right"/>
              <w:rPr>
                <w:rFonts w:ascii="Calibri" w:eastAsia="Times New Roman" w:hAnsi="Calibri" w:cs="Calibri"/>
                <w:color w:val="000000"/>
                <w:sz w:val="22"/>
                <w:szCs w:val="22"/>
                <w:lang w:val="en-TR" w:eastAsia="en-GB"/>
              </w:rPr>
            </w:pPr>
          </w:p>
        </w:tc>
      </w:tr>
      <w:tr w:rsidR="00A11891" w:rsidRPr="00A11891" w14:paraId="64EA4022" w14:textId="77777777" w:rsidTr="00673FC1">
        <w:trPr>
          <w:trHeight w:val="300"/>
        </w:trPr>
        <w:tc>
          <w:tcPr>
            <w:tcW w:w="3100" w:type="dxa"/>
            <w:tcBorders>
              <w:top w:val="nil"/>
              <w:left w:val="nil"/>
              <w:bottom w:val="nil"/>
              <w:right w:val="nil"/>
            </w:tcBorders>
            <w:shd w:val="clear" w:color="auto" w:fill="auto"/>
            <w:noWrap/>
            <w:vAlign w:val="bottom"/>
            <w:hideMark/>
          </w:tcPr>
          <w:p w14:paraId="2F105F7A"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c>
          <w:tcPr>
            <w:tcW w:w="1580" w:type="dxa"/>
            <w:tcBorders>
              <w:top w:val="nil"/>
              <w:left w:val="nil"/>
              <w:bottom w:val="nil"/>
              <w:right w:val="nil"/>
            </w:tcBorders>
            <w:shd w:val="clear" w:color="auto" w:fill="auto"/>
            <w:noWrap/>
            <w:vAlign w:val="bottom"/>
            <w:hideMark/>
          </w:tcPr>
          <w:p w14:paraId="222BA0BE"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c>
          <w:tcPr>
            <w:tcW w:w="1620" w:type="dxa"/>
            <w:tcBorders>
              <w:top w:val="nil"/>
              <w:left w:val="nil"/>
              <w:bottom w:val="nil"/>
              <w:right w:val="nil"/>
            </w:tcBorders>
            <w:shd w:val="clear" w:color="auto" w:fill="auto"/>
            <w:noWrap/>
            <w:vAlign w:val="bottom"/>
            <w:hideMark/>
          </w:tcPr>
          <w:p w14:paraId="7EC24F31"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c>
          <w:tcPr>
            <w:tcW w:w="1060" w:type="dxa"/>
            <w:tcBorders>
              <w:top w:val="nil"/>
              <w:left w:val="nil"/>
              <w:bottom w:val="nil"/>
              <w:right w:val="nil"/>
            </w:tcBorders>
            <w:shd w:val="clear" w:color="auto" w:fill="auto"/>
            <w:noWrap/>
            <w:vAlign w:val="bottom"/>
            <w:hideMark/>
          </w:tcPr>
          <w:p w14:paraId="7F651783"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c>
          <w:tcPr>
            <w:tcW w:w="1060" w:type="dxa"/>
            <w:tcBorders>
              <w:top w:val="nil"/>
              <w:left w:val="nil"/>
              <w:bottom w:val="nil"/>
              <w:right w:val="nil"/>
            </w:tcBorders>
            <w:shd w:val="clear" w:color="auto" w:fill="auto"/>
            <w:noWrap/>
            <w:vAlign w:val="bottom"/>
            <w:hideMark/>
          </w:tcPr>
          <w:p w14:paraId="64440196"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c>
          <w:tcPr>
            <w:tcW w:w="1060" w:type="dxa"/>
            <w:tcBorders>
              <w:top w:val="nil"/>
              <w:left w:val="nil"/>
              <w:bottom w:val="nil"/>
              <w:right w:val="nil"/>
            </w:tcBorders>
            <w:shd w:val="clear" w:color="auto" w:fill="auto"/>
            <w:noWrap/>
            <w:vAlign w:val="bottom"/>
            <w:hideMark/>
          </w:tcPr>
          <w:p w14:paraId="1FFDC138"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r>
      <w:tr w:rsidR="00A11891" w:rsidRPr="00A11891" w14:paraId="38B25006" w14:textId="77777777" w:rsidTr="00673FC1">
        <w:trPr>
          <w:trHeight w:val="300"/>
        </w:trPr>
        <w:tc>
          <w:tcPr>
            <w:tcW w:w="3100" w:type="dxa"/>
            <w:tcBorders>
              <w:top w:val="nil"/>
              <w:left w:val="nil"/>
              <w:bottom w:val="nil"/>
              <w:right w:val="nil"/>
            </w:tcBorders>
            <w:shd w:val="clear" w:color="auto" w:fill="auto"/>
            <w:noWrap/>
            <w:vAlign w:val="bottom"/>
            <w:hideMark/>
          </w:tcPr>
          <w:p w14:paraId="09AB3A70"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c>
          <w:tcPr>
            <w:tcW w:w="1580" w:type="dxa"/>
            <w:tcBorders>
              <w:top w:val="nil"/>
              <w:left w:val="nil"/>
              <w:bottom w:val="nil"/>
              <w:right w:val="nil"/>
            </w:tcBorders>
            <w:shd w:val="clear" w:color="auto" w:fill="auto"/>
            <w:noWrap/>
            <w:vAlign w:val="bottom"/>
            <w:hideMark/>
          </w:tcPr>
          <w:p w14:paraId="08ED8540"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c>
          <w:tcPr>
            <w:tcW w:w="1620" w:type="dxa"/>
            <w:tcBorders>
              <w:top w:val="nil"/>
              <w:left w:val="nil"/>
              <w:bottom w:val="nil"/>
              <w:right w:val="nil"/>
            </w:tcBorders>
            <w:shd w:val="clear" w:color="auto" w:fill="auto"/>
            <w:noWrap/>
            <w:vAlign w:val="bottom"/>
            <w:hideMark/>
          </w:tcPr>
          <w:p w14:paraId="1B1DA252"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c>
          <w:tcPr>
            <w:tcW w:w="1060" w:type="dxa"/>
            <w:tcBorders>
              <w:top w:val="nil"/>
              <w:left w:val="nil"/>
              <w:bottom w:val="nil"/>
              <w:right w:val="nil"/>
            </w:tcBorders>
            <w:shd w:val="clear" w:color="auto" w:fill="auto"/>
            <w:noWrap/>
            <w:vAlign w:val="bottom"/>
            <w:hideMark/>
          </w:tcPr>
          <w:p w14:paraId="5AE8F4DC"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c>
          <w:tcPr>
            <w:tcW w:w="1060" w:type="dxa"/>
            <w:tcBorders>
              <w:top w:val="nil"/>
              <w:left w:val="nil"/>
              <w:bottom w:val="nil"/>
              <w:right w:val="nil"/>
            </w:tcBorders>
            <w:shd w:val="clear" w:color="auto" w:fill="auto"/>
            <w:noWrap/>
            <w:vAlign w:val="bottom"/>
            <w:hideMark/>
          </w:tcPr>
          <w:p w14:paraId="36068A4B"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c>
          <w:tcPr>
            <w:tcW w:w="1060" w:type="dxa"/>
            <w:tcBorders>
              <w:top w:val="nil"/>
              <w:left w:val="nil"/>
              <w:bottom w:val="nil"/>
              <w:right w:val="nil"/>
            </w:tcBorders>
            <w:shd w:val="clear" w:color="auto" w:fill="auto"/>
            <w:noWrap/>
            <w:vAlign w:val="bottom"/>
            <w:hideMark/>
          </w:tcPr>
          <w:p w14:paraId="33F42814"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r>
      <w:tr w:rsidR="00A11891" w:rsidRPr="00A11891" w14:paraId="1313829F" w14:textId="77777777" w:rsidTr="00673FC1">
        <w:trPr>
          <w:trHeight w:val="300"/>
        </w:trPr>
        <w:tc>
          <w:tcPr>
            <w:tcW w:w="3100" w:type="dxa"/>
            <w:tcBorders>
              <w:top w:val="nil"/>
              <w:left w:val="nil"/>
              <w:bottom w:val="nil"/>
              <w:right w:val="nil"/>
            </w:tcBorders>
            <w:shd w:val="clear" w:color="auto" w:fill="auto"/>
            <w:noWrap/>
            <w:vAlign w:val="bottom"/>
            <w:hideMark/>
          </w:tcPr>
          <w:p w14:paraId="2BB4B7F8"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c>
          <w:tcPr>
            <w:tcW w:w="1580" w:type="dxa"/>
            <w:tcBorders>
              <w:top w:val="nil"/>
              <w:left w:val="nil"/>
              <w:bottom w:val="nil"/>
              <w:right w:val="nil"/>
            </w:tcBorders>
            <w:shd w:val="clear" w:color="auto" w:fill="auto"/>
            <w:noWrap/>
            <w:vAlign w:val="bottom"/>
            <w:hideMark/>
          </w:tcPr>
          <w:p w14:paraId="4F026B00"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c>
          <w:tcPr>
            <w:tcW w:w="1620" w:type="dxa"/>
            <w:tcBorders>
              <w:top w:val="nil"/>
              <w:left w:val="nil"/>
              <w:bottom w:val="nil"/>
              <w:right w:val="nil"/>
            </w:tcBorders>
            <w:shd w:val="clear" w:color="auto" w:fill="auto"/>
            <w:noWrap/>
            <w:vAlign w:val="bottom"/>
            <w:hideMark/>
          </w:tcPr>
          <w:p w14:paraId="2ACFCAE6"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c>
          <w:tcPr>
            <w:tcW w:w="1060" w:type="dxa"/>
            <w:tcBorders>
              <w:top w:val="nil"/>
              <w:left w:val="nil"/>
              <w:bottom w:val="nil"/>
              <w:right w:val="nil"/>
            </w:tcBorders>
            <w:shd w:val="clear" w:color="auto" w:fill="auto"/>
            <w:noWrap/>
            <w:vAlign w:val="bottom"/>
            <w:hideMark/>
          </w:tcPr>
          <w:p w14:paraId="00A7A29D"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c>
          <w:tcPr>
            <w:tcW w:w="1060" w:type="dxa"/>
            <w:tcBorders>
              <w:top w:val="nil"/>
              <w:left w:val="nil"/>
              <w:bottom w:val="nil"/>
              <w:right w:val="nil"/>
            </w:tcBorders>
            <w:shd w:val="clear" w:color="auto" w:fill="auto"/>
            <w:noWrap/>
            <w:vAlign w:val="bottom"/>
            <w:hideMark/>
          </w:tcPr>
          <w:p w14:paraId="3A161855"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c>
          <w:tcPr>
            <w:tcW w:w="1060" w:type="dxa"/>
            <w:tcBorders>
              <w:top w:val="nil"/>
              <w:left w:val="nil"/>
              <w:bottom w:val="nil"/>
              <w:right w:val="nil"/>
            </w:tcBorders>
            <w:shd w:val="clear" w:color="auto" w:fill="auto"/>
            <w:noWrap/>
            <w:vAlign w:val="bottom"/>
            <w:hideMark/>
          </w:tcPr>
          <w:p w14:paraId="7CB050AA"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r>
      <w:tr w:rsidR="00A11891" w:rsidRPr="00A11891" w14:paraId="429ED39C" w14:textId="77777777" w:rsidTr="00673FC1">
        <w:trPr>
          <w:trHeight w:val="300"/>
        </w:trPr>
        <w:tc>
          <w:tcPr>
            <w:tcW w:w="9480" w:type="dxa"/>
            <w:gridSpan w:val="6"/>
            <w:tcBorders>
              <w:top w:val="nil"/>
              <w:left w:val="nil"/>
              <w:bottom w:val="nil"/>
              <w:right w:val="nil"/>
            </w:tcBorders>
            <w:shd w:val="clear" w:color="auto" w:fill="auto"/>
            <w:noWrap/>
            <w:vAlign w:val="bottom"/>
            <w:hideMark/>
          </w:tcPr>
          <w:p w14:paraId="6E86C0C9" w14:textId="77777777" w:rsidR="00A11891" w:rsidRPr="00A11891" w:rsidRDefault="00A11891" w:rsidP="00673FC1">
            <w:pPr>
              <w:spacing w:after="0" w:line="240" w:lineRule="auto"/>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 xml:space="preserve">Applying Horizontal analysis you are to outline why Sale has increase even though profit has decline </w:t>
            </w:r>
          </w:p>
        </w:tc>
      </w:tr>
      <w:tr w:rsidR="00A11891" w:rsidRPr="00A11891" w14:paraId="22DD6101" w14:textId="77777777" w:rsidTr="00673FC1">
        <w:trPr>
          <w:trHeight w:val="300"/>
        </w:trPr>
        <w:tc>
          <w:tcPr>
            <w:tcW w:w="3100" w:type="dxa"/>
            <w:tcBorders>
              <w:top w:val="nil"/>
              <w:left w:val="nil"/>
              <w:bottom w:val="nil"/>
              <w:right w:val="nil"/>
            </w:tcBorders>
            <w:shd w:val="clear" w:color="auto" w:fill="auto"/>
            <w:noWrap/>
            <w:vAlign w:val="bottom"/>
            <w:hideMark/>
          </w:tcPr>
          <w:p w14:paraId="6228D36C" w14:textId="77777777" w:rsidR="00A11891" w:rsidRPr="00A11891" w:rsidRDefault="00A11891" w:rsidP="00673FC1">
            <w:pPr>
              <w:spacing w:after="0" w:line="240" w:lineRule="auto"/>
              <w:rPr>
                <w:rFonts w:ascii="Calibri" w:eastAsia="Times New Roman" w:hAnsi="Calibri" w:cs="Calibri"/>
                <w:color w:val="000000"/>
                <w:sz w:val="22"/>
                <w:szCs w:val="22"/>
                <w:lang w:val="en-TR" w:eastAsia="en-GB"/>
              </w:rPr>
            </w:pPr>
          </w:p>
        </w:tc>
        <w:tc>
          <w:tcPr>
            <w:tcW w:w="1580" w:type="dxa"/>
            <w:tcBorders>
              <w:top w:val="nil"/>
              <w:left w:val="nil"/>
              <w:bottom w:val="nil"/>
              <w:right w:val="nil"/>
            </w:tcBorders>
            <w:shd w:val="clear" w:color="auto" w:fill="auto"/>
            <w:noWrap/>
            <w:vAlign w:val="bottom"/>
            <w:hideMark/>
          </w:tcPr>
          <w:p w14:paraId="5343C893"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c>
          <w:tcPr>
            <w:tcW w:w="1620" w:type="dxa"/>
            <w:tcBorders>
              <w:top w:val="nil"/>
              <w:left w:val="nil"/>
              <w:bottom w:val="nil"/>
              <w:right w:val="nil"/>
            </w:tcBorders>
            <w:shd w:val="clear" w:color="auto" w:fill="auto"/>
            <w:noWrap/>
            <w:vAlign w:val="bottom"/>
            <w:hideMark/>
          </w:tcPr>
          <w:p w14:paraId="6A729048"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c>
          <w:tcPr>
            <w:tcW w:w="1060" w:type="dxa"/>
            <w:tcBorders>
              <w:top w:val="nil"/>
              <w:left w:val="nil"/>
              <w:bottom w:val="nil"/>
              <w:right w:val="nil"/>
            </w:tcBorders>
            <w:shd w:val="clear" w:color="auto" w:fill="auto"/>
            <w:noWrap/>
            <w:vAlign w:val="bottom"/>
            <w:hideMark/>
          </w:tcPr>
          <w:p w14:paraId="4816150A"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c>
          <w:tcPr>
            <w:tcW w:w="1060" w:type="dxa"/>
            <w:tcBorders>
              <w:top w:val="nil"/>
              <w:left w:val="nil"/>
              <w:bottom w:val="nil"/>
              <w:right w:val="nil"/>
            </w:tcBorders>
            <w:shd w:val="clear" w:color="auto" w:fill="auto"/>
            <w:noWrap/>
            <w:vAlign w:val="bottom"/>
            <w:hideMark/>
          </w:tcPr>
          <w:p w14:paraId="1231F647"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c>
          <w:tcPr>
            <w:tcW w:w="1060" w:type="dxa"/>
            <w:tcBorders>
              <w:top w:val="nil"/>
              <w:left w:val="nil"/>
              <w:bottom w:val="nil"/>
              <w:right w:val="nil"/>
            </w:tcBorders>
            <w:shd w:val="clear" w:color="auto" w:fill="auto"/>
            <w:noWrap/>
            <w:vAlign w:val="bottom"/>
            <w:hideMark/>
          </w:tcPr>
          <w:p w14:paraId="21C1CCE0"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r>
      <w:tr w:rsidR="00A11891" w:rsidRPr="00A11891" w14:paraId="718E1DD7" w14:textId="77777777" w:rsidTr="00673FC1">
        <w:trPr>
          <w:trHeight w:val="300"/>
        </w:trPr>
        <w:tc>
          <w:tcPr>
            <w:tcW w:w="4680" w:type="dxa"/>
            <w:gridSpan w:val="2"/>
            <w:tcBorders>
              <w:top w:val="nil"/>
              <w:left w:val="nil"/>
              <w:bottom w:val="nil"/>
              <w:right w:val="nil"/>
            </w:tcBorders>
            <w:shd w:val="clear" w:color="auto" w:fill="auto"/>
            <w:noWrap/>
            <w:vAlign w:val="bottom"/>
            <w:hideMark/>
          </w:tcPr>
          <w:p w14:paraId="21DF1C9C" w14:textId="77777777" w:rsidR="00A11891" w:rsidRPr="00A11891" w:rsidRDefault="00A11891" w:rsidP="00673FC1">
            <w:pPr>
              <w:spacing w:after="0" w:line="240" w:lineRule="auto"/>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Formular: Current year-base year=/base year</w:t>
            </w:r>
          </w:p>
        </w:tc>
        <w:tc>
          <w:tcPr>
            <w:tcW w:w="1620" w:type="dxa"/>
            <w:tcBorders>
              <w:top w:val="nil"/>
              <w:left w:val="nil"/>
              <w:bottom w:val="nil"/>
              <w:right w:val="nil"/>
            </w:tcBorders>
            <w:shd w:val="clear" w:color="auto" w:fill="auto"/>
            <w:noWrap/>
            <w:vAlign w:val="bottom"/>
            <w:hideMark/>
          </w:tcPr>
          <w:p w14:paraId="07595DD3" w14:textId="77777777" w:rsidR="00A11891" w:rsidRPr="00A11891" w:rsidRDefault="00A11891" w:rsidP="00673FC1">
            <w:pPr>
              <w:spacing w:after="0" w:line="240" w:lineRule="auto"/>
              <w:rPr>
                <w:rFonts w:ascii="Calibri" w:eastAsia="Times New Roman" w:hAnsi="Calibri" w:cs="Calibri"/>
                <w:color w:val="000000"/>
                <w:sz w:val="22"/>
                <w:szCs w:val="22"/>
                <w:lang w:val="en-TR" w:eastAsia="en-GB"/>
              </w:rPr>
            </w:pPr>
          </w:p>
        </w:tc>
        <w:tc>
          <w:tcPr>
            <w:tcW w:w="1060" w:type="dxa"/>
            <w:tcBorders>
              <w:top w:val="nil"/>
              <w:left w:val="nil"/>
              <w:bottom w:val="nil"/>
              <w:right w:val="nil"/>
            </w:tcBorders>
            <w:shd w:val="clear" w:color="auto" w:fill="auto"/>
            <w:noWrap/>
            <w:vAlign w:val="bottom"/>
            <w:hideMark/>
          </w:tcPr>
          <w:p w14:paraId="0A711044"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c>
          <w:tcPr>
            <w:tcW w:w="1060" w:type="dxa"/>
            <w:tcBorders>
              <w:top w:val="nil"/>
              <w:left w:val="nil"/>
              <w:bottom w:val="nil"/>
              <w:right w:val="nil"/>
            </w:tcBorders>
            <w:shd w:val="clear" w:color="auto" w:fill="auto"/>
            <w:noWrap/>
            <w:vAlign w:val="bottom"/>
            <w:hideMark/>
          </w:tcPr>
          <w:p w14:paraId="2E89C56A"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c>
          <w:tcPr>
            <w:tcW w:w="1060" w:type="dxa"/>
            <w:tcBorders>
              <w:top w:val="nil"/>
              <w:left w:val="nil"/>
              <w:bottom w:val="nil"/>
              <w:right w:val="nil"/>
            </w:tcBorders>
            <w:shd w:val="clear" w:color="auto" w:fill="auto"/>
            <w:noWrap/>
            <w:vAlign w:val="bottom"/>
            <w:hideMark/>
          </w:tcPr>
          <w:p w14:paraId="76673CA3" w14:textId="77777777" w:rsidR="00A11891" w:rsidRPr="00A11891" w:rsidRDefault="00A11891" w:rsidP="00673FC1">
            <w:pPr>
              <w:spacing w:after="0" w:line="240" w:lineRule="auto"/>
              <w:rPr>
                <w:rFonts w:ascii="Times New Roman" w:eastAsia="Times New Roman" w:hAnsi="Times New Roman" w:cs="Times New Roman"/>
                <w:lang w:val="en-TR" w:eastAsia="en-GB"/>
              </w:rPr>
            </w:pPr>
          </w:p>
        </w:tc>
      </w:tr>
    </w:tbl>
    <w:p w14:paraId="7F84944A" w14:textId="2EFE2D42" w:rsidR="00C514C1" w:rsidRPr="00C514C1" w:rsidRDefault="00C514C1" w:rsidP="002F0334">
      <w:pPr>
        <w:jc w:val="both"/>
        <w:rPr>
          <w:rFonts w:ascii="Times New Roman" w:hAnsi="Times New Roman" w:cs="Times New Roman"/>
          <w:b/>
          <w:bCs/>
          <w:color w:val="000000" w:themeColor="text1"/>
          <w:sz w:val="24"/>
          <w:szCs w:val="24"/>
          <w:lang w:val="en-US"/>
        </w:rPr>
      </w:pPr>
      <w:r w:rsidRPr="00C514C1">
        <w:rPr>
          <w:rFonts w:ascii="Times New Roman" w:hAnsi="Times New Roman" w:cs="Times New Roman"/>
          <w:b/>
          <w:bCs/>
          <w:color w:val="000000" w:themeColor="text1"/>
          <w:sz w:val="24"/>
          <w:szCs w:val="24"/>
          <w:lang w:val="en-US"/>
        </w:rPr>
        <w:t>ANSWER (A)</w:t>
      </w:r>
    </w:p>
    <w:p w14:paraId="04F323F3" w14:textId="76A8F357" w:rsidR="00673FC1" w:rsidRDefault="00A457F9" w:rsidP="002F0334">
      <w:pPr>
        <w:jc w:val="both"/>
        <w:rPr>
          <w:rFonts w:ascii="Times New Roman" w:hAnsi="Times New Roman" w:cs="Times New Roman"/>
          <w:color w:val="000000" w:themeColor="text1"/>
          <w:sz w:val="24"/>
          <w:szCs w:val="24"/>
          <w:lang w:val="en-US"/>
        </w:rPr>
      </w:pPr>
      <w:r w:rsidRPr="00A457F9">
        <w:rPr>
          <w:rFonts w:ascii="Times New Roman" w:hAnsi="Times New Roman" w:cs="Times New Roman"/>
          <w:color w:val="000000" w:themeColor="text1"/>
          <w:sz w:val="24"/>
          <w:szCs w:val="24"/>
          <w:lang w:val="en-US"/>
        </w:rPr>
        <w:t>Identifies critical developments and enables the firm to assess the company as a whole instead of where it is going.</w:t>
      </w:r>
      <w:r w:rsidR="00673FC1">
        <w:rPr>
          <w:rFonts w:ascii="Times New Roman" w:hAnsi="Times New Roman" w:cs="Times New Roman"/>
          <w:color w:val="000000" w:themeColor="text1"/>
          <w:sz w:val="24"/>
          <w:szCs w:val="24"/>
          <w:lang w:val="en-US"/>
        </w:rPr>
        <w:t xml:space="preserve"> </w:t>
      </w:r>
    </w:p>
    <w:p w14:paraId="07927E03" w14:textId="77777777" w:rsidR="00673FC1" w:rsidRPr="00673FC1" w:rsidRDefault="00673FC1" w:rsidP="00673FC1">
      <w:pPr>
        <w:jc w:val="both"/>
        <w:rPr>
          <w:rFonts w:ascii="Times New Roman" w:hAnsi="Times New Roman" w:cs="Times New Roman"/>
          <w:color w:val="000000" w:themeColor="text1"/>
          <w:sz w:val="24"/>
          <w:szCs w:val="24"/>
          <w:lang w:val="en-US"/>
        </w:rPr>
      </w:pPr>
      <w:r w:rsidRPr="00673FC1">
        <w:rPr>
          <w:rFonts w:ascii="Times New Roman" w:hAnsi="Times New Roman" w:cs="Times New Roman"/>
          <w:color w:val="000000" w:themeColor="text1"/>
          <w:sz w:val="24"/>
          <w:szCs w:val="24"/>
          <w:lang w:val="en-US"/>
        </w:rPr>
        <w:t>Every quantity is compared to a base number for a certain base year in horizontal analysis.</w:t>
      </w:r>
    </w:p>
    <w:p w14:paraId="47491F12" w14:textId="67D570A1" w:rsidR="00673FC1" w:rsidRDefault="00673FC1" w:rsidP="00673FC1">
      <w:pPr>
        <w:jc w:val="both"/>
        <w:rPr>
          <w:rFonts w:ascii="Times New Roman" w:hAnsi="Times New Roman" w:cs="Times New Roman"/>
          <w:color w:val="000000" w:themeColor="text1"/>
          <w:sz w:val="24"/>
          <w:szCs w:val="24"/>
          <w:lang w:val="en-US"/>
        </w:rPr>
      </w:pPr>
      <w:r w:rsidRPr="00673FC1">
        <w:rPr>
          <w:rFonts w:ascii="Times New Roman" w:hAnsi="Times New Roman" w:cs="Times New Roman"/>
          <w:color w:val="000000" w:themeColor="text1"/>
          <w:sz w:val="24"/>
          <w:szCs w:val="24"/>
          <w:lang w:val="en-US"/>
        </w:rPr>
        <w:t>For example, if sales were $4</w:t>
      </w:r>
      <w:r w:rsidR="00717D5B">
        <w:rPr>
          <w:rFonts w:ascii="Times New Roman" w:hAnsi="Times New Roman" w:cs="Times New Roman"/>
          <w:color w:val="000000" w:themeColor="text1"/>
          <w:sz w:val="24"/>
          <w:szCs w:val="24"/>
          <w:lang w:val="en-US"/>
        </w:rPr>
        <w:t>307</w:t>
      </w:r>
      <w:r w:rsidRPr="00673FC1">
        <w:rPr>
          <w:rFonts w:ascii="Times New Roman" w:hAnsi="Times New Roman" w:cs="Times New Roman"/>
          <w:color w:val="000000" w:themeColor="text1"/>
          <w:sz w:val="24"/>
          <w:szCs w:val="24"/>
          <w:lang w:val="en-US"/>
        </w:rPr>
        <w:t>,000 in 20</w:t>
      </w:r>
      <w:r w:rsidR="00717D5B">
        <w:rPr>
          <w:rFonts w:ascii="Times New Roman" w:hAnsi="Times New Roman" w:cs="Times New Roman"/>
          <w:color w:val="000000" w:themeColor="text1"/>
          <w:sz w:val="24"/>
          <w:szCs w:val="24"/>
          <w:lang w:val="en-US"/>
        </w:rPr>
        <w:t>20</w:t>
      </w:r>
      <w:r w:rsidRPr="00673FC1">
        <w:rPr>
          <w:rFonts w:ascii="Times New Roman" w:hAnsi="Times New Roman" w:cs="Times New Roman"/>
          <w:color w:val="000000" w:themeColor="text1"/>
          <w:sz w:val="24"/>
          <w:szCs w:val="24"/>
          <w:lang w:val="en-US"/>
        </w:rPr>
        <w:t xml:space="preserve"> and $</w:t>
      </w:r>
      <w:r w:rsidR="00717D5B">
        <w:rPr>
          <w:rFonts w:ascii="Times New Roman" w:hAnsi="Times New Roman" w:cs="Times New Roman"/>
          <w:color w:val="000000" w:themeColor="text1"/>
          <w:sz w:val="24"/>
          <w:szCs w:val="24"/>
          <w:lang w:val="en-US"/>
        </w:rPr>
        <w:t>9452</w:t>
      </w:r>
      <w:r w:rsidRPr="00673FC1">
        <w:rPr>
          <w:rFonts w:ascii="Times New Roman" w:hAnsi="Times New Roman" w:cs="Times New Roman"/>
          <w:color w:val="000000" w:themeColor="text1"/>
          <w:sz w:val="24"/>
          <w:szCs w:val="24"/>
          <w:lang w:val="en-US"/>
        </w:rPr>
        <w:t>,000 in 20</w:t>
      </w:r>
      <w:r w:rsidR="00717D5B">
        <w:rPr>
          <w:rFonts w:ascii="Times New Roman" w:hAnsi="Times New Roman" w:cs="Times New Roman"/>
          <w:color w:val="000000" w:themeColor="text1"/>
          <w:sz w:val="24"/>
          <w:szCs w:val="24"/>
          <w:lang w:val="en-US"/>
        </w:rPr>
        <w:t>19</w:t>
      </w:r>
      <w:r w:rsidRPr="00673FC1">
        <w:rPr>
          <w:rFonts w:ascii="Times New Roman" w:hAnsi="Times New Roman" w:cs="Times New Roman"/>
          <w:color w:val="000000" w:themeColor="text1"/>
          <w:sz w:val="24"/>
          <w:szCs w:val="24"/>
          <w:lang w:val="en-US"/>
        </w:rPr>
        <w:t>, sales in 20</w:t>
      </w:r>
      <w:r w:rsidR="005E7EFD">
        <w:rPr>
          <w:rFonts w:ascii="Times New Roman" w:hAnsi="Times New Roman" w:cs="Times New Roman"/>
          <w:color w:val="000000" w:themeColor="text1"/>
          <w:sz w:val="24"/>
          <w:szCs w:val="24"/>
          <w:lang w:val="en-US"/>
        </w:rPr>
        <w:t>19</w:t>
      </w:r>
      <w:r w:rsidRPr="00673FC1">
        <w:rPr>
          <w:rFonts w:ascii="Times New Roman" w:hAnsi="Times New Roman" w:cs="Times New Roman"/>
          <w:color w:val="000000" w:themeColor="text1"/>
          <w:sz w:val="24"/>
          <w:szCs w:val="24"/>
          <w:lang w:val="en-US"/>
        </w:rPr>
        <w:t xml:space="preserve"> </w:t>
      </w:r>
      <w:r w:rsidR="005E7EFD">
        <w:rPr>
          <w:rFonts w:ascii="Times New Roman" w:hAnsi="Times New Roman" w:cs="Times New Roman"/>
          <w:color w:val="000000" w:themeColor="text1"/>
          <w:sz w:val="24"/>
          <w:szCs w:val="24"/>
          <w:lang w:val="en-US"/>
        </w:rPr>
        <w:t>decreas</w:t>
      </w:r>
      <w:r w:rsidRPr="00673FC1">
        <w:rPr>
          <w:rFonts w:ascii="Times New Roman" w:hAnsi="Times New Roman" w:cs="Times New Roman"/>
          <w:color w:val="000000" w:themeColor="text1"/>
          <w:sz w:val="24"/>
          <w:szCs w:val="24"/>
          <w:lang w:val="en-US"/>
        </w:rPr>
        <w:t>ed to 0</w:t>
      </w:r>
      <w:r w:rsidR="005E7EFD">
        <w:rPr>
          <w:rFonts w:ascii="Times New Roman" w:hAnsi="Times New Roman" w:cs="Times New Roman"/>
          <w:color w:val="000000" w:themeColor="text1"/>
          <w:sz w:val="24"/>
          <w:szCs w:val="24"/>
          <w:lang w:val="en-US"/>
        </w:rPr>
        <w:t>.5</w:t>
      </w:r>
      <w:r w:rsidRPr="00673FC1">
        <w:rPr>
          <w:rFonts w:ascii="Times New Roman" w:hAnsi="Times New Roman" w:cs="Times New Roman"/>
          <w:color w:val="000000" w:themeColor="text1"/>
          <w:sz w:val="24"/>
          <w:szCs w:val="24"/>
          <w:lang w:val="en-US"/>
        </w:rPr>
        <w:t xml:space="preserve"> percent of 20</w:t>
      </w:r>
      <w:r w:rsidR="005E7EFD">
        <w:rPr>
          <w:rFonts w:ascii="Times New Roman" w:hAnsi="Times New Roman" w:cs="Times New Roman"/>
          <w:color w:val="000000" w:themeColor="text1"/>
          <w:sz w:val="24"/>
          <w:szCs w:val="24"/>
          <w:lang w:val="en-US"/>
        </w:rPr>
        <w:t xml:space="preserve">20 </w:t>
      </w:r>
      <w:r w:rsidRPr="00673FC1">
        <w:rPr>
          <w:rFonts w:ascii="Times New Roman" w:hAnsi="Times New Roman" w:cs="Times New Roman"/>
          <w:color w:val="000000" w:themeColor="text1"/>
          <w:sz w:val="24"/>
          <w:szCs w:val="24"/>
          <w:lang w:val="en-US"/>
        </w:rPr>
        <w:t xml:space="preserve">levels, a </w:t>
      </w:r>
      <w:r w:rsidR="00E96724">
        <w:rPr>
          <w:rFonts w:ascii="Times New Roman" w:hAnsi="Times New Roman" w:cs="Times New Roman"/>
          <w:color w:val="000000" w:themeColor="text1"/>
          <w:sz w:val="24"/>
          <w:szCs w:val="24"/>
          <w:lang w:val="en-US"/>
        </w:rPr>
        <w:t>0.5</w:t>
      </w:r>
      <w:r w:rsidRPr="00673FC1">
        <w:rPr>
          <w:rFonts w:ascii="Times New Roman" w:hAnsi="Times New Roman" w:cs="Times New Roman"/>
          <w:color w:val="000000" w:themeColor="text1"/>
          <w:sz w:val="24"/>
          <w:szCs w:val="24"/>
          <w:lang w:val="en-US"/>
        </w:rPr>
        <w:t xml:space="preserve"> percent </w:t>
      </w:r>
      <w:r w:rsidR="00E96724">
        <w:rPr>
          <w:rFonts w:ascii="Times New Roman" w:hAnsi="Times New Roman" w:cs="Times New Roman"/>
          <w:color w:val="000000" w:themeColor="text1"/>
          <w:sz w:val="24"/>
          <w:szCs w:val="24"/>
          <w:lang w:val="en-US"/>
        </w:rPr>
        <w:t>loss</w:t>
      </w:r>
      <w:r w:rsidRPr="00673FC1">
        <w:rPr>
          <w:rFonts w:ascii="Times New Roman" w:hAnsi="Times New Roman" w:cs="Times New Roman"/>
          <w:color w:val="000000" w:themeColor="text1"/>
          <w:sz w:val="24"/>
          <w:szCs w:val="24"/>
          <w:lang w:val="en-US"/>
        </w:rPr>
        <w:t>.</w:t>
      </w:r>
    </w:p>
    <w:p w14:paraId="2A7DE6D6" w14:textId="022813E4" w:rsidR="00D15154" w:rsidRPr="00D15154" w:rsidRDefault="00D15154" w:rsidP="00D15154">
      <w:pPr>
        <w:jc w:val="both"/>
        <w:rPr>
          <w:rFonts w:ascii="Times New Roman" w:hAnsi="Times New Roman" w:cs="Times New Roman"/>
          <w:color w:val="000000" w:themeColor="text1"/>
          <w:sz w:val="24"/>
          <w:szCs w:val="24"/>
          <w:lang w:val="en-US"/>
        </w:rPr>
      </w:pPr>
      <w:r w:rsidRPr="00D15154">
        <w:rPr>
          <w:rFonts w:ascii="Times New Roman" w:hAnsi="Times New Roman" w:cs="Times New Roman"/>
          <w:color w:val="000000" w:themeColor="text1"/>
          <w:sz w:val="24"/>
          <w:szCs w:val="24"/>
          <w:lang w:val="en-US"/>
        </w:rPr>
        <w:t xml:space="preserve">We wouldn't have envisioned the </w:t>
      </w:r>
      <w:r w:rsidR="00E96724">
        <w:rPr>
          <w:rFonts w:ascii="Times New Roman" w:hAnsi="Times New Roman" w:cs="Times New Roman"/>
          <w:color w:val="000000" w:themeColor="text1"/>
          <w:sz w:val="24"/>
          <w:szCs w:val="24"/>
          <w:lang w:val="en-US"/>
        </w:rPr>
        <w:t xml:space="preserve">Hilton worldwise </w:t>
      </w:r>
      <w:r w:rsidRPr="00D15154">
        <w:rPr>
          <w:rFonts w:ascii="Times New Roman" w:hAnsi="Times New Roman" w:cs="Times New Roman"/>
          <w:color w:val="000000" w:themeColor="text1"/>
          <w:sz w:val="24"/>
          <w:szCs w:val="24"/>
          <w:lang w:val="en-US"/>
        </w:rPr>
        <w:t xml:space="preserve">achieving the revenues or revenue we did </w:t>
      </w:r>
      <w:r w:rsidR="00923788" w:rsidRPr="00D15154">
        <w:rPr>
          <w:rFonts w:ascii="Times New Roman" w:hAnsi="Times New Roman" w:cs="Times New Roman"/>
          <w:color w:val="000000" w:themeColor="text1"/>
          <w:sz w:val="24"/>
          <w:szCs w:val="24"/>
          <w:lang w:val="en-US"/>
        </w:rPr>
        <w:t>December</w:t>
      </w:r>
      <w:r w:rsidRPr="00D15154">
        <w:rPr>
          <w:rFonts w:ascii="Times New Roman" w:hAnsi="Times New Roman" w:cs="Times New Roman"/>
          <w:color w:val="000000" w:themeColor="text1"/>
          <w:sz w:val="24"/>
          <w:szCs w:val="24"/>
          <w:lang w:val="en-US"/>
        </w:rPr>
        <w:t xml:space="preserve"> 20</w:t>
      </w:r>
      <w:r w:rsidR="00E96724">
        <w:rPr>
          <w:rFonts w:ascii="Times New Roman" w:hAnsi="Times New Roman" w:cs="Times New Roman"/>
          <w:color w:val="000000" w:themeColor="text1"/>
          <w:sz w:val="24"/>
          <w:szCs w:val="24"/>
          <w:lang w:val="en-US"/>
        </w:rPr>
        <w:t>20</w:t>
      </w:r>
      <w:r w:rsidRPr="00D15154">
        <w:rPr>
          <w:rFonts w:ascii="Times New Roman" w:hAnsi="Times New Roman" w:cs="Times New Roman"/>
          <w:color w:val="000000" w:themeColor="text1"/>
          <w:sz w:val="24"/>
          <w:szCs w:val="24"/>
          <w:lang w:val="en-US"/>
        </w:rPr>
        <w:t xml:space="preserve"> if we'd been warned 12 months later that our </w:t>
      </w:r>
      <w:r w:rsidR="00E96724">
        <w:rPr>
          <w:rFonts w:ascii="Times New Roman" w:hAnsi="Times New Roman" w:cs="Times New Roman"/>
          <w:color w:val="000000" w:themeColor="text1"/>
          <w:sz w:val="24"/>
          <w:szCs w:val="24"/>
          <w:lang w:val="en-US"/>
        </w:rPr>
        <w:t>hotels</w:t>
      </w:r>
      <w:r w:rsidRPr="00D15154">
        <w:rPr>
          <w:rFonts w:ascii="Times New Roman" w:hAnsi="Times New Roman" w:cs="Times New Roman"/>
          <w:color w:val="000000" w:themeColor="text1"/>
          <w:sz w:val="24"/>
          <w:szCs w:val="24"/>
          <w:lang w:val="en-US"/>
        </w:rPr>
        <w:t xml:space="preserve"> would be closed for 20 weeks. We've been quite</w:t>
      </w:r>
      <w:r w:rsidR="00E96724">
        <w:rPr>
          <w:rFonts w:ascii="Times New Roman" w:hAnsi="Times New Roman" w:cs="Times New Roman"/>
          <w:color w:val="000000" w:themeColor="text1"/>
          <w:sz w:val="24"/>
          <w:szCs w:val="24"/>
          <w:lang w:val="en-US"/>
        </w:rPr>
        <w:t xml:space="preserve"> stepped backed as compared to other business around the world</w:t>
      </w:r>
      <w:r w:rsidRPr="00D15154">
        <w:rPr>
          <w:rFonts w:ascii="Times New Roman" w:hAnsi="Times New Roman" w:cs="Times New Roman"/>
          <w:color w:val="000000" w:themeColor="text1"/>
          <w:sz w:val="24"/>
          <w:szCs w:val="24"/>
          <w:lang w:val="en-US"/>
        </w:rPr>
        <w:t>. Our company was well positioned to deal with the virus for a myriad of purposes. The business's durability can be linked to four principal reasons, which are listed in order of priority:</w:t>
      </w:r>
    </w:p>
    <w:p w14:paraId="524E9F7F" w14:textId="5B016FEC" w:rsidR="00673FC1" w:rsidRDefault="00D15154" w:rsidP="00D15154">
      <w:pPr>
        <w:jc w:val="both"/>
        <w:rPr>
          <w:rFonts w:ascii="Times New Roman" w:hAnsi="Times New Roman" w:cs="Times New Roman"/>
          <w:color w:val="000000" w:themeColor="text1"/>
          <w:sz w:val="24"/>
          <w:szCs w:val="24"/>
          <w:lang w:val="en-US"/>
        </w:rPr>
      </w:pPr>
      <w:r w:rsidRPr="00D15154">
        <w:rPr>
          <w:rFonts w:ascii="Times New Roman" w:hAnsi="Times New Roman" w:cs="Times New Roman"/>
          <w:color w:val="000000" w:themeColor="text1"/>
          <w:sz w:val="24"/>
          <w:szCs w:val="24"/>
          <w:lang w:val="en-US"/>
        </w:rPr>
        <w:lastRenderedPageBreak/>
        <w:t xml:space="preserve">Size on the </w:t>
      </w:r>
      <w:r w:rsidR="00E96724">
        <w:rPr>
          <w:rFonts w:ascii="Times New Roman" w:hAnsi="Times New Roman" w:cs="Times New Roman"/>
          <w:color w:val="000000" w:themeColor="text1"/>
          <w:sz w:val="24"/>
          <w:szCs w:val="24"/>
          <w:lang w:val="en-US"/>
        </w:rPr>
        <w:t>operating income</w:t>
      </w:r>
      <w:r w:rsidRPr="00D15154">
        <w:rPr>
          <w:rFonts w:ascii="Times New Roman" w:hAnsi="Times New Roman" w:cs="Times New Roman"/>
          <w:color w:val="000000" w:themeColor="text1"/>
          <w:sz w:val="24"/>
          <w:szCs w:val="24"/>
          <w:lang w:val="en-US"/>
        </w:rPr>
        <w:t xml:space="preserve"> (including Finance) </w:t>
      </w:r>
      <w:r w:rsidR="00E96724">
        <w:rPr>
          <w:rFonts w:ascii="Times New Roman" w:hAnsi="Times New Roman" w:cs="Times New Roman"/>
          <w:color w:val="000000" w:themeColor="text1"/>
          <w:sz w:val="24"/>
          <w:szCs w:val="24"/>
          <w:lang w:val="en-US"/>
        </w:rPr>
        <w:t xml:space="preserve">were decreased but due to the dollar change it shows in negative in </w:t>
      </w:r>
      <w:r w:rsidRPr="00D15154">
        <w:rPr>
          <w:rFonts w:ascii="Times New Roman" w:hAnsi="Times New Roman" w:cs="Times New Roman"/>
          <w:color w:val="000000" w:themeColor="text1"/>
          <w:sz w:val="24"/>
          <w:szCs w:val="24"/>
          <w:lang w:val="en-US"/>
        </w:rPr>
        <w:t xml:space="preserve">revenue </w:t>
      </w:r>
      <w:r w:rsidR="00E96724">
        <w:rPr>
          <w:rFonts w:ascii="Times New Roman" w:hAnsi="Times New Roman" w:cs="Times New Roman"/>
          <w:color w:val="000000" w:themeColor="text1"/>
          <w:sz w:val="24"/>
          <w:szCs w:val="24"/>
          <w:lang w:val="en-US"/>
        </w:rPr>
        <w:t>statement after</w:t>
      </w:r>
      <w:r w:rsidRPr="00D15154">
        <w:rPr>
          <w:rFonts w:ascii="Times New Roman" w:hAnsi="Times New Roman" w:cs="Times New Roman"/>
          <w:color w:val="000000" w:themeColor="text1"/>
          <w:sz w:val="24"/>
          <w:szCs w:val="24"/>
          <w:lang w:val="en-US"/>
        </w:rPr>
        <w:t xml:space="preserve"> the outbreak. The size of </w:t>
      </w:r>
      <w:r w:rsidR="00E96724">
        <w:rPr>
          <w:rFonts w:ascii="Times New Roman" w:hAnsi="Times New Roman" w:cs="Times New Roman"/>
          <w:color w:val="000000" w:themeColor="text1"/>
          <w:sz w:val="24"/>
          <w:szCs w:val="24"/>
          <w:lang w:val="en-US"/>
        </w:rPr>
        <w:t xml:space="preserve">Hilton income before taxes also decreased by negative 2 percent. Decreasing operating expenses in any </w:t>
      </w:r>
      <w:r w:rsidRPr="00D15154">
        <w:rPr>
          <w:rFonts w:ascii="Times New Roman" w:hAnsi="Times New Roman" w:cs="Times New Roman"/>
          <w:color w:val="000000" w:themeColor="text1"/>
          <w:sz w:val="24"/>
          <w:szCs w:val="24"/>
          <w:lang w:val="en-US"/>
        </w:rPr>
        <w:t xml:space="preserve">business </w:t>
      </w:r>
      <w:proofErr w:type="gramStart"/>
      <w:r w:rsidRPr="00D15154">
        <w:rPr>
          <w:rFonts w:ascii="Times New Roman" w:hAnsi="Times New Roman" w:cs="Times New Roman"/>
          <w:color w:val="000000" w:themeColor="text1"/>
          <w:sz w:val="24"/>
          <w:szCs w:val="24"/>
          <w:lang w:val="en-US"/>
        </w:rPr>
        <w:t>and ,</w:t>
      </w:r>
      <w:proofErr w:type="gramEnd"/>
      <w:r w:rsidRPr="00D15154">
        <w:rPr>
          <w:rFonts w:ascii="Times New Roman" w:hAnsi="Times New Roman" w:cs="Times New Roman"/>
          <w:color w:val="000000" w:themeColor="text1"/>
          <w:sz w:val="24"/>
          <w:szCs w:val="24"/>
          <w:lang w:val="en-US"/>
        </w:rPr>
        <w:t xml:space="preserve"> are impressive.</w:t>
      </w:r>
      <w:r w:rsidR="00E96724">
        <w:rPr>
          <w:rFonts w:ascii="Times New Roman" w:hAnsi="Times New Roman" w:cs="Times New Roman"/>
          <w:color w:val="000000" w:themeColor="text1"/>
          <w:sz w:val="24"/>
          <w:szCs w:val="24"/>
          <w:lang w:val="en-US"/>
        </w:rPr>
        <w:t xml:space="preserve"> But due to the dollar price change it doesn’t </w:t>
      </w:r>
      <w:proofErr w:type="gramStart"/>
      <w:r w:rsidR="00E96724">
        <w:rPr>
          <w:rFonts w:ascii="Times New Roman" w:hAnsi="Times New Roman" w:cs="Times New Roman"/>
          <w:color w:val="000000" w:themeColor="text1"/>
          <w:sz w:val="24"/>
          <w:szCs w:val="24"/>
          <w:lang w:val="en-US"/>
        </w:rPr>
        <w:t>effect</w:t>
      </w:r>
      <w:proofErr w:type="gramEnd"/>
      <w:r w:rsidR="00E96724">
        <w:rPr>
          <w:rFonts w:ascii="Times New Roman" w:hAnsi="Times New Roman" w:cs="Times New Roman"/>
          <w:color w:val="000000" w:themeColor="text1"/>
          <w:sz w:val="24"/>
          <w:szCs w:val="24"/>
          <w:lang w:val="en-US"/>
        </w:rPr>
        <w:t xml:space="preserve"> that much because the sales were decreased in the end.</w:t>
      </w:r>
    </w:p>
    <w:p w14:paraId="3825E486" w14:textId="0F25C71F" w:rsidR="00D15154" w:rsidRDefault="00D15154" w:rsidP="00D15154">
      <w:pPr>
        <w:jc w:val="both"/>
        <w:rPr>
          <w:rFonts w:ascii="Times New Roman" w:hAnsi="Times New Roman" w:cs="Times New Roman"/>
          <w:color w:val="000000" w:themeColor="text1"/>
          <w:sz w:val="24"/>
          <w:szCs w:val="24"/>
          <w:lang w:val="en-US"/>
        </w:rPr>
      </w:pPr>
      <w:r w:rsidRPr="00D15154">
        <w:rPr>
          <w:rFonts w:ascii="Times New Roman" w:hAnsi="Times New Roman" w:cs="Times New Roman"/>
          <w:color w:val="000000" w:themeColor="text1"/>
          <w:sz w:val="24"/>
          <w:szCs w:val="24"/>
          <w:lang w:val="en-US"/>
        </w:rPr>
        <w:t>Lower Returns Rates</w:t>
      </w:r>
      <w:r w:rsidR="00C514C1">
        <w:rPr>
          <w:rFonts w:ascii="Times New Roman" w:hAnsi="Times New Roman" w:cs="Times New Roman"/>
          <w:color w:val="000000" w:themeColor="text1"/>
          <w:sz w:val="24"/>
          <w:szCs w:val="24"/>
          <w:lang w:val="en-US"/>
        </w:rPr>
        <w:t xml:space="preserve">. </w:t>
      </w:r>
      <w:r w:rsidR="00E96724">
        <w:rPr>
          <w:rFonts w:ascii="Times New Roman" w:hAnsi="Times New Roman" w:cs="Times New Roman"/>
          <w:color w:val="000000" w:themeColor="text1"/>
          <w:sz w:val="24"/>
          <w:szCs w:val="24"/>
          <w:lang w:val="en-US"/>
        </w:rPr>
        <w:t xml:space="preserve">The service </w:t>
      </w:r>
      <w:r w:rsidRPr="00D15154">
        <w:rPr>
          <w:rFonts w:ascii="Times New Roman" w:hAnsi="Times New Roman" w:cs="Times New Roman"/>
          <w:color w:val="000000" w:themeColor="text1"/>
          <w:sz w:val="24"/>
          <w:szCs w:val="24"/>
          <w:lang w:val="en-US"/>
        </w:rPr>
        <w:t>categor</w:t>
      </w:r>
      <w:r w:rsidR="00E96724">
        <w:rPr>
          <w:rFonts w:ascii="Times New Roman" w:hAnsi="Times New Roman" w:cs="Times New Roman"/>
          <w:color w:val="000000" w:themeColor="text1"/>
          <w:sz w:val="24"/>
          <w:szCs w:val="24"/>
          <w:lang w:val="en-US"/>
        </w:rPr>
        <w:t>y of Hilton</w:t>
      </w:r>
      <w:r w:rsidRPr="00D15154">
        <w:rPr>
          <w:rFonts w:ascii="Times New Roman" w:hAnsi="Times New Roman" w:cs="Times New Roman"/>
          <w:color w:val="000000" w:themeColor="text1"/>
          <w:sz w:val="24"/>
          <w:szCs w:val="24"/>
          <w:lang w:val="en-US"/>
        </w:rPr>
        <w:t xml:space="preserve"> that succeeded well had dramatically lower investment returns than those that underperformed. Guests, for instance, typically </w:t>
      </w:r>
      <w:r w:rsidR="00C3043E">
        <w:rPr>
          <w:rFonts w:ascii="Times New Roman" w:hAnsi="Times New Roman" w:cs="Times New Roman"/>
          <w:color w:val="000000" w:themeColor="text1"/>
          <w:sz w:val="24"/>
          <w:szCs w:val="24"/>
          <w:lang w:val="en-US"/>
        </w:rPr>
        <w:t xml:space="preserve">decline the bookings and </w:t>
      </w:r>
      <w:r w:rsidRPr="00D15154">
        <w:rPr>
          <w:rFonts w:ascii="Times New Roman" w:hAnsi="Times New Roman" w:cs="Times New Roman"/>
          <w:color w:val="000000" w:themeColor="text1"/>
          <w:sz w:val="24"/>
          <w:szCs w:val="24"/>
          <w:lang w:val="en-US"/>
        </w:rPr>
        <w:t>many gowns with the aim of retaining just one they prefer, leading to a high dividend yield. Cancellations on b</w:t>
      </w:r>
      <w:r w:rsidR="00C3043E">
        <w:rPr>
          <w:rFonts w:ascii="Times New Roman" w:hAnsi="Times New Roman" w:cs="Times New Roman"/>
          <w:color w:val="000000" w:themeColor="text1"/>
          <w:sz w:val="24"/>
          <w:szCs w:val="24"/>
          <w:lang w:val="en-US"/>
        </w:rPr>
        <w:t>ookings</w:t>
      </w:r>
      <w:r w:rsidRPr="00D15154">
        <w:rPr>
          <w:rFonts w:ascii="Times New Roman" w:hAnsi="Times New Roman" w:cs="Times New Roman"/>
          <w:color w:val="000000" w:themeColor="text1"/>
          <w:sz w:val="24"/>
          <w:szCs w:val="24"/>
          <w:lang w:val="en-US"/>
        </w:rPr>
        <w:t xml:space="preserve">, on the other hand, </w:t>
      </w:r>
      <w:r w:rsidR="00C3043E">
        <w:rPr>
          <w:rFonts w:ascii="Times New Roman" w:hAnsi="Times New Roman" w:cs="Times New Roman"/>
          <w:color w:val="000000" w:themeColor="text1"/>
          <w:sz w:val="24"/>
          <w:szCs w:val="24"/>
          <w:lang w:val="en-US"/>
        </w:rPr>
        <w:t>we</w:t>
      </w:r>
      <w:r w:rsidRPr="00D15154">
        <w:rPr>
          <w:rFonts w:ascii="Times New Roman" w:hAnsi="Times New Roman" w:cs="Times New Roman"/>
          <w:color w:val="000000" w:themeColor="text1"/>
          <w:sz w:val="24"/>
          <w:szCs w:val="24"/>
          <w:lang w:val="en-US"/>
        </w:rPr>
        <w:t>re extremely low. This, along with customers becoming more choos</w:t>
      </w:r>
      <w:r w:rsidR="002E74F2">
        <w:rPr>
          <w:rFonts w:ascii="Times New Roman" w:hAnsi="Times New Roman" w:cs="Times New Roman"/>
          <w:color w:val="000000" w:themeColor="text1"/>
          <w:sz w:val="24"/>
          <w:szCs w:val="24"/>
          <w:lang w:val="en-US"/>
        </w:rPr>
        <w:t>e</w:t>
      </w:r>
      <w:r w:rsidRPr="00D15154">
        <w:rPr>
          <w:rFonts w:ascii="Times New Roman" w:hAnsi="Times New Roman" w:cs="Times New Roman"/>
          <w:color w:val="000000" w:themeColor="text1"/>
          <w:sz w:val="24"/>
          <w:szCs w:val="24"/>
          <w:lang w:val="en-US"/>
        </w:rPr>
        <w:t xml:space="preserve"> at the moment of </w:t>
      </w:r>
      <w:r w:rsidR="00C3043E">
        <w:rPr>
          <w:rFonts w:ascii="Times New Roman" w:hAnsi="Times New Roman" w:cs="Times New Roman"/>
          <w:color w:val="000000" w:themeColor="text1"/>
          <w:sz w:val="24"/>
          <w:szCs w:val="24"/>
          <w:lang w:val="en-US"/>
        </w:rPr>
        <w:t>booking</w:t>
      </w:r>
      <w:r w:rsidRPr="00D15154">
        <w:rPr>
          <w:rFonts w:ascii="Times New Roman" w:hAnsi="Times New Roman" w:cs="Times New Roman"/>
          <w:color w:val="000000" w:themeColor="text1"/>
          <w:sz w:val="24"/>
          <w:szCs w:val="24"/>
          <w:lang w:val="en-US"/>
        </w:rPr>
        <w:t xml:space="preserve"> resulted in a significant decrease in returns percentages. This enabled </w:t>
      </w:r>
      <w:r w:rsidR="00C3043E">
        <w:rPr>
          <w:rFonts w:ascii="Times New Roman" w:hAnsi="Times New Roman" w:cs="Times New Roman"/>
          <w:color w:val="000000" w:themeColor="text1"/>
          <w:sz w:val="24"/>
          <w:szCs w:val="24"/>
          <w:lang w:val="en-US"/>
        </w:rPr>
        <w:t>Hilton</w:t>
      </w:r>
      <w:r w:rsidRPr="00D15154">
        <w:rPr>
          <w:rFonts w:ascii="Times New Roman" w:hAnsi="Times New Roman" w:cs="Times New Roman"/>
          <w:color w:val="000000" w:themeColor="text1"/>
          <w:sz w:val="24"/>
          <w:szCs w:val="24"/>
          <w:lang w:val="en-US"/>
        </w:rPr>
        <w:t xml:space="preserve"> to </w:t>
      </w:r>
      <w:r w:rsidR="002E74F2">
        <w:rPr>
          <w:rFonts w:ascii="Times New Roman" w:hAnsi="Times New Roman" w:cs="Times New Roman"/>
          <w:color w:val="000000" w:themeColor="text1"/>
          <w:sz w:val="24"/>
          <w:szCs w:val="24"/>
          <w:lang w:val="en-US"/>
        </w:rPr>
        <w:t xml:space="preserve">see the change in retained earnings. </w:t>
      </w:r>
      <w:r w:rsidRPr="00D15154">
        <w:rPr>
          <w:rFonts w:ascii="Times New Roman" w:hAnsi="Times New Roman" w:cs="Times New Roman"/>
          <w:color w:val="000000" w:themeColor="text1"/>
          <w:sz w:val="24"/>
          <w:szCs w:val="24"/>
          <w:lang w:val="en-US"/>
        </w:rPr>
        <w:t xml:space="preserve">As a result, while complete sales </w:t>
      </w:r>
      <w:r w:rsidR="00E96724">
        <w:rPr>
          <w:rFonts w:ascii="Times New Roman" w:hAnsi="Times New Roman" w:cs="Times New Roman"/>
          <w:color w:val="000000" w:themeColor="text1"/>
          <w:sz w:val="24"/>
          <w:szCs w:val="24"/>
          <w:lang w:val="en-US"/>
        </w:rPr>
        <w:t>dipped</w:t>
      </w:r>
      <w:r w:rsidRPr="00D15154">
        <w:rPr>
          <w:rFonts w:ascii="Times New Roman" w:hAnsi="Times New Roman" w:cs="Times New Roman"/>
          <w:color w:val="000000" w:themeColor="text1"/>
          <w:sz w:val="24"/>
          <w:szCs w:val="24"/>
          <w:lang w:val="en-US"/>
        </w:rPr>
        <w:t xml:space="preserve"> by </w:t>
      </w:r>
      <w:r w:rsidR="00E96724">
        <w:rPr>
          <w:rFonts w:ascii="Times New Roman" w:hAnsi="Times New Roman" w:cs="Times New Roman"/>
          <w:color w:val="000000" w:themeColor="text1"/>
          <w:sz w:val="24"/>
          <w:szCs w:val="24"/>
          <w:lang w:val="en-US"/>
        </w:rPr>
        <w:t>-0.5</w:t>
      </w:r>
      <w:r w:rsidRPr="00D15154">
        <w:rPr>
          <w:rFonts w:ascii="Times New Roman" w:hAnsi="Times New Roman" w:cs="Times New Roman"/>
          <w:color w:val="000000" w:themeColor="text1"/>
          <w:sz w:val="24"/>
          <w:szCs w:val="24"/>
          <w:lang w:val="en-US"/>
        </w:rPr>
        <w:t xml:space="preserve">% in the second quarter, </w:t>
      </w:r>
      <w:r w:rsidR="00C3043E">
        <w:rPr>
          <w:rFonts w:ascii="Times New Roman" w:hAnsi="Times New Roman" w:cs="Times New Roman"/>
          <w:color w:val="000000" w:themeColor="text1"/>
          <w:sz w:val="24"/>
          <w:szCs w:val="24"/>
          <w:lang w:val="en-US"/>
        </w:rPr>
        <w:t>current assets are increased by 0.1 percent which is good for business.</w:t>
      </w:r>
    </w:p>
    <w:p w14:paraId="3DD2E0F3" w14:textId="3A5CB3D0" w:rsidR="00BC53EB" w:rsidRDefault="002E74F2" w:rsidP="00D15154">
      <w:pPr>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As Hilton worldwide </w:t>
      </w:r>
      <w:r w:rsidR="00BC53EB" w:rsidRPr="00BC53EB">
        <w:rPr>
          <w:rFonts w:ascii="Times New Roman" w:hAnsi="Times New Roman" w:cs="Times New Roman"/>
          <w:color w:val="000000" w:themeColor="text1"/>
          <w:sz w:val="24"/>
          <w:szCs w:val="24"/>
          <w:lang w:val="en-US"/>
        </w:rPr>
        <w:t xml:space="preserve">anticipate that after the epidemic is finished, the </w:t>
      </w:r>
      <w:proofErr w:type="gramStart"/>
      <w:r w:rsidR="00BC53EB" w:rsidRPr="00BC53EB">
        <w:rPr>
          <w:rFonts w:ascii="Times New Roman" w:hAnsi="Times New Roman" w:cs="Times New Roman"/>
          <w:color w:val="000000" w:themeColor="text1"/>
          <w:sz w:val="24"/>
          <w:szCs w:val="24"/>
          <w:lang w:val="en-US"/>
        </w:rPr>
        <w:t>amount</w:t>
      </w:r>
      <w:proofErr w:type="gramEnd"/>
      <w:r w:rsidR="00BC53EB" w:rsidRPr="00BC53EB">
        <w:rPr>
          <w:rFonts w:ascii="Times New Roman" w:hAnsi="Times New Roman" w:cs="Times New Roman"/>
          <w:color w:val="000000" w:themeColor="text1"/>
          <w:sz w:val="24"/>
          <w:szCs w:val="24"/>
          <w:lang w:val="en-US"/>
        </w:rPr>
        <w:t xml:space="preserve"> of returns will recover to more typical levels. Nevertheless, the elimination of social distancing regulations should allow for more efficient working methods in our facilities, increasing productivity.</w:t>
      </w:r>
    </w:p>
    <w:p w14:paraId="00BA74EC" w14:textId="77777777" w:rsidR="00673FC1" w:rsidRDefault="00673FC1" w:rsidP="002F0334">
      <w:pPr>
        <w:jc w:val="both"/>
        <w:rPr>
          <w:rFonts w:ascii="Times New Roman" w:hAnsi="Times New Roman" w:cs="Times New Roman"/>
          <w:color w:val="000000" w:themeColor="text1"/>
          <w:sz w:val="24"/>
          <w:szCs w:val="24"/>
          <w:lang w:val="en-US"/>
        </w:rPr>
      </w:pPr>
    </w:p>
    <w:p w14:paraId="0CB58508" w14:textId="681F474D" w:rsidR="00673FC1" w:rsidRDefault="00673FC1" w:rsidP="002F0334">
      <w:pPr>
        <w:jc w:val="both"/>
        <w:rPr>
          <w:rFonts w:ascii="Times New Roman" w:hAnsi="Times New Roman" w:cs="Times New Roman"/>
          <w:color w:val="000000" w:themeColor="text1"/>
          <w:sz w:val="24"/>
          <w:szCs w:val="24"/>
          <w:lang w:val="en-US"/>
        </w:rPr>
      </w:pPr>
    </w:p>
    <w:p w14:paraId="12FF40CC" w14:textId="77777777" w:rsidR="00673FC1" w:rsidRDefault="00673FC1" w:rsidP="002F0334">
      <w:pPr>
        <w:jc w:val="both"/>
        <w:rPr>
          <w:rFonts w:ascii="Times New Roman" w:hAnsi="Times New Roman" w:cs="Times New Roman"/>
          <w:color w:val="000000" w:themeColor="text1"/>
          <w:sz w:val="24"/>
          <w:szCs w:val="24"/>
          <w:lang w:val="en-US"/>
        </w:rPr>
      </w:pPr>
    </w:p>
    <w:tbl>
      <w:tblPr>
        <w:tblW w:w="8740" w:type="dxa"/>
        <w:tblLook w:val="04A0" w:firstRow="1" w:lastRow="0" w:firstColumn="1" w:lastColumn="0" w:noHBand="0" w:noVBand="1"/>
      </w:tblPr>
      <w:tblGrid>
        <w:gridCol w:w="3800"/>
        <w:gridCol w:w="1320"/>
        <w:gridCol w:w="1280"/>
        <w:gridCol w:w="1280"/>
        <w:gridCol w:w="1060"/>
      </w:tblGrid>
      <w:tr w:rsidR="00A11891" w:rsidRPr="00A11891" w14:paraId="34CB8B02" w14:textId="77777777" w:rsidTr="00A11891">
        <w:trPr>
          <w:trHeight w:val="300"/>
        </w:trPr>
        <w:tc>
          <w:tcPr>
            <w:tcW w:w="3800" w:type="dxa"/>
            <w:tcBorders>
              <w:top w:val="nil"/>
              <w:left w:val="nil"/>
              <w:bottom w:val="nil"/>
              <w:right w:val="nil"/>
            </w:tcBorders>
            <w:shd w:val="clear" w:color="auto" w:fill="auto"/>
            <w:noWrap/>
            <w:vAlign w:val="bottom"/>
            <w:hideMark/>
          </w:tcPr>
          <w:p w14:paraId="1DAF6E2E" w14:textId="77777777" w:rsidR="00A11891" w:rsidRPr="00A11891" w:rsidRDefault="00A11891" w:rsidP="00A11891">
            <w:pPr>
              <w:spacing w:after="0" w:line="240" w:lineRule="auto"/>
              <w:rPr>
                <w:rFonts w:ascii="Times New Roman" w:eastAsia="Times New Roman" w:hAnsi="Times New Roman" w:cs="Times New Roman"/>
                <w:sz w:val="24"/>
                <w:szCs w:val="24"/>
                <w:lang w:val="en-TR" w:eastAsia="en-GB"/>
              </w:rPr>
            </w:pPr>
          </w:p>
        </w:tc>
        <w:tc>
          <w:tcPr>
            <w:tcW w:w="1320" w:type="dxa"/>
            <w:tcBorders>
              <w:top w:val="nil"/>
              <w:left w:val="nil"/>
              <w:bottom w:val="nil"/>
              <w:right w:val="nil"/>
            </w:tcBorders>
            <w:shd w:val="clear" w:color="auto" w:fill="auto"/>
            <w:noWrap/>
            <w:vAlign w:val="bottom"/>
            <w:hideMark/>
          </w:tcPr>
          <w:p w14:paraId="6E22898A" w14:textId="77777777" w:rsidR="00A11891" w:rsidRPr="00A11891" w:rsidRDefault="00A11891" w:rsidP="00A11891">
            <w:pPr>
              <w:spacing w:after="0" w:line="240" w:lineRule="auto"/>
              <w:rPr>
                <w:rFonts w:ascii="Times New Roman" w:eastAsia="Times New Roman" w:hAnsi="Times New Roman" w:cs="Times New Roman"/>
                <w:lang w:val="en-TR" w:eastAsia="en-GB"/>
              </w:rPr>
            </w:pPr>
          </w:p>
        </w:tc>
        <w:tc>
          <w:tcPr>
            <w:tcW w:w="1280" w:type="dxa"/>
            <w:tcBorders>
              <w:top w:val="nil"/>
              <w:left w:val="nil"/>
              <w:bottom w:val="nil"/>
              <w:right w:val="nil"/>
            </w:tcBorders>
            <w:shd w:val="clear" w:color="auto" w:fill="auto"/>
            <w:noWrap/>
            <w:vAlign w:val="bottom"/>
            <w:hideMark/>
          </w:tcPr>
          <w:p w14:paraId="3E036121" w14:textId="77777777" w:rsidR="00A11891" w:rsidRPr="00A11891" w:rsidRDefault="00A11891" w:rsidP="00A11891">
            <w:pPr>
              <w:spacing w:after="0" w:line="240" w:lineRule="auto"/>
              <w:rPr>
                <w:rFonts w:ascii="Times New Roman" w:eastAsia="Times New Roman" w:hAnsi="Times New Roman" w:cs="Times New Roman"/>
                <w:lang w:val="en-TR" w:eastAsia="en-GB"/>
              </w:rPr>
            </w:pPr>
          </w:p>
        </w:tc>
        <w:tc>
          <w:tcPr>
            <w:tcW w:w="1280" w:type="dxa"/>
            <w:tcBorders>
              <w:top w:val="nil"/>
              <w:left w:val="nil"/>
              <w:bottom w:val="nil"/>
              <w:right w:val="nil"/>
            </w:tcBorders>
            <w:shd w:val="clear" w:color="auto" w:fill="auto"/>
            <w:noWrap/>
            <w:vAlign w:val="bottom"/>
            <w:hideMark/>
          </w:tcPr>
          <w:p w14:paraId="22B1FB58" w14:textId="77777777" w:rsidR="00A11891" w:rsidRPr="00A11891" w:rsidRDefault="00A11891" w:rsidP="00A11891">
            <w:pPr>
              <w:spacing w:after="0" w:line="240" w:lineRule="auto"/>
              <w:rPr>
                <w:rFonts w:ascii="Times New Roman" w:eastAsia="Times New Roman" w:hAnsi="Times New Roman" w:cs="Times New Roman"/>
                <w:lang w:val="en-TR" w:eastAsia="en-GB"/>
              </w:rPr>
            </w:pPr>
          </w:p>
        </w:tc>
        <w:tc>
          <w:tcPr>
            <w:tcW w:w="1060" w:type="dxa"/>
            <w:tcBorders>
              <w:top w:val="nil"/>
              <w:left w:val="nil"/>
              <w:bottom w:val="nil"/>
              <w:right w:val="nil"/>
            </w:tcBorders>
            <w:shd w:val="clear" w:color="auto" w:fill="auto"/>
            <w:noWrap/>
            <w:vAlign w:val="bottom"/>
            <w:hideMark/>
          </w:tcPr>
          <w:p w14:paraId="210415F8" w14:textId="77777777" w:rsidR="00A11891" w:rsidRPr="00A11891" w:rsidRDefault="00A11891" w:rsidP="00A11891">
            <w:pPr>
              <w:spacing w:after="0" w:line="240" w:lineRule="auto"/>
              <w:rPr>
                <w:rFonts w:ascii="Times New Roman" w:eastAsia="Times New Roman" w:hAnsi="Times New Roman" w:cs="Times New Roman"/>
                <w:lang w:val="en-TR" w:eastAsia="en-GB"/>
              </w:rPr>
            </w:pPr>
          </w:p>
        </w:tc>
      </w:tr>
      <w:tr w:rsidR="00A11891" w:rsidRPr="00A11891" w14:paraId="1723EE59" w14:textId="77777777" w:rsidTr="00A11891">
        <w:trPr>
          <w:trHeight w:val="300"/>
        </w:trPr>
        <w:tc>
          <w:tcPr>
            <w:tcW w:w="3800" w:type="dxa"/>
            <w:tcBorders>
              <w:top w:val="nil"/>
              <w:left w:val="nil"/>
              <w:bottom w:val="nil"/>
              <w:right w:val="nil"/>
            </w:tcBorders>
            <w:shd w:val="clear" w:color="auto" w:fill="auto"/>
            <w:noWrap/>
            <w:vAlign w:val="bottom"/>
            <w:hideMark/>
          </w:tcPr>
          <w:p w14:paraId="7FA0A33D" w14:textId="77777777" w:rsidR="00A11891" w:rsidRPr="00A11891" w:rsidRDefault="00A11891" w:rsidP="00A11891">
            <w:pPr>
              <w:spacing w:after="0" w:line="240" w:lineRule="auto"/>
              <w:rPr>
                <w:rFonts w:ascii="Calibri" w:eastAsia="Times New Roman" w:hAnsi="Calibri" w:cs="Calibri"/>
                <w:b/>
                <w:bCs/>
                <w:color w:val="000000"/>
                <w:sz w:val="22"/>
                <w:szCs w:val="22"/>
                <w:lang w:val="en-TR" w:eastAsia="en-GB"/>
              </w:rPr>
            </w:pPr>
            <w:r w:rsidRPr="00A11891">
              <w:rPr>
                <w:rFonts w:ascii="Calibri" w:eastAsia="Times New Roman" w:hAnsi="Calibri" w:cs="Calibri"/>
                <w:b/>
                <w:bCs/>
                <w:color w:val="000000"/>
                <w:sz w:val="22"/>
                <w:szCs w:val="22"/>
                <w:lang w:val="en-TR" w:eastAsia="en-GB"/>
              </w:rPr>
              <w:t>Balance Sheet 2019 &amp; 202</w:t>
            </w:r>
          </w:p>
        </w:tc>
        <w:tc>
          <w:tcPr>
            <w:tcW w:w="1320" w:type="dxa"/>
            <w:tcBorders>
              <w:top w:val="nil"/>
              <w:left w:val="nil"/>
              <w:bottom w:val="nil"/>
              <w:right w:val="nil"/>
            </w:tcBorders>
            <w:shd w:val="clear" w:color="auto" w:fill="auto"/>
            <w:noWrap/>
            <w:vAlign w:val="bottom"/>
            <w:hideMark/>
          </w:tcPr>
          <w:p w14:paraId="50A3615B" w14:textId="77777777" w:rsidR="00A11891" w:rsidRPr="00A11891" w:rsidRDefault="00A11891" w:rsidP="00A11891">
            <w:pPr>
              <w:spacing w:after="0" w:line="240" w:lineRule="auto"/>
              <w:rPr>
                <w:rFonts w:ascii="Calibri" w:eastAsia="Times New Roman" w:hAnsi="Calibri" w:cs="Calibri"/>
                <w:b/>
                <w:bCs/>
                <w:color w:val="000000"/>
                <w:sz w:val="22"/>
                <w:szCs w:val="22"/>
                <w:lang w:val="en-TR" w:eastAsia="en-GB"/>
              </w:rPr>
            </w:pPr>
          </w:p>
        </w:tc>
        <w:tc>
          <w:tcPr>
            <w:tcW w:w="1280" w:type="dxa"/>
            <w:tcBorders>
              <w:top w:val="nil"/>
              <w:left w:val="nil"/>
              <w:bottom w:val="nil"/>
              <w:right w:val="nil"/>
            </w:tcBorders>
            <w:shd w:val="clear" w:color="auto" w:fill="auto"/>
            <w:noWrap/>
            <w:vAlign w:val="bottom"/>
            <w:hideMark/>
          </w:tcPr>
          <w:p w14:paraId="26DAC630" w14:textId="77777777" w:rsidR="00A11891" w:rsidRPr="00A11891" w:rsidRDefault="00A11891" w:rsidP="00A11891">
            <w:pPr>
              <w:spacing w:after="0" w:line="240" w:lineRule="auto"/>
              <w:rPr>
                <w:rFonts w:ascii="Times New Roman" w:eastAsia="Times New Roman" w:hAnsi="Times New Roman" w:cs="Times New Roman"/>
                <w:lang w:val="en-TR" w:eastAsia="en-GB"/>
              </w:rPr>
            </w:pPr>
          </w:p>
        </w:tc>
        <w:tc>
          <w:tcPr>
            <w:tcW w:w="1280" w:type="dxa"/>
            <w:tcBorders>
              <w:top w:val="nil"/>
              <w:left w:val="nil"/>
              <w:bottom w:val="nil"/>
              <w:right w:val="nil"/>
            </w:tcBorders>
            <w:shd w:val="clear" w:color="auto" w:fill="auto"/>
            <w:noWrap/>
            <w:vAlign w:val="bottom"/>
            <w:hideMark/>
          </w:tcPr>
          <w:p w14:paraId="31F1E905" w14:textId="77777777" w:rsidR="00A11891" w:rsidRPr="00A11891" w:rsidRDefault="00A11891" w:rsidP="00A11891">
            <w:pPr>
              <w:spacing w:after="0" w:line="240" w:lineRule="auto"/>
              <w:rPr>
                <w:rFonts w:ascii="Times New Roman" w:eastAsia="Times New Roman" w:hAnsi="Times New Roman" w:cs="Times New Roman"/>
                <w:lang w:val="en-TR" w:eastAsia="en-GB"/>
              </w:rPr>
            </w:pPr>
          </w:p>
        </w:tc>
        <w:tc>
          <w:tcPr>
            <w:tcW w:w="1060" w:type="dxa"/>
            <w:tcBorders>
              <w:top w:val="nil"/>
              <w:left w:val="nil"/>
              <w:bottom w:val="nil"/>
              <w:right w:val="nil"/>
            </w:tcBorders>
            <w:shd w:val="clear" w:color="auto" w:fill="auto"/>
            <w:noWrap/>
            <w:vAlign w:val="bottom"/>
            <w:hideMark/>
          </w:tcPr>
          <w:p w14:paraId="28852688" w14:textId="77777777" w:rsidR="00A11891" w:rsidRPr="00A11891" w:rsidRDefault="00A11891" w:rsidP="00A11891">
            <w:pPr>
              <w:spacing w:after="0" w:line="240" w:lineRule="auto"/>
              <w:rPr>
                <w:rFonts w:ascii="Times New Roman" w:eastAsia="Times New Roman" w:hAnsi="Times New Roman" w:cs="Times New Roman"/>
                <w:lang w:val="en-TR" w:eastAsia="en-GB"/>
              </w:rPr>
            </w:pPr>
          </w:p>
        </w:tc>
      </w:tr>
      <w:tr w:rsidR="00A11891" w:rsidRPr="00A11891" w14:paraId="1D7CA7F3" w14:textId="77777777" w:rsidTr="00A11891">
        <w:trPr>
          <w:trHeight w:val="300"/>
        </w:trPr>
        <w:tc>
          <w:tcPr>
            <w:tcW w:w="3800" w:type="dxa"/>
            <w:tcBorders>
              <w:top w:val="nil"/>
              <w:left w:val="nil"/>
              <w:bottom w:val="nil"/>
              <w:right w:val="nil"/>
            </w:tcBorders>
            <w:shd w:val="clear" w:color="auto" w:fill="auto"/>
            <w:noWrap/>
            <w:vAlign w:val="bottom"/>
            <w:hideMark/>
          </w:tcPr>
          <w:p w14:paraId="587B95FC" w14:textId="77777777" w:rsidR="00A11891" w:rsidRPr="00A11891" w:rsidRDefault="00A11891" w:rsidP="00A11891">
            <w:pPr>
              <w:spacing w:after="0" w:line="240" w:lineRule="auto"/>
              <w:rPr>
                <w:rFonts w:ascii="Times New Roman" w:eastAsia="Times New Roman" w:hAnsi="Times New Roman" w:cs="Times New Roman"/>
                <w:lang w:val="en-TR" w:eastAsia="en-GB"/>
              </w:rPr>
            </w:pPr>
          </w:p>
        </w:tc>
        <w:tc>
          <w:tcPr>
            <w:tcW w:w="1320" w:type="dxa"/>
            <w:tcBorders>
              <w:top w:val="nil"/>
              <w:left w:val="nil"/>
              <w:bottom w:val="nil"/>
              <w:right w:val="nil"/>
            </w:tcBorders>
            <w:shd w:val="clear" w:color="auto" w:fill="auto"/>
            <w:noWrap/>
            <w:vAlign w:val="bottom"/>
            <w:hideMark/>
          </w:tcPr>
          <w:p w14:paraId="1835D398" w14:textId="77777777" w:rsidR="00A11891" w:rsidRPr="00A11891" w:rsidRDefault="00A11891" w:rsidP="00A11891">
            <w:pPr>
              <w:spacing w:after="0" w:line="240" w:lineRule="auto"/>
              <w:rPr>
                <w:rFonts w:ascii="Times New Roman" w:eastAsia="Times New Roman" w:hAnsi="Times New Roman" w:cs="Times New Roman"/>
                <w:lang w:val="en-TR" w:eastAsia="en-GB"/>
              </w:rPr>
            </w:pPr>
          </w:p>
        </w:tc>
        <w:tc>
          <w:tcPr>
            <w:tcW w:w="1280" w:type="dxa"/>
            <w:tcBorders>
              <w:top w:val="nil"/>
              <w:left w:val="nil"/>
              <w:bottom w:val="nil"/>
              <w:right w:val="nil"/>
            </w:tcBorders>
            <w:shd w:val="clear" w:color="auto" w:fill="auto"/>
            <w:noWrap/>
            <w:vAlign w:val="bottom"/>
            <w:hideMark/>
          </w:tcPr>
          <w:p w14:paraId="64032909" w14:textId="77777777" w:rsidR="00A11891" w:rsidRPr="00A11891" w:rsidRDefault="00A11891" w:rsidP="00A11891">
            <w:pPr>
              <w:spacing w:after="0" w:line="240" w:lineRule="auto"/>
              <w:rPr>
                <w:rFonts w:ascii="Times New Roman" w:eastAsia="Times New Roman" w:hAnsi="Times New Roman" w:cs="Times New Roman"/>
                <w:lang w:val="en-TR" w:eastAsia="en-GB"/>
              </w:rPr>
            </w:pPr>
          </w:p>
        </w:tc>
        <w:tc>
          <w:tcPr>
            <w:tcW w:w="1280" w:type="dxa"/>
            <w:tcBorders>
              <w:top w:val="nil"/>
              <w:left w:val="nil"/>
              <w:bottom w:val="nil"/>
              <w:right w:val="nil"/>
            </w:tcBorders>
            <w:shd w:val="clear" w:color="auto" w:fill="auto"/>
            <w:noWrap/>
            <w:vAlign w:val="bottom"/>
            <w:hideMark/>
          </w:tcPr>
          <w:p w14:paraId="684A2EA9" w14:textId="77777777" w:rsidR="00A11891" w:rsidRPr="00A11891" w:rsidRDefault="00A11891" w:rsidP="00A11891">
            <w:pPr>
              <w:spacing w:after="0" w:line="240" w:lineRule="auto"/>
              <w:rPr>
                <w:rFonts w:ascii="Times New Roman" w:eastAsia="Times New Roman" w:hAnsi="Times New Roman" w:cs="Times New Roman"/>
                <w:lang w:val="en-TR" w:eastAsia="en-GB"/>
              </w:rPr>
            </w:pPr>
          </w:p>
        </w:tc>
        <w:tc>
          <w:tcPr>
            <w:tcW w:w="1060" w:type="dxa"/>
            <w:tcBorders>
              <w:top w:val="nil"/>
              <w:left w:val="nil"/>
              <w:bottom w:val="nil"/>
              <w:right w:val="nil"/>
            </w:tcBorders>
            <w:shd w:val="clear" w:color="auto" w:fill="auto"/>
            <w:noWrap/>
            <w:vAlign w:val="bottom"/>
            <w:hideMark/>
          </w:tcPr>
          <w:p w14:paraId="00ECF4EC" w14:textId="77777777" w:rsidR="00A11891" w:rsidRPr="00A11891" w:rsidRDefault="00A11891" w:rsidP="00A11891">
            <w:pPr>
              <w:spacing w:after="0" w:line="240" w:lineRule="auto"/>
              <w:rPr>
                <w:rFonts w:ascii="Times New Roman" w:eastAsia="Times New Roman" w:hAnsi="Times New Roman" w:cs="Times New Roman"/>
                <w:lang w:val="en-TR" w:eastAsia="en-GB"/>
              </w:rPr>
            </w:pPr>
          </w:p>
        </w:tc>
      </w:tr>
      <w:tr w:rsidR="00A11891" w:rsidRPr="00A11891" w14:paraId="2BBF9A17" w14:textId="77777777" w:rsidTr="00A11891">
        <w:trPr>
          <w:trHeight w:val="300"/>
        </w:trPr>
        <w:tc>
          <w:tcPr>
            <w:tcW w:w="3800" w:type="dxa"/>
            <w:tcBorders>
              <w:top w:val="nil"/>
              <w:left w:val="nil"/>
              <w:bottom w:val="nil"/>
              <w:right w:val="nil"/>
            </w:tcBorders>
            <w:shd w:val="clear" w:color="auto" w:fill="auto"/>
            <w:noWrap/>
            <w:vAlign w:val="bottom"/>
            <w:hideMark/>
          </w:tcPr>
          <w:p w14:paraId="5243E12E" w14:textId="77777777" w:rsidR="00A11891" w:rsidRPr="00A11891" w:rsidRDefault="00A11891" w:rsidP="00A11891">
            <w:pPr>
              <w:spacing w:after="0" w:line="240" w:lineRule="auto"/>
              <w:rPr>
                <w:rFonts w:ascii="Calibri" w:eastAsia="Times New Roman" w:hAnsi="Calibri" w:cs="Calibri"/>
                <w:b/>
                <w:bCs/>
                <w:color w:val="000000"/>
                <w:sz w:val="22"/>
                <w:szCs w:val="22"/>
                <w:lang w:val="en-TR" w:eastAsia="en-GB"/>
              </w:rPr>
            </w:pPr>
            <w:r w:rsidRPr="00A11891">
              <w:rPr>
                <w:rFonts w:ascii="Calibri" w:eastAsia="Times New Roman" w:hAnsi="Calibri" w:cs="Calibri"/>
                <w:b/>
                <w:bCs/>
                <w:color w:val="000000"/>
                <w:sz w:val="22"/>
                <w:szCs w:val="22"/>
                <w:lang w:val="en-TR" w:eastAsia="en-GB"/>
              </w:rPr>
              <w:t>Hilton worldwide Holdings inc. (HLT)</w:t>
            </w:r>
          </w:p>
        </w:tc>
        <w:tc>
          <w:tcPr>
            <w:tcW w:w="1320" w:type="dxa"/>
            <w:tcBorders>
              <w:top w:val="nil"/>
              <w:left w:val="nil"/>
              <w:bottom w:val="nil"/>
              <w:right w:val="nil"/>
            </w:tcBorders>
            <w:shd w:val="clear" w:color="auto" w:fill="auto"/>
            <w:noWrap/>
            <w:vAlign w:val="bottom"/>
            <w:hideMark/>
          </w:tcPr>
          <w:p w14:paraId="11228721" w14:textId="77777777" w:rsidR="00A11891" w:rsidRPr="00A11891" w:rsidRDefault="00A11891" w:rsidP="00A11891">
            <w:pPr>
              <w:spacing w:after="0" w:line="240" w:lineRule="auto"/>
              <w:rPr>
                <w:rFonts w:ascii="Calibri" w:eastAsia="Times New Roman" w:hAnsi="Calibri" w:cs="Calibri"/>
                <w:b/>
                <w:bCs/>
                <w:color w:val="000000"/>
                <w:sz w:val="22"/>
                <w:szCs w:val="22"/>
                <w:lang w:val="en-TR" w:eastAsia="en-GB"/>
              </w:rPr>
            </w:pPr>
          </w:p>
        </w:tc>
        <w:tc>
          <w:tcPr>
            <w:tcW w:w="1280" w:type="dxa"/>
            <w:tcBorders>
              <w:top w:val="nil"/>
              <w:left w:val="nil"/>
              <w:bottom w:val="nil"/>
              <w:right w:val="nil"/>
            </w:tcBorders>
            <w:shd w:val="clear" w:color="auto" w:fill="auto"/>
            <w:noWrap/>
            <w:vAlign w:val="bottom"/>
            <w:hideMark/>
          </w:tcPr>
          <w:p w14:paraId="74A6BDE0" w14:textId="77777777" w:rsidR="00A11891" w:rsidRPr="00A11891" w:rsidRDefault="00A11891" w:rsidP="00A11891">
            <w:pPr>
              <w:spacing w:after="0" w:line="240" w:lineRule="auto"/>
              <w:rPr>
                <w:rFonts w:ascii="Times New Roman" w:eastAsia="Times New Roman" w:hAnsi="Times New Roman" w:cs="Times New Roman"/>
                <w:lang w:val="en-TR" w:eastAsia="en-GB"/>
              </w:rPr>
            </w:pPr>
          </w:p>
        </w:tc>
        <w:tc>
          <w:tcPr>
            <w:tcW w:w="1280" w:type="dxa"/>
            <w:tcBorders>
              <w:top w:val="nil"/>
              <w:left w:val="nil"/>
              <w:bottom w:val="nil"/>
              <w:right w:val="nil"/>
            </w:tcBorders>
            <w:shd w:val="clear" w:color="auto" w:fill="auto"/>
            <w:noWrap/>
            <w:vAlign w:val="bottom"/>
            <w:hideMark/>
          </w:tcPr>
          <w:p w14:paraId="3BCF1FC1" w14:textId="77777777" w:rsidR="00A11891" w:rsidRPr="00A11891" w:rsidRDefault="00A11891" w:rsidP="00A11891">
            <w:pPr>
              <w:spacing w:after="0" w:line="240" w:lineRule="auto"/>
              <w:rPr>
                <w:rFonts w:ascii="Times New Roman" w:eastAsia="Times New Roman" w:hAnsi="Times New Roman" w:cs="Times New Roman"/>
                <w:lang w:val="en-TR" w:eastAsia="en-GB"/>
              </w:rPr>
            </w:pPr>
          </w:p>
        </w:tc>
        <w:tc>
          <w:tcPr>
            <w:tcW w:w="1060" w:type="dxa"/>
            <w:tcBorders>
              <w:top w:val="nil"/>
              <w:left w:val="nil"/>
              <w:bottom w:val="nil"/>
              <w:right w:val="nil"/>
            </w:tcBorders>
            <w:shd w:val="clear" w:color="auto" w:fill="auto"/>
            <w:noWrap/>
            <w:vAlign w:val="bottom"/>
            <w:hideMark/>
          </w:tcPr>
          <w:p w14:paraId="1401FFD0" w14:textId="77777777" w:rsidR="00A11891" w:rsidRPr="00A11891" w:rsidRDefault="00A11891" w:rsidP="00A11891">
            <w:pPr>
              <w:spacing w:after="0" w:line="240" w:lineRule="auto"/>
              <w:rPr>
                <w:rFonts w:ascii="Times New Roman" w:eastAsia="Times New Roman" w:hAnsi="Times New Roman" w:cs="Times New Roman"/>
                <w:lang w:val="en-TR" w:eastAsia="en-GB"/>
              </w:rPr>
            </w:pPr>
          </w:p>
        </w:tc>
      </w:tr>
      <w:tr w:rsidR="00A11891" w:rsidRPr="00A11891" w14:paraId="6DFE6D48" w14:textId="77777777" w:rsidTr="00A11891">
        <w:trPr>
          <w:trHeight w:val="300"/>
        </w:trPr>
        <w:tc>
          <w:tcPr>
            <w:tcW w:w="3800" w:type="dxa"/>
            <w:tcBorders>
              <w:top w:val="nil"/>
              <w:left w:val="nil"/>
              <w:bottom w:val="nil"/>
              <w:right w:val="nil"/>
            </w:tcBorders>
            <w:shd w:val="clear" w:color="auto" w:fill="auto"/>
            <w:noWrap/>
            <w:vAlign w:val="bottom"/>
            <w:hideMark/>
          </w:tcPr>
          <w:p w14:paraId="708741CA" w14:textId="77777777" w:rsidR="00A11891" w:rsidRPr="00A11891" w:rsidRDefault="00A11891" w:rsidP="00A11891">
            <w:pPr>
              <w:spacing w:after="0" w:line="240" w:lineRule="auto"/>
              <w:rPr>
                <w:rFonts w:ascii="Times New Roman" w:eastAsia="Times New Roman" w:hAnsi="Times New Roman" w:cs="Times New Roman"/>
                <w:lang w:val="en-TR" w:eastAsia="en-GB"/>
              </w:rPr>
            </w:pPr>
          </w:p>
        </w:tc>
        <w:tc>
          <w:tcPr>
            <w:tcW w:w="1320" w:type="dxa"/>
            <w:tcBorders>
              <w:top w:val="nil"/>
              <w:left w:val="nil"/>
              <w:bottom w:val="nil"/>
              <w:right w:val="nil"/>
            </w:tcBorders>
            <w:shd w:val="clear" w:color="auto" w:fill="auto"/>
            <w:noWrap/>
            <w:vAlign w:val="bottom"/>
            <w:hideMark/>
          </w:tcPr>
          <w:p w14:paraId="0FF3CFA2" w14:textId="77777777" w:rsidR="00A11891" w:rsidRPr="00A11891" w:rsidRDefault="00A11891" w:rsidP="00A11891">
            <w:pPr>
              <w:spacing w:after="0" w:line="240" w:lineRule="auto"/>
              <w:jc w:val="right"/>
              <w:rPr>
                <w:rFonts w:ascii="Calibri" w:eastAsia="Times New Roman" w:hAnsi="Calibri" w:cs="Calibri"/>
                <w:b/>
                <w:bCs/>
                <w:color w:val="000000"/>
                <w:sz w:val="22"/>
                <w:szCs w:val="22"/>
                <w:lang w:val="en-TR" w:eastAsia="en-GB"/>
              </w:rPr>
            </w:pPr>
            <w:r w:rsidRPr="00A11891">
              <w:rPr>
                <w:rFonts w:ascii="Calibri" w:eastAsia="Times New Roman" w:hAnsi="Calibri" w:cs="Calibri"/>
                <w:b/>
                <w:bCs/>
                <w:color w:val="000000"/>
                <w:sz w:val="22"/>
                <w:szCs w:val="22"/>
                <w:lang w:val="en-TR" w:eastAsia="en-GB"/>
              </w:rPr>
              <w:t>2020</w:t>
            </w:r>
          </w:p>
        </w:tc>
        <w:tc>
          <w:tcPr>
            <w:tcW w:w="1280" w:type="dxa"/>
            <w:tcBorders>
              <w:top w:val="nil"/>
              <w:left w:val="nil"/>
              <w:bottom w:val="nil"/>
              <w:right w:val="nil"/>
            </w:tcBorders>
            <w:shd w:val="clear" w:color="auto" w:fill="auto"/>
            <w:noWrap/>
            <w:vAlign w:val="bottom"/>
            <w:hideMark/>
          </w:tcPr>
          <w:p w14:paraId="17712709" w14:textId="77777777" w:rsidR="00A11891" w:rsidRPr="00A11891" w:rsidRDefault="00A11891" w:rsidP="00A11891">
            <w:pPr>
              <w:spacing w:after="0" w:line="240" w:lineRule="auto"/>
              <w:jc w:val="right"/>
              <w:rPr>
                <w:rFonts w:ascii="Calibri" w:eastAsia="Times New Roman" w:hAnsi="Calibri" w:cs="Calibri"/>
                <w:b/>
                <w:bCs/>
                <w:color w:val="000000"/>
                <w:sz w:val="22"/>
                <w:szCs w:val="22"/>
                <w:lang w:val="en-TR" w:eastAsia="en-GB"/>
              </w:rPr>
            </w:pPr>
            <w:r w:rsidRPr="00A11891">
              <w:rPr>
                <w:rFonts w:ascii="Calibri" w:eastAsia="Times New Roman" w:hAnsi="Calibri" w:cs="Calibri"/>
                <w:b/>
                <w:bCs/>
                <w:color w:val="000000"/>
                <w:sz w:val="22"/>
                <w:szCs w:val="22"/>
                <w:lang w:val="en-TR" w:eastAsia="en-GB"/>
              </w:rPr>
              <w:t>2019</w:t>
            </w:r>
          </w:p>
        </w:tc>
        <w:tc>
          <w:tcPr>
            <w:tcW w:w="1280" w:type="dxa"/>
            <w:tcBorders>
              <w:top w:val="nil"/>
              <w:left w:val="nil"/>
              <w:bottom w:val="nil"/>
              <w:right w:val="nil"/>
            </w:tcBorders>
            <w:shd w:val="clear" w:color="auto" w:fill="auto"/>
            <w:noWrap/>
            <w:vAlign w:val="bottom"/>
            <w:hideMark/>
          </w:tcPr>
          <w:p w14:paraId="6AF34C0C" w14:textId="77777777" w:rsidR="00A11891" w:rsidRPr="00A11891" w:rsidRDefault="00A11891" w:rsidP="00A11891">
            <w:pPr>
              <w:spacing w:after="0" w:line="240" w:lineRule="auto"/>
              <w:rPr>
                <w:rFonts w:ascii="Calibri" w:eastAsia="Times New Roman" w:hAnsi="Calibri" w:cs="Calibri"/>
                <w:b/>
                <w:bCs/>
                <w:color w:val="000000"/>
                <w:sz w:val="22"/>
                <w:szCs w:val="22"/>
                <w:lang w:val="en-TR" w:eastAsia="en-GB"/>
              </w:rPr>
            </w:pPr>
            <w:r w:rsidRPr="00A11891">
              <w:rPr>
                <w:rFonts w:ascii="Calibri" w:eastAsia="Times New Roman" w:hAnsi="Calibri" w:cs="Calibri"/>
                <w:b/>
                <w:bCs/>
                <w:color w:val="000000"/>
                <w:sz w:val="22"/>
                <w:szCs w:val="22"/>
                <w:lang w:val="en-TR" w:eastAsia="en-GB"/>
              </w:rPr>
              <w:t>Change</w:t>
            </w:r>
          </w:p>
        </w:tc>
        <w:tc>
          <w:tcPr>
            <w:tcW w:w="1060" w:type="dxa"/>
            <w:tcBorders>
              <w:top w:val="nil"/>
              <w:left w:val="nil"/>
              <w:bottom w:val="nil"/>
              <w:right w:val="nil"/>
            </w:tcBorders>
            <w:shd w:val="clear" w:color="auto" w:fill="auto"/>
            <w:noWrap/>
            <w:vAlign w:val="bottom"/>
            <w:hideMark/>
          </w:tcPr>
          <w:p w14:paraId="12B96904" w14:textId="77777777" w:rsidR="00A11891" w:rsidRPr="00A11891" w:rsidRDefault="00A11891" w:rsidP="00A11891">
            <w:pPr>
              <w:spacing w:after="0" w:line="240" w:lineRule="auto"/>
              <w:rPr>
                <w:rFonts w:ascii="Calibri" w:eastAsia="Times New Roman" w:hAnsi="Calibri" w:cs="Calibri"/>
                <w:b/>
                <w:bCs/>
                <w:color w:val="000000"/>
                <w:sz w:val="22"/>
                <w:szCs w:val="22"/>
                <w:lang w:val="en-TR" w:eastAsia="en-GB"/>
              </w:rPr>
            </w:pPr>
            <w:r w:rsidRPr="00A11891">
              <w:rPr>
                <w:rFonts w:ascii="Calibri" w:eastAsia="Times New Roman" w:hAnsi="Calibri" w:cs="Calibri"/>
                <w:b/>
                <w:bCs/>
                <w:color w:val="000000"/>
                <w:sz w:val="22"/>
                <w:szCs w:val="22"/>
                <w:lang w:val="en-TR" w:eastAsia="en-GB"/>
              </w:rPr>
              <w:t>% Change</w:t>
            </w:r>
          </w:p>
        </w:tc>
      </w:tr>
      <w:tr w:rsidR="00A11891" w:rsidRPr="00A11891" w14:paraId="0C69D2B2" w14:textId="77777777" w:rsidTr="00A11891">
        <w:trPr>
          <w:trHeight w:val="300"/>
        </w:trPr>
        <w:tc>
          <w:tcPr>
            <w:tcW w:w="3800" w:type="dxa"/>
            <w:tcBorders>
              <w:top w:val="nil"/>
              <w:left w:val="nil"/>
              <w:bottom w:val="nil"/>
              <w:right w:val="nil"/>
            </w:tcBorders>
            <w:shd w:val="clear" w:color="auto" w:fill="auto"/>
            <w:noWrap/>
            <w:vAlign w:val="bottom"/>
            <w:hideMark/>
          </w:tcPr>
          <w:p w14:paraId="54B35126" w14:textId="77777777" w:rsidR="00A11891" w:rsidRPr="00A11891" w:rsidRDefault="00A11891" w:rsidP="00A11891">
            <w:pPr>
              <w:spacing w:after="0" w:line="240" w:lineRule="auto"/>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Current assets</w:t>
            </w:r>
          </w:p>
        </w:tc>
        <w:tc>
          <w:tcPr>
            <w:tcW w:w="1320" w:type="dxa"/>
            <w:tcBorders>
              <w:top w:val="nil"/>
              <w:left w:val="nil"/>
              <w:bottom w:val="nil"/>
              <w:right w:val="nil"/>
            </w:tcBorders>
            <w:shd w:val="clear" w:color="auto" w:fill="auto"/>
            <w:noWrap/>
            <w:vAlign w:val="bottom"/>
            <w:hideMark/>
          </w:tcPr>
          <w:p w14:paraId="7E3D1184" w14:textId="77777777" w:rsidR="00A11891" w:rsidRPr="00A11891" w:rsidRDefault="00A11891" w:rsidP="00A1189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4.202.000</w:t>
            </w:r>
          </w:p>
        </w:tc>
        <w:tc>
          <w:tcPr>
            <w:tcW w:w="1280" w:type="dxa"/>
            <w:tcBorders>
              <w:top w:val="nil"/>
              <w:left w:val="nil"/>
              <w:bottom w:val="nil"/>
              <w:right w:val="nil"/>
            </w:tcBorders>
            <w:shd w:val="clear" w:color="auto" w:fill="auto"/>
            <w:noWrap/>
            <w:vAlign w:val="bottom"/>
            <w:hideMark/>
          </w:tcPr>
          <w:p w14:paraId="07D5F8AE" w14:textId="77777777" w:rsidR="00A11891" w:rsidRPr="00A11891" w:rsidRDefault="00A11891" w:rsidP="00A1189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2.093.000</w:t>
            </w:r>
          </w:p>
        </w:tc>
        <w:tc>
          <w:tcPr>
            <w:tcW w:w="1280" w:type="dxa"/>
            <w:tcBorders>
              <w:top w:val="nil"/>
              <w:left w:val="nil"/>
              <w:bottom w:val="nil"/>
              <w:right w:val="nil"/>
            </w:tcBorders>
            <w:shd w:val="clear" w:color="auto" w:fill="auto"/>
            <w:noWrap/>
            <w:vAlign w:val="bottom"/>
            <w:hideMark/>
          </w:tcPr>
          <w:p w14:paraId="36B1EB47" w14:textId="3AAA99B2" w:rsidR="00A11891" w:rsidRPr="00A11891" w:rsidRDefault="00A11891" w:rsidP="00A11891">
            <w:pPr>
              <w:spacing w:after="0" w:line="240" w:lineRule="auto"/>
              <w:jc w:val="right"/>
              <w:rPr>
                <w:rFonts w:ascii="Calibri" w:eastAsia="Times New Roman" w:hAnsi="Calibri" w:cs="Calibri"/>
                <w:color w:val="000000"/>
                <w:sz w:val="22"/>
                <w:szCs w:val="22"/>
                <w:lang w:val="en-TR" w:eastAsia="en-GB"/>
              </w:rPr>
            </w:pPr>
          </w:p>
        </w:tc>
        <w:tc>
          <w:tcPr>
            <w:tcW w:w="1060" w:type="dxa"/>
            <w:tcBorders>
              <w:top w:val="nil"/>
              <w:left w:val="nil"/>
              <w:bottom w:val="nil"/>
              <w:right w:val="nil"/>
            </w:tcBorders>
            <w:shd w:val="clear" w:color="auto" w:fill="auto"/>
            <w:noWrap/>
            <w:vAlign w:val="bottom"/>
            <w:hideMark/>
          </w:tcPr>
          <w:p w14:paraId="629BC1E1" w14:textId="77777777" w:rsidR="00A11891" w:rsidRPr="00A11891" w:rsidRDefault="00A11891" w:rsidP="00A11891">
            <w:pPr>
              <w:spacing w:after="0" w:line="240" w:lineRule="auto"/>
              <w:jc w:val="right"/>
              <w:rPr>
                <w:rFonts w:ascii="Calibri" w:eastAsia="Times New Roman" w:hAnsi="Calibri" w:cs="Calibri"/>
                <w:color w:val="000000"/>
                <w:sz w:val="22"/>
                <w:szCs w:val="22"/>
                <w:lang w:val="en-TR" w:eastAsia="en-GB"/>
              </w:rPr>
            </w:pPr>
          </w:p>
        </w:tc>
      </w:tr>
      <w:tr w:rsidR="00A11891" w:rsidRPr="00A11891" w14:paraId="1FF31F26" w14:textId="77777777" w:rsidTr="00A11891">
        <w:trPr>
          <w:trHeight w:val="300"/>
        </w:trPr>
        <w:tc>
          <w:tcPr>
            <w:tcW w:w="3800" w:type="dxa"/>
            <w:tcBorders>
              <w:top w:val="nil"/>
              <w:left w:val="nil"/>
              <w:bottom w:val="nil"/>
              <w:right w:val="nil"/>
            </w:tcBorders>
            <w:shd w:val="clear" w:color="auto" w:fill="auto"/>
            <w:noWrap/>
            <w:vAlign w:val="bottom"/>
            <w:hideMark/>
          </w:tcPr>
          <w:p w14:paraId="52C4B71A" w14:textId="77777777" w:rsidR="00A11891" w:rsidRPr="00A11891" w:rsidRDefault="00A11891" w:rsidP="00A11891">
            <w:pPr>
              <w:spacing w:after="0" w:line="240" w:lineRule="auto"/>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Non Current Asset</w:t>
            </w:r>
          </w:p>
        </w:tc>
        <w:tc>
          <w:tcPr>
            <w:tcW w:w="1320" w:type="dxa"/>
            <w:tcBorders>
              <w:top w:val="nil"/>
              <w:left w:val="nil"/>
              <w:bottom w:val="nil"/>
              <w:right w:val="nil"/>
            </w:tcBorders>
            <w:shd w:val="clear" w:color="auto" w:fill="auto"/>
            <w:noWrap/>
            <w:vAlign w:val="bottom"/>
            <w:hideMark/>
          </w:tcPr>
          <w:p w14:paraId="5FB14260" w14:textId="77777777" w:rsidR="00A11891" w:rsidRPr="00A11891" w:rsidRDefault="00A11891" w:rsidP="00A1189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15.810.000</w:t>
            </w:r>
          </w:p>
        </w:tc>
        <w:tc>
          <w:tcPr>
            <w:tcW w:w="1280" w:type="dxa"/>
            <w:tcBorders>
              <w:top w:val="nil"/>
              <w:left w:val="nil"/>
              <w:bottom w:val="nil"/>
              <w:right w:val="nil"/>
            </w:tcBorders>
            <w:shd w:val="clear" w:color="auto" w:fill="auto"/>
            <w:noWrap/>
            <w:vAlign w:val="bottom"/>
            <w:hideMark/>
          </w:tcPr>
          <w:p w14:paraId="2E4C463A" w14:textId="77777777" w:rsidR="00A11891" w:rsidRPr="00A11891" w:rsidRDefault="00A11891" w:rsidP="00A1189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12.558.000</w:t>
            </w:r>
          </w:p>
        </w:tc>
        <w:tc>
          <w:tcPr>
            <w:tcW w:w="1280" w:type="dxa"/>
            <w:tcBorders>
              <w:top w:val="nil"/>
              <w:left w:val="nil"/>
              <w:bottom w:val="nil"/>
              <w:right w:val="nil"/>
            </w:tcBorders>
            <w:shd w:val="clear" w:color="auto" w:fill="auto"/>
            <w:noWrap/>
            <w:vAlign w:val="bottom"/>
            <w:hideMark/>
          </w:tcPr>
          <w:p w14:paraId="3F2EE162" w14:textId="77777777" w:rsidR="00A11891" w:rsidRPr="00A11891" w:rsidRDefault="00A11891" w:rsidP="00A1189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3252000</w:t>
            </w:r>
          </w:p>
        </w:tc>
        <w:tc>
          <w:tcPr>
            <w:tcW w:w="1060" w:type="dxa"/>
            <w:tcBorders>
              <w:top w:val="nil"/>
              <w:left w:val="nil"/>
              <w:bottom w:val="nil"/>
              <w:right w:val="nil"/>
            </w:tcBorders>
            <w:shd w:val="clear" w:color="auto" w:fill="auto"/>
            <w:noWrap/>
            <w:vAlign w:val="bottom"/>
            <w:hideMark/>
          </w:tcPr>
          <w:p w14:paraId="04893CEE" w14:textId="77777777" w:rsidR="00A11891" w:rsidRPr="00A11891" w:rsidRDefault="00A11891" w:rsidP="00A1189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0,25</w:t>
            </w:r>
          </w:p>
        </w:tc>
      </w:tr>
      <w:tr w:rsidR="00A11891" w:rsidRPr="00A11891" w14:paraId="2AA90A71" w14:textId="77777777" w:rsidTr="00A11891">
        <w:trPr>
          <w:trHeight w:val="300"/>
        </w:trPr>
        <w:tc>
          <w:tcPr>
            <w:tcW w:w="3800" w:type="dxa"/>
            <w:tcBorders>
              <w:top w:val="nil"/>
              <w:left w:val="nil"/>
              <w:bottom w:val="nil"/>
              <w:right w:val="nil"/>
            </w:tcBorders>
            <w:shd w:val="clear" w:color="auto" w:fill="auto"/>
            <w:noWrap/>
            <w:vAlign w:val="bottom"/>
            <w:hideMark/>
          </w:tcPr>
          <w:p w14:paraId="4CFEC07B" w14:textId="77777777" w:rsidR="00A11891" w:rsidRPr="00A11891" w:rsidRDefault="00A11891" w:rsidP="00A11891">
            <w:pPr>
              <w:spacing w:after="0" w:line="240" w:lineRule="auto"/>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 xml:space="preserve">Total assets </w:t>
            </w:r>
          </w:p>
        </w:tc>
        <w:tc>
          <w:tcPr>
            <w:tcW w:w="1320" w:type="dxa"/>
            <w:tcBorders>
              <w:top w:val="nil"/>
              <w:left w:val="nil"/>
              <w:bottom w:val="nil"/>
              <w:right w:val="nil"/>
            </w:tcBorders>
            <w:shd w:val="clear" w:color="auto" w:fill="auto"/>
            <w:noWrap/>
            <w:vAlign w:val="bottom"/>
            <w:hideMark/>
          </w:tcPr>
          <w:p w14:paraId="642B1A0E" w14:textId="77777777" w:rsidR="00A11891" w:rsidRPr="00A11891" w:rsidRDefault="00A11891" w:rsidP="00A1189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16.775.000</w:t>
            </w:r>
          </w:p>
        </w:tc>
        <w:tc>
          <w:tcPr>
            <w:tcW w:w="1280" w:type="dxa"/>
            <w:tcBorders>
              <w:top w:val="nil"/>
              <w:left w:val="nil"/>
              <w:bottom w:val="nil"/>
              <w:right w:val="nil"/>
            </w:tcBorders>
            <w:shd w:val="clear" w:color="auto" w:fill="auto"/>
            <w:noWrap/>
            <w:vAlign w:val="bottom"/>
            <w:hideMark/>
          </w:tcPr>
          <w:p w14:paraId="64937016" w14:textId="77777777" w:rsidR="00A11891" w:rsidRPr="00A11891" w:rsidRDefault="00A11891" w:rsidP="00A1189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14.957.000</w:t>
            </w:r>
          </w:p>
        </w:tc>
        <w:tc>
          <w:tcPr>
            <w:tcW w:w="1280" w:type="dxa"/>
            <w:tcBorders>
              <w:top w:val="nil"/>
              <w:left w:val="nil"/>
              <w:bottom w:val="nil"/>
              <w:right w:val="nil"/>
            </w:tcBorders>
            <w:shd w:val="clear" w:color="auto" w:fill="auto"/>
            <w:noWrap/>
            <w:vAlign w:val="bottom"/>
            <w:hideMark/>
          </w:tcPr>
          <w:p w14:paraId="073FF681" w14:textId="77777777" w:rsidR="00A11891" w:rsidRPr="00A11891" w:rsidRDefault="00A11891" w:rsidP="00A1189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1818000</w:t>
            </w:r>
          </w:p>
        </w:tc>
        <w:tc>
          <w:tcPr>
            <w:tcW w:w="1060" w:type="dxa"/>
            <w:tcBorders>
              <w:top w:val="nil"/>
              <w:left w:val="nil"/>
              <w:bottom w:val="nil"/>
              <w:right w:val="nil"/>
            </w:tcBorders>
            <w:shd w:val="clear" w:color="auto" w:fill="auto"/>
            <w:noWrap/>
            <w:vAlign w:val="bottom"/>
            <w:hideMark/>
          </w:tcPr>
          <w:p w14:paraId="3BE065AA" w14:textId="77777777" w:rsidR="00A11891" w:rsidRPr="00A11891" w:rsidRDefault="00A11891" w:rsidP="00A1189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0,1</w:t>
            </w:r>
          </w:p>
        </w:tc>
      </w:tr>
      <w:tr w:rsidR="00A11891" w:rsidRPr="00A11891" w14:paraId="79E0573B" w14:textId="77777777" w:rsidTr="00A11891">
        <w:trPr>
          <w:trHeight w:val="300"/>
        </w:trPr>
        <w:tc>
          <w:tcPr>
            <w:tcW w:w="3800" w:type="dxa"/>
            <w:tcBorders>
              <w:top w:val="nil"/>
              <w:left w:val="nil"/>
              <w:bottom w:val="nil"/>
              <w:right w:val="nil"/>
            </w:tcBorders>
            <w:shd w:val="clear" w:color="auto" w:fill="auto"/>
            <w:noWrap/>
            <w:vAlign w:val="bottom"/>
            <w:hideMark/>
          </w:tcPr>
          <w:p w14:paraId="3202692B" w14:textId="77777777" w:rsidR="00A11891" w:rsidRPr="00A11891" w:rsidRDefault="00A11891" w:rsidP="00A11891">
            <w:pPr>
              <w:spacing w:after="0" w:line="240" w:lineRule="auto"/>
              <w:jc w:val="right"/>
              <w:rPr>
                <w:rFonts w:ascii="Calibri" w:eastAsia="Times New Roman" w:hAnsi="Calibri" w:cs="Calibri"/>
                <w:color w:val="000000"/>
                <w:sz w:val="22"/>
                <w:szCs w:val="22"/>
                <w:lang w:val="en-TR" w:eastAsia="en-GB"/>
              </w:rPr>
            </w:pPr>
          </w:p>
        </w:tc>
        <w:tc>
          <w:tcPr>
            <w:tcW w:w="1320" w:type="dxa"/>
            <w:tcBorders>
              <w:top w:val="nil"/>
              <w:left w:val="nil"/>
              <w:bottom w:val="nil"/>
              <w:right w:val="nil"/>
            </w:tcBorders>
            <w:shd w:val="clear" w:color="auto" w:fill="auto"/>
            <w:noWrap/>
            <w:vAlign w:val="bottom"/>
            <w:hideMark/>
          </w:tcPr>
          <w:p w14:paraId="2189617A" w14:textId="77777777" w:rsidR="00A11891" w:rsidRPr="00A11891" w:rsidRDefault="00A11891" w:rsidP="00A11891">
            <w:pPr>
              <w:spacing w:after="0" w:line="240" w:lineRule="auto"/>
              <w:rPr>
                <w:rFonts w:ascii="Times New Roman" w:eastAsia="Times New Roman" w:hAnsi="Times New Roman" w:cs="Times New Roman"/>
                <w:lang w:val="en-TR" w:eastAsia="en-GB"/>
              </w:rPr>
            </w:pPr>
          </w:p>
        </w:tc>
        <w:tc>
          <w:tcPr>
            <w:tcW w:w="1280" w:type="dxa"/>
            <w:tcBorders>
              <w:top w:val="nil"/>
              <w:left w:val="nil"/>
              <w:bottom w:val="nil"/>
              <w:right w:val="nil"/>
            </w:tcBorders>
            <w:shd w:val="clear" w:color="auto" w:fill="auto"/>
            <w:noWrap/>
            <w:vAlign w:val="bottom"/>
            <w:hideMark/>
          </w:tcPr>
          <w:p w14:paraId="2E6D4A68" w14:textId="77777777" w:rsidR="00A11891" w:rsidRPr="00A11891" w:rsidRDefault="00A11891" w:rsidP="00A11891">
            <w:pPr>
              <w:spacing w:after="0" w:line="240" w:lineRule="auto"/>
              <w:rPr>
                <w:rFonts w:ascii="Times New Roman" w:eastAsia="Times New Roman" w:hAnsi="Times New Roman" w:cs="Times New Roman"/>
                <w:lang w:val="en-TR" w:eastAsia="en-GB"/>
              </w:rPr>
            </w:pPr>
          </w:p>
        </w:tc>
        <w:tc>
          <w:tcPr>
            <w:tcW w:w="1280" w:type="dxa"/>
            <w:tcBorders>
              <w:top w:val="nil"/>
              <w:left w:val="nil"/>
              <w:bottom w:val="nil"/>
              <w:right w:val="nil"/>
            </w:tcBorders>
            <w:shd w:val="clear" w:color="auto" w:fill="auto"/>
            <w:noWrap/>
            <w:vAlign w:val="bottom"/>
            <w:hideMark/>
          </w:tcPr>
          <w:p w14:paraId="31CC3D64" w14:textId="77777777" w:rsidR="00A11891" w:rsidRPr="00A11891" w:rsidRDefault="00A11891" w:rsidP="00A11891">
            <w:pPr>
              <w:spacing w:after="0" w:line="240" w:lineRule="auto"/>
              <w:rPr>
                <w:rFonts w:ascii="Times New Roman" w:eastAsia="Times New Roman" w:hAnsi="Times New Roman" w:cs="Times New Roman"/>
                <w:lang w:val="en-TR" w:eastAsia="en-GB"/>
              </w:rPr>
            </w:pPr>
          </w:p>
        </w:tc>
        <w:tc>
          <w:tcPr>
            <w:tcW w:w="1060" w:type="dxa"/>
            <w:tcBorders>
              <w:top w:val="nil"/>
              <w:left w:val="nil"/>
              <w:bottom w:val="nil"/>
              <w:right w:val="nil"/>
            </w:tcBorders>
            <w:shd w:val="clear" w:color="auto" w:fill="auto"/>
            <w:noWrap/>
            <w:vAlign w:val="bottom"/>
            <w:hideMark/>
          </w:tcPr>
          <w:p w14:paraId="035BF55B" w14:textId="77777777" w:rsidR="00A11891" w:rsidRPr="00A11891" w:rsidRDefault="00A11891" w:rsidP="00A11891">
            <w:pPr>
              <w:spacing w:after="0" w:line="240" w:lineRule="auto"/>
              <w:rPr>
                <w:rFonts w:ascii="Times New Roman" w:eastAsia="Times New Roman" w:hAnsi="Times New Roman" w:cs="Times New Roman"/>
                <w:lang w:val="en-TR" w:eastAsia="en-GB"/>
              </w:rPr>
            </w:pPr>
          </w:p>
        </w:tc>
      </w:tr>
      <w:tr w:rsidR="00A11891" w:rsidRPr="00A11891" w14:paraId="20F69E40" w14:textId="77777777" w:rsidTr="00A11891">
        <w:trPr>
          <w:trHeight w:val="300"/>
        </w:trPr>
        <w:tc>
          <w:tcPr>
            <w:tcW w:w="3800" w:type="dxa"/>
            <w:tcBorders>
              <w:top w:val="nil"/>
              <w:left w:val="nil"/>
              <w:bottom w:val="nil"/>
              <w:right w:val="nil"/>
            </w:tcBorders>
            <w:shd w:val="clear" w:color="auto" w:fill="auto"/>
            <w:noWrap/>
            <w:vAlign w:val="bottom"/>
            <w:hideMark/>
          </w:tcPr>
          <w:p w14:paraId="2E7F74F6" w14:textId="77777777" w:rsidR="00A11891" w:rsidRPr="00A11891" w:rsidRDefault="00A11891" w:rsidP="00A11891">
            <w:pPr>
              <w:spacing w:after="0" w:line="240" w:lineRule="auto"/>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 xml:space="preserve">Current Liabilities </w:t>
            </w:r>
          </w:p>
        </w:tc>
        <w:tc>
          <w:tcPr>
            <w:tcW w:w="1320" w:type="dxa"/>
            <w:tcBorders>
              <w:top w:val="nil"/>
              <w:left w:val="nil"/>
              <w:bottom w:val="nil"/>
              <w:right w:val="nil"/>
            </w:tcBorders>
            <w:shd w:val="clear" w:color="auto" w:fill="auto"/>
            <w:noWrap/>
            <w:vAlign w:val="bottom"/>
            <w:hideMark/>
          </w:tcPr>
          <w:p w14:paraId="6AB6C506" w14:textId="77777777" w:rsidR="00A11891" w:rsidRPr="00A11891" w:rsidRDefault="00A11891" w:rsidP="00A1189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2.431.000</w:t>
            </w:r>
          </w:p>
        </w:tc>
        <w:tc>
          <w:tcPr>
            <w:tcW w:w="1280" w:type="dxa"/>
            <w:tcBorders>
              <w:top w:val="nil"/>
              <w:left w:val="nil"/>
              <w:bottom w:val="nil"/>
              <w:right w:val="nil"/>
            </w:tcBorders>
            <w:shd w:val="clear" w:color="auto" w:fill="auto"/>
            <w:noWrap/>
            <w:vAlign w:val="bottom"/>
            <w:hideMark/>
          </w:tcPr>
          <w:p w14:paraId="00B17836" w14:textId="77777777" w:rsidR="00A11891" w:rsidRPr="00A11891" w:rsidRDefault="00A11891" w:rsidP="00A1189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2.871.000</w:t>
            </w:r>
          </w:p>
        </w:tc>
        <w:tc>
          <w:tcPr>
            <w:tcW w:w="1280" w:type="dxa"/>
            <w:tcBorders>
              <w:top w:val="nil"/>
              <w:left w:val="nil"/>
              <w:bottom w:val="nil"/>
              <w:right w:val="nil"/>
            </w:tcBorders>
            <w:shd w:val="clear" w:color="auto" w:fill="auto"/>
            <w:noWrap/>
            <w:vAlign w:val="bottom"/>
            <w:hideMark/>
          </w:tcPr>
          <w:p w14:paraId="335D5ADA" w14:textId="77777777" w:rsidR="00A11891" w:rsidRPr="00A11891" w:rsidRDefault="00A11891" w:rsidP="00A1189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-440000</w:t>
            </w:r>
          </w:p>
        </w:tc>
        <w:tc>
          <w:tcPr>
            <w:tcW w:w="1060" w:type="dxa"/>
            <w:tcBorders>
              <w:top w:val="nil"/>
              <w:left w:val="nil"/>
              <w:bottom w:val="nil"/>
              <w:right w:val="nil"/>
            </w:tcBorders>
            <w:shd w:val="clear" w:color="auto" w:fill="auto"/>
            <w:noWrap/>
            <w:vAlign w:val="bottom"/>
            <w:hideMark/>
          </w:tcPr>
          <w:p w14:paraId="1F732F9F" w14:textId="77777777" w:rsidR="00A11891" w:rsidRPr="00A11891" w:rsidRDefault="00A11891" w:rsidP="00A1189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-0,15</w:t>
            </w:r>
          </w:p>
        </w:tc>
      </w:tr>
      <w:tr w:rsidR="00A11891" w:rsidRPr="00A11891" w14:paraId="37C0D06E" w14:textId="77777777" w:rsidTr="00A11891">
        <w:trPr>
          <w:trHeight w:val="300"/>
        </w:trPr>
        <w:tc>
          <w:tcPr>
            <w:tcW w:w="3800" w:type="dxa"/>
            <w:tcBorders>
              <w:top w:val="nil"/>
              <w:left w:val="nil"/>
              <w:bottom w:val="nil"/>
              <w:right w:val="nil"/>
            </w:tcBorders>
            <w:shd w:val="clear" w:color="auto" w:fill="auto"/>
            <w:noWrap/>
            <w:vAlign w:val="bottom"/>
            <w:hideMark/>
          </w:tcPr>
          <w:p w14:paraId="3021B0EA" w14:textId="77777777" w:rsidR="00A11891" w:rsidRPr="00A11891" w:rsidRDefault="00A11891" w:rsidP="00A11891">
            <w:pPr>
              <w:spacing w:after="0" w:line="240" w:lineRule="auto"/>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Non current Liabilities</w:t>
            </w:r>
          </w:p>
        </w:tc>
        <w:tc>
          <w:tcPr>
            <w:tcW w:w="1320" w:type="dxa"/>
            <w:tcBorders>
              <w:top w:val="nil"/>
              <w:left w:val="nil"/>
              <w:bottom w:val="nil"/>
              <w:right w:val="nil"/>
            </w:tcBorders>
            <w:shd w:val="clear" w:color="auto" w:fill="auto"/>
            <w:noWrap/>
            <w:vAlign w:val="bottom"/>
            <w:hideMark/>
          </w:tcPr>
          <w:p w14:paraId="178CD0EC" w14:textId="77777777" w:rsidR="00A11891" w:rsidRPr="00A11891" w:rsidRDefault="00A11891" w:rsidP="00A1189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15.810.000</w:t>
            </w:r>
          </w:p>
        </w:tc>
        <w:tc>
          <w:tcPr>
            <w:tcW w:w="1280" w:type="dxa"/>
            <w:tcBorders>
              <w:top w:val="nil"/>
              <w:left w:val="nil"/>
              <w:bottom w:val="nil"/>
              <w:right w:val="nil"/>
            </w:tcBorders>
            <w:shd w:val="clear" w:color="auto" w:fill="auto"/>
            <w:noWrap/>
            <w:vAlign w:val="bottom"/>
            <w:hideMark/>
          </w:tcPr>
          <w:p w14:paraId="1037A9A5" w14:textId="77777777" w:rsidR="00A11891" w:rsidRPr="00A11891" w:rsidRDefault="00A11891" w:rsidP="00A1189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12.558.000</w:t>
            </w:r>
          </w:p>
        </w:tc>
        <w:tc>
          <w:tcPr>
            <w:tcW w:w="1280" w:type="dxa"/>
            <w:tcBorders>
              <w:top w:val="nil"/>
              <w:left w:val="nil"/>
              <w:bottom w:val="nil"/>
              <w:right w:val="nil"/>
            </w:tcBorders>
            <w:shd w:val="clear" w:color="auto" w:fill="auto"/>
            <w:noWrap/>
            <w:vAlign w:val="bottom"/>
            <w:hideMark/>
          </w:tcPr>
          <w:p w14:paraId="4273C7BD" w14:textId="77777777" w:rsidR="00A11891" w:rsidRPr="00A11891" w:rsidRDefault="00A11891" w:rsidP="00A1189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3252000</w:t>
            </w:r>
          </w:p>
        </w:tc>
        <w:tc>
          <w:tcPr>
            <w:tcW w:w="1060" w:type="dxa"/>
            <w:tcBorders>
              <w:top w:val="nil"/>
              <w:left w:val="nil"/>
              <w:bottom w:val="nil"/>
              <w:right w:val="nil"/>
            </w:tcBorders>
            <w:shd w:val="clear" w:color="auto" w:fill="auto"/>
            <w:noWrap/>
            <w:vAlign w:val="bottom"/>
            <w:hideMark/>
          </w:tcPr>
          <w:p w14:paraId="6EC286F8" w14:textId="77777777" w:rsidR="00A11891" w:rsidRPr="00A11891" w:rsidRDefault="00A11891" w:rsidP="00A1189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0,25</w:t>
            </w:r>
          </w:p>
        </w:tc>
      </w:tr>
      <w:tr w:rsidR="00A11891" w:rsidRPr="00A11891" w14:paraId="58C9FD68" w14:textId="77777777" w:rsidTr="00A11891">
        <w:trPr>
          <w:trHeight w:val="300"/>
        </w:trPr>
        <w:tc>
          <w:tcPr>
            <w:tcW w:w="3800" w:type="dxa"/>
            <w:tcBorders>
              <w:top w:val="nil"/>
              <w:left w:val="nil"/>
              <w:bottom w:val="nil"/>
              <w:right w:val="nil"/>
            </w:tcBorders>
            <w:shd w:val="clear" w:color="auto" w:fill="auto"/>
            <w:noWrap/>
            <w:vAlign w:val="bottom"/>
            <w:hideMark/>
          </w:tcPr>
          <w:p w14:paraId="7B08DB02" w14:textId="77777777" w:rsidR="00A11891" w:rsidRPr="00A11891" w:rsidRDefault="00A11891" w:rsidP="00A11891">
            <w:pPr>
              <w:spacing w:after="0" w:line="240" w:lineRule="auto"/>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Total Liabilities</w:t>
            </w:r>
          </w:p>
        </w:tc>
        <w:tc>
          <w:tcPr>
            <w:tcW w:w="1320" w:type="dxa"/>
            <w:tcBorders>
              <w:top w:val="nil"/>
              <w:left w:val="nil"/>
              <w:bottom w:val="nil"/>
              <w:right w:val="nil"/>
            </w:tcBorders>
            <w:shd w:val="clear" w:color="auto" w:fill="auto"/>
            <w:noWrap/>
            <w:vAlign w:val="bottom"/>
            <w:hideMark/>
          </w:tcPr>
          <w:p w14:paraId="1DC6CDC5" w14:textId="77777777" w:rsidR="00A11891" w:rsidRPr="00A11891" w:rsidRDefault="00A11891" w:rsidP="00A1189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18.241.000</w:t>
            </w:r>
          </w:p>
        </w:tc>
        <w:tc>
          <w:tcPr>
            <w:tcW w:w="1280" w:type="dxa"/>
            <w:tcBorders>
              <w:top w:val="nil"/>
              <w:left w:val="nil"/>
              <w:bottom w:val="nil"/>
              <w:right w:val="nil"/>
            </w:tcBorders>
            <w:shd w:val="clear" w:color="auto" w:fill="auto"/>
            <w:noWrap/>
            <w:vAlign w:val="bottom"/>
            <w:hideMark/>
          </w:tcPr>
          <w:p w14:paraId="6ED0C3B9" w14:textId="77777777" w:rsidR="00A11891" w:rsidRPr="00A11891" w:rsidRDefault="00A11891" w:rsidP="00A1189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15.429.000</w:t>
            </w:r>
          </w:p>
        </w:tc>
        <w:tc>
          <w:tcPr>
            <w:tcW w:w="1280" w:type="dxa"/>
            <w:tcBorders>
              <w:top w:val="nil"/>
              <w:left w:val="nil"/>
              <w:bottom w:val="nil"/>
              <w:right w:val="nil"/>
            </w:tcBorders>
            <w:shd w:val="clear" w:color="auto" w:fill="auto"/>
            <w:noWrap/>
            <w:vAlign w:val="bottom"/>
            <w:hideMark/>
          </w:tcPr>
          <w:p w14:paraId="59F18325" w14:textId="77777777" w:rsidR="00A11891" w:rsidRPr="00A11891" w:rsidRDefault="00A11891" w:rsidP="00A1189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2812000</w:t>
            </w:r>
          </w:p>
        </w:tc>
        <w:tc>
          <w:tcPr>
            <w:tcW w:w="1060" w:type="dxa"/>
            <w:tcBorders>
              <w:top w:val="nil"/>
              <w:left w:val="nil"/>
              <w:bottom w:val="nil"/>
              <w:right w:val="nil"/>
            </w:tcBorders>
            <w:shd w:val="clear" w:color="auto" w:fill="auto"/>
            <w:noWrap/>
            <w:vAlign w:val="bottom"/>
            <w:hideMark/>
          </w:tcPr>
          <w:p w14:paraId="214114DC" w14:textId="77777777" w:rsidR="00A11891" w:rsidRPr="00A11891" w:rsidRDefault="00A11891" w:rsidP="00A1189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0,2</w:t>
            </w:r>
          </w:p>
        </w:tc>
      </w:tr>
      <w:tr w:rsidR="00A11891" w:rsidRPr="00A11891" w14:paraId="7A34A616" w14:textId="77777777" w:rsidTr="00A11891">
        <w:trPr>
          <w:trHeight w:val="300"/>
        </w:trPr>
        <w:tc>
          <w:tcPr>
            <w:tcW w:w="3800" w:type="dxa"/>
            <w:tcBorders>
              <w:top w:val="nil"/>
              <w:left w:val="nil"/>
              <w:bottom w:val="nil"/>
              <w:right w:val="nil"/>
            </w:tcBorders>
            <w:shd w:val="clear" w:color="auto" w:fill="auto"/>
            <w:noWrap/>
            <w:vAlign w:val="bottom"/>
            <w:hideMark/>
          </w:tcPr>
          <w:p w14:paraId="580B758B" w14:textId="77777777" w:rsidR="00A11891" w:rsidRPr="00A11891" w:rsidRDefault="00A11891" w:rsidP="00A11891">
            <w:pPr>
              <w:spacing w:after="0" w:line="240" w:lineRule="auto"/>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Common stock</w:t>
            </w:r>
          </w:p>
        </w:tc>
        <w:tc>
          <w:tcPr>
            <w:tcW w:w="1320" w:type="dxa"/>
            <w:tcBorders>
              <w:top w:val="nil"/>
              <w:left w:val="nil"/>
              <w:bottom w:val="nil"/>
              <w:right w:val="nil"/>
            </w:tcBorders>
            <w:shd w:val="clear" w:color="auto" w:fill="auto"/>
            <w:noWrap/>
            <w:vAlign w:val="bottom"/>
            <w:hideMark/>
          </w:tcPr>
          <w:p w14:paraId="4AA92B83" w14:textId="77777777" w:rsidR="00A11891" w:rsidRPr="00A11891" w:rsidRDefault="00A11891" w:rsidP="00A1189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3.000</w:t>
            </w:r>
          </w:p>
        </w:tc>
        <w:tc>
          <w:tcPr>
            <w:tcW w:w="1280" w:type="dxa"/>
            <w:tcBorders>
              <w:top w:val="nil"/>
              <w:left w:val="nil"/>
              <w:bottom w:val="nil"/>
              <w:right w:val="nil"/>
            </w:tcBorders>
            <w:shd w:val="clear" w:color="auto" w:fill="auto"/>
            <w:noWrap/>
            <w:vAlign w:val="bottom"/>
            <w:hideMark/>
          </w:tcPr>
          <w:p w14:paraId="56F72E82" w14:textId="77777777" w:rsidR="00A11891" w:rsidRPr="00A11891" w:rsidRDefault="00A11891" w:rsidP="00A1189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3.000</w:t>
            </w:r>
          </w:p>
        </w:tc>
        <w:tc>
          <w:tcPr>
            <w:tcW w:w="1280" w:type="dxa"/>
            <w:tcBorders>
              <w:top w:val="nil"/>
              <w:left w:val="nil"/>
              <w:bottom w:val="nil"/>
              <w:right w:val="nil"/>
            </w:tcBorders>
            <w:shd w:val="clear" w:color="auto" w:fill="auto"/>
            <w:noWrap/>
            <w:vAlign w:val="bottom"/>
            <w:hideMark/>
          </w:tcPr>
          <w:p w14:paraId="63C01CF9" w14:textId="77777777" w:rsidR="00A11891" w:rsidRPr="00A11891" w:rsidRDefault="00A11891" w:rsidP="00A1189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0</w:t>
            </w:r>
          </w:p>
        </w:tc>
        <w:tc>
          <w:tcPr>
            <w:tcW w:w="1060" w:type="dxa"/>
            <w:tcBorders>
              <w:top w:val="nil"/>
              <w:left w:val="nil"/>
              <w:bottom w:val="nil"/>
              <w:right w:val="nil"/>
            </w:tcBorders>
            <w:shd w:val="clear" w:color="auto" w:fill="auto"/>
            <w:noWrap/>
            <w:vAlign w:val="bottom"/>
            <w:hideMark/>
          </w:tcPr>
          <w:p w14:paraId="5C245DF0" w14:textId="77777777" w:rsidR="00A11891" w:rsidRPr="00A11891" w:rsidRDefault="00A11891" w:rsidP="00A1189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0</w:t>
            </w:r>
          </w:p>
        </w:tc>
      </w:tr>
      <w:tr w:rsidR="00A11891" w:rsidRPr="00A11891" w14:paraId="606C732A" w14:textId="77777777" w:rsidTr="00A11891">
        <w:trPr>
          <w:trHeight w:val="300"/>
        </w:trPr>
        <w:tc>
          <w:tcPr>
            <w:tcW w:w="3800" w:type="dxa"/>
            <w:tcBorders>
              <w:top w:val="nil"/>
              <w:left w:val="nil"/>
              <w:bottom w:val="nil"/>
              <w:right w:val="nil"/>
            </w:tcBorders>
            <w:shd w:val="clear" w:color="auto" w:fill="auto"/>
            <w:noWrap/>
            <w:vAlign w:val="bottom"/>
            <w:hideMark/>
          </w:tcPr>
          <w:p w14:paraId="50D49B65" w14:textId="77777777" w:rsidR="00A11891" w:rsidRPr="00A11891" w:rsidRDefault="00A11891" w:rsidP="00A11891">
            <w:pPr>
              <w:spacing w:after="0" w:line="240" w:lineRule="auto"/>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Retained Earnings</w:t>
            </w:r>
          </w:p>
        </w:tc>
        <w:tc>
          <w:tcPr>
            <w:tcW w:w="1320" w:type="dxa"/>
            <w:tcBorders>
              <w:top w:val="nil"/>
              <w:left w:val="nil"/>
              <w:bottom w:val="nil"/>
              <w:right w:val="nil"/>
            </w:tcBorders>
            <w:shd w:val="clear" w:color="auto" w:fill="auto"/>
            <w:noWrap/>
            <w:vAlign w:val="bottom"/>
            <w:hideMark/>
          </w:tcPr>
          <w:p w14:paraId="075A3FD8" w14:textId="77777777" w:rsidR="00A11891" w:rsidRPr="00A11891" w:rsidRDefault="00A11891" w:rsidP="00A1189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-6.732.000</w:t>
            </w:r>
          </w:p>
        </w:tc>
        <w:tc>
          <w:tcPr>
            <w:tcW w:w="1280" w:type="dxa"/>
            <w:tcBorders>
              <w:top w:val="nil"/>
              <w:left w:val="nil"/>
              <w:bottom w:val="nil"/>
              <w:right w:val="nil"/>
            </w:tcBorders>
            <w:shd w:val="clear" w:color="auto" w:fill="auto"/>
            <w:noWrap/>
            <w:vAlign w:val="bottom"/>
            <w:hideMark/>
          </w:tcPr>
          <w:p w14:paraId="2C500641" w14:textId="77777777" w:rsidR="00A11891" w:rsidRPr="00A11891" w:rsidRDefault="00A11891" w:rsidP="00A1189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-5.965.000</w:t>
            </w:r>
          </w:p>
        </w:tc>
        <w:tc>
          <w:tcPr>
            <w:tcW w:w="1280" w:type="dxa"/>
            <w:tcBorders>
              <w:top w:val="nil"/>
              <w:left w:val="nil"/>
              <w:bottom w:val="nil"/>
              <w:right w:val="nil"/>
            </w:tcBorders>
            <w:shd w:val="clear" w:color="auto" w:fill="auto"/>
            <w:noWrap/>
            <w:vAlign w:val="bottom"/>
            <w:hideMark/>
          </w:tcPr>
          <w:p w14:paraId="150CBBB7" w14:textId="77777777" w:rsidR="00A11891" w:rsidRPr="00A11891" w:rsidRDefault="00A11891" w:rsidP="00A1189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-767000</w:t>
            </w:r>
          </w:p>
        </w:tc>
        <w:tc>
          <w:tcPr>
            <w:tcW w:w="1060" w:type="dxa"/>
            <w:tcBorders>
              <w:top w:val="nil"/>
              <w:left w:val="nil"/>
              <w:bottom w:val="nil"/>
              <w:right w:val="nil"/>
            </w:tcBorders>
            <w:shd w:val="clear" w:color="auto" w:fill="auto"/>
            <w:noWrap/>
            <w:vAlign w:val="bottom"/>
            <w:hideMark/>
          </w:tcPr>
          <w:p w14:paraId="248A15A0" w14:textId="77777777" w:rsidR="00A11891" w:rsidRPr="00A11891" w:rsidRDefault="00A11891" w:rsidP="00A1189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-0,1</w:t>
            </w:r>
          </w:p>
        </w:tc>
      </w:tr>
      <w:tr w:rsidR="00A11891" w:rsidRPr="00A11891" w14:paraId="43D420A9" w14:textId="77777777" w:rsidTr="00A11891">
        <w:trPr>
          <w:trHeight w:val="300"/>
        </w:trPr>
        <w:tc>
          <w:tcPr>
            <w:tcW w:w="3800" w:type="dxa"/>
            <w:tcBorders>
              <w:top w:val="nil"/>
              <w:left w:val="nil"/>
              <w:bottom w:val="nil"/>
              <w:right w:val="nil"/>
            </w:tcBorders>
            <w:shd w:val="clear" w:color="auto" w:fill="auto"/>
            <w:noWrap/>
            <w:vAlign w:val="bottom"/>
            <w:hideMark/>
          </w:tcPr>
          <w:p w14:paraId="3B8AFC82" w14:textId="77777777" w:rsidR="00A11891" w:rsidRPr="00A11891" w:rsidRDefault="00A11891" w:rsidP="00A11891">
            <w:pPr>
              <w:spacing w:after="0" w:line="240" w:lineRule="auto"/>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Total stockholders equity</w:t>
            </w:r>
          </w:p>
        </w:tc>
        <w:tc>
          <w:tcPr>
            <w:tcW w:w="1320" w:type="dxa"/>
            <w:tcBorders>
              <w:top w:val="nil"/>
              <w:left w:val="nil"/>
              <w:bottom w:val="nil"/>
              <w:right w:val="nil"/>
            </w:tcBorders>
            <w:shd w:val="clear" w:color="auto" w:fill="auto"/>
            <w:noWrap/>
            <w:vAlign w:val="bottom"/>
            <w:hideMark/>
          </w:tcPr>
          <w:p w14:paraId="5E05D06E" w14:textId="77777777" w:rsidR="00A11891" w:rsidRPr="00A11891" w:rsidRDefault="00A11891" w:rsidP="00A1189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-1.490.000</w:t>
            </w:r>
          </w:p>
        </w:tc>
        <w:tc>
          <w:tcPr>
            <w:tcW w:w="1280" w:type="dxa"/>
            <w:tcBorders>
              <w:top w:val="nil"/>
              <w:left w:val="nil"/>
              <w:bottom w:val="nil"/>
              <w:right w:val="nil"/>
            </w:tcBorders>
            <w:shd w:val="clear" w:color="auto" w:fill="auto"/>
            <w:noWrap/>
            <w:vAlign w:val="bottom"/>
            <w:hideMark/>
          </w:tcPr>
          <w:p w14:paraId="2019F78F" w14:textId="77777777" w:rsidR="00A11891" w:rsidRPr="00A11891" w:rsidRDefault="00A11891" w:rsidP="00A1189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-482.000</w:t>
            </w:r>
          </w:p>
        </w:tc>
        <w:tc>
          <w:tcPr>
            <w:tcW w:w="1280" w:type="dxa"/>
            <w:tcBorders>
              <w:top w:val="nil"/>
              <w:left w:val="nil"/>
              <w:bottom w:val="nil"/>
              <w:right w:val="nil"/>
            </w:tcBorders>
            <w:shd w:val="clear" w:color="auto" w:fill="auto"/>
            <w:noWrap/>
            <w:vAlign w:val="bottom"/>
            <w:hideMark/>
          </w:tcPr>
          <w:p w14:paraId="1F3AFC7F" w14:textId="77777777" w:rsidR="00A11891" w:rsidRPr="00A11891" w:rsidRDefault="00A11891" w:rsidP="00A1189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-1008000</w:t>
            </w:r>
          </w:p>
        </w:tc>
        <w:tc>
          <w:tcPr>
            <w:tcW w:w="1060" w:type="dxa"/>
            <w:tcBorders>
              <w:top w:val="nil"/>
              <w:left w:val="nil"/>
              <w:bottom w:val="nil"/>
              <w:right w:val="nil"/>
            </w:tcBorders>
            <w:shd w:val="clear" w:color="auto" w:fill="auto"/>
            <w:noWrap/>
            <w:vAlign w:val="bottom"/>
            <w:hideMark/>
          </w:tcPr>
          <w:p w14:paraId="34F55BEB" w14:textId="77777777" w:rsidR="00A11891" w:rsidRPr="00A11891" w:rsidRDefault="00A11891" w:rsidP="00A1189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-2</w:t>
            </w:r>
          </w:p>
        </w:tc>
      </w:tr>
      <w:tr w:rsidR="00A11891" w:rsidRPr="00A11891" w14:paraId="4C408E72" w14:textId="77777777" w:rsidTr="00A11891">
        <w:trPr>
          <w:trHeight w:val="300"/>
        </w:trPr>
        <w:tc>
          <w:tcPr>
            <w:tcW w:w="3800" w:type="dxa"/>
            <w:tcBorders>
              <w:top w:val="nil"/>
              <w:left w:val="nil"/>
              <w:bottom w:val="nil"/>
              <w:right w:val="nil"/>
            </w:tcBorders>
            <w:shd w:val="clear" w:color="auto" w:fill="auto"/>
            <w:noWrap/>
            <w:vAlign w:val="bottom"/>
            <w:hideMark/>
          </w:tcPr>
          <w:p w14:paraId="3BF5C883" w14:textId="77777777" w:rsidR="00A11891" w:rsidRPr="00A11891" w:rsidRDefault="00A11891" w:rsidP="00A11891">
            <w:pPr>
              <w:spacing w:after="0" w:line="240" w:lineRule="auto"/>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Total Liabilities and Stockholders</w:t>
            </w:r>
          </w:p>
        </w:tc>
        <w:tc>
          <w:tcPr>
            <w:tcW w:w="1320" w:type="dxa"/>
            <w:tcBorders>
              <w:top w:val="nil"/>
              <w:left w:val="nil"/>
              <w:bottom w:val="nil"/>
              <w:right w:val="nil"/>
            </w:tcBorders>
            <w:shd w:val="clear" w:color="auto" w:fill="auto"/>
            <w:noWrap/>
            <w:vAlign w:val="bottom"/>
            <w:hideMark/>
          </w:tcPr>
          <w:p w14:paraId="5F1A309D" w14:textId="77777777" w:rsidR="00A11891" w:rsidRPr="00A11891" w:rsidRDefault="00A11891" w:rsidP="00A1189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16.755.000</w:t>
            </w:r>
          </w:p>
        </w:tc>
        <w:tc>
          <w:tcPr>
            <w:tcW w:w="1280" w:type="dxa"/>
            <w:tcBorders>
              <w:top w:val="nil"/>
              <w:left w:val="nil"/>
              <w:bottom w:val="nil"/>
              <w:right w:val="nil"/>
            </w:tcBorders>
            <w:shd w:val="clear" w:color="auto" w:fill="auto"/>
            <w:noWrap/>
            <w:vAlign w:val="bottom"/>
            <w:hideMark/>
          </w:tcPr>
          <w:p w14:paraId="0AC7EDE0" w14:textId="77777777" w:rsidR="00A11891" w:rsidRPr="00A11891" w:rsidRDefault="00A11891" w:rsidP="00A1189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14.957.000</w:t>
            </w:r>
          </w:p>
        </w:tc>
        <w:tc>
          <w:tcPr>
            <w:tcW w:w="1280" w:type="dxa"/>
            <w:tcBorders>
              <w:top w:val="nil"/>
              <w:left w:val="nil"/>
              <w:bottom w:val="nil"/>
              <w:right w:val="nil"/>
            </w:tcBorders>
            <w:shd w:val="clear" w:color="auto" w:fill="auto"/>
            <w:noWrap/>
            <w:vAlign w:val="bottom"/>
            <w:hideMark/>
          </w:tcPr>
          <w:p w14:paraId="32FD6100" w14:textId="77777777" w:rsidR="00A11891" w:rsidRPr="00A11891" w:rsidRDefault="00A11891" w:rsidP="00A1189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1818000</w:t>
            </w:r>
          </w:p>
        </w:tc>
        <w:tc>
          <w:tcPr>
            <w:tcW w:w="1060" w:type="dxa"/>
            <w:tcBorders>
              <w:top w:val="nil"/>
              <w:left w:val="nil"/>
              <w:bottom w:val="nil"/>
              <w:right w:val="nil"/>
            </w:tcBorders>
            <w:shd w:val="clear" w:color="auto" w:fill="auto"/>
            <w:noWrap/>
            <w:vAlign w:val="bottom"/>
            <w:hideMark/>
          </w:tcPr>
          <w:p w14:paraId="3D7F0070" w14:textId="77777777" w:rsidR="00A11891" w:rsidRPr="00A11891" w:rsidRDefault="00A11891" w:rsidP="00A11891">
            <w:pPr>
              <w:spacing w:after="0" w:line="240" w:lineRule="auto"/>
              <w:jc w:val="right"/>
              <w:rPr>
                <w:rFonts w:ascii="Calibri" w:eastAsia="Times New Roman" w:hAnsi="Calibri" w:cs="Calibri"/>
                <w:color w:val="000000"/>
                <w:sz w:val="22"/>
                <w:szCs w:val="22"/>
                <w:lang w:val="en-TR" w:eastAsia="en-GB"/>
              </w:rPr>
            </w:pPr>
            <w:r w:rsidRPr="00A11891">
              <w:rPr>
                <w:rFonts w:ascii="Calibri" w:eastAsia="Times New Roman" w:hAnsi="Calibri" w:cs="Calibri"/>
                <w:color w:val="000000"/>
                <w:sz w:val="22"/>
                <w:szCs w:val="22"/>
                <w:lang w:val="en-TR" w:eastAsia="en-GB"/>
              </w:rPr>
              <w:t>0,1</w:t>
            </w:r>
          </w:p>
        </w:tc>
      </w:tr>
      <w:tr w:rsidR="00A11891" w:rsidRPr="00A11891" w14:paraId="4C9A6E09" w14:textId="77777777" w:rsidTr="00A11891">
        <w:trPr>
          <w:trHeight w:val="300"/>
        </w:trPr>
        <w:tc>
          <w:tcPr>
            <w:tcW w:w="3800" w:type="dxa"/>
            <w:tcBorders>
              <w:top w:val="nil"/>
              <w:left w:val="nil"/>
              <w:bottom w:val="nil"/>
              <w:right w:val="nil"/>
            </w:tcBorders>
            <w:shd w:val="clear" w:color="auto" w:fill="auto"/>
            <w:noWrap/>
            <w:vAlign w:val="bottom"/>
            <w:hideMark/>
          </w:tcPr>
          <w:p w14:paraId="63A5895F" w14:textId="77777777" w:rsidR="00A11891" w:rsidRPr="00A11891" w:rsidRDefault="00A11891" w:rsidP="00A11891">
            <w:pPr>
              <w:spacing w:after="0" w:line="240" w:lineRule="auto"/>
              <w:jc w:val="right"/>
              <w:rPr>
                <w:rFonts w:ascii="Calibri" w:eastAsia="Times New Roman" w:hAnsi="Calibri" w:cs="Calibri"/>
                <w:color w:val="000000"/>
                <w:sz w:val="22"/>
                <w:szCs w:val="22"/>
                <w:lang w:val="en-TR" w:eastAsia="en-GB"/>
              </w:rPr>
            </w:pPr>
          </w:p>
        </w:tc>
        <w:tc>
          <w:tcPr>
            <w:tcW w:w="1320" w:type="dxa"/>
            <w:tcBorders>
              <w:top w:val="nil"/>
              <w:left w:val="nil"/>
              <w:bottom w:val="nil"/>
              <w:right w:val="nil"/>
            </w:tcBorders>
            <w:shd w:val="clear" w:color="auto" w:fill="auto"/>
            <w:noWrap/>
            <w:vAlign w:val="bottom"/>
            <w:hideMark/>
          </w:tcPr>
          <w:p w14:paraId="6093F92C" w14:textId="77777777" w:rsidR="00A11891" w:rsidRPr="00A11891" w:rsidRDefault="00A11891" w:rsidP="00A11891">
            <w:pPr>
              <w:spacing w:after="0" w:line="240" w:lineRule="auto"/>
              <w:rPr>
                <w:rFonts w:ascii="Times New Roman" w:eastAsia="Times New Roman" w:hAnsi="Times New Roman" w:cs="Times New Roman"/>
                <w:lang w:val="en-TR" w:eastAsia="en-GB"/>
              </w:rPr>
            </w:pPr>
          </w:p>
        </w:tc>
        <w:tc>
          <w:tcPr>
            <w:tcW w:w="1280" w:type="dxa"/>
            <w:tcBorders>
              <w:top w:val="nil"/>
              <w:left w:val="nil"/>
              <w:bottom w:val="nil"/>
              <w:right w:val="nil"/>
            </w:tcBorders>
            <w:shd w:val="clear" w:color="auto" w:fill="auto"/>
            <w:noWrap/>
            <w:vAlign w:val="bottom"/>
            <w:hideMark/>
          </w:tcPr>
          <w:p w14:paraId="27CAE9E6" w14:textId="77777777" w:rsidR="00A11891" w:rsidRPr="00A11891" w:rsidRDefault="00A11891" w:rsidP="00A11891">
            <w:pPr>
              <w:spacing w:after="0" w:line="240" w:lineRule="auto"/>
              <w:rPr>
                <w:rFonts w:ascii="Times New Roman" w:eastAsia="Times New Roman" w:hAnsi="Times New Roman" w:cs="Times New Roman"/>
                <w:lang w:val="en-TR" w:eastAsia="en-GB"/>
              </w:rPr>
            </w:pPr>
          </w:p>
        </w:tc>
        <w:tc>
          <w:tcPr>
            <w:tcW w:w="1280" w:type="dxa"/>
            <w:tcBorders>
              <w:top w:val="nil"/>
              <w:left w:val="nil"/>
              <w:bottom w:val="nil"/>
              <w:right w:val="nil"/>
            </w:tcBorders>
            <w:shd w:val="clear" w:color="auto" w:fill="auto"/>
            <w:noWrap/>
            <w:vAlign w:val="bottom"/>
            <w:hideMark/>
          </w:tcPr>
          <w:p w14:paraId="2E7BD906" w14:textId="77777777" w:rsidR="00A11891" w:rsidRPr="00A11891" w:rsidRDefault="00A11891" w:rsidP="00A11891">
            <w:pPr>
              <w:spacing w:after="0" w:line="240" w:lineRule="auto"/>
              <w:rPr>
                <w:rFonts w:ascii="Times New Roman" w:eastAsia="Times New Roman" w:hAnsi="Times New Roman" w:cs="Times New Roman"/>
                <w:lang w:val="en-TR" w:eastAsia="en-GB"/>
              </w:rPr>
            </w:pPr>
          </w:p>
        </w:tc>
        <w:tc>
          <w:tcPr>
            <w:tcW w:w="1060" w:type="dxa"/>
            <w:tcBorders>
              <w:top w:val="nil"/>
              <w:left w:val="nil"/>
              <w:bottom w:val="nil"/>
              <w:right w:val="nil"/>
            </w:tcBorders>
            <w:shd w:val="clear" w:color="auto" w:fill="auto"/>
            <w:noWrap/>
            <w:vAlign w:val="bottom"/>
            <w:hideMark/>
          </w:tcPr>
          <w:p w14:paraId="6041850F" w14:textId="77777777" w:rsidR="00A11891" w:rsidRPr="00A11891" w:rsidRDefault="00A11891" w:rsidP="00A11891">
            <w:pPr>
              <w:spacing w:after="0" w:line="240" w:lineRule="auto"/>
              <w:rPr>
                <w:rFonts w:ascii="Times New Roman" w:eastAsia="Times New Roman" w:hAnsi="Times New Roman" w:cs="Times New Roman"/>
                <w:lang w:val="en-TR" w:eastAsia="en-GB"/>
              </w:rPr>
            </w:pPr>
          </w:p>
        </w:tc>
      </w:tr>
      <w:tr w:rsidR="00A11891" w:rsidRPr="00A11891" w14:paraId="57C31132" w14:textId="77777777" w:rsidTr="00A11891">
        <w:trPr>
          <w:trHeight w:val="300"/>
        </w:trPr>
        <w:tc>
          <w:tcPr>
            <w:tcW w:w="3800" w:type="dxa"/>
            <w:tcBorders>
              <w:top w:val="nil"/>
              <w:left w:val="nil"/>
              <w:bottom w:val="nil"/>
              <w:right w:val="nil"/>
            </w:tcBorders>
            <w:shd w:val="clear" w:color="auto" w:fill="auto"/>
            <w:noWrap/>
            <w:vAlign w:val="bottom"/>
            <w:hideMark/>
          </w:tcPr>
          <w:p w14:paraId="5B7C2416" w14:textId="77777777" w:rsidR="00A11891" w:rsidRPr="00A11891" w:rsidRDefault="00A11891" w:rsidP="00A11891">
            <w:pPr>
              <w:spacing w:after="0" w:line="240" w:lineRule="auto"/>
              <w:rPr>
                <w:rFonts w:ascii="Times New Roman" w:eastAsia="Times New Roman" w:hAnsi="Times New Roman" w:cs="Times New Roman"/>
                <w:lang w:val="en-TR" w:eastAsia="en-GB"/>
              </w:rPr>
            </w:pPr>
          </w:p>
        </w:tc>
        <w:tc>
          <w:tcPr>
            <w:tcW w:w="1320" w:type="dxa"/>
            <w:tcBorders>
              <w:top w:val="nil"/>
              <w:left w:val="nil"/>
              <w:bottom w:val="nil"/>
              <w:right w:val="nil"/>
            </w:tcBorders>
            <w:shd w:val="clear" w:color="auto" w:fill="auto"/>
            <w:noWrap/>
            <w:vAlign w:val="bottom"/>
            <w:hideMark/>
          </w:tcPr>
          <w:p w14:paraId="44815182" w14:textId="77777777" w:rsidR="00A11891" w:rsidRPr="00A11891" w:rsidRDefault="00A11891" w:rsidP="00A11891">
            <w:pPr>
              <w:spacing w:after="0" w:line="240" w:lineRule="auto"/>
              <w:rPr>
                <w:rFonts w:ascii="Times New Roman" w:eastAsia="Times New Roman" w:hAnsi="Times New Roman" w:cs="Times New Roman"/>
                <w:lang w:val="en-TR" w:eastAsia="en-GB"/>
              </w:rPr>
            </w:pPr>
          </w:p>
        </w:tc>
        <w:tc>
          <w:tcPr>
            <w:tcW w:w="1280" w:type="dxa"/>
            <w:tcBorders>
              <w:top w:val="nil"/>
              <w:left w:val="nil"/>
              <w:bottom w:val="nil"/>
              <w:right w:val="nil"/>
            </w:tcBorders>
            <w:shd w:val="clear" w:color="auto" w:fill="auto"/>
            <w:noWrap/>
            <w:vAlign w:val="bottom"/>
            <w:hideMark/>
          </w:tcPr>
          <w:p w14:paraId="3020C92F" w14:textId="77777777" w:rsidR="00A11891" w:rsidRPr="00A11891" w:rsidRDefault="00A11891" w:rsidP="00A11891">
            <w:pPr>
              <w:spacing w:after="0" w:line="240" w:lineRule="auto"/>
              <w:rPr>
                <w:rFonts w:ascii="Times New Roman" w:eastAsia="Times New Roman" w:hAnsi="Times New Roman" w:cs="Times New Roman"/>
                <w:lang w:val="en-TR" w:eastAsia="en-GB"/>
              </w:rPr>
            </w:pPr>
          </w:p>
        </w:tc>
        <w:tc>
          <w:tcPr>
            <w:tcW w:w="1280" w:type="dxa"/>
            <w:tcBorders>
              <w:top w:val="nil"/>
              <w:left w:val="nil"/>
              <w:bottom w:val="nil"/>
              <w:right w:val="nil"/>
            </w:tcBorders>
            <w:shd w:val="clear" w:color="auto" w:fill="auto"/>
            <w:noWrap/>
            <w:vAlign w:val="bottom"/>
            <w:hideMark/>
          </w:tcPr>
          <w:p w14:paraId="74D2EB8F" w14:textId="77777777" w:rsidR="00A11891" w:rsidRPr="00A11891" w:rsidRDefault="00A11891" w:rsidP="00A11891">
            <w:pPr>
              <w:spacing w:after="0" w:line="240" w:lineRule="auto"/>
              <w:rPr>
                <w:rFonts w:ascii="Times New Roman" w:eastAsia="Times New Roman" w:hAnsi="Times New Roman" w:cs="Times New Roman"/>
                <w:lang w:val="en-TR" w:eastAsia="en-GB"/>
              </w:rPr>
            </w:pPr>
          </w:p>
        </w:tc>
        <w:tc>
          <w:tcPr>
            <w:tcW w:w="1060" w:type="dxa"/>
            <w:tcBorders>
              <w:top w:val="nil"/>
              <w:left w:val="nil"/>
              <w:bottom w:val="nil"/>
              <w:right w:val="nil"/>
            </w:tcBorders>
            <w:shd w:val="clear" w:color="auto" w:fill="auto"/>
            <w:noWrap/>
            <w:vAlign w:val="bottom"/>
            <w:hideMark/>
          </w:tcPr>
          <w:p w14:paraId="5AA3C4D5" w14:textId="77777777" w:rsidR="00A11891" w:rsidRPr="00A11891" w:rsidRDefault="00A11891" w:rsidP="00A11891">
            <w:pPr>
              <w:spacing w:after="0" w:line="240" w:lineRule="auto"/>
              <w:rPr>
                <w:rFonts w:ascii="Times New Roman" w:eastAsia="Times New Roman" w:hAnsi="Times New Roman" w:cs="Times New Roman"/>
                <w:lang w:val="en-TR" w:eastAsia="en-GB"/>
              </w:rPr>
            </w:pPr>
          </w:p>
        </w:tc>
      </w:tr>
    </w:tbl>
    <w:p w14:paraId="5F123E21" w14:textId="0A7F94C1" w:rsidR="00273835" w:rsidRPr="00273835" w:rsidRDefault="00273835" w:rsidP="00273835">
      <w:pPr>
        <w:jc w:val="both"/>
        <w:rPr>
          <w:rFonts w:ascii="Times New Roman" w:hAnsi="Times New Roman" w:cs="Times New Roman"/>
          <w:color w:val="000000" w:themeColor="text1"/>
          <w:sz w:val="24"/>
          <w:szCs w:val="24"/>
          <w:lang w:val="en-US"/>
        </w:rPr>
      </w:pPr>
      <w:r w:rsidRPr="00273835">
        <w:rPr>
          <w:rFonts w:ascii="Times New Roman" w:hAnsi="Times New Roman" w:cs="Times New Roman"/>
          <w:color w:val="000000" w:themeColor="text1"/>
          <w:sz w:val="24"/>
          <w:szCs w:val="24"/>
          <w:lang w:val="en-US"/>
        </w:rPr>
        <w:t>Product entire revenues decreased -</w:t>
      </w:r>
      <w:r w:rsidR="002E74F2">
        <w:rPr>
          <w:rFonts w:ascii="Times New Roman" w:hAnsi="Times New Roman" w:cs="Times New Roman"/>
          <w:color w:val="000000" w:themeColor="text1"/>
          <w:sz w:val="24"/>
          <w:szCs w:val="24"/>
          <w:lang w:val="en-US"/>
        </w:rPr>
        <w:t>0.1</w:t>
      </w:r>
      <w:r w:rsidRPr="00273835">
        <w:rPr>
          <w:rFonts w:ascii="Times New Roman" w:hAnsi="Times New Roman" w:cs="Times New Roman"/>
          <w:color w:val="000000" w:themeColor="text1"/>
          <w:sz w:val="24"/>
          <w:szCs w:val="24"/>
          <w:lang w:val="en-US"/>
        </w:rPr>
        <w:t xml:space="preserve"> percent year on year, while overall sales</w:t>
      </w:r>
      <w:r w:rsidR="002E74F2">
        <w:rPr>
          <w:rFonts w:ascii="Times New Roman" w:hAnsi="Times New Roman" w:cs="Times New Roman"/>
          <w:color w:val="000000" w:themeColor="text1"/>
          <w:sz w:val="24"/>
          <w:szCs w:val="24"/>
          <w:lang w:val="en-US"/>
        </w:rPr>
        <w:t xml:space="preserve"> </w:t>
      </w:r>
      <w:r w:rsidRPr="00273835">
        <w:rPr>
          <w:rFonts w:ascii="Times New Roman" w:hAnsi="Times New Roman" w:cs="Times New Roman"/>
          <w:color w:val="000000" w:themeColor="text1"/>
          <w:sz w:val="24"/>
          <w:szCs w:val="24"/>
          <w:lang w:val="en-US"/>
        </w:rPr>
        <w:t xml:space="preserve">(including </w:t>
      </w:r>
      <w:r w:rsidR="002E74F2">
        <w:rPr>
          <w:rFonts w:ascii="Times New Roman" w:hAnsi="Times New Roman" w:cs="Times New Roman"/>
          <w:color w:val="000000" w:themeColor="text1"/>
          <w:sz w:val="24"/>
          <w:szCs w:val="24"/>
          <w:lang w:val="en-US"/>
        </w:rPr>
        <w:t>all</w:t>
      </w:r>
      <w:r w:rsidRPr="00273835">
        <w:rPr>
          <w:rFonts w:ascii="Times New Roman" w:hAnsi="Times New Roman" w:cs="Times New Roman"/>
          <w:color w:val="000000" w:themeColor="text1"/>
          <w:sz w:val="24"/>
          <w:szCs w:val="24"/>
          <w:lang w:val="en-US"/>
        </w:rPr>
        <w:t xml:space="preserve"> sales) were down -</w:t>
      </w:r>
      <w:r w:rsidR="002E74F2">
        <w:rPr>
          <w:rFonts w:ascii="Times New Roman" w:hAnsi="Times New Roman" w:cs="Times New Roman"/>
          <w:color w:val="000000" w:themeColor="text1"/>
          <w:sz w:val="24"/>
          <w:szCs w:val="24"/>
          <w:lang w:val="en-US"/>
        </w:rPr>
        <w:t>0.5</w:t>
      </w:r>
      <w:r w:rsidRPr="00273835">
        <w:rPr>
          <w:rFonts w:ascii="Times New Roman" w:hAnsi="Times New Roman" w:cs="Times New Roman"/>
          <w:color w:val="000000" w:themeColor="text1"/>
          <w:sz w:val="24"/>
          <w:szCs w:val="24"/>
          <w:lang w:val="en-US"/>
        </w:rPr>
        <w:t xml:space="preserve"> percent. </w:t>
      </w:r>
    </w:p>
    <w:p w14:paraId="59E66276" w14:textId="2B76DDF4" w:rsidR="00273835" w:rsidRPr="00273835" w:rsidRDefault="00273835" w:rsidP="00273835">
      <w:pPr>
        <w:jc w:val="both"/>
        <w:rPr>
          <w:rFonts w:ascii="Times New Roman" w:hAnsi="Times New Roman" w:cs="Times New Roman"/>
          <w:color w:val="000000" w:themeColor="text1"/>
          <w:sz w:val="24"/>
          <w:szCs w:val="24"/>
          <w:lang w:val="en-US"/>
        </w:rPr>
      </w:pPr>
      <w:r w:rsidRPr="00273835">
        <w:rPr>
          <w:rFonts w:ascii="Times New Roman" w:hAnsi="Times New Roman" w:cs="Times New Roman"/>
          <w:color w:val="000000" w:themeColor="text1"/>
          <w:sz w:val="24"/>
          <w:szCs w:val="24"/>
          <w:lang w:val="en-US"/>
        </w:rPr>
        <w:t xml:space="preserve">Net profit was </w:t>
      </w:r>
      <w:r w:rsidR="002E74F2">
        <w:rPr>
          <w:rFonts w:ascii="Times New Roman" w:hAnsi="Times New Roman" w:cs="Times New Roman"/>
          <w:color w:val="000000" w:themeColor="text1"/>
          <w:sz w:val="24"/>
          <w:szCs w:val="24"/>
          <w:lang w:val="en-US"/>
        </w:rPr>
        <w:t>-</w:t>
      </w:r>
      <w:proofErr w:type="gramStart"/>
      <w:r w:rsidR="002E74F2">
        <w:rPr>
          <w:rFonts w:ascii="Times New Roman" w:hAnsi="Times New Roman" w:cs="Times New Roman"/>
          <w:color w:val="000000" w:themeColor="text1"/>
          <w:sz w:val="24"/>
          <w:szCs w:val="24"/>
          <w:lang w:val="en-US"/>
        </w:rPr>
        <w:t>715</w:t>
      </w:r>
      <w:r w:rsidRPr="00273835">
        <w:rPr>
          <w:rFonts w:ascii="Times New Roman" w:hAnsi="Times New Roman" w:cs="Times New Roman"/>
          <w:color w:val="000000" w:themeColor="text1"/>
          <w:sz w:val="24"/>
          <w:szCs w:val="24"/>
          <w:lang w:val="en-US"/>
        </w:rPr>
        <w:t>,</w:t>
      </w:r>
      <w:r w:rsidR="002E74F2">
        <w:rPr>
          <w:rFonts w:ascii="Times New Roman" w:hAnsi="Times New Roman" w:cs="Times New Roman"/>
          <w:color w:val="000000" w:themeColor="text1"/>
          <w:sz w:val="24"/>
          <w:szCs w:val="24"/>
          <w:lang w:val="en-US"/>
        </w:rPr>
        <w:t xml:space="preserve">000 </w:t>
      </w:r>
      <w:r w:rsidR="00B973D9">
        <w:rPr>
          <w:rFonts w:ascii="Times New Roman" w:hAnsi="Times New Roman" w:cs="Times New Roman"/>
          <w:color w:val="000000" w:themeColor="text1"/>
          <w:sz w:val="24"/>
          <w:szCs w:val="24"/>
          <w:lang w:val="en-US"/>
        </w:rPr>
        <w:t xml:space="preserve"> </w:t>
      </w:r>
      <w:r w:rsidRPr="00273835">
        <w:rPr>
          <w:rFonts w:ascii="Times New Roman" w:hAnsi="Times New Roman" w:cs="Times New Roman"/>
          <w:color w:val="000000" w:themeColor="text1"/>
          <w:sz w:val="24"/>
          <w:szCs w:val="24"/>
          <w:lang w:val="en-US"/>
        </w:rPr>
        <w:t>and</w:t>
      </w:r>
      <w:proofErr w:type="gramEnd"/>
      <w:r w:rsidRPr="00273835">
        <w:rPr>
          <w:rFonts w:ascii="Times New Roman" w:hAnsi="Times New Roman" w:cs="Times New Roman"/>
          <w:color w:val="000000" w:themeColor="text1"/>
          <w:sz w:val="24"/>
          <w:szCs w:val="24"/>
          <w:lang w:val="en-US"/>
        </w:rPr>
        <w:t xml:space="preserve"> total debt was </w:t>
      </w:r>
      <w:r w:rsidR="002E74F2">
        <w:rPr>
          <w:rFonts w:ascii="Times New Roman" w:hAnsi="Times New Roman" w:cs="Times New Roman"/>
          <w:color w:val="000000" w:themeColor="text1"/>
          <w:sz w:val="24"/>
          <w:szCs w:val="24"/>
          <w:lang w:val="en-US"/>
        </w:rPr>
        <w:t>increased</w:t>
      </w:r>
      <w:r w:rsidRPr="00273835">
        <w:rPr>
          <w:rFonts w:ascii="Times New Roman" w:hAnsi="Times New Roman" w:cs="Times New Roman"/>
          <w:color w:val="000000" w:themeColor="text1"/>
          <w:sz w:val="24"/>
          <w:szCs w:val="24"/>
          <w:lang w:val="en-US"/>
        </w:rPr>
        <w:t xml:space="preserve"> by £</w:t>
      </w:r>
      <w:r w:rsidR="002E74F2">
        <w:rPr>
          <w:rFonts w:ascii="Times New Roman" w:hAnsi="Times New Roman" w:cs="Times New Roman"/>
          <w:color w:val="000000" w:themeColor="text1"/>
          <w:sz w:val="24"/>
          <w:szCs w:val="24"/>
          <w:lang w:val="en-US"/>
        </w:rPr>
        <w:t>18,241,000</w:t>
      </w:r>
      <w:r w:rsidRPr="00273835">
        <w:rPr>
          <w:rFonts w:ascii="Times New Roman" w:hAnsi="Times New Roman" w:cs="Times New Roman"/>
          <w:color w:val="000000" w:themeColor="text1"/>
          <w:sz w:val="24"/>
          <w:szCs w:val="24"/>
          <w:lang w:val="en-US"/>
        </w:rPr>
        <w:t xml:space="preserve"> </w:t>
      </w:r>
      <w:r w:rsidR="002E74F2">
        <w:rPr>
          <w:rFonts w:ascii="Times New Roman" w:hAnsi="Times New Roman" w:cs="Times New Roman"/>
          <w:color w:val="000000" w:themeColor="text1"/>
          <w:sz w:val="24"/>
          <w:szCs w:val="24"/>
          <w:lang w:val="en-US"/>
        </w:rPr>
        <w:t>in 2020 from</w:t>
      </w:r>
      <w:r w:rsidRPr="00273835">
        <w:rPr>
          <w:rFonts w:ascii="Times New Roman" w:hAnsi="Times New Roman" w:cs="Times New Roman"/>
          <w:color w:val="000000" w:themeColor="text1"/>
          <w:sz w:val="24"/>
          <w:szCs w:val="24"/>
          <w:lang w:val="en-US"/>
        </w:rPr>
        <w:t xml:space="preserve"> £</w:t>
      </w:r>
      <w:r w:rsidR="002E74F2">
        <w:rPr>
          <w:rFonts w:ascii="Times New Roman" w:hAnsi="Times New Roman" w:cs="Times New Roman"/>
          <w:color w:val="000000" w:themeColor="text1"/>
          <w:sz w:val="24"/>
          <w:szCs w:val="24"/>
          <w:lang w:val="en-US"/>
        </w:rPr>
        <w:t>15492000 in 2019</w:t>
      </w:r>
      <w:r w:rsidRPr="00273835">
        <w:rPr>
          <w:rFonts w:ascii="Times New Roman" w:hAnsi="Times New Roman" w:cs="Times New Roman"/>
          <w:color w:val="000000" w:themeColor="text1"/>
          <w:sz w:val="24"/>
          <w:szCs w:val="24"/>
          <w:lang w:val="en-US"/>
        </w:rPr>
        <w:t xml:space="preserve">. The profit </w:t>
      </w:r>
      <w:r w:rsidR="002E74F2">
        <w:rPr>
          <w:rFonts w:ascii="Times New Roman" w:hAnsi="Times New Roman" w:cs="Times New Roman"/>
          <w:color w:val="000000" w:themeColor="text1"/>
          <w:sz w:val="24"/>
          <w:szCs w:val="24"/>
          <w:lang w:val="en-US"/>
        </w:rPr>
        <w:t>de</w:t>
      </w:r>
      <w:r w:rsidRPr="00273835">
        <w:rPr>
          <w:rFonts w:ascii="Times New Roman" w:hAnsi="Times New Roman" w:cs="Times New Roman"/>
          <w:color w:val="000000" w:themeColor="text1"/>
          <w:sz w:val="24"/>
          <w:szCs w:val="24"/>
          <w:lang w:val="en-US"/>
        </w:rPr>
        <w:t xml:space="preserve">creased by </w:t>
      </w:r>
      <w:r w:rsidR="00B973D9">
        <w:rPr>
          <w:rFonts w:ascii="Times New Roman" w:hAnsi="Times New Roman" w:cs="Times New Roman"/>
          <w:color w:val="000000" w:themeColor="text1"/>
          <w:sz w:val="24"/>
          <w:szCs w:val="24"/>
          <w:lang w:val="en-US"/>
        </w:rPr>
        <w:t>-0.1 percent</w:t>
      </w:r>
      <w:r w:rsidRPr="00273835">
        <w:rPr>
          <w:rFonts w:ascii="Times New Roman" w:hAnsi="Times New Roman" w:cs="Times New Roman"/>
          <w:color w:val="000000" w:themeColor="text1"/>
          <w:sz w:val="24"/>
          <w:szCs w:val="24"/>
          <w:lang w:val="en-US"/>
        </w:rPr>
        <w:t xml:space="preserve"> in the 53rd week.</w:t>
      </w:r>
    </w:p>
    <w:p w14:paraId="63CB3E3A" w14:textId="20D1B083" w:rsidR="00A11891" w:rsidRDefault="00273835" w:rsidP="00273835">
      <w:pPr>
        <w:jc w:val="both"/>
        <w:rPr>
          <w:rFonts w:ascii="Times New Roman" w:hAnsi="Times New Roman" w:cs="Times New Roman"/>
          <w:color w:val="000000" w:themeColor="text1"/>
          <w:sz w:val="24"/>
          <w:szCs w:val="24"/>
          <w:lang w:val="en-US"/>
        </w:rPr>
      </w:pPr>
      <w:r w:rsidRPr="00273835">
        <w:rPr>
          <w:rFonts w:ascii="Times New Roman" w:hAnsi="Times New Roman" w:cs="Times New Roman"/>
          <w:color w:val="000000" w:themeColor="text1"/>
          <w:sz w:val="24"/>
          <w:szCs w:val="24"/>
          <w:lang w:val="en-US"/>
        </w:rPr>
        <w:lastRenderedPageBreak/>
        <w:t xml:space="preserve">Except as otherwise noted, </w:t>
      </w:r>
      <w:r w:rsidR="001905AB">
        <w:rPr>
          <w:rFonts w:ascii="Times New Roman" w:hAnsi="Times New Roman" w:cs="Times New Roman"/>
          <w:color w:val="000000" w:themeColor="text1"/>
          <w:sz w:val="24"/>
          <w:szCs w:val="24"/>
          <w:lang w:val="en-US"/>
        </w:rPr>
        <w:t>Hilton</w:t>
      </w:r>
      <w:r w:rsidRPr="00273835">
        <w:rPr>
          <w:rFonts w:ascii="Times New Roman" w:hAnsi="Times New Roman" w:cs="Times New Roman"/>
          <w:color w:val="000000" w:themeColor="text1"/>
          <w:sz w:val="24"/>
          <w:szCs w:val="24"/>
          <w:lang w:val="en-US"/>
        </w:rPr>
        <w:t xml:space="preserve"> attempt to compare sales and profit in the 53 weeks to January 202</w:t>
      </w:r>
      <w:r w:rsidR="001905AB">
        <w:rPr>
          <w:rFonts w:ascii="Times New Roman" w:hAnsi="Times New Roman" w:cs="Times New Roman"/>
          <w:color w:val="000000" w:themeColor="text1"/>
          <w:sz w:val="24"/>
          <w:szCs w:val="24"/>
          <w:lang w:val="en-US"/>
        </w:rPr>
        <w:t>0</w:t>
      </w:r>
      <w:r w:rsidRPr="00273835">
        <w:rPr>
          <w:rFonts w:ascii="Times New Roman" w:hAnsi="Times New Roman" w:cs="Times New Roman"/>
          <w:color w:val="000000" w:themeColor="text1"/>
          <w:sz w:val="24"/>
          <w:szCs w:val="24"/>
          <w:lang w:val="en-US"/>
        </w:rPr>
        <w:t xml:space="preserve"> with the 52 weeks in the previous year </w:t>
      </w:r>
      <w:proofErr w:type="gramStart"/>
      <w:r w:rsidRPr="00273835">
        <w:rPr>
          <w:rFonts w:ascii="Times New Roman" w:hAnsi="Times New Roman" w:cs="Times New Roman"/>
          <w:color w:val="000000" w:themeColor="text1"/>
          <w:sz w:val="24"/>
          <w:szCs w:val="24"/>
          <w:lang w:val="en-US"/>
        </w:rPr>
        <w:t>in  this</w:t>
      </w:r>
      <w:proofErr w:type="gramEnd"/>
      <w:r w:rsidRPr="00273835">
        <w:rPr>
          <w:rFonts w:ascii="Times New Roman" w:hAnsi="Times New Roman" w:cs="Times New Roman"/>
          <w:color w:val="000000" w:themeColor="text1"/>
          <w:sz w:val="24"/>
          <w:szCs w:val="24"/>
          <w:lang w:val="en-US"/>
        </w:rPr>
        <w:t xml:space="preserve"> </w:t>
      </w:r>
      <w:r w:rsidR="001905AB">
        <w:rPr>
          <w:rFonts w:ascii="Times New Roman" w:hAnsi="Times New Roman" w:cs="Times New Roman"/>
          <w:color w:val="000000" w:themeColor="text1"/>
          <w:sz w:val="24"/>
          <w:szCs w:val="24"/>
          <w:lang w:val="en-US"/>
        </w:rPr>
        <w:t>report</w:t>
      </w:r>
      <w:r w:rsidRPr="00273835">
        <w:rPr>
          <w:rFonts w:ascii="Times New Roman" w:hAnsi="Times New Roman" w:cs="Times New Roman"/>
          <w:color w:val="000000" w:themeColor="text1"/>
          <w:sz w:val="24"/>
          <w:szCs w:val="24"/>
          <w:lang w:val="en-US"/>
        </w:rPr>
        <w:t xml:space="preserve">. </w:t>
      </w:r>
    </w:p>
    <w:p w14:paraId="659EBA4F" w14:textId="5595F3F8" w:rsidR="00324F7C" w:rsidRDefault="001905AB" w:rsidP="00273835">
      <w:pPr>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The</w:t>
      </w:r>
      <w:r w:rsidR="00324F7C" w:rsidRPr="00324F7C">
        <w:rPr>
          <w:rFonts w:ascii="Times New Roman" w:hAnsi="Times New Roman" w:cs="Times New Roman"/>
          <w:color w:val="000000" w:themeColor="text1"/>
          <w:sz w:val="24"/>
          <w:szCs w:val="24"/>
          <w:lang w:val="en-US"/>
        </w:rPr>
        <w:t xml:space="preserve"> </w:t>
      </w:r>
      <w:r>
        <w:rPr>
          <w:rFonts w:ascii="Times New Roman" w:hAnsi="Times New Roman" w:cs="Times New Roman"/>
          <w:color w:val="000000" w:themeColor="text1"/>
          <w:sz w:val="24"/>
          <w:szCs w:val="24"/>
          <w:lang w:val="en-US"/>
        </w:rPr>
        <w:t>official</w:t>
      </w:r>
      <w:r w:rsidR="00324F7C" w:rsidRPr="00324F7C">
        <w:rPr>
          <w:rFonts w:ascii="Times New Roman" w:hAnsi="Times New Roman" w:cs="Times New Roman"/>
          <w:color w:val="000000" w:themeColor="text1"/>
          <w:sz w:val="24"/>
          <w:szCs w:val="24"/>
          <w:lang w:val="en-US"/>
        </w:rPr>
        <w:t xml:space="preserve"> financial </w:t>
      </w:r>
      <w:r>
        <w:rPr>
          <w:rFonts w:ascii="Times New Roman" w:hAnsi="Times New Roman" w:cs="Times New Roman"/>
          <w:color w:val="000000" w:themeColor="text1"/>
          <w:sz w:val="24"/>
          <w:szCs w:val="24"/>
          <w:lang w:val="en-US"/>
        </w:rPr>
        <w:t>horizontal ratio</w:t>
      </w:r>
      <w:r w:rsidR="00324F7C" w:rsidRPr="00324F7C">
        <w:rPr>
          <w:rFonts w:ascii="Times New Roman" w:hAnsi="Times New Roman" w:cs="Times New Roman"/>
          <w:color w:val="000000" w:themeColor="text1"/>
          <w:sz w:val="24"/>
          <w:szCs w:val="24"/>
          <w:lang w:val="en-US"/>
        </w:rPr>
        <w:t xml:space="preserve"> shown </w:t>
      </w:r>
      <w:r>
        <w:rPr>
          <w:rFonts w:ascii="Times New Roman" w:hAnsi="Times New Roman" w:cs="Times New Roman"/>
          <w:color w:val="000000" w:themeColor="text1"/>
          <w:sz w:val="24"/>
          <w:szCs w:val="24"/>
          <w:lang w:val="en-US"/>
        </w:rPr>
        <w:t>that even though the sales and profit decreased in past year the total assets for Hilton increased by 0.1 percent which is a good thing. It</w:t>
      </w:r>
      <w:r w:rsidR="00324F7C" w:rsidRPr="00324F7C">
        <w:rPr>
          <w:rFonts w:ascii="Times New Roman" w:hAnsi="Times New Roman" w:cs="Times New Roman"/>
          <w:color w:val="000000" w:themeColor="text1"/>
          <w:sz w:val="24"/>
          <w:szCs w:val="24"/>
          <w:lang w:val="en-US"/>
        </w:rPr>
        <w:t xml:space="preserve"> corresponds to the accounts </w:t>
      </w:r>
      <w:r>
        <w:rPr>
          <w:rFonts w:ascii="Times New Roman" w:hAnsi="Times New Roman" w:cs="Times New Roman"/>
          <w:color w:val="000000" w:themeColor="text1"/>
          <w:sz w:val="24"/>
          <w:szCs w:val="24"/>
          <w:lang w:val="en-US"/>
        </w:rPr>
        <w:t>Hilton</w:t>
      </w:r>
      <w:r w:rsidR="00324F7C" w:rsidRPr="00324F7C">
        <w:rPr>
          <w:rFonts w:ascii="Times New Roman" w:hAnsi="Times New Roman" w:cs="Times New Roman"/>
          <w:color w:val="000000" w:themeColor="text1"/>
          <w:sz w:val="24"/>
          <w:szCs w:val="24"/>
          <w:lang w:val="en-US"/>
        </w:rPr>
        <w:t xml:space="preserve"> use to monitor and appraise the company's finances. </w:t>
      </w:r>
      <w:r w:rsidR="00923788">
        <w:rPr>
          <w:rFonts w:ascii="Times New Roman" w:hAnsi="Times New Roman" w:cs="Times New Roman"/>
          <w:color w:val="000000" w:themeColor="text1"/>
          <w:sz w:val="24"/>
          <w:szCs w:val="24"/>
          <w:lang w:val="en-US"/>
        </w:rPr>
        <w:t xml:space="preserve">Stock remained unchanged but the total liabilities and stockholder increased by 1 percent in 2020. </w:t>
      </w:r>
    </w:p>
    <w:p w14:paraId="43417430" w14:textId="77777777" w:rsidR="00324F7C" w:rsidRDefault="00324F7C" w:rsidP="00273835">
      <w:pPr>
        <w:jc w:val="both"/>
        <w:rPr>
          <w:rFonts w:ascii="Times New Roman" w:hAnsi="Times New Roman" w:cs="Times New Roman"/>
          <w:color w:val="000000" w:themeColor="text1"/>
          <w:sz w:val="24"/>
          <w:szCs w:val="24"/>
          <w:lang w:val="en-US"/>
        </w:rPr>
      </w:pPr>
    </w:p>
    <w:p w14:paraId="3754A2EA" w14:textId="62281878" w:rsidR="00C514C1" w:rsidRPr="00C514C1" w:rsidRDefault="00C514C1" w:rsidP="00C514C1">
      <w:pPr>
        <w:jc w:val="both"/>
        <w:rPr>
          <w:rFonts w:ascii="Times New Roman" w:hAnsi="Times New Roman" w:cs="Times New Roman"/>
          <w:b/>
          <w:bCs/>
          <w:color w:val="000000" w:themeColor="text1"/>
          <w:sz w:val="24"/>
          <w:szCs w:val="24"/>
          <w:lang w:val="en-US"/>
        </w:rPr>
      </w:pPr>
      <w:r w:rsidRPr="00C514C1">
        <w:rPr>
          <w:rFonts w:ascii="Times New Roman" w:hAnsi="Times New Roman" w:cs="Times New Roman"/>
          <w:b/>
          <w:bCs/>
          <w:color w:val="000000" w:themeColor="text1"/>
          <w:sz w:val="24"/>
          <w:szCs w:val="24"/>
          <w:lang w:val="en-US"/>
        </w:rPr>
        <w:t>ANSWER (</w:t>
      </w:r>
      <w:r>
        <w:rPr>
          <w:rFonts w:ascii="Times New Roman" w:hAnsi="Times New Roman" w:cs="Times New Roman"/>
          <w:b/>
          <w:bCs/>
          <w:color w:val="000000" w:themeColor="text1"/>
          <w:sz w:val="24"/>
          <w:szCs w:val="24"/>
          <w:lang w:val="en-US"/>
        </w:rPr>
        <w:t>B</w:t>
      </w:r>
      <w:r w:rsidRPr="00C514C1">
        <w:rPr>
          <w:rFonts w:ascii="Times New Roman" w:hAnsi="Times New Roman" w:cs="Times New Roman"/>
          <w:b/>
          <w:bCs/>
          <w:color w:val="000000" w:themeColor="text1"/>
          <w:sz w:val="24"/>
          <w:szCs w:val="24"/>
          <w:lang w:val="en-US"/>
        </w:rPr>
        <w:t>)</w:t>
      </w:r>
    </w:p>
    <w:p w14:paraId="4E73C555" w14:textId="77777777" w:rsidR="00A11891" w:rsidRDefault="00A11891" w:rsidP="002F0334">
      <w:pPr>
        <w:jc w:val="both"/>
        <w:rPr>
          <w:rFonts w:ascii="Times New Roman" w:hAnsi="Times New Roman" w:cs="Times New Roman"/>
          <w:color w:val="000000" w:themeColor="text1"/>
          <w:sz w:val="24"/>
          <w:szCs w:val="24"/>
          <w:lang w:val="en-US"/>
        </w:rPr>
      </w:pPr>
    </w:p>
    <w:p w14:paraId="428B8242" w14:textId="77777777" w:rsidR="00531381" w:rsidRDefault="00531381" w:rsidP="00324F7C">
      <w:pPr>
        <w:jc w:val="both"/>
        <w:rPr>
          <w:rFonts w:ascii="Times New Roman" w:hAnsi="Times New Roman" w:cs="Times New Roman"/>
          <w:color w:val="000000" w:themeColor="text1"/>
          <w:sz w:val="24"/>
          <w:szCs w:val="24"/>
          <w:lang w:val="en-US"/>
        </w:rPr>
      </w:pPr>
      <w:r w:rsidRPr="00531381">
        <w:rPr>
          <w:rFonts w:ascii="Times New Roman" w:hAnsi="Times New Roman" w:cs="Times New Roman"/>
          <w:color w:val="000000" w:themeColor="text1"/>
          <w:sz w:val="24"/>
          <w:szCs w:val="24"/>
          <w:lang w:val="en-US"/>
        </w:rPr>
        <w:t>There is indication that accounting ratios has been frequently employed in the assessment of public financial records since the mid-1800s. Furthermore, since the inception of the finance discipline, ratios have been employed to assist analyze organizations' financial situation (Lawder, 1989). Financial statement analysis study has described the use of ratio analysis as a vital instrument for analyzing a company's financial soundness, and numerous financial ratios have been established and are utilized by professionals and academia. Furthermore, accounting &amp; finance courses frequently highlight any use of ratio analysis.</w:t>
      </w:r>
    </w:p>
    <w:p w14:paraId="2B5D2F26" w14:textId="7D10F364" w:rsidR="00324F7C" w:rsidRDefault="00324F7C" w:rsidP="00324F7C">
      <w:pPr>
        <w:jc w:val="both"/>
        <w:rPr>
          <w:rFonts w:ascii="Times New Roman" w:hAnsi="Times New Roman" w:cs="Times New Roman"/>
          <w:color w:val="000000" w:themeColor="text1"/>
          <w:sz w:val="24"/>
          <w:szCs w:val="24"/>
          <w:lang w:val="en-US"/>
        </w:rPr>
      </w:pPr>
      <w:r w:rsidRPr="00324F7C">
        <w:rPr>
          <w:rFonts w:ascii="Times New Roman" w:hAnsi="Times New Roman" w:cs="Times New Roman"/>
          <w:color w:val="000000" w:themeColor="text1"/>
          <w:sz w:val="24"/>
          <w:szCs w:val="24"/>
          <w:lang w:val="en-US"/>
        </w:rPr>
        <w:t>A ratio analysis is a quantitative examination of the data included in a company's financial statements. It is used to assess a company's operational effectiveness from several perspectives, such as stability, revenue, viability, and competitiveness.</w:t>
      </w:r>
    </w:p>
    <w:p w14:paraId="36176912" w14:textId="1F85C5F1" w:rsidR="00531381" w:rsidRPr="00531381" w:rsidRDefault="00531381" w:rsidP="00531381">
      <w:pPr>
        <w:jc w:val="both"/>
        <w:rPr>
          <w:rFonts w:ascii="Times New Roman" w:hAnsi="Times New Roman" w:cs="Times New Roman"/>
          <w:color w:val="000000" w:themeColor="text1"/>
          <w:sz w:val="24"/>
          <w:szCs w:val="24"/>
          <w:lang w:val="en-US"/>
        </w:rPr>
      </w:pPr>
      <w:r w:rsidRPr="00531381">
        <w:rPr>
          <w:rFonts w:ascii="Times New Roman" w:hAnsi="Times New Roman" w:cs="Times New Roman"/>
          <w:color w:val="000000" w:themeColor="text1"/>
          <w:sz w:val="24"/>
          <w:szCs w:val="24"/>
          <w:lang w:val="en-US"/>
        </w:rPr>
        <w:t>The argument for using financial ratio analysis from a management standpoint is that by presenting numerous data as a ratio, information that is lost when the key parts are inspected is exposed (Thomas &amp; Evanson, 1987). Administrators can then apply this data to enhance their business.</w:t>
      </w:r>
    </w:p>
    <w:p w14:paraId="0E56463B" w14:textId="3B26A0D2" w:rsidR="00531381" w:rsidRPr="00324F7C" w:rsidRDefault="00531381" w:rsidP="00531381">
      <w:pPr>
        <w:jc w:val="both"/>
        <w:rPr>
          <w:rFonts w:ascii="Times New Roman" w:hAnsi="Times New Roman" w:cs="Times New Roman"/>
          <w:color w:val="000000" w:themeColor="text1"/>
          <w:sz w:val="24"/>
          <w:szCs w:val="24"/>
          <w:lang w:val="en-US"/>
        </w:rPr>
      </w:pPr>
      <w:r w:rsidRPr="00531381">
        <w:rPr>
          <w:rFonts w:ascii="Times New Roman" w:hAnsi="Times New Roman" w:cs="Times New Roman"/>
          <w:color w:val="000000" w:themeColor="text1"/>
          <w:sz w:val="24"/>
          <w:szCs w:val="24"/>
          <w:lang w:val="en-US"/>
        </w:rPr>
        <w:t>The balance sheet and income statement are the two most essential and easily obtainable determinants of capital data for determining ratios. These are the assertions that appear to be the most widely accepted. Because practically all commercial enterprises provide such declarations, the usage of ratio analysis may be seen in a wide range of sectors.</w:t>
      </w:r>
    </w:p>
    <w:p w14:paraId="532E7B64" w14:textId="77777777" w:rsidR="00324F7C" w:rsidRDefault="00324F7C" w:rsidP="00324F7C">
      <w:pPr>
        <w:jc w:val="both"/>
        <w:rPr>
          <w:rFonts w:ascii="Times New Roman" w:hAnsi="Times New Roman" w:cs="Times New Roman"/>
          <w:color w:val="000000" w:themeColor="text1"/>
          <w:sz w:val="24"/>
          <w:szCs w:val="24"/>
          <w:lang w:val="en-US"/>
        </w:rPr>
      </w:pPr>
      <w:r w:rsidRPr="00324F7C">
        <w:rPr>
          <w:rFonts w:ascii="Times New Roman" w:hAnsi="Times New Roman" w:cs="Times New Roman"/>
          <w:color w:val="000000" w:themeColor="text1"/>
          <w:sz w:val="24"/>
          <w:szCs w:val="24"/>
          <w:lang w:val="en-US"/>
        </w:rPr>
        <w:t>In plenty of other terms, instead of 's evaluative balance sheet account items, ratio analysis is a method of analyzing and assessing financial data by calculating key financial report value ratios (Finance Strategists, 2019).</w:t>
      </w:r>
    </w:p>
    <w:p w14:paraId="50522641" w14:textId="77777777" w:rsidR="0094380E" w:rsidRPr="0094380E" w:rsidRDefault="0094380E" w:rsidP="0094380E">
      <w:pPr>
        <w:jc w:val="both"/>
        <w:rPr>
          <w:rFonts w:ascii="Times New Roman" w:hAnsi="Times New Roman" w:cs="Times New Roman"/>
          <w:color w:val="000000" w:themeColor="text1"/>
          <w:sz w:val="24"/>
          <w:szCs w:val="24"/>
          <w:lang w:val="en-US"/>
        </w:rPr>
      </w:pPr>
      <w:r w:rsidRPr="0094380E">
        <w:rPr>
          <w:rFonts w:ascii="Times New Roman" w:hAnsi="Times New Roman" w:cs="Times New Roman"/>
          <w:color w:val="000000" w:themeColor="text1"/>
          <w:sz w:val="24"/>
          <w:szCs w:val="24"/>
          <w:lang w:val="en-US"/>
        </w:rPr>
        <w:t>Moreover, an emerging innovation in this area has been the creation of alternative ratios based on the data supplied by the statement of cash flows. The newly established ratios, however, are not as widely utilized as those based on the accounting records.</w:t>
      </w:r>
    </w:p>
    <w:p w14:paraId="7A926560" w14:textId="77777777" w:rsidR="0094380E" w:rsidRPr="0094380E" w:rsidRDefault="0094380E" w:rsidP="0094380E">
      <w:pPr>
        <w:jc w:val="both"/>
        <w:rPr>
          <w:rFonts w:ascii="Times New Roman" w:hAnsi="Times New Roman" w:cs="Times New Roman"/>
          <w:color w:val="000000" w:themeColor="text1"/>
          <w:sz w:val="24"/>
          <w:szCs w:val="24"/>
          <w:lang w:val="en-US"/>
        </w:rPr>
      </w:pPr>
      <w:r w:rsidRPr="0094380E">
        <w:rPr>
          <w:rFonts w:ascii="Times New Roman" w:hAnsi="Times New Roman" w:cs="Times New Roman"/>
          <w:color w:val="000000" w:themeColor="text1"/>
          <w:sz w:val="24"/>
          <w:szCs w:val="24"/>
          <w:lang w:val="en-US"/>
        </w:rPr>
        <w:t>Financial institutions and fiscal publishing organizations collect data on large publicly listed corporations and make it accessible to a variety of interested parties.</w:t>
      </w:r>
    </w:p>
    <w:p w14:paraId="259E6689" w14:textId="77777777" w:rsidR="0094380E" w:rsidRDefault="0094380E" w:rsidP="0094380E">
      <w:pPr>
        <w:jc w:val="both"/>
        <w:rPr>
          <w:rFonts w:ascii="Times New Roman" w:hAnsi="Times New Roman" w:cs="Times New Roman"/>
          <w:color w:val="000000" w:themeColor="text1"/>
          <w:sz w:val="24"/>
          <w:szCs w:val="24"/>
          <w:lang w:val="en-US"/>
        </w:rPr>
      </w:pPr>
      <w:r w:rsidRPr="0094380E">
        <w:rPr>
          <w:rFonts w:ascii="Times New Roman" w:hAnsi="Times New Roman" w:cs="Times New Roman"/>
          <w:color w:val="000000" w:themeColor="text1"/>
          <w:sz w:val="24"/>
          <w:szCs w:val="24"/>
          <w:lang w:val="en-US"/>
        </w:rPr>
        <w:t>Companies analyzing the credibility of their creditors, shareholders weighing the merits of alternative investments, and banks and other lenders giving loans are all potential users of such financial data and ratios. Ratios can also be used by auditors when performing analytical assessments of their businesses (Gardiner, 1995).</w:t>
      </w:r>
    </w:p>
    <w:p w14:paraId="41A9A6D2" w14:textId="77777777" w:rsidR="0094380E" w:rsidRPr="0094380E" w:rsidRDefault="0094380E" w:rsidP="0094380E">
      <w:pPr>
        <w:jc w:val="both"/>
        <w:rPr>
          <w:rFonts w:ascii="Times New Roman" w:hAnsi="Times New Roman" w:cs="Times New Roman"/>
          <w:color w:val="000000" w:themeColor="text1"/>
          <w:sz w:val="24"/>
          <w:szCs w:val="24"/>
          <w:lang w:val="en-US"/>
        </w:rPr>
      </w:pPr>
      <w:r w:rsidRPr="0094380E">
        <w:rPr>
          <w:rFonts w:ascii="Times New Roman" w:hAnsi="Times New Roman" w:cs="Times New Roman"/>
          <w:color w:val="000000" w:themeColor="text1"/>
          <w:sz w:val="24"/>
          <w:szCs w:val="24"/>
          <w:lang w:val="en-US"/>
        </w:rPr>
        <w:lastRenderedPageBreak/>
        <w:t>In an effort to determine the far more valuable financial measures as regarded by hotel executive management, company leaders, financiers, and hospitality company owners, Schmidgall (1989) discovered that these diverse groups assign varying amounts of value to the diverse accounting statistics.</w:t>
      </w:r>
    </w:p>
    <w:p w14:paraId="7D231EB0" w14:textId="1CCBF63E" w:rsidR="0094380E" w:rsidRDefault="0094380E" w:rsidP="0094380E">
      <w:pPr>
        <w:jc w:val="both"/>
        <w:rPr>
          <w:rFonts w:ascii="Times New Roman" w:hAnsi="Times New Roman" w:cs="Times New Roman"/>
          <w:color w:val="000000" w:themeColor="text1"/>
          <w:sz w:val="24"/>
          <w:szCs w:val="24"/>
          <w:lang w:val="en-US"/>
        </w:rPr>
      </w:pPr>
      <w:r w:rsidRPr="0094380E">
        <w:rPr>
          <w:rFonts w:ascii="Times New Roman" w:hAnsi="Times New Roman" w:cs="Times New Roman"/>
          <w:color w:val="000000" w:themeColor="text1"/>
          <w:sz w:val="24"/>
          <w:szCs w:val="24"/>
          <w:lang w:val="en-US"/>
        </w:rPr>
        <w:t>For example, whereas general managers value operational and activity ratios the highest, owners prioritize financial metrics. Company managers thought solvency ratio were more relevant. According to the survey, liquidity measures are perhaps the most relevant to financiers, while profitability and activity ratios are more valuable than others for economic executions.</w:t>
      </w:r>
    </w:p>
    <w:p w14:paraId="57B277CC" w14:textId="77777777" w:rsidR="00923788" w:rsidRDefault="00923788" w:rsidP="0094380E">
      <w:pPr>
        <w:jc w:val="both"/>
        <w:rPr>
          <w:rFonts w:ascii="Times New Roman" w:hAnsi="Times New Roman" w:cs="Times New Roman"/>
          <w:color w:val="000000" w:themeColor="text1"/>
          <w:sz w:val="24"/>
          <w:szCs w:val="24"/>
          <w:lang w:val="en-US"/>
        </w:rPr>
      </w:pPr>
    </w:p>
    <w:p w14:paraId="68245682" w14:textId="09CA074B" w:rsidR="00C514C1" w:rsidRPr="00C514C1" w:rsidRDefault="00C514C1" w:rsidP="00C514C1">
      <w:pPr>
        <w:jc w:val="both"/>
        <w:rPr>
          <w:rFonts w:ascii="Times New Roman" w:hAnsi="Times New Roman" w:cs="Times New Roman"/>
          <w:b/>
          <w:bCs/>
          <w:color w:val="000000" w:themeColor="text1"/>
          <w:sz w:val="24"/>
          <w:szCs w:val="24"/>
          <w:lang w:val="en-US"/>
        </w:rPr>
      </w:pPr>
      <w:r w:rsidRPr="00C514C1">
        <w:rPr>
          <w:rFonts w:ascii="Times New Roman" w:hAnsi="Times New Roman" w:cs="Times New Roman"/>
          <w:b/>
          <w:bCs/>
          <w:color w:val="000000" w:themeColor="text1"/>
          <w:sz w:val="24"/>
          <w:szCs w:val="24"/>
          <w:lang w:val="en-US"/>
        </w:rPr>
        <w:t>ANSWER (</w:t>
      </w:r>
      <w:r>
        <w:rPr>
          <w:rFonts w:ascii="Times New Roman" w:hAnsi="Times New Roman" w:cs="Times New Roman"/>
          <w:b/>
          <w:bCs/>
          <w:color w:val="000000" w:themeColor="text1"/>
          <w:sz w:val="24"/>
          <w:szCs w:val="24"/>
          <w:lang w:val="en-US"/>
        </w:rPr>
        <w:t>C</w:t>
      </w:r>
      <w:r w:rsidRPr="00C514C1">
        <w:rPr>
          <w:rFonts w:ascii="Times New Roman" w:hAnsi="Times New Roman" w:cs="Times New Roman"/>
          <w:b/>
          <w:bCs/>
          <w:color w:val="000000" w:themeColor="text1"/>
          <w:sz w:val="24"/>
          <w:szCs w:val="24"/>
          <w:lang w:val="en-US"/>
        </w:rPr>
        <w:t>)</w:t>
      </w:r>
    </w:p>
    <w:p w14:paraId="6097E1FA" w14:textId="6C3C80C1" w:rsidR="0094380E" w:rsidRPr="00923788" w:rsidRDefault="0094380E" w:rsidP="0094380E">
      <w:pPr>
        <w:jc w:val="both"/>
        <w:rPr>
          <w:rFonts w:ascii="Times New Roman" w:hAnsi="Times New Roman" w:cs="Times New Roman"/>
          <w:b/>
          <w:bCs/>
          <w:color w:val="000000" w:themeColor="text1"/>
          <w:sz w:val="24"/>
          <w:szCs w:val="24"/>
          <w:lang w:val="en-US"/>
        </w:rPr>
      </w:pPr>
    </w:p>
    <w:p w14:paraId="10307FBD" w14:textId="77777777" w:rsidR="00DF0196" w:rsidRDefault="00DF0196" w:rsidP="0094380E">
      <w:pPr>
        <w:jc w:val="both"/>
        <w:rPr>
          <w:rFonts w:ascii="Times New Roman" w:hAnsi="Times New Roman" w:cs="Times New Roman"/>
          <w:color w:val="000000" w:themeColor="text1"/>
          <w:sz w:val="24"/>
          <w:szCs w:val="24"/>
          <w:lang w:val="en-US"/>
        </w:rPr>
      </w:pPr>
    </w:p>
    <w:p w14:paraId="2F9DCBFF" w14:textId="77777777" w:rsidR="00833D77" w:rsidRPr="00833D77" w:rsidRDefault="00833D77" w:rsidP="00833D77">
      <w:pPr>
        <w:jc w:val="both"/>
        <w:rPr>
          <w:rFonts w:ascii="Times New Roman" w:hAnsi="Times New Roman" w:cs="Times New Roman"/>
          <w:color w:val="000000" w:themeColor="text1"/>
          <w:sz w:val="24"/>
          <w:szCs w:val="24"/>
          <w:lang w:val="en-US"/>
        </w:rPr>
      </w:pPr>
      <w:r w:rsidRPr="00833D77">
        <w:rPr>
          <w:rFonts w:ascii="Times New Roman" w:hAnsi="Times New Roman" w:cs="Times New Roman"/>
          <w:color w:val="000000" w:themeColor="text1"/>
          <w:sz w:val="24"/>
          <w:szCs w:val="24"/>
          <w:lang w:val="en-US"/>
        </w:rPr>
        <w:t>Essentially, ratio analysis is conducted to identify: 1.A firm's immediate and long stability, or the company's capacity to satisfy its summary (present) and long-term financial responsibilities.</w:t>
      </w:r>
    </w:p>
    <w:p w14:paraId="53A7B8EC" w14:textId="77777777" w:rsidR="00833D77" w:rsidRPr="00833D77" w:rsidRDefault="00833D77" w:rsidP="00833D77">
      <w:pPr>
        <w:jc w:val="both"/>
        <w:rPr>
          <w:rFonts w:ascii="Times New Roman" w:hAnsi="Times New Roman" w:cs="Times New Roman"/>
          <w:color w:val="000000" w:themeColor="text1"/>
          <w:sz w:val="24"/>
          <w:szCs w:val="24"/>
          <w:lang w:val="en-US"/>
        </w:rPr>
      </w:pPr>
      <w:r w:rsidRPr="00833D77">
        <w:rPr>
          <w:rFonts w:ascii="Times New Roman" w:hAnsi="Times New Roman" w:cs="Times New Roman"/>
          <w:color w:val="000000" w:themeColor="text1"/>
          <w:sz w:val="24"/>
          <w:szCs w:val="24"/>
          <w:lang w:val="en-US"/>
        </w:rPr>
        <w:t>2. A company's riskiness or long-term viability. That is, the amount of leveraging or strain, as well as the extent to which the company is expected to be paid as debts.</w:t>
      </w:r>
    </w:p>
    <w:p w14:paraId="646E13EB" w14:textId="77777777" w:rsidR="00833D77" w:rsidRPr="00833D77" w:rsidRDefault="00833D77" w:rsidP="00833D77">
      <w:pPr>
        <w:jc w:val="both"/>
        <w:rPr>
          <w:rFonts w:ascii="Times New Roman" w:hAnsi="Times New Roman" w:cs="Times New Roman"/>
          <w:color w:val="000000" w:themeColor="text1"/>
          <w:sz w:val="24"/>
          <w:szCs w:val="24"/>
          <w:lang w:val="en-US"/>
        </w:rPr>
      </w:pPr>
      <w:r w:rsidRPr="00833D77">
        <w:rPr>
          <w:rFonts w:ascii="Times New Roman" w:hAnsi="Times New Roman" w:cs="Times New Roman"/>
          <w:color w:val="000000" w:themeColor="text1"/>
          <w:sz w:val="24"/>
          <w:szCs w:val="24"/>
          <w:lang w:val="en-US"/>
        </w:rPr>
        <w:t>3. A company's efficiency, revenue, or total earning capacity.</w:t>
      </w:r>
    </w:p>
    <w:p w14:paraId="6DFF0492" w14:textId="77777777" w:rsidR="00833D77" w:rsidRPr="00833D77" w:rsidRDefault="00833D77" w:rsidP="00833D77">
      <w:pPr>
        <w:jc w:val="both"/>
        <w:rPr>
          <w:rFonts w:ascii="Times New Roman" w:hAnsi="Times New Roman" w:cs="Times New Roman"/>
          <w:color w:val="000000" w:themeColor="text1"/>
          <w:sz w:val="24"/>
          <w:szCs w:val="24"/>
          <w:lang w:val="en-US"/>
        </w:rPr>
      </w:pPr>
      <w:r w:rsidRPr="00833D77">
        <w:rPr>
          <w:rFonts w:ascii="Times New Roman" w:hAnsi="Times New Roman" w:cs="Times New Roman"/>
          <w:color w:val="000000" w:themeColor="text1"/>
          <w:sz w:val="24"/>
          <w:szCs w:val="24"/>
          <w:lang w:val="en-US"/>
        </w:rPr>
        <w:t>4. The accuracy with which a company's business resources are used to create sales income.</w:t>
      </w:r>
    </w:p>
    <w:p w14:paraId="1A1F7465" w14:textId="6B5F4BF3" w:rsidR="000D679B" w:rsidRPr="00833D77" w:rsidRDefault="00833D77" w:rsidP="00833D77">
      <w:pPr>
        <w:jc w:val="both"/>
        <w:rPr>
          <w:rFonts w:ascii="Times New Roman" w:hAnsi="Times New Roman" w:cs="Times New Roman"/>
          <w:color w:val="000000" w:themeColor="text1"/>
          <w:sz w:val="24"/>
          <w:szCs w:val="24"/>
          <w:lang w:val="en-US"/>
        </w:rPr>
      </w:pPr>
      <w:r w:rsidRPr="00833D77">
        <w:rPr>
          <w:rFonts w:ascii="Times New Roman" w:hAnsi="Times New Roman" w:cs="Times New Roman"/>
          <w:color w:val="000000" w:themeColor="text1"/>
          <w:sz w:val="24"/>
          <w:szCs w:val="24"/>
          <w:lang w:val="en-US"/>
        </w:rPr>
        <w:t>5. The detect possible profits and risk of making investments or investing in a preferred equity.</w:t>
      </w:r>
    </w:p>
    <w:p w14:paraId="2C1B9EF6" w14:textId="23B126F4" w:rsidR="00833D77" w:rsidRDefault="00C514C1" w:rsidP="00833D77">
      <w:pPr>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6. </w:t>
      </w:r>
      <w:r w:rsidR="00833D77" w:rsidRPr="00833D77">
        <w:rPr>
          <w:rFonts w:ascii="Times New Roman" w:hAnsi="Times New Roman" w:cs="Times New Roman"/>
          <w:color w:val="000000" w:themeColor="text1"/>
          <w:sz w:val="24"/>
          <w:szCs w:val="24"/>
          <w:lang w:val="en-US"/>
        </w:rPr>
        <w:t>Accounting Information Inspection</w:t>
      </w:r>
      <w:r>
        <w:rPr>
          <w:rFonts w:ascii="Times New Roman" w:hAnsi="Times New Roman" w:cs="Times New Roman"/>
          <w:color w:val="000000" w:themeColor="text1"/>
          <w:sz w:val="24"/>
          <w:szCs w:val="24"/>
          <w:lang w:val="en-US"/>
        </w:rPr>
        <w:t xml:space="preserve">. </w:t>
      </w:r>
      <w:r w:rsidR="00833D77" w:rsidRPr="00833D77">
        <w:rPr>
          <w:rFonts w:ascii="Times New Roman" w:hAnsi="Times New Roman" w:cs="Times New Roman"/>
          <w:color w:val="000000" w:themeColor="text1"/>
          <w:sz w:val="24"/>
          <w:szCs w:val="24"/>
          <w:lang w:val="en-US"/>
        </w:rPr>
        <w:t>Understanding financial statements is critical for business investors. Ratio analysis helps to understand the compatibility of existing statistics and estimate future values from balance sheets and income statements. Asset managers, for example, analyze the P/E ratio and the dividend per share, whereas lenders evaluate the repayment magnitude relation, gross margin ratio, and deficit proportion, among other factors (Byjus, 2019).</w:t>
      </w:r>
    </w:p>
    <w:p w14:paraId="11EA1B50" w14:textId="3767C9B0" w:rsidR="001C7D4A" w:rsidRPr="001C7D4A" w:rsidRDefault="00C514C1" w:rsidP="001C7D4A">
      <w:pPr>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7. </w:t>
      </w:r>
      <w:r w:rsidR="001C7D4A" w:rsidRPr="001C7D4A">
        <w:rPr>
          <w:rFonts w:ascii="Times New Roman" w:hAnsi="Times New Roman" w:cs="Times New Roman"/>
          <w:color w:val="000000" w:themeColor="text1"/>
          <w:sz w:val="24"/>
          <w:szCs w:val="24"/>
          <w:lang w:val="en-US"/>
        </w:rPr>
        <w:t>Planning and implementation</w:t>
      </w:r>
      <w:r>
        <w:rPr>
          <w:rFonts w:ascii="Times New Roman" w:hAnsi="Times New Roman" w:cs="Times New Roman"/>
          <w:color w:val="000000" w:themeColor="text1"/>
          <w:sz w:val="24"/>
          <w:szCs w:val="24"/>
          <w:lang w:val="en-US"/>
        </w:rPr>
        <w:t xml:space="preserve">. </w:t>
      </w:r>
      <w:r w:rsidR="001C7D4A" w:rsidRPr="001C7D4A">
        <w:rPr>
          <w:rFonts w:ascii="Times New Roman" w:hAnsi="Times New Roman" w:cs="Times New Roman"/>
          <w:color w:val="000000" w:themeColor="text1"/>
          <w:sz w:val="24"/>
          <w:szCs w:val="24"/>
          <w:lang w:val="en-US"/>
        </w:rPr>
        <w:t>Managers and executives can use ratio analysis to better analyze and estimate the company's future profitability and performance. Past financial statement ratios serve in anticipating future financials, estimating, and planning for the firm's future processes (Accounting notes, 2017).</w:t>
      </w:r>
    </w:p>
    <w:p w14:paraId="36B12DB1" w14:textId="554FDC36" w:rsidR="001C7D4A" w:rsidRDefault="00C514C1" w:rsidP="001C7D4A">
      <w:pPr>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8. </w:t>
      </w:r>
      <w:r w:rsidR="001C7D4A" w:rsidRPr="001C7D4A">
        <w:rPr>
          <w:rFonts w:ascii="Times New Roman" w:hAnsi="Times New Roman" w:cs="Times New Roman"/>
          <w:color w:val="000000" w:themeColor="text1"/>
          <w:sz w:val="24"/>
          <w:szCs w:val="24"/>
          <w:lang w:val="en-US"/>
        </w:rPr>
        <w:t>Comparing Businesses</w:t>
      </w:r>
      <w:r>
        <w:rPr>
          <w:rFonts w:ascii="Times New Roman" w:hAnsi="Times New Roman" w:cs="Times New Roman"/>
          <w:color w:val="000000" w:themeColor="text1"/>
          <w:sz w:val="24"/>
          <w:szCs w:val="24"/>
          <w:lang w:val="en-US"/>
        </w:rPr>
        <w:t xml:space="preserve">. </w:t>
      </w:r>
      <w:r w:rsidR="001C7D4A" w:rsidRPr="001C7D4A">
        <w:rPr>
          <w:rFonts w:ascii="Times New Roman" w:hAnsi="Times New Roman" w:cs="Times New Roman"/>
          <w:color w:val="000000" w:themeColor="text1"/>
          <w:sz w:val="24"/>
          <w:szCs w:val="24"/>
          <w:lang w:val="en-US"/>
        </w:rPr>
        <w:t>Whenever the productivity of two or more firms is analyzed, effective and ineffective enterprises emerge, allowing inefficient firms to take suitable steps to enhance their effectiveness. The best method for evaluating organizations is to compare the organization's relevant ratios to the market benchmark ratios (Siddique, 2019).</w:t>
      </w:r>
    </w:p>
    <w:p w14:paraId="7E0AC283" w14:textId="5DB0F1C3" w:rsidR="00F145EF" w:rsidRPr="00F90C06" w:rsidRDefault="00F145EF" w:rsidP="002F0334">
      <w:pPr>
        <w:jc w:val="both"/>
        <w:rPr>
          <w:rFonts w:ascii="Times New Roman" w:hAnsi="Times New Roman" w:cs="Times New Roman"/>
          <w:color w:val="000000" w:themeColor="text1"/>
          <w:sz w:val="24"/>
          <w:szCs w:val="24"/>
        </w:rPr>
      </w:pPr>
      <w:r w:rsidRPr="00F90C06">
        <w:rPr>
          <w:rFonts w:ascii="Times New Roman" w:hAnsi="Times New Roman" w:cs="Times New Roman"/>
          <w:color w:val="000000" w:themeColor="text1"/>
          <w:sz w:val="24"/>
          <w:szCs w:val="24"/>
        </w:rPr>
        <w:t>Ratio analysis also helps in determining the company's ability to meet interest payments and debt repayment. As a result, the risk of credit default can be reduced. organizations use similar ratios including debt-equity ratio, interest coverage ratio, and debt service coverage ratio, as well as some other ratios, to determine financial stability and financial or credit risk</w:t>
      </w:r>
      <w:r w:rsidR="009723EC">
        <w:rPr>
          <w:rFonts w:ascii="Times New Roman" w:hAnsi="Times New Roman" w:cs="Times New Roman"/>
          <w:color w:val="000000" w:themeColor="text1"/>
          <w:sz w:val="24"/>
          <w:szCs w:val="24"/>
        </w:rPr>
        <w:t xml:space="preserve"> (</w:t>
      </w:r>
      <w:r w:rsidR="009723EC" w:rsidRPr="003329DE">
        <w:rPr>
          <w:rFonts w:ascii="Times New Roman" w:hAnsi="Times New Roman" w:cs="Times New Roman"/>
          <w:color w:val="000000"/>
          <w:sz w:val="24"/>
          <w:szCs w:val="24"/>
        </w:rPr>
        <w:t>EDUCBA</w:t>
      </w:r>
      <w:r w:rsidR="009723EC">
        <w:rPr>
          <w:rFonts w:ascii="Times New Roman" w:hAnsi="Times New Roman" w:cs="Times New Roman"/>
          <w:color w:val="000000"/>
          <w:sz w:val="24"/>
          <w:szCs w:val="24"/>
        </w:rPr>
        <w:t xml:space="preserve">, </w:t>
      </w:r>
      <w:r w:rsidR="009723EC" w:rsidRPr="003329DE">
        <w:rPr>
          <w:rFonts w:ascii="Times New Roman" w:hAnsi="Times New Roman" w:cs="Times New Roman"/>
          <w:color w:val="000000"/>
          <w:sz w:val="24"/>
          <w:szCs w:val="24"/>
        </w:rPr>
        <w:t>2020)</w:t>
      </w:r>
      <w:r w:rsidRPr="00F90C06">
        <w:rPr>
          <w:rFonts w:ascii="Times New Roman" w:hAnsi="Times New Roman" w:cs="Times New Roman"/>
          <w:color w:val="000000" w:themeColor="text1"/>
          <w:sz w:val="24"/>
          <w:szCs w:val="24"/>
        </w:rPr>
        <w:t>.</w:t>
      </w:r>
    </w:p>
    <w:p w14:paraId="58FA9E5A" w14:textId="53DF34A5" w:rsidR="00D46266" w:rsidRPr="0021170D" w:rsidRDefault="00D46266" w:rsidP="00D46266">
      <w:pPr>
        <w:jc w:val="both"/>
        <w:rPr>
          <w:rFonts w:ascii="Times New Roman" w:hAnsi="Times New Roman" w:cs="Times New Roman"/>
          <w:color w:val="000000" w:themeColor="text1"/>
          <w:sz w:val="24"/>
          <w:szCs w:val="24"/>
          <w:lang w:val="en-US"/>
        </w:rPr>
      </w:pPr>
      <w:r w:rsidRPr="0021170D">
        <w:rPr>
          <w:rFonts w:ascii="Times New Roman" w:hAnsi="Times New Roman" w:cs="Times New Roman"/>
          <w:color w:val="000000" w:themeColor="text1"/>
          <w:sz w:val="24"/>
          <w:szCs w:val="24"/>
          <w:lang w:val="en-US"/>
        </w:rPr>
        <w:lastRenderedPageBreak/>
        <w:t>A More Effective Communication Channel</w:t>
      </w:r>
      <w:r w:rsidR="00C514C1">
        <w:rPr>
          <w:rFonts w:ascii="Times New Roman" w:hAnsi="Times New Roman" w:cs="Times New Roman"/>
          <w:color w:val="000000" w:themeColor="text1"/>
          <w:sz w:val="24"/>
          <w:szCs w:val="24"/>
          <w:lang w:val="en-US"/>
        </w:rPr>
        <w:t xml:space="preserve">. </w:t>
      </w:r>
      <w:r w:rsidRPr="0021170D">
        <w:rPr>
          <w:rFonts w:ascii="Times New Roman" w:hAnsi="Times New Roman" w:cs="Times New Roman"/>
          <w:color w:val="000000" w:themeColor="text1"/>
          <w:sz w:val="24"/>
          <w:szCs w:val="24"/>
          <w:lang w:val="en-US"/>
        </w:rPr>
        <w:t>Ratio analysis is essential for reporting the firm's accounts to its investors. Ratios are simple to interpret than huge, convoluted numbers. Information may be deceptive at times, prompting shareholders to lose trust. Nevertheless, following comparison, ratio analysis can help investors understand the firm's situation, permitting reinvesting.</w:t>
      </w:r>
    </w:p>
    <w:p w14:paraId="3F1D5E0B" w14:textId="0F94C17C" w:rsidR="00D46266" w:rsidRPr="0021170D" w:rsidRDefault="00D46266" w:rsidP="00D46266">
      <w:pPr>
        <w:jc w:val="both"/>
        <w:rPr>
          <w:rFonts w:ascii="Times New Roman" w:hAnsi="Times New Roman" w:cs="Times New Roman"/>
          <w:color w:val="000000" w:themeColor="text1"/>
          <w:sz w:val="24"/>
          <w:szCs w:val="24"/>
          <w:lang w:val="en-US"/>
        </w:rPr>
      </w:pPr>
      <w:r w:rsidRPr="0021170D">
        <w:rPr>
          <w:rFonts w:ascii="Times New Roman" w:hAnsi="Times New Roman" w:cs="Times New Roman"/>
          <w:color w:val="000000" w:themeColor="text1"/>
          <w:sz w:val="24"/>
          <w:szCs w:val="24"/>
          <w:lang w:val="en-US"/>
        </w:rPr>
        <w:t>Financial Stability</w:t>
      </w:r>
      <w:r w:rsidR="00C514C1">
        <w:rPr>
          <w:rFonts w:ascii="Times New Roman" w:hAnsi="Times New Roman" w:cs="Times New Roman"/>
          <w:color w:val="000000" w:themeColor="text1"/>
          <w:sz w:val="24"/>
          <w:szCs w:val="24"/>
          <w:lang w:val="en-US"/>
        </w:rPr>
        <w:t xml:space="preserve">. </w:t>
      </w:r>
      <w:r w:rsidRPr="0021170D">
        <w:rPr>
          <w:rFonts w:ascii="Times New Roman" w:hAnsi="Times New Roman" w:cs="Times New Roman"/>
          <w:color w:val="000000" w:themeColor="text1"/>
          <w:sz w:val="24"/>
          <w:szCs w:val="24"/>
          <w:lang w:val="en-US"/>
        </w:rPr>
        <w:t>The ability of a corporation to pay relatively brief debt is determined by its flexibility. The ratio, often referred as the acid-test ratio, examines whether a company's short-term commitments can be met within a year. In order to better understand and organize for the repayment of short-term obligations, the corporation undertakes continuing studies of prior financial statements.</w:t>
      </w:r>
    </w:p>
    <w:p w14:paraId="068FDA22" w14:textId="1B2ACBF5" w:rsidR="00DF0196" w:rsidRPr="0021170D" w:rsidRDefault="00DF0196" w:rsidP="00DF0196">
      <w:pPr>
        <w:jc w:val="both"/>
        <w:rPr>
          <w:rFonts w:ascii="Times New Roman" w:hAnsi="Times New Roman" w:cs="Times New Roman"/>
          <w:color w:val="000000" w:themeColor="text1"/>
          <w:sz w:val="24"/>
          <w:szCs w:val="24"/>
          <w:lang w:val="en-US"/>
        </w:rPr>
      </w:pPr>
      <w:r w:rsidRPr="0021170D">
        <w:rPr>
          <w:rFonts w:ascii="Times New Roman" w:hAnsi="Times New Roman" w:cs="Times New Roman"/>
          <w:color w:val="000000" w:themeColor="text1"/>
          <w:sz w:val="24"/>
          <w:szCs w:val="24"/>
          <w:lang w:val="en-US"/>
        </w:rPr>
        <w:t>The Trend Line</w:t>
      </w:r>
      <w:r w:rsidR="00C514C1">
        <w:rPr>
          <w:rFonts w:ascii="Times New Roman" w:hAnsi="Times New Roman" w:cs="Times New Roman"/>
          <w:color w:val="000000" w:themeColor="text1"/>
          <w:sz w:val="24"/>
          <w:szCs w:val="24"/>
          <w:lang w:val="en-US"/>
        </w:rPr>
        <w:t xml:space="preserve">. </w:t>
      </w:r>
      <w:r w:rsidRPr="0021170D">
        <w:rPr>
          <w:rFonts w:ascii="Times New Roman" w:hAnsi="Times New Roman" w:cs="Times New Roman"/>
          <w:color w:val="000000" w:themeColor="text1"/>
          <w:sz w:val="24"/>
          <w:szCs w:val="24"/>
          <w:lang w:val="en-US"/>
        </w:rPr>
        <w:t>The trend line produced by ratio analysis shows us whether or not a corporation can perform over time. Businesses obtain data from past time frames to construct a linear trend that may be utilized to monitor and evaluate actual prospects, and also any prospective difficulties that a one-year ratio analysis might overlook.</w:t>
      </w:r>
    </w:p>
    <w:p w14:paraId="6D6799FF" w14:textId="74DD74E7" w:rsidR="00DF0196" w:rsidRPr="0021170D" w:rsidRDefault="00DF0196" w:rsidP="00DF0196">
      <w:pPr>
        <w:jc w:val="both"/>
        <w:rPr>
          <w:rFonts w:ascii="Times New Roman" w:hAnsi="Times New Roman" w:cs="Times New Roman"/>
          <w:color w:val="000000" w:themeColor="text1"/>
          <w:sz w:val="24"/>
          <w:szCs w:val="24"/>
          <w:lang w:val="en-US"/>
        </w:rPr>
      </w:pPr>
      <w:r w:rsidRPr="0021170D">
        <w:rPr>
          <w:rFonts w:ascii="Times New Roman" w:hAnsi="Times New Roman" w:cs="Times New Roman"/>
          <w:color w:val="000000" w:themeColor="text1"/>
          <w:sz w:val="24"/>
          <w:szCs w:val="24"/>
          <w:lang w:val="en-US"/>
        </w:rPr>
        <w:t xml:space="preserve">Evaluating investment activities and effective marketing requires ratio analysis. While certain ratios may provide useful information while others may have a negative impact on company performance, it is vital for an investor to do ratio research from all aspects of the organization rather than just one or two. </w:t>
      </w:r>
      <w:r w:rsidR="00923788" w:rsidRPr="0021170D">
        <w:rPr>
          <w:rFonts w:ascii="Times New Roman" w:hAnsi="Times New Roman" w:cs="Times New Roman"/>
          <w:color w:val="000000" w:themeColor="text1"/>
          <w:sz w:val="24"/>
          <w:szCs w:val="24"/>
          <w:lang w:val="en-US"/>
        </w:rPr>
        <w:t>It’s</w:t>
      </w:r>
      <w:r w:rsidRPr="0021170D">
        <w:rPr>
          <w:rFonts w:ascii="Times New Roman" w:hAnsi="Times New Roman" w:cs="Times New Roman"/>
          <w:color w:val="000000" w:themeColor="text1"/>
          <w:sz w:val="24"/>
          <w:szCs w:val="24"/>
          <w:lang w:val="en-US"/>
        </w:rPr>
        <w:t xml:space="preserve"> because, while certain ratios may give useful information, others may have a harmful influence.</w:t>
      </w:r>
    </w:p>
    <w:p w14:paraId="27A85BF0" w14:textId="77777777" w:rsidR="00521B1F" w:rsidRPr="00521B1F" w:rsidRDefault="00521B1F" w:rsidP="00521B1F">
      <w:pPr>
        <w:jc w:val="both"/>
        <w:rPr>
          <w:rFonts w:ascii="Times New Roman" w:hAnsi="Times New Roman" w:cs="Times New Roman"/>
          <w:color w:val="000000" w:themeColor="text1"/>
          <w:sz w:val="24"/>
          <w:szCs w:val="24"/>
          <w:lang w:val="en-US"/>
        </w:rPr>
      </w:pPr>
      <w:r w:rsidRPr="00521B1F">
        <w:rPr>
          <w:rFonts w:ascii="Times New Roman" w:hAnsi="Times New Roman" w:cs="Times New Roman"/>
          <w:color w:val="000000" w:themeColor="text1"/>
          <w:sz w:val="24"/>
          <w:szCs w:val="24"/>
          <w:lang w:val="en-US"/>
        </w:rPr>
        <w:t>There are just some limitations to ratio analysis, like when a business produces year-end accounting information modifications to enhance ratios; this can mislead shareholders; price level changes are ignored in accounting ratios; and there are no specific standards for every ratio.</w:t>
      </w:r>
    </w:p>
    <w:p w14:paraId="50FF7231" w14:textId="77777777" w:rsidR="00655128" w:rsidRDefault="00655128" w:rsidP="0026322B">
      <w:pPr>
        <w:jc w:val="both"/>
        <w:rPr>
          <w:rFonts w:ascii="Times New Roman" w:hAnsi="Times New Roman" w:cs="Times New Roman"/>
          <w:b/>
          <w:bCs/>
          <w:color w:val="000000" w:themeColor="text1"/>
          <w:sz w:val="24"/>
          <w:szCs w:val="24"/>
          <w:lang w:val="en-US"/>
        </w:rPr>
      </w:pPr>
      <w:r w:rsidRPr="0021170D">
        <w:rPr>
          <w:rFonts w:ascii="Times New Roman" w:hAnsi="Times New Roman" w:cs="Times New Roman"/>
          <w:color w:val="000000" w:themeColor="text1"/>
          <w:sz w:val="24"/>
          <w:szCs w:val="24"/>
          <w:lang w:val="en-US"/>
        </w:rPr>
        <w:t>Schmidgall (1989) stated that the diverse accounting ratios are valued differently by these distinct groups in an attempt to find the most helpful accounting statements as considered by hospitality managing directors, company executives, financiers, and owners of hotel operations. For instance, general managers consider operating and productivity ratios to be the most significant, whilst shareholders place a larger importance on return on assets. Liquidity ratios were deemed more important by corporate leaders. As per the survey, bankers place the most emphasis on solvency ratios, while financial executives place a higher weight on profitability and activity measurements. Malk and Schmidgall (1993) examined hotel department financial accounts from the standpoint of administration rather than accountants</w:t>
      </w:r>
      <w:r w:rsidRPr="00655128">
        <w:rPr>
          <w:rFonts w:ascii="Times New Roman" w:hAnsi="Times New Roman" w:cs="Times New Roman"/>
          <w:b/>
          <w:bCs/>
          <w:color w:val="000000" w:themeColor="text1"/>
          <w:sz w:val="24"/>
          <w:szCs w:val="24"/>
          <w:lang w:val="en-US"/>
        </w:rPr>
        <w:t>.</w:t>
      </w:r>
    </w:p>
    <w:p w14:paraId="5298E1E2" w14:textId="77777777" w:rsidR="00C514C1" w:rsidRPr="0021170D" w:rsidRDefault="00C514C1" w:rsidP="00C514C1">
      <w:pPr>
        <w:jc w:val="both"/>
        <w:rPr>
          <w:rFonts w:ascii="Times New Roman" w:hAnsi="Times New Roman" w:cs="Times New Roman"/>
          <w:color w:val="000000" w:themeColor="text1"/>
          <w:sz w:val="24"/>
          <w:szCs w:val="24"/>
          <w:lang w:val="en-US"/>
        </w:rPr>
      </w:pPr>
      <w:r w:rsidRPr="00521B1F">
        <w:rPr>
          <w:rFonts w:ascii="Times New Roman" w:hAnsi="Times New Roman" w:cs="Times New Roman"/>
          <w:color w:val="000000" w:themeColor="text1"/>
          <w:sz w:val="24"/>
          <w:szCs w:val="24"/>
          <w:lang w:val="en-US"/>
        </w:rPr>
        <w:t>Regardless of the fact that ratio analysis merely provides a complete overview of a company's financial performance and does not help it improve operational efficiency, it is nonetheless considered as a significant method for analyzing the business earnings and making significant plans for the business in future.</w:t>
      </w:r>
    </w:p>
    <w:p w14:paraId="4E1E6E59" w14:textId="77777777" w:rsidR="00C514C1" w:rsidRPr="0021170D" w:rsidRDefault="00C514C1" w:rsidP="00C514C1">
      <w:pPr>
        <w:jc w:val="both"/>
        <w:rPr>
          <w:rFonts w:ascii="Times New Roman" w:hAnsi="Times New Roman" w:cs="Times New Roman"/>
          <w:color w:val="000000" w:themeColor="text1"/>
          <w:sz w:val="24"/>
          <w:szCs w:val="24"/>
          <w:lang w:val="en-US"/>
        </w:rPr>
      </w:pPr>
      <w:r w:rsidRPr="0021170D">
        <w:rPr>
          <w:rFonts w:ascii="Times New Roman" w:hAnsi="Times New Roman" w:cs="Times New Roman"/>
          <w:color w:val="000000" w:themeColor="text1"/>
          <w:sz w:val="24"/>
          <w:szCs w:val="24"/>
          <w:lang w:val="en-US"/>
        </w:rPr>
        <w:t>Analysis is the statistical metric. At finest, the financial statistics can be deciphered. If something is lacking, it really can identify a cause or justification for the situation, nor can it recommend how to treat it. Unless you go into the ratios, conducting profitability ratio makes very little sense (Borad Sanjay, 2019).</w:t>
      </w:r>
    </w:p>
    <w:p w14:paraId="007C1E9C" w14:textId="77777777" w:rsidR="00C514C1" w:rsidRPr="0021170D" w:rsidRDefault="00C514C1" w:rsidP="00C514C1">
      <w:pPr>
        <w:jc w:val="both"/>
        <w:rPr>
          <w:rFonts w:ascii="Times New Roman" w:hAnsi="Times New Roman" w:cs="Times New Roman"/>
          <w:color w:val="000000" w:themeColor="text1"/>
          <w:sz w:val="24"/>
          <w:szCs w:val="24"/>
          <w:lang w:val="en-US"/>
        </w:rPr>
      </w:pPr>
      <w:r w:rsidRPr="0021170D">
        <w:rPr>
          <w:rFonts w:ascii="Times New Roman" w:hAnsi="Times New Roman" w:cs="Times New Roman"/>
          <w:color w:val="000000" w:themeColor="text1"/>
          <w:sz w:val="24"/>
          <w:szCs w:val="24"/>
          <w:lang w:val="en-US"/>
        </w:rPr>
        <w:t xml:space="preserve">Return on assets ratios, for instance, may show that one generates less profit than rivals. This will not help anybody figure out what's causing the problem or what measures may be done to </w:t>
      </w:r>
      <w:r w:rsidRPr="0021170D">
        <w:rPr>
          <w:rFonts w:ascii="Times New Roman" w:hAnsi="Times New Roman" w:cs="Times New Roman"/>
          <w:color w:val="000000" w:themeColor="text1"/>
          <w:sz w:val="24"/>
          <w:szCs w:val="24"/>
          <w:lang w:val="en-US"/>
        </w:rPr>
        <w:lastRenderedPageBreak/>
        <w:t>remedy it. To get to the bottom of the situation, one needs look into the ratios. A basic ratio analysis may not be sufficient.</w:t>
      </w:r>
    </w:p>
    <w:p w14:paraId="6DE70432" w14:textId="77777777" w:rsidR="00C514C1" w:rsidRPr="00F90C06" w:rsidRDefault="00C514C1" w:rsidP="0026322B">
      <w:pPr>
        <w:jc w:val="both"/>
        <w:rPr>
          <w:rFonts w:ascii="Times New Roman" w:hAnsi="Times New Roman" w:cs="Times New Roman"/>
          <w:color w:val="000000" w:themeColor="text1"/>
          <w:sz w:val="24"/>
          <w:szCs w:val="24"/>
        </w:rPr>
      </w:pPr>
    </w:p>
    <w:p w14:paraId="68E4C397" w14:textId="185E48BB" w:rsidR="0026322B" w:rsidRDefault="00F90C06" w:rsidP="005E393E">
      <w:pPr>
        <w:jc w:val="both"/>
        <w:rPr>
          <w:rFonts w:ascii="Times New Roman" w:hAnsi="Times New Roman" w:cs="Times New Roman"/>
          <w:b/>
          <w:bCs/>
          <w:color w:val="000000" w:themeColor="text1"/>
          <w:sz w:val="24"/>
          <w:szCs w:val="24"/>
          <w:lang w:val="en-US"/>
        </w:rPr>
      </w:pPr>
      <w:r>
        <w:rPr>
          <w:rFonts w:ascii="Times New Roman" w:hAnsi="Times New Roman" w:cs="Times New Roman"/>
          <w:b/>
          <w:bCs/>
          <w:color w:val="000000" w:themeColor="text1"/>
          <w:sz w:val="24"/>
          <w:szCs w:val="24"/>
          <w:lang w:val="en-US"/>
        </w:rPr>
        <w:t>References</w:t>
      </w:r>
    </w:p>
    <w:p w14:paraId="6464F09A" w14:textId="7BAFAB3C" w:rsidR="00F90C06" w:rsidRPr="003329DE" w:rsidRDefault="00F90C06" w:rsidP="00F90C06">
      <w:pPr>
        <w:pStyle w:val="NormalWeb"/>
        <w:spacing w:before="0" w:beforeAutospacing="0" w:after="0" w:afterAutospacing="0" w:line="360" w:lineRule="atLeast"/>
        <w:rPr>
          <w:color w:val="000000"/>
        </w:rPr>
      </w:pPr>
      <w:r w:rsidRPr="003329DE">
        <w:rPr>
          <w:color w:val="000000"/>
        </w:rPr>
        <w:t>Gon, W., Baker, K., Kim, A. and Baker (2005).</w:t>
      </w:r>
      <w:r w:rsidR="003329DE">
        <w:rPr>
          <w:color w:val="000000"/>
        </w:rPr>
        <w:t xml:space="preserve"> </w:t>
      </w:r>
      <w:r w:rsidRPr="003329DE">
        <w:rPr>
          <w:i/>
          <w:iCs/>
          <w:color w:val="000000"/>
        </w:rPr>
        <w:t>Journal of Hospitality Financial Management</w:t>
      </w:r>
      <w:r w:rsidRPr="003329DE">
        <w:rPr>
          <w:color w:val="000000"/>
        </w:rPr>
        <w:t xml:space="preserve">, [online] 13(1), p.26. Available at: </w:t>
      </w:r>
      <w:hyperlink r:id="rId7" w:history="1">
        <w:r w:rsidRPr="003329DE">
          <w:rPr>
            <w:rStyle w:val="Hyperlink"/>
          </w:rPr>
          <w:t>https://scholarworks.umass.edu/cgi/viewcontent.cgi?article=1205&amp;context=jhfm</w:t>
        </w:r>
      </w:hyperlink>
      <w:r w:rsidRPr="003329DE">
        <w:rPr>
          <w:color w:val="000000"/>
        </w:rPr>
        <w:t>.</w:t>
      </w:r>
    </w:p>
    <w:p w14:paraId="58A16F25" w14:textId="77777777" w:rsidR="003329DE" w:rsidRPr="003329DE" w:rsidRDefault="003329DE" w:rsidP="00F90C06">
      <w:pPr>
        <w:pStyle w:val="NormalWeb"/>
        <w:spacing w:before="0" w:beforeAutospacing="0" w:after="0" w:afterAutospacing="0" w:line="360" w:lineRule="atLeast"/>
        <w:rPr>
          <w:color w:val="000000"/>
        </w:rPr>
      </w:pPr>
    </w:p>
    <w:p w14:paraId="620E3ABE" w14:textId="3DF7D7AB" w:rsidR="00F90C06" w:rsidRPr="003329DE" w:rsidRDefault="00F90C06" w:rsidP="00F90C06">
      <w:pPr>
        <w:pStyle w:val="NormalWeb"/>
        <w:spacing w:before="0" w:beforeAutospacing="0" w:after="0" w:afterAutospacing="0" w:line="360" w:lineRule="atLeast"/>
        <w:rPr>
          <w:color w:val="000000"/>
        </w:rPr>
      </w:pPr>
      <w:r w:rsidRPr="003329DE">
        <w:rPr>
          <w:color w:val="000000"/>
        </w:rPr>
        <w:t>Borad sanjay (2019). </w:t>
      </w:r>
      <w:r w:rsidRPr="003329DE">
        <w:rPr>
          <w:i/>
          <w:iCs/>
          <w:color w:val="000000"/>
        </w:rPr>
        <w:t>Limitations of Ratio Analysis</w:t>
      </w:r>
      <w:r w:rsidRPr="003329DE">
        <w:rPr>
          <w:color w:val="000000"/>
        </w:rPr>
        <w:t xml:space="preserve">. [online] eFinanceManagement.com. Available at: </w:t>
      </w:r>
      <w:hyperlink r:id="rId8" w:history="1">
        <w:r w:rsidRPr="003329DE">
          <w:rPr>
            <w:rStyle w:val="Hyperlink"/>
          </w:rPr>
          <w:t>https://efinancemanagement.com/financial-analysis/limitations-of-ratio-analysis</w:t>
        </w:r>
      </w:hyperlink>
      <w:r w:rsidRPr="003329DE">
        <w:rPr>
          <w:color w:val="000000"/>
        </w:rPr>
        <w:t>.</w:t>
      </w:r>
    </w:p>
    <w:p w14:paraId="6819958F" w14:textId="77777777" w:rsidR="003329DE" w:rsidRPr="003329DE" w:rsidRDefault="003329DE" w:rsidP="00F90C06">
      <w:pPr>
        <w:pStyle w:val="NormalWeb"/>
        <w:spacing w:before="0" w:beforeAutospacing="0" w:after="0" w:afterAutospacing="0" w:line="360" w:lineRule="atLeast"/>
        <w:rPr>
          <w:color w:val="000000"/>
        </w:rPr>
      </w:pPr>
    </w:p>
    <w:p w14:paraId="576C43E7" w14:textId="2EA2903C" w:rsidR="003329DE" w:rsidRPr="003329DE" w:rsidRDefault="003329DE" w:rsidP="003329DE">
      <w:pPr>
        <w:pStyle w:val="NormalWeb"/>
        <w:spacing w:before="0" w:beforeAutospacing="0" w:after="0" w:afterAutospacing="0" w:line="360" w:lineRule="atLeast"/>
        <w:rPr>
          <w:color w:val="000000"/>
        </w:rPr>
      </w:pPr>
      <w:r w:rsidRPr="003329DE">
        <w:rPr>
          <w:color w:val="000000"/>
        </w:rPr>
        <w:t>Toppr (2019). </w:t>
      </w:r>
      <w:r w:rsidRPr="003329DE">
        <w:rPr>
          <w:i/>
          <w:iCs/>
          <w:color w:val="000000"/>
        </w:rPr>
        <w:t>Toppr-guides</w:t>
      </w:r>
      <w:r w:rsidRPr="003329DE">
        <w:rPr>
          <w:color w:val="000000"/>
        </w:rPr>
        <w:t xml:space="preserve">. [online] Toppr-guides. Available at: </w:t>
      </w:r>
      <w:hyperlink r:id="rId9" w:history="1">
        <w:r w:rsidRPr="003329DE">
          <w:rPr>
            <w:rStyle w:val="Hyperlink"/>
          </w:rPr>
          <w:t>https://www.toppr.com/guides/accountancy/accounting-ratios/meaning-objectives-advantages-and-limitations-of-ratio-analysis/</w:t>
        </w:r>
      </w:hyperlink>
      <w:r w:rsidRPr="003329DE">
        <w:rPr>
          <w:color w:val="000000"/>
        </w:rPr>
        <w:t>.</w:t>
      </w:r>
    </w:p>
    <w:p w14:paraId="2D840D1D" w14:textId="77777777" w:rsidR="003329DE" w:rsidRPr="003329DE" w:rsidRDefault="003329DE" w:rsidP="003329DE">
      <w:pPr>
        <w:pStyle w:val="NormalWeb"/>
        <w:spacing w:before="0" w:beforeAutospacing="0" w:after="0" w:afterAutospacing="0" w:line="360" w:lineRule="atLeast"/>
        <w:rPr>
          <w:color w:val="000000"/>
        </w:rPr>
      </w:pPr>
    </w:p>
    <w:p w14:paraId="24DBF676" w14:textId="4A6D6F93" w:rsidR="003329DE" w:rsidRPr="003329DE" w:rsidRDefault="003329DE" w:rsidP="003329DE">
      <w:pPr>
        <w:pStyle w:val="NormalWeb"/>
        <w:spacing w:before="0" w:beforeAutospacing="0" w:after="0" w:afterAutospacing="0" w:line="360" w:lineRule="atLeast"/>
        <w:rPr>
          <w:color w:val="000000"/>
        </w:rPr>
      </w:pPr>
      <w:r w:rsidRPr="003329DE">
        <w:rPr>
          <w:color w:val="000000"/>
        </w:rPr>
        <w:t>EDUCBA. (2020). </w:t>
      </w:r>
      <w:r w:rsidRPr="003329DE">
        <w:rPr>
          <w:i/>
          <w:iCs/>
          <w:color w:val="000000"/>
        </w:rPr>
        <w:t>Importance of Ratio Analysis | Categories and Importance of Ratio Analysis</w:t>
      </w:r>
      <w:r w:rsidRPr="003329DE">
        <w:rPr>
          <w:color w:val="000000"/>
        </w:rPr>
        <w:t xml:space="preserve">. [online] Available at: </w:t>
      </w:r>
      <w:hyperlink r:id="rId10" w:history="1">
        <w:r w:rsidRPr="003329DE">
          <w:rPr>
            <w:rStyle w:val="Hyperlink"/>
          </w:rPr>
          <w:t>https://www.educba.com/importance-of-ratio-analysis/</w:t>
        </w:r>
      </w:hyperlink>
      <w:r w:rsidRPr="003329DE">
        <w:rPr>
          <w:color w:val="000000"/>
        </w:rPr>
        <w:t>.</w:t>
      </w:r>
    </w:p>
    <w:p w14:paraId="635E2AF3" w14:textId="29D5AA17" w:rsidR="003329DE" w:rsidRDefault="003329DE" w:rsidP="003329DE">
      <w:pPr>
        <w:pStyle w:val="NormalWeb"/>
        <w:spacing w:before="0" w:beforeAutospacing="0" w:after="0" w:afterAutospacing="0" w:line="360" w:lineRule="atLeast"/>
        <w:rPr>
          <w:color w:val="000000"/>
        </w:rPr>
      </w:pPr>
    </w:p>
    <w:p w14:paraId="104DF6DF" w14:textId="77777777" w:rsidR="0021170D" w:rsidRDefault="0021170D" w:rsidP="0021170D">
      <w:pPr>
        <w:spacing w:after="0" w:line="240" w:lineRule="auto"/>
        <w:rPr>
          <w:rFonts w:ascii="Times New Roman" w:eastAsia="Times New Roman" w:hAnsi="Times New Roman" w:cs="Times New Roman"/>
          <w:sz w:val="24"/>
          <w:szCs w:val="24"/>
          <w:lang w:val="en-TR" w:eastAsia="en-GB"/>
        </w:rPr>
      </w:pPr>
      <w:r w:rsidRPr="0021170D">
        <w:rPr>
          <w:rFonts w:ascii="Times New Roman" w:eastAsia="Times New Roman" w:hAnsi="Times New Roman" w:cs="Times New Roman"/>
          <w:sz w:val="24"/>
          <w:szCs w:val="24"/>
          <w:lang w:val="en-TR" w:eastAsia="en-GB"/>
        </w:rPr>
        <w:t xml:space="preserve">Kristy, J. (1994). Conquering financial ratios: The good, the bad, and the who cares? Business Credit, 96 (2), 14-17. </w:t>
      </w:r>
    </w:p>
    <w:p w14:paraId="04EAEBBB" w14:textId="77777777" w:rsidR="0021170D" w:rsidRPr="003329DE" w:rsidRDefault="0021170D" w:rsidP="003329DE">
      <w:pPr>
        <w:pStyle w:val="NormalWeb"/>
        <w:spacing w:before="0" w:beforeAutospacing="0" w:after="0" w:afterAutospacing="0" w:line="360" w:lineRule="atLeast"/>
        <w:rPr>
          <w:color w:val="000000"/>
        </w:rPr>
      </w:pPr>
    </w:p>
    <w:p w14:paraId="1F75100D" w14:textId="131D89EC" w:rsidR="003329DE" w:rsidRDefault="003329DE" w:rsidP="003329DE">
      <w:pPr>
        <w:spacing w:after="0" w:line="360" w:lineRule="atLeast"/>
        <w:rPr>
          <w:rFonts w:ascii="Times New Roman" w:eastAsia="Times New Roman" w:hAnsi="Times New Roman" w:cs="Times New Roman"/>
          <w:color w:val="000000"/>
          <w:sz w:val="24"/>
          <w:szCs w:val="24"/>
          <w:lang w:eastAsia="en-GB"/>
        </w:rPr>
      </w:pPr>
      <w:r w:rsidRPr="003329DE">
        <w:rPr>
          <w:rFonts w:ascii="Times New Roman" w:eastAsia="Times New Roman" w:hAnsi="Times New Roman" w:cs="Times New Roman"/>
          <w:color w:val="000000"/>
          <w:sz w:val="24"/>
          <w:szCs w:val="24"/>
          <w:lang w:eastAsia="en-GB"/>
        </w:rPr>
        <w:t>Learn Accounting: Notes, Procedures, Problems and Solutions. (2017). </w:t>
      </w:r>
      <w:r w:rsidRPr="003329DE">
        <w:rPr>
          <w:rFonts w:ascii="Times New Roman" w:eastAsia="Times New Roman" w:hAnsi="Times New Roman" w:cs="Times New Roman"/>
          <w:i/>
          <w:iCs/>
          <w:color w:val="000000"/>
          <w:sz w:val="24"/>
          <w:szCs w:val="24"/>
          <w:lang w:eastAsia="en-GB"/>
        </w:rPr>
        <w:t>Importance of Ratio Analysis | Accounting</w:t>
      </w:r>
      <w:r w:rsidRPr="003329DE">
        <w:rPr>
          <w:rFonts w:ascii="Times New Roman" w:eastAsia="Times New Roman" w:hAnsi="Times New Roman" w:cs="Times New Roman"/>
          <w:color w:val="000000"/>
          <w:sz w:val="24"/>
          <w:szCs w:val="24"/>
          <w:lang w:eastAsia="en-GB"/>
        </w:rPr>
        <w:t xml:space="preserve">. [online] Available at: </w:t>
      </w:r>
      <w:hyperlink r:id="rId11" w:history="1">
        <w:r w:rsidRPr="003329DE">
          <w:rPr>
            <w:rStyle w:val="Hyperlink"/>
            <w:rFonts w:ascii="Times New Roman" w:eastAsia="Times New Roman" w:hAnsi="Times New Roman" w:cs="Times New Roman"/>
            <w:sz w:val="24"/>
            <w:szCs w:val="24"/>
            <w:lang w:eastAsia="en-GB"/>
          </w:rPr>
          <w:t>https://www.accountingnotes.net/accounting/ratio-analysis-accounting/importance-of-ratio-analysis-accounting/13434</w:t>
        </w:r>
      </w:hyperlink>
      <w:r w:rsidRPr="003329DE">
        <w:rPr>
          <w:rFonts w:ascii="Times New Roman" w:eastAsia="Times New Roman" w:hAnsi="Times New Roman" w:cs="Times New Roman"/>
          <w:color w:val="000000"/>
          <w:sz w:val="24"/>
          <w:szCs w:val="24"/>
          <w:lang w:eastAsia="en-GB"/>
        </w:rPr>
        <w:t>.</w:t>
      </w:r>
    </w:p>
    <w:p w14:paraId="265CA1E5" w14:textId="5CF22248" w:rsidR="003329DE" w:rsidRDefault="003329DE" w:rsidP="003329DE">
      <w:pPr>
        <w:spacing w:after="0" w:line="360" w:lineRule="atLeast"/>
        <w:rPr>
          <w:rFonts w:ascii="Times New Roman" w:eastAsia="Times New Roman" w:hAnsi="Times New Roman" w:cs="Times New Roman"/>
          <w:color w:val="000000"/>
          <w:sz w:val="24"/>
          <w:szCs w:val="24"/>
          <w:lang w:eastAsia="en-GB"/>
        </w:rPr>
      </w:pPr>
    </w:p>
    <w:p w14:paraId="10688EDB" w14:textId="77777777" w:rsidR="0021170D" w:rsidRPr="0021170D" w:rsidRDefault="0021170D" w:rsidP="0021170D">
      <w:pPr>
        <w:spacing w:after="0" w:line="240" w:lineRule="auto"/>
        <w:rPr>
          <w:rFonts w:ascii="Times New Roman" w:eastAsia="Times New Roman" w:hAnsi="Times New Roman" w:cs="Times New Roman"/>
          <w:sz w:val="24"/>
          <w:szCs w:val="24"/>
          <w:lang w:val="en-TR" w:eastAsia="en-GB"/>
        </w:rPr>
      </w:pPr>
      <w:r w:rsidRPr="0021170D">
        <w:rPr>
          <w:rFonts w:ascii="Times New Roman" w:eastAsia="Times New Roman" w:hAnsi="Times New Roman" w:cs="Times New Roman"/>
          <w:sz w:val="24"/>
          <w:szCs w:val="24"/>
          <w:lang w:val="en-TR" w:eastAsia="en-GB"/>
        </w:rPr>
        <w:t xml:space="preserve">Lee, C., Finnert, J., &amp; Norton, E. (1997). Foundations of financial management, Minneopolis / St.Pul, Minn: West Pub. </w:t>
      </w:r>
    </w:p>
    <w:p w14:paraId="5019FF6B" w14:textId="77777777" w:rsidR="0021170D" w:rsidRPr="003329DE" w:rsidRDefault="0021170D" w:rsidP="003329DE">
      <w:pPr>
        <w:spacing w:after="0" w:line="360" w:lineRule="atLeast"/>
        <w:rPr>
          <w:rFonts w:ascii="Times New Roman" w:eastAsia="Times New Roman" w:hAnsi="Times New Roman" w:cs="Times New Roman"/>
          <w:color w:val="000000"/>
          <w:sz w:val="24"/>
          <w:szCs w:val="24"/>
          <w:lang w:eastAsia="en-GB"/>
        </w:rPr>
      </w:pPr>
    </w:p>
    <w:p w14:paraId="2544EE7E" w14:textId="22860F52" w:rsidR="003329DE" w:rsidRDefault="003329DE" w:rsidP="003329DE">
      <w:pPr>
        <w:pStyle w:val="NormalWeb"/>
        <w:spacing w:before="0" w:beforeAutospacing="0" w:after="0" w:afterAutospacing="0" w:line="360" w:lineRule="atLeast"/>
        <w:rPr>
          <w:color w:val="000000"/>
        </w:rPr>
      </w:pPr>
      <w:r w:rsidRPr="003329DE">
        <w:rPr>
          <w:color w:val="000000"/>
        </w:rPr>
        <w:t>‌ Pant, S. (2015). </w:t>
      </w:r>
      <w:r w:rsidRPr="003329DE">
        <w:rPr>
          <w:i/>
          <w:iCs/>
          <w:color w:val="000000"/>
        </w:rPr>
        <w:t>Ratio Analysis: Meaning, Advantages and Limitations | Accounting</w:t>
      </w:r>
      <w:r w:rsidRPr="003329DE">
        <w:rPr>
          <w:color w:val="000000"/>
        </w:rPr>
        <w:t xml:space="preserve">. [online] Your Article Library. Available at: </w:t>
      </w:r>
      <w:hyperlink r:id="rId12" w:history="1">
        <w:r w:rsidRPr="00DE76EB">
          <w:rPr>
            <w:rStyle w:val="Hyperlink"/>
          </w:rPr>
          <w:t>https://www.yourarticlelibrary.com/accounting/ratio-analysis/ratio-analysis-meaning-advantages-and-limitations-accounting/65204</w:t>
        </w:r>
      </w:hyperlink>
      <w:r w:rsidRPr="003329DE">
        <w:rPr>
          <w:color w:val="000000"/>
        </w:rPr>
        <w:t>.</w:t>
      </w:r>
    </w:p>
    <w:p w14:paraId="0C067297" w14:textId="6E66CE5D" w:rsidR="0021170D" w:rsidRDefault="0021170D" w:rsidP="003329DE">
      <w:pPr>
        <w:pStyle w:val="NormalWeb"/>
        <w:spacing w:before="0" w:beforeAutospacing="0" w:after="0" w:afterAutospacing="0" w:line="360" w:lineRule="atLeast"/>
        <w:rPr>
          <w:color w:val="000000"/>
        </w:rPr>
      </w:pPr>
    </w:p>
    <w:p w14:paraId="2A556A4B" w14:textId="347DBF98" w:rsidR="0021170D" w:rsidRDefault="0021170D" w:rsidP="0021170D">
      <w:pPr>
        <w:spacing w:after="0" w:line="240" w:lineRule="auto"/>
        <w:rPr>
          <w:rFonts w:ascii="Times New Roman" w:eastAsia="Times New Roman" w:hAnsi="Times New Roman" w:cs="Times New Roman"/>
          <w:sz w:val="24"/>
          <w:szCs w:val="24"/>
          <w:lang w:val="en-TR" w:eastAsia="en-GB"/>
        </w:rPr>
      </w:pPr>
      <w:r w:rsidRPr="0021170D">
        <w:rPr>
          <w:rFonts w:ascii="Times New Roman" w:eastAsia="Times New Roman" w:hAnsi="Times New Roman" w:cs="Times New Roman"/>
          <w:sz w:val="24"/>
          <w:szCs w:val="24"/>
          <w:lang w:val="en-TR" w:eastAsia="en-GB"/>
        </w:rPr>
        <w:t xml:space="preserve">Gardiner, M. (19995). Financial ratio definitions reviewed. Management Accounting, 73 (8), 32-33. </w:t>
      </w:r>
    </w:p>
    <w:p w14:paraId="572BF00D" w14:textId="77777777" w:rsidR="0021170D" w:rsidRPr="0021170D" w:rsidRDefault="0021170D" w:rsidP="0021170D">
      <w:pPr>
        <w:spacing w:after="0" w:line="240" w:lineRule="auto"/>
        <w:rPr>
          <w:rFonts w:ascii="Times New Roman" w:eastAsia="Times New Roman" w:hAnsi="Times New Roman" w:cs="Times New Roman"/>
          <w:sz w:val="24"/>
          <w:szCs w:val="24"/>
          <w:lang w:val="en-TR" w:eastAsia="en-GB"/>
        </w:rPr>
      </w:pPr>
    </w:p>
    <w:p w14:paraId="1D21CB37" w14:textId="77777777" w:rsidR="0021170D" w:rsidRPr="0021170D" w:rsidRDefault="0021170D" w:rsidP="0021170D">
      <w:pPr>
        <w:spacing w:after="0" w:line="240" w:lineRule="auto"/>
        <w:rPr>
          <w:rFonts w:ascii="Times New Roman" w:eastAsia="Times New Roman" w:hAnsi="Times New Roman" w:cs="Times New Roman"/>
          <w:sz w:val="24"/>
          <w:szCs w:val="24"/>
          <w:lang w:val="en-TR" w:eastAsia="en-GB"/>
        </w:rPr>
      </w:pPr>
      <w:r w:rsidRPr="0021170D">
        <w:rPr>
          <w:rFonts w:ascii="Times New Roman" w:eastAsia="Times New Roman" w:hAnsi="Times New Roman" w:cs="Times New Roman"/>
          <w:sz w:val="24"/>
          <w:szCs w:val="24"/>
          <w:lang w:val="en-TR" w:eastAsia="en-GB"/>
        </w:rPr>
        <w:t xml:space="preserve">Edmister, O. (1972). An empirical test of financial ratio analysis for small business failure prediction. Journal of Financial and Quantitative Analysis, 7(2), 1477- 1493. </w:t>
      </w:r>
    </w:p>
    <w:p w14:paraId="7907B8DF" w14:textId="77777777" w:rsidR="0021170D" w:rsidRDefault="0021170D" w:rsidP="003329DE">
      <w:pPr>
        <w:pStyle w:val="NormalWeb"/>
        <w:spacing w:before="0" w:beforeAutospacing="0" w:after="0" w:afterAutospacing="0" w:line="360" w:lineRule="atLeast"/>
        <w:rPr>
          <w:color w:val="000000"/>
        </w:rPr>
      </w:pPr>
    </w:p>
    <w:p w14:paraId="200E40E5" w14:textId="5A1D89DD" w:rsidR="0021170D" w:rsidRDefault="0021170D" w:rsidP="0021170D">
      <w:pPr>
        <w:spacing w:after="0" w:line="240" w:lineRule="auto"/>
        <w:rPr>
          <w:rFonts w:ascii="Times New Roman" w:eastAsia="Times New Roman" w:hAnsi="Times New Roman" w:cs="Times New Roman"/>
          <w:sz w:val="24"/>
          <w:szCs w:val="24"/>
          <w:lang w:val="en-TR" w:eastAsia="en-GB"/>
        </w:rPr>
      </w:pPr>
      <w:r w:rsidRPr="0021170D">
        <w:rPr>
          <w:rFonts w:ascii="Times New Roman" w:eastAsia="Times New Roman" w:hAnsi="Times New Roman" w:cs="Times New Roman"/>
          <w:sz w:val="24"/>
          <w:szCs w:val="24"/>
          <w:lang w:val="en-TR" w:eastAsia="en-GB"/>
        </w:rPr>
        <w:lastRenderedPageBreak/>
        <w:t xml:space="preserve">Lawder, K. (1989). Ratio 101: Back to the basics of financial analysis. Business Credit, 91(6), 28-30. </w:t>
      </w:r>
    </w:p>
    <w:p w14:paraId="3A3EB7F4" w14:textId="77777777" w:rsidR="0021170D" w:rsidRPr="0021170D" w:rsidRDefault="0021170D" w:rsidP="0021170D">
      <w:pPr>
        <w:spacing w:after="0" w:line="240" w:lineRule="auto"/>
        <w:rPr>
          <w:rFonts w:ascii="Times New Roman" w:eastAsia="Times New Roman" w:hAnsi="Times New Roman" w:cs="Times New Roman"/>
          <w:sz w:val="24"/>
          <w:szCs w:val="24"/>
          <w:lang w:val="en-TR" w:eastAsia="en-GB"/>
        </w:rPr>
      </w:pPr>
    </w:p>
    <w:p w14:paraId="6D7BB628" w14:textId="40F55D6F" w:rsidR="003329DE" w:rsidRDefault="003329DE" w:rsidP="009723EC">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3329DE">
        <w:rPr>
          <w:rFonts w:ascii="Times New Roman" w:eastAsia="Times New Roman" w:hAnsi="Times New Roman" w:cs="Times New Roman"/>
          <w:color w:val="000000"/>
          <w:sz w:val="24"/>
          <w:szCs w:val="24"/>
          <w:lang w:eastAsia="en-GB"/>
        </w:rPr>
        <w:t>Byjus (2019). </w:t>
      </w:r>
      <w:r w:rsidRPr="003329DE">
        <w:rPr>
          <w:rFonts w:ascii="Times New Roman" w:eastAsia="Times New Roman" w:hAnsi="Times New Roman" w:cs="Times New Roman"/>
          <w:i/>
          <w:iCs/>
          <w:color w:val="000000"/>
          <w:sz w:val="24"/>
          <w:szCs w:val="24"/>
          <w:lang w:eastAsia="en-GB"/>
        </w:rPr>
        <w:t>Advantages and Disadvantages of Ratio Analysis</w:t>
      </w:r>
      <w:r w:rsidRPr="003329DE">
        <w:rPr>
          <w:rFonts w:ascii="Times New Roman" w:eastAsia="Times New Roman" w:hAnsi="Times New Roman" w:cs="Times New Roman"/>
          <w:color w:val="000000"/>
          <w:sz w:val="24"/>
          <w:szCs w:val="24"/>
          <w:lang w:eastAsia="en-GB"/>
        </w:rPr>
        <w:t xml:space="preserve">. [online] BYJUS. Available at: </w:t>
      </w:r>
      <w:hyperlink r:id="rId13" w:history="1">
        <w:r w:rsidRPr="003329DE">
          <w:rPr>
            <w:rStyle w:val="Hyperlink"/>
            <w:rFonts w:ascii="Times New Roman" w:eastAsia="Times New Roman" w:hAnsi="Times New Roman" w:cs="Times New Roman"/>
            <w:sz w:val="24"/>
            <w:szCs w:val="24"/>
            <w:lang w:eastAsia="en-GB"/>
          </w:rPr>
          <w:t>https://byjus.com/commerce/advantages-and-disadvantages-of-ratio-analysis/</w:t>
        </w:r>
      </w:hyperlink>
      <w:r w:rsidRPr="003329DE">
        <w:rPr>
          <w:rFonts w:ascii="Times New Roman" w:eastAsia="Times New Roman" w:hAnsi="Times New Roman" w:cs="Times New Roman"/>
          <w:color w:val="000000"/>
          <w:sz w:val="24"/>
          <w:szCs w:val="24"/>
          <w:lang w:eastAsia="en-GB"/>
        </w:rPr>
        <w:t>.</w:t>
      </w:r>
    </w:p>
    <w:p w14:paraId="672730F7" w14:textId="6638C8D8" w:rsidR="003329DE" w:rsidRDefault="003329DE" w:rsidP="003329DE">
      <w:pPr>
        <w:pStyle w:val="NormalWeb"/>
        <w:spacing w:before="0" w:beforeAutospacing="0" w:after="0" w:afterAutospacing="0" w:line="360" w:lineRule="atLeast"/>
        <w:rPr>
          <w:color w:val="000000"/>
        </w:rPr>
      </w:pPr>
      <w:r w:rsidRPr="003329DE">
        <w:rPr>
          <w:color w:val="000000"/>
        </w:rPr>
        <w:t>Finance Strategists. (2019). </w:t>
      </w:r>
      <w:r w:rsidRPr="003329DE">
        <w:rPr>
          <w:i/>
          <w:iCs/>
          <w:color w:val="000000"/>
        </w:rPr>
        <w:t>What Is Ratio Analysis? | Definition, Importance and Limitations</w:t>
      </w:r>
      <w:r w:rsidRPr="003329DE">
        <w:rPr>
          <w:color w:val="000000"/>
        </w:rPr>
        <w:t xml:space="preserve">. [online] Available at: </w:t>
      </w:r>
      <w:hyperlink r:id="rId14" w:history="1">
        <w:r w:rsidRPr="00DE76EB">
          <w:rPr>
            <w:rStyle w:val="Hyperlink"/>
          </w:rPr>
          <w:t>https://learn.financestrategists.com/explanation/management-accounting/q-1-what-is-ratio-analysis-discuss-importance-and-limitations-of-ratio-analysis/</w:t>
        </w:r>
      </w:hyperlink>
      <w:r w:rsidRPr="003329DE">
        <w:rPr>
          <w:color w:val="000000"/>
        </w:rPr>
        <w:t>.</w:t>
      </w:r>
    </w:p>
    <w:p w14:paraId="2B7DFDC2" w14:textId="77777777" w:rsidR="0021170D" w:rsidRDefault="0021170D" w:rsidP="003329DE">
      <w:pPr>
        <w:pStyle w:val="NormalWeb"/>
        <w:spacing w:before="0" w:beforeAutospacing="0" w:after="0" w:afterAutospacing="0" w:line="360" w:lineRule="atLeast"/>
        <w:rPr>
          <w:color w:val="000000"/>
        </w:rPr>
      </w:pPr>
    </w:p>
    <w:p w14:paraId="357F0D94" w14:textId="77777777" w:rsidR="0021170D" w:rsidRPr="0021170D" w:rsidRDefault="0021170D" w:rsidP="0021170D">
      <w:pPr>
        <w:spacing w:after="0" w:line="240" w:lineRule="auto"/>
        <w:rPr>
          <w:rFonts w:ascii="Times New Roman" w:eastAsia="Times New Roman" w:hAnsi="Times New Roman" w:cs="Times New Roman"/>
          <w:sz w:val="24"/>
          <w:szCs w:val="24"/>
          <w:lang w:val="en-TR" w:eastAsia="en-GB"/>
        </w:rPr>
      </w:pPr>
      <w:r w:rsidRPr="0021170D">
        <w:rPr>
          <w:rFonts w:ascii="Times New Roman" w:eastAsia="Times New Roman" w:hAnsi="Times New Roman" w:cs="Times New Roman"/>
          <w:sz w:val="24"/>
          <w:szCs w:val="24"/>
          <w:lang w:val="en-TR" w:eastAsia="en-GB"/>
        </w:rPr>
        <w:t xml:space="preserve">Damitio, J., Deninngton, L. &amp; Schmidgall, .R. (1995). Financial statement analysis. The Bottom Line, 10(6), 10-117. </w:t>
      </w:r>
    </w:p>
    <w:p w14:paraId="15235ED9" w14:textId="77777777" w:rsidR="0021170D" w:rsidRDefault="0021170D" w:rsidP="003329DE">
      <w:pPr>
        <w:pStyle w:val="NormalWeb"/>
        <w:spacing w:before="0" w:beforeAutospacing="0" w:after="0" w:afterAutospacing="0" w:line="360" w:lineRule="atLeast"/>
        <w:rPr>
          <w:color w:val="000000"/>
        </w:rPr>
      </w:pPr>
    </w:p>
    <w:p w14:paraId="5BF07931" w14:textId="226BC0CB" w:rsidR="003329DE" w:rsidRDefault="003329DE" w:rsidP="003329DE">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3329DE">
        <w:rPr>
          <w:rFonts w:ascii="Times New Roman" w:eastAsia="Times New Roman" w:hAnsi="Times New Roman" w:cs="Times New Roman"/>
          <w:color w:val="000000"/>
          <w:sz w:val="24"/>
          <w:szCs w:val="24"/>
          <w:lang w:eastAsia="en-GB"/>
        </w:rPr>
        <w:t>Siddique, S. (2019). </w:t>
      </w:r>
      <w:r w:rsidR="00923788" w:rsidRPr="003329DE">
        <w:rPr>
          <w:rFonts w:ascii="Times New Roman" w:eastAsia="Times New Roman" w:hAnsi="Times New Roman" w:cs="Times New Roman"/>
          <w:i/>
          <w:iCs/>
          <w:color w:val="000000"/>
          <w:sz w:val="24"/>
          <w:szCs w:val="24"/>
          <w:lang w:eastAsia="en-GB"/>
        </w:rPr>
        <w:t>Importance</w:t>
      </w:r>
      <w:r w:rsidRPr="003329DE">
        <w:rPr>
          <w:rFonts w:ascii="Times New Roman" w:eastAsia="Times New Roman" w:hAnsi="Times New Roman" w:cs="Times New Roman"/>
          <w:i/>
          <w:iCs/>
          <w:color w:val="000000"/>
          <w:sz w:val="24"/>
          <w:szCs w:val="24"/>
          <w:lang w:eastAsia="en-GB"/>
        </w:rPr>
        <w:t xml:space="preserve"> of Ratio Analysis | Top 8 Uses of Ratio Analysis in Accounting</w:t>
      </w:r>
      <w:r w:rsidRPr="003329DE">
        <w:rPr>
          <w:rFonts w:ascii="Times New Roman" w:eastAsia="Times New Roman" w:hAnsi="Times New Roman" w:cs="Times New Roman"/>
          <w:color w:val="000000"/>
          <w:sz w:val="24"/>
          <w:szCs w:val="24"/>
          <w:lang w:eastAsia="en-GB"/>
        </w:rPr>
        <w:t xml:space="preserve">. [online] Wallstreetmojo.com. Available at: </w:t>
      </w:r>
      <w:hyperlink r:id="rId15" w:history="1">
        <w:r w:rsidRPr="003329DE">
          <w:rPr>
            <w:rStyle w:val="Hyperlink"/>
            <w:rFonts w:ascii="Times New Roman" w:eastAsia="Times New Roman" w:hAnsi="Times New Roman" w:cs="Times New Roman"/>
            <w:sz w:val="24"/>
            <w:szCs w:val="24"/>
            <w:lang w:eastAsia="en-GB"/>
          </w:rPr>
          <w:t>https://www.wallstreetmojo.com/importance-of-ratio-analysis/</w:t>
        </w:r>
      </w:hyperlink>
      <w:r w:rsidRPr="003329DE">
        <w:rPr>
          <w:rFonts w:ascii="Times New Roman" w:eastAsia="Times New Roman" w:hAnsi="Times New Roman" w:cs="Times New Roman"/>
          <w:color w:val="000000"/>
          <w:sz w:val="24"/>
          <w:szCs w:val="24"/>
          <w:lang w:eastAsia="en-GB"/>
        </w:rPr>
        <w:t>.</w:t>
      </w:r>
    </w:p>
    <w:p w14:paraId="13544274" w14:textId="4D0C6BAA" w:rsidR="0021170D" w:rsidRDefault="0021170D" w:rsidP="0021170D">
      <w:pPr>
        <w:spacing w:after="0" w:line="240" w:lineRule="auto"/>
        <w:rPr>
          <w:rFonts w:ascii="Times New Roman" w:eastAsia="Times New Roman" w:hAnsi="Times New Roman" w:cs="Times New Roman"/>
          <w:sz w:val="24"/>
          <w:szCs w:val="24"/>
          <w:lang w:val="en-TR" w:eastAsia="en-GB"/>
        </w:rPr>
      </w:pPr>
      <w:r w:rsidRPr="0021170D">
        <w:rPr>
          <w:rFonts w:ascii="Times New Roman" w:eastAsia="Times New Roman" w:hAnsi="Times New Roman" w:cs="Times New Roman"/>
          <w:sz w:val="24"/>
          <w:szCs w:val="24"/>
          <w:lang w:val="en-TR" w:eastAsia="en-GB"/>
        </w:rPr>
        <w:t xml:space="preserve">Hitchings, R. (1999). Ratio analysis as a tool in credit assessment. Commercial Lending Review, 14 (3), 45-49. </w:t>
      </w:r>
    </w:p>
    <w:p w14:paraId="708B44A7" w14:textId="77777777" w:rsidR="0021170D" w:rsidRPr="0021170D" w:rsidRDefault="0021170D" w:rsidP="0021170D">
      <w:pPr>
        <w:spacing w:after="0" w:line="240" w:lineRule="auto"/>
        <w:rPr>
          <w:rFonts w:ascii="Times New Roman" w:eastAsia="Times New Roman" w:hAnsi="Times New Roman" w:cs="Times New Roman"/>
          <w:sz w:val="24"/>
          <w:szCs w:val="24"/>
          <w:lang w:val="en-TR" w:eastAsia="en-GB"/>
        </w:rPr>
      </w:pPr>
    </w:p>
    <w:p w14:paraId="21441CAA" w14:textId="77777777" w:rsidR="0021170D" w:rsidRPr="0021170D" w:rsidRDefault="0021170D" w:rsidP="0021170D">
      <w:pPr>
        <w:spacing w:after="0" w:line="240" w:lineRule="auto"/>
        <w:rPr>
          <w:rFonts w:ascii="Times New Roman" w:eastAsia="Times New Roman" w:hAnsi="Times New Roman" w:cs="Times New Roman"/>
          <w:sz w:val="24"/>
          <w:szCs w:val="24"/>
          <w:lang w:val="en-TR" w:eastAsia="en-GB"/>
        </w:rPr>
      </w:pPr>
      <w:r w:rsidRPr="0021170D">
        <w:rPr>
          <w:rFonts w:ascii="Times New Roman" w:eastAsia="Times New Roman" w:hAnsi="Times New Roman" w:cs="Times New Roman"/>
          <w:sz w:val="24"/>
          <w:szCs w:val="24"/>
          <w:lang w:val="en-TR" w:eastAsia="en-GB"/>
        </w:rPr>
        <w:t>Cudd, M. &amp; Duggard, R. (2000). Industry distributional characteristics of financial ratios: An acquisition theory application. The Financial Review, 35(1), 105-120</w:t>
      </w:r>
    </w:p>
    <w:p w14:paraId="42FED83B" w14:textId="77777777" w:rsidR="003329DE" w:rsidRPr="003329DE" w:rsidRDefault="003329DE" w:rsidP="003329DE">
      <w:pPr>
        <w:spacing w:before="100" w:beforeAutospacing="1" w:after="100" w:afterAutospacing="1" w:line="240" w:lineRule="auto"/>
        <w:rPr>
          <w:rFonts w:ascii="Times New Roman" w:eastAsia="Times New Roman" w:hAnsi="Times New Roman" w:cs="Times New Roman"/>
          <w:color w:val="000000"/>
          <w:sz w:val="24"/>
          <w:szCs w:val="24"/>
          <w:lang w:eastAsia="en-GB"/>
        </w:rPr>
      </w:pPr>
    </w:p>
    <w:p w14:paraId="336632A1" w14:textId="77777777" w:rsidR="003329DE" w:rsidRPr="003329DE" w:rsidRDefault="003329DE" w:rsidP="003329DE">
      <w:pPr>
        <w:spacing w:before="100" w:beforeAutospacing="1" w:after="100" w:afterAutospacing="1" w:line="240" w:lineRule="auto"/>
        <w:rPr>
          <w:rFonts w:ascii="Calibri" w:eastAsia="Times New Roman" w:hAnsi="Calibri" w:cs="Calibri"/>
          <w:color w:val="000000"/>
          <w:sz w:val="27"/>
          <w:szCs w:val="27"/>
          <w:lang w:eastAsia="en-GB"/>
        </w:rPr>
      </w:pPr>
      <w:r w:rsidRPr="003329DE">
        <w:rPr>
          <w:rFonts w:ascii="Calibri" w:eastAsia="Times New Roman" w:hAnsi="Calibri" w:cs="Calibri"/>
          <w:color w:val="000000"/>
          <w:sz w:val="27"/>
          <w:szCs w:val="27"/>
          <w:lang w:eastAsia="en-GB"/>
        </w:rPr>
        <w:t>‌</w:t>
      </w:r>
    </w:p>
    <w:p w14:paraId="3E081CE2" w14:textId="216D7E38" w:rsidR="003329DE" w:rsidRPr="003329DE" w:rsidRDefault="003329DE" w:rsidP="003329DE">
      <w:pPr>
        <w:spacing w:before="100" w:beforeAutospacing="1" w:after="100" w:afterAutospacing="1" w:line="240" w:lineRule="auto"/>
        <w:rPr>
          <w:rFonts w:ascii="Calibri" w:eastAsia="Times New Roman" w:hAnsi="Calibri" w:cs="Calibri"/>
          <w:color w:val="000000"/>
          <w:sz w:val="27"/>
          <w:szCs w:val="27"/>
          <w:lang w:eastAsia="en-GB"/>
        </w:rPr>
      </w:pPr>
    </w:p>
    <w:p w14:paraId="68F57AFE" w14:textId="5FF8171C" w:rsidR="003329DE" w:rsidRPr="003329DE" w:rsidRDefault="003329DE" w:rsidP="003329DE">
      <w:pPr>
        <w:spacing w:before="100" w:beforeAutospacing="1" w:after="100" w:afterAutospacing="1" w:line="240" w:lineRule="auto"/>
        <w:rPr>
          <w:rFonts w:ascii="Calibri" w:eastAsia="Times New Roman" w:hAnsi="Calibri" w:cs="Calibri"/>
          <w:color w:val="000000"/>
          <w:sz w:val="27"/>
          <w:szCs w:val="27"/>
          <w:lang w:eastAsia="en-GB"/>
        </w:rPr>
      </w:pPr>
    </w:p>
    <w:p w14:paraId="19248E3E" w14:textId="77777777" w:rsidR="003329DE" w:rsidRPr="003329DE" w:rsidRDefault="003329DE" w:rsidP="003329DE">
      <w:pPr>
        <w:pStyle w:val="NormalWeb"/>
        <w:spacing w:before="0" w:beforeAutospacing="0" w:after="0" w:afterAutospacing="0" w:line="360" w:lineRule="atLeast"/>
        <w:rPr>
          <w:color w:val="000000"/>
        </w:rPr>
      </w:pPr>
    </w:p>
    <w:p w14:paraId="258ACEF5" w14:textId="77777777" w:rsidR="003329DE" w:rsidRDefault="003329DE" w:rsidP="003329DE">
      <w:pPr>
        <w:pStyle w:val="NormalWeb"/>
        <w:rPr>
          <w:rFonts w:ascii="Calibri" w:hAnsi="Calibri" w:cs="Calibri"/>
          <w:color w:val="000000"/>
          <w:sz w:val="27"/>
          <w:szCs w:val="27"/>
        </w:rPr>
      </w:pPr>
      <w:r>
        <w:rPr>
          <w:rFonts w:ascii="Calibri" w:hAnsi="Calibri" w:cs="Calibri"/>
          <w:color w:val="000000"/>
          <w:sz w:val="27"/>
          <w:szCs w:val="27"/>
        </w:rPr>
        <w:t>‌</w:t>
      </w:r>
    </w:p>
    <w:p w14:paraId="5F4A32A0" w14:textId="77777777" w:rsidR="003329DE" w:rsidRPr="003329DE" w:rsidRDefault="003329DE" w:rsidP="003329DE">
      <w:pPr>
        <w:pStyle w:val="NormalWeb"/>
        <w:spacing w:before="0" w:beforeAutospacing="0" w:after="0" w:afterAutospacing="0" w:line="360" w:lineRule="atLeast"/>
        <w:rPr>
          <w:color w:val="000000"/>
        </w:rPr>
      </w:pPr>
    </w:p>
    <w:p w14:paraId="6F75D5A6" w14:textId="77777777" w:rsidR="003329DE" w:rsidRPr="003329DE" w:rsidRDefault="003329DE" w:rsidP="003329DE">
      <w:pPr>
        <w:pStyle w:val="NormalWeb"/>
        <w:rPr>
          <w:color w:val="000000"/>
        </w:rPr>
      </w:pPr>
      <w:r w:rsidRPr="003329DE">
        <w:rPr>
          <w:color w:val="000000"/>
        </w:rPr>
        <w:t>‌</w:t>
      </w:r>
    </w:p>
    <w:p w14:paraId="06F3FD92" w14:textId="77777777" w:rsidR="00F90C06" w:rsidRPr="00F90C06" w:rsidRDefault="00F90C06" w:rsidP="00F90C06">
      <w:pPr>
        <w:pStyle w:val="NormalWeb"/>
        <w:spacing w:before="0" w:beforeAutospacing="0" w:after="0" w:afterAutospacing="0" w:line="360" w:lineRule="atLeast"/>
        <w:rPr>
          <w:color w:val="000000"/>
        </w:rPr>
      </w:pPr>
    </w:p>
    <w:p w14:paraId="56F06C81" w14:textId="77777777" w:rsidR="00F90C06" w:rsidRPr="00F90C06" w:rsidRDefault="00F90C06" w:rsidP="00F90C06">
      <w:pPr>
        <w:pStyle w:val="NormalWeb"/>
        <w:rPr>
          <w:color w:val="000000"/>
        </w:rPr>
      </w:pPr>
      <w:r w:rsidRPr="00F90C06">
        <w:rPr>
          <w:color w:val="000000"/>
        </w:rPr>
        <w:t>‌</w:t>
      </w:r>
    </w:p>
    <w:p w14:paraId="6D257AA6" w14:textId="77777777" w:rsidR="00F90C06" w:rsidRPr="00F90C06" w:rsidRDefault="00F90C06" w:rsidP="00F90C06">
      <w:pPr>
        <w:pStyle w:val="NormalWeb"/>
        <w:spacing w:before="0" w:beforeAutospacing="0" w:after="0" w:afterAutospacing="0" w:line="360" w:lineRule="atLeast"/>
        <w:rPr>
          <w:color w:val="000000"/>
        </w:rPr>
      </w:pPr>
    </w:p>
    <w:p w14:paraId="0F6F3AEF" w14:textId="77777777" w:rsidR="00F90C06" w:rsidRDefault="00F90C06" w:rsidP="00F90C06">
      <w:pPr>
        <w:pStyle w:val="NormalWeb"/>
        <w:rPr>
          <w:rFonts w:ascii="Calibri" w:hAnsi="Calibri" w:cs="Calibri"/>
          <w:color w:val="000000"/>
          <w:sz w:val="27"/>
          <w:szCs w:val="27"/>
        </w:rPr>
      </w:pPr>
      <w:r>
        <w:rPr>
          <w:rFonts w:ascii="Calibri" w:hAnsi="Calibri" w:cs="Calibri"/>
          <w:color w:val="000000"/>
          <w:sz w:val="27"/>
          <w:szCs w:val="27"/>
        </w:rPr>
        <w:t>‌</w:t>
      </w:r>
    </w:p>
    <w:p w14:paraId="7418E7ED" w14:textId="77777777" w:rsidR="00F90C06" w:rsidRPr="00F90C06" w:rsidRDefault="00F90C06" w:rsidP="005E393E">
      <w:pPr>
        <w:jc w:val="both"/>
        <w:rPr>
          <w:rFonts w:ascii="Times New Roman" w:hAnsi="Times New Roman" w:cs="Times New Roman"/>
          <w:b/>
          <w:bCs/>
          <w:color w:val="000000" w:themeColor="text1"/>
          <w:sz w:val="24"/>
          <w:szCs w:val="24"/>
          <w:lang w:val="en-US"/>
        </w:rPr>
      </w:pPr>
    </w:p>
    <w:sectPr w:rsidR="00F90C06" w:rsidRPr="00F90C06" w:rsidSect="00C514C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0334"/>
    <w:rsid w:val="000D1897"/>
    <w:rsid w:val="000D679B"/>
    <w:rsid w:val="001905AB"/>
    <w:rsid w:val="001C7D4A"/>
    <w:rsid w:val="001D799F"/>
    <w:rsid w:val="0021170D"/>
    <w:rsid w:val="0026322B"/>
    <w:rsid w:val="00273835"/>
    <w:rsid w:val="002E74F2"/>
    <w:rsid w:val="002F0334"/>
    <w:rsid w:val="00324F7C"/>
    <w:rsid w:val="003329DE"/>
    <w:rsid w:val="00372B73"/>
    <w:rsid w:val="00420D7F"/>
    <w:rsid w:val="004B275C"/>
    <w:rsid w:val="004F181D"/>
    <w:rsid w:val="004F3B19"/>
    <w:rsid w:val="00521B1F"/>
    <w:rsid w:val="00531381"/>
    <w:rsid w:val="005E393E"/>
    <w:rsid w:val="005E7EFD"/>
    <w:rsid w:val="00655128"/>
    <w:rsid w:val="00673FC1"/>
    <w:rsid w:val="00717D5B"/>
    <w:rsid w:val="00741F58"/>
    <w:rsid w:val="00833D77"/>
    <w:rsid w:val="00923788"/>
    <w:rsid w:val="0094380E"/>
    <w:rsid w:val="009723EC"/>
    <w:rsid w:val="00A11891"/>
    <w:rsid w:val="00A14E68"/>
    <w:rsid w:val="00A457F9"/>
    <w:rsid w:val="00AB669A"/>
    <w:rsid w:val="00B973D9"/>
    <w:rsid w:val="00BC53EB"/>
    <w:rsid w:val="00C3043E"/>
    <w:rsid w:val="00C514C1"/>
    <w:rsid w:val="00D15154"/>
    <w:rsid w:val="00D46266"/>
    <w:rsid w:val="00DF0196"/>
    <w:rsid w:val="00E357FA"/>
    <w:rsid w:val="00E96724"/>
    <w:rsid w:val="00F145EF"/>
    <w:rsid w:val="00F42BE1"/>
    <w:rsid w:val="00F90C0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889FC5"/>
  <w15:chartTrackingRefBased/>
  <w15:docId w15:val="{BB4AEA22-A5AA-401D-8E91-50DB92C76D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29DE"/>
  </w:style>
  <w:style w:type="paragraph" w:styleId="Heading1">
    <w:name w:val="heading 1"/>
    <w:basedOn w:val="Normal"/>
    <w:next w:val="Normal"/>
    <w:link w:val="Heading1Char"/>
    <w:uiPriority w:val="9"/>
    <w:qFormat/>
    <w:rsid w:val="003329DE"/>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329DE"/>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3329DE"/>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3329DE"/>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3329DE"/>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3329DE"/>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3329DE"/>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3329DE"/>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3329DE"/>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3329DE"/>
    <w:rPr>
      <w:rFonts w:asciiTheme="majorHAnsi" w:eastAsiaTheme="majorEastAsia" w:hAnsiTheme="majorHAnsi" w:cstheme="majorBidi"/>
      <w:color w:val="44546A" w:themeColor="text2"/>
      <w:sz w:val="24"/>
      <w:szCs w:val="24"/>
    </w:rPr>
  </w:style>
  <w:style w:type="paragraph" w:styleId="NormalWeb">
    <w:name w:val="Normal (Web)"/>
    <w:basedOn w:val="Normal"/>
    <w:uiPriority w:val="99"/>
    <w:semiHidden/>
    <w:unhideWhenUsed/>
    <w:rsid w:val="00F90C0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90C06"/>
    <w:rPr>
      <w:color w:val="0563C1" w:themeColor="hyperlink"/>
      <w:u w:val="single"/>
    </w:rPr>
  </w:style>
  <w:style w:type="character" w:styleId="UnresolvedMention">
    <w:name w:val="Unresolved Mention"/>
    <w:basedOn w:val="DefaultParagraphFont"/>
    <w:uiPriority w:val="99"/>
    <w:semiHidden/>
    <w:unhideWhenUsed/>
    <w:rsid w:val="00F90C06"/>
    <w:rPr>
      <w:color w:val="605E5C"/>
      <w:shd w:val="clear" w:color="auto" w:fill="E1DFDD"/>
    </w:rPr>
  </w:style>
  <w:style w:type="character" w:customStyle="1" w:styleId="Heading1Char">
    <w:name w:val="Heading 1 Char"/>
    <w:basedOn w:val="DefaultParagraphFont"/>
    <w:link w:val="Heading1"/>
    <w:uiPriority w:val="9"/>
    <w:rsid w:val="003329D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3329DE"/>
    <w:rPr>
      <w:rFonts w:asciiTheme="majorHAnsi" w:eastAsiaTheme="majorEastAsia" w:hAnsiTheme="majorHAnsi" w:cstheme="majorBidi"/>
      <w:color w:val="404040" w:themeColor="text1" w:themeTint="BF"/>
      <w:sz w:val="28"/>
      <w:szCs w:val="28"/>
    </w:rPr>
  </w:style>
  <w:style w:type="character" w:customStyle="1" w:styleId="Heading4Char">
    <w:name w:val="Heading 4 Char"/>
    <w:basedOn w:val="DefaultParagraphFont"/>
    <w:link w:val="Heading4"/>
    <w:uiPriority w:val="9"/>
    <w:semiHidden/>
    <w:rsid w:val="003329DE"/>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3329DE"/>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3329DE"/>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3329DE"/>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3329DE"/>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3329DE"/>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3329DE"/>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3329DE"/>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3329DE"/>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3329DE"/>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3329DE"/>
    <w:rPr>
      <w:rFonts w:asciiTheme="majorHAnsi" w:eastAsiaTheme="majorEastAsia" w:hAnsiTheme="majorHAnsi" w:cstheme="majorBidi"/>
      <w:sz w:val="24"/>
      <w:szCs w:val="24"/>
    </w:rPr>
  </w:style>
  <w:style w:type="character" w:styleId="Strong">
    <w:name w:val="Strong"/>
    <w:basedOn w:val="DefaultParagraphFont"/>
    <w:uiPriority w:val="22"/>
    <w:qFormat/>
    <w:rsid w:val="003329DE"/>
    <w:rPr>
      <w:b/>
      <w:bCs/>
    </w:rPr>
  </w:style>
  <w:style w:type="character" w:styleId="Emphasis">
    <w:name w:val="Emphasis"/>
    <w:basedOn w:val="DefaultParagraphFont"/>
    <w:uiPriority w:val="20"/>
    <w:qFormat/>
    <w:rsid w:val="003329DE"/>
    <w:rPr>
      <w:i/>
      <w:iCs/>
    </w:rPr>
  </w:style>
  <w:style w:type="paragraph" w:styleId="NoSpacing">
    <w:name w:val="No Spacing"/>
    <w:link w:val="NoSpacingChar"/>
    <w:uiPriority w:val="1"/>
    <w:qFormat/>
    <w:rsid w:val="003329DE"/>
    <w:pPr>
      <w:spacing w:after="0" w:line="240" w:lineRule="auto"/>
    </w:pPr>
  </w:style>
  <w:style w:type="paragraph" w:styleId="Quote">
    <w:name w:val="Quote"/>
    <w:basedOn w:val="Normal"/>
    <w:next w:val="Normal"/>
    <w:link w:val="QuoteChar"/>
    <w:uiPriority w:val="29"/>
    <w:qFormat/>
    <w:rsid w:val="003329DE"/>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3329DE"/>
    <w:rPr>
      <w:i/>
      <w:iCs/>
      <w:color w:val="404040" w:themeColor="text1" w:themeTint="BF"/>
    </w:rPr>
  </w:style>
  <w:style w:type="paragraph" w:styleId="IntenseQuote">
    <w:name w:val="Intense Quote"/>
    <w:basedOn w:val="Normal"/>
    <w:next w:val="Normal"/>
    <w:link w:val="IntenseQuoteChar"/>
    <w:uiPriority w:val="30"/>
    <w:qFormat/>
    <w:rsid w:val="003329DE"/>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3329DE"/>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3329DE"/>
    <w:rPr>
      <w:i/>
      <w:iCs/>
      <w:color w:val="404040" w:themeColor="text1" w:themeTint="BF"/>
    </w:rPr>
  </w:style>
  <w:style w:type="character" w:styleId="IntenseEmphasis">
    <w:name w:val="Intense Emphasis"/>
    <w:basedOn w:val="DefaultParagraphFont"/>
    <w:uiPriority w:val="21"/>
    <w:qFormat/>
    <w:rsid w:val="003329DE"/>
    <w:rPr>
      <w:b/>
      <w:bCs/>
      <w:i/>
      <w:iCs/>
    </w:rPr>
  </w:style>
  <w:style w:type="character" w:styleId="SubtleReference">
    <w:name w:val="Subtle Reference"/>
    <w:basedOn w:val="DefaultParagraphFont"/>
    <w:uiPriority w:val="31"/>
    <w:qFormat/>
    <w:rsid w:val="003329D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3329DE"/>
    <w:rPr>
      <w:b/>
      <w:bCs/>
      <w:smallCaps/>
      <w:spacing w:val="5"/>
      <w:u w:val="single"/>
    </w:rPr>
  </w:style>
  <w:style w:type="character" w:styleId="BookTitle">
    <w:name w:val="Book Title"/>
    <w:basedOn w:val="DefaultParagraphFont"/>
    <w:uiPriority w:val="33"/>
    <w:qFormat/>
    <w:rsid w:val="003329DE"/>
    <w:rPr>
      <w:b/>
      <w:bCs/>
      <w:smallCaps/>
    </w:rPr>
  </w:style>
  <w:style w:type="paragraph" w:styleId="TOCHeading">
    <w:name w:val="TOC Heading"/>
    <w:basedOn w:val="Heading1"/>
    <w:next w:val="Normal"/>
    <w:uiPriority w:val="39"/>
    <w:semiHidden/>
    <w:unhideWhenUsed/>
    <w:qFormat/>
    <w:rsid w:val="003329DE"/>
    <w:pPr>
      <w:outlineLvl w:val="9"/>
    </w:pPr>
  </w:style>
  <w:style w:type="character" w:customStyle="1" w:styleId="NoSpacingChar">
    <w:name w:val="No Spacing Char"/>
    <w:basedOn w:val="DefaultParagraphFont"/>
    <w:link w:val="NoSpacing"/>
    <w:uiPriority w:val="1"/>
    <w:rsid w:val="00C514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876044">
      <w:bodyDiv w:val="1"/>
      <w:marLeft w:val="0"/>
      <w:marRight w:val="0"/>
      <w:marTop w:val="0"/>
      <w:marBottom w:val="0"/>
      <w:divBdr>
        <w:top w:val="none" w:sz="0" w:space="0" w:color="auto"/>
        <w:left w:val="none" w:sz="0" w:space="0" w:color="auto"/>
        <w:bottom w:val="none" w:sz="0" w:space="0" w:color="auto"/>
        <w:right w:val="none" w:sz="0" w:space="0" w:color="auto"/>
      </w:divBdr>
    </w:div>
    <w:div w:id="274754761">
      <w:bodyDiv w:val="1"/>
      <w:marLeft w:val="0"/>
      <w:marRight w:val="0"/>
      <w:marTop w:val="0"/>
      <w:marBottom w:val="0"/>
      <w:divBdr>
        <w:top w:val="none" w:sz="0" w:space="0" w:color="auto"/>
        <w:left w:val="none" w:sz="0" w:space="0" w:color="auto"/>
        <w:bottom w:val="none" w:sz="0" w:space="0" w:color="auto"/>
        <w:right w:val="none" w:sz="0" w:space="0" w:color="auto"/>
      </w:divBdr>
    </w:div>
    <w:div w:id="308560929">
      <w:bodyDiv w:val="1"/>
      <w:marLeft w:val="0"/>
      <w:marRight w:val="0"/>
      <w:marTop w:val="0"/>
      <w:marBottom w:val="0"/>
      <w:divBdr>
        <w:top w:val="none" w:sz="0" w:space="0" w:color="auto"/>
        <w:left w:val="none" w:sz="0" w:space="0" w:color="auto"/>
        <w:bottom w:val="none" w:sz="0" w:space="0" w:color="auto"/>
        <w:right w:val="none" w:sz="0" w:space="0" w:color="auto"/>
      </w:divBdr>
    </w:div>
    <w:div w:id="327634667">
      <w:bodyDiv w:val="1"/>
      <w:marLeft w:val="0"/>
      <w:marRight w:val="0"/>
      <w:marTop w:val="0"/>
      <w:marBottom w:val="0"/>
      <w:divBdr>
        <w:top w:val="none" w:sz="0" w:space="0" w:color="auto"/>
        <w:left w:val="none" w:sz="0" w:space="0" w:color="auto"/>
        <w:bottom w:val="none" w:sz="0" w:space="0" w:color="auto"/>
        <w:right w:val="none" w:sz="0" w:space="0" w:color="auto"/>
      </w:divBdr>
    </w:div>
    <w:div w:id="411586109">
      <w:bodyDiv w:val="1"/>
      <w:marLeft w:val="0"/>
      <w:marRight w:val="0"/>
      <w:marTop w:val="0"/>
      <w:marBottom w:val="0"/>
      <w:divBdr>
        <w:top w:val="none" w:sz="0" w:space="0" w:color="auto"/>
        <w:left w:val="none" w:sz="0" w:space="0" w:color="auto"/>
        <w:bottom w:val="none" w:sz="0" w:space="0" w:color="auto"/>
        <w:right w:val="none" w:sz="0" w:space="0" w:color="auto"/>
      </w:divBdr>
    </w:div>
    <w:div w:id="438110568">
      <w:bodyDiv w:val="1"/>
      <w:marLeft w:val="0"/>
      <w:marRight w:val="0"/>
      <w:marTop w:val="0"/>
      <w:marBottom w:val="0"/>
      <w:divBdr>
        <w:top w:val="none" w:sz="0" w:space="0" w:color="auto"/>
        <w:left w:val="none" w:sz="0" w:space="0" w:color="auto"/>
        <w:bottom w:val="none" w:sz="0" w:space="0" w:color="auto"/>
        <w:right w:val="none" w:sz="0" w:space="0" w:color="auto"/>
      </w:divBdr>
    </w:div>
    <w:div w:id="473109337">
      <w:bodyDiv w:val="1"/>
      <w:marLeft w:val="0"/>
      <w:marRight w:val="0"/>
      <w:marTop w:val="0"/>
      <w:marBottom w:val="0"/>
      <w:divBdr>
        <w:top w:val="none" w:sz="0" w:space="0" w:color="auto"/>
        <w:left w:val="none" w:sz="0" w:space="0" w:color="auto"/>
        <w:bottom w:val="none" w:sz="0" w:space="0" w:color="auto"/>
        <w:right w:val="none" w:sz="0" w:space="0" w:color="auto"/>
      </w:divBdr>
    </w:div>
    <w:div w:id="586352153">
      <w:bodyDiv w:val="1"/>
      <w:marLeft w:val="0"/>
      <w:marRight w:val="0"/>
      <w:marTop w:val="0"/>
      <w:marBottom w:val="0"/>
      <w:divBdr>
        <w:top w:val="none" w:sz="0" w:space="0" w:color="auto"/>
        <w:left w:val="none" w:sz="0" w:space="0" w:color="auto"/>
        <w:bottom w:val="none" w:sz="0" w:space="0" w:color="auto"/>
        <w:right w:val="none" w:sz="0" w:space="0" w:color="auto"/>
      </w:divBdr>
    </w:div>
    <w:div w:id="666206013">
      <w:bodyDiv w:val="1"/>
      <w:marLeft w:val="0"/>
      <w:marRight w:val="0"/>
      <w:marTop w:val="0"/>
      <w:marBottom w:val="0"/>
      <w:divBdr>
        <w:top w:val="none" w:sz="0" w:space="0" w:color="auto"/>
        <w:left w:val="none" w:sz="0" w:space="0" w:color="auto"/>
        <w:bottom w:val="none" w:sz="0" w:space="0" w:color="auto"/>
        <w:right w:val="none" w:sz="0" w:space="0" w:color="auto"/>
      </w:divBdr>
    </w:div>
    <w:div w:id="670064158">
      <w:bodyDiv w:val="1"/>
      <w:marLeft w:val="0"/>
      <w:marRight w:val="0"/>
      <w:marTop w:val="0"/>
      <w:marBottom w:val="0"/>
      <w:divBdr>
        <w:top w:val="none" w:sz="0" w:space="0" w:color="auto"/>
        <w:left w:val="none" w:sz="0" w:space="0" w:color="auto"/>
        <w:bottom w:val="none" w:sz="0" w:space="0" w:color="auto"/>
        <w:right w:val="none" w:sz="0" w:space="0" w:color="auto"/>
      </w:divBdr>
    </w:div>
    <w:div w:id="740560291">
      <w:bodyDiv w:val="1"/>
      <w:marLeft w:val="0"/>
      <w:marRight w:val="0"/>
      <w:marTop w:val="0"/>
      <w:marBottom w:val="0"/>
      <w:divBdr>
        <w:top w:val="none" w:sz="0" w:space="0" w:color="auto"/>
        <w:left w:val="none" w:sz="0" w:space="0" w:color="auto"/>
        <w:bottom w:val="none" w:sz="0" w:space="0" w:color="auto"/>
        <w:right w:val="none" w:sz="0" w:space="0" w:color="auto"/>
      </w:divBdr>
    </w:div>
    <w:div w:id="742993046">
      <w:bodyDiv w:val="1"/>
      <w:marLeft w:val="0"/>
      <w:marRight w:val="0"/>
      <w:marTop w:val="0"/>
      <w:marBottom w:val="0"/>
      <w:divBdr>
        <w:top w:val="none" w:sz="0" w:space="0" w:color="auto"/>
        <w:left w:val="none" w:sz="0" w:space="0" w:color="auto"/>
        <w:bottom w:val="none" w:sz="0" w:space="0" w:color="auto"/>
        <w:right w:val="none" w:sz="0" w:space="0" w:color="auto"/>
      </w:divBdr>
    </w:div>
    <w:div w:id="804347182">
      <w:bodyDiv w:val="1"/>
      <w:marLeft w:val="0"/>
      <w:marRight w:val="0"/>
      <w:marTop w:val="0"/>
      <w:marBottom w:val="0"/>
      <w:divBdr>
        <w:top w:val="none" w:sz="0" w:space="0" w:color="auto"/>
        <w:left w:val="none" w:sz="0" w:space="0" w:color="auto"/>
        <w:bottom w:val="none" w:sz="0" w:space="0" w:color="auto"/>
        <w:right w:val="none" w:sz="0" w:space="0" w:color="auto"/>
      </w:divBdr>
    </w:div>
    <w:div w:id="899291813">
      <w:bodyDiv w:val="1"/>
      <w:marLeft w:val="0"/>
      <w:marRight w:val="0"/>
      <w:marTop w:val="0"/>
      <w:marBottom w:val="0"/>
      <w:divBdr>
        <w:top w:val="none" w:sz="0" w:space="0" w:color="auto"/>
        <w:left w:val="none" w:sz="0" w:space="0" w:color="auto"/>
        <w:bottom w:val="none" w:sz="0" w:space="0" w:color="auto"/>
        <w:right w:val="none" w:sz="0" w:space="0" w:color="auto"/>
      </w:divBdr>
    </w:div>
    <w:div w:id="924606127">
      <w:bodyDiv w:val="1"/>
      <w:marLeft w:val="0"/>
      <w:marRight w:val="0"/>
      <w:marTop w:val="0"/>
      <w:marBottom w:val="0"/>
      <w:divBdr>
        <w:top w:val="none" w:sz="0" w:space="0" w:color="auto"/>
        <w:left w:val="none" w:sz="0" w:space="0" w:color="auto"/>
        <w:bottom w:val="none" w:sz="0" w:space="0" w:color="auto"/>
        <w:right w:val="none" w:sz="0" w:space="0" w:color="auto"/>
      </w:divBdr>
    </w:div>
    <w:div w:id="1086222363">
      <w:bodyDiv w:val="1"/>
      <w:marLeft w:val="0"/>
      <w:marRight w:val="0"/>
      <w:marTop w:val="0"/>
      <w:marBottom w:val="0"/>
      <w:divBdr>
        <w:top w:val="none" w:sz="0" w:space="0" w:color="auto"/>
        <w:left w:val="none" w:sz="0" w:space="0" w:color="auto"/>
        <w:bottom w:val="none" w:sz="0" w:space="0" w:color="auto"/>
        <w:right w:val="none" w:sz="0" w:space="0" w:color="auto"/>
      </w:divBdr>
    </w:div>
    <w:div w:id="1136483717">
      <w:bodyDiv w:val="1"/>
      <w:marLeft w:val="0"/>
      <w:marRight w:val="0"/>
      <w:marTop w:val="0"/>
      <w:marBottom w:val="0"/>
      <w:divBdr>
        <w:top w:val="none" w:sz="0" w:space="0" w:color="auto"/>
        <w:left w:val="none" w:sz="0" w:space="0" w:color="auto"/>
        <w:bottom w:val="none" w:sz="0" w:space="0" w:color="auto"/>
        <w:right w:val="none" w:sz="0" w:space="0" w:color="auto"/>
      </w:divBdr>
    </w:div>
    <w:div w:id="1182285189">
      <w:bodyDiv w:val="1"/>
      <w:marLeft w:val="0"/>
      <w:marRight w:val="0"/>
      <w:marTop w:val="0"/>
      <w:marBottom w:val="0"/>
      <w:divBdr>
        <w:top w:val="none" w:sz="0" w:space="0" w:color="auto"/>
        <w:left w:val="none" w:sz="0" w:space="0" w:color="auto"/>
        <w:bottom w:val="none" w:sz="0" w:space="0" w:color="auto"/>
        <w:right w:val="none" w:sz="0" w:space="0" w:color="auto"/>
      </w:divBdr>
    </w:div>
    <w:div w:id="1270818166">
      <w:bodyDiv w:val="1"/>
      <w:marLeft w:val="0"/>
      <w:marRight w:val="0"/>
      <w:marTop w:val="0"/>
      <w:marBottom w:val="0"/>
      <w:divBdr>
        <w:top w:val="none" w:sz="0" w:space="0" w:color="auto"/>
        <w:left w:val="none" w:sz="0" w:space="0" w:color="auto"/>
        <w:bottom w:val="none" w:sz="0" w:space="0" w:color="auto"/>
        <w:right w:val="none" w:sz="0" w:space="0" w:color="auto"/>
      </w:divBdr>
    </w:div>
    <w:div w:id="1323848747">
      <w:bodyDiv w:val="1"/>
      <w:marLeft w:val="0"/>
      <w:marRight w:val="0"/>
      <w:marTop w:val="0"/>
      <w:marBottom w:val="0"/>
      <w:divBdr>
        <w:top w:val="none" w:sz="0" w:space="0" w:color="auto"/>
        <w:left w:val="none" w:sz="0" w:space="0" w:color="auto"/>
        <w:bottom w:val="none" w:sz="0" w:space="0" w:color="auto"/>
        <w:right w:val="none" w:sz="0" w:space="0" w:color="auto"/>
      </w:divBdr>
    </w:div>
    <w:div w:id="1484393607">
      <w:bodyDiv w:val="1"/>
      <w:marLeft w:val="0"/>
      <w:marRight w:val="0"/>
      <w:marTop w:val="0"/>
      <w:marBottom w:val="0"/>
      <w:divBdr>
        <w:top w:val="none" w:sz="0" w:space="0" w:color="auto"/>
        <w:left w:val="none" w:sz="0" w:space="0" w:color="auto"/>
        <w:bottom w:val="none" w:sz="0" w:space="0" w:color="auto"/>
        <w:right w:val="none" w:sz="0" w:space="0" w:color="auto"/>
      </w:divBdr>
    </w:div>
    <w:div w:id="1495494266">
      <w:bodyDiv w:val="1"/>
      <w:marLeft w:val="0"/>
      <w:marRight w:val="0"/>
      <w:marTop w:val="0"/>
      <w:marBottom w:val="0"/>
      <w:divBdr>
        <w:top w:val="none" w:sz="0" w:space="0" w:color="auto"/>
        <w:left w:val="none" w:sz="0" w:space="0" w:color="auto"/>
        <w:bottom w:val="none" w:sz="0" w:space="0" w:color="auto"/>
        <w:right w:val="none" w:sz="0" w:space="0" w:color="auto"/>
      </w:divBdr>
    </w:div>
    <w:div w:id="1499998688">
      <w:bodyDiv w:val="1"/>
      <w:marLeft w:val="0"/>
      <w:marRight w:val="0"/>
      <w:marTop w:val="0"/>
      <w:marBottom w:val="0"/>
      <w:divBdr>
        <w:top w:val="none" w:sz="0" w:space="0" w:color="auto"/>
        <w:left w:val="none" w:sz="0" w:space="0" w:color="auto"/>
        <w:bottom w:val="none" w:sz="0" w:space="0" w:color="auto"/>
        <w:right w:val="none" w:sz="0" w:space="0" w:color="auto"/>
      </w:divBdr>
    </w:div>
    <w:div w:id="1534535273">
      <w:bodyDiv w:val="1"/>
      <w:marLeft w:val="0"/>
      <w:marRight w:val="0"/>
      <w:marTop w:val="0"/>
      <w:marBottom w:val="0"/>
      <w:divBdr>
        <w:top w:val="none" w:sz="0" w:space="0" w:color="auto"/>
        <w:left w:val="none" w:sz="0" w:space="0" w:color="auto"/>
        <w:bottom w:val="none" w:sz="0" w:space="0" w:color="auto"/>
        <w:right w:val="none" w:sz="0" w:space="0" w:color="auto"/>
      </w:divBdr>
    </w:div>
    <w:div w:id="1598051304">
      <w:bodyDiv w:val="1"/>
      <w:marLeft w:val="0"/>
      <w:marRight w:val="0"/>
      <w:marTop w:val="0"/>
      <w:marBottom w:val="0"/>
      <w:divBdr>
        <w:top w:val="none" w:sz="0" w:space="0" w:color="auto"/>
        <w:left w:val="none" w:sz="0" w:space="0" w:color="auto"/>
        <w:bottom w:val="none" w:sz="0" w:space="0" w:color="auto"/>
        <w:right w:val="none" w:sz="0" w:space="0" w:color="auto"/>
      </w:divBdr>
    </w:div>
    <w:div w:id="1607694009">
      <w:bodyDiv w:val="1"/>
      <w:marLeft w:val="0"/>
      <w:marRight w:val="0"/>
      <w:marTop w:val="0"/>
      <w:marBottom w:val="0"/>
      <w:divBdr>
        <w:top w:val="none" w:sz="0" w:space="0" w:color="auto"/>
        <w:left w:val="none" w:sz="0" w:space="0" w:color="auto"/>
        <w:bottom w:val="none" w:sz="0" w:space="0" w:color="auto"/>
        <w:right w:val="none" w:sz="0" w:space="0" w:color="auto"/>
      </w:divBdr>
    </w:div>
    <w:div w:id="1668284983">
      <w:bodyDiv w:val="1"/>
      <w:marLeft w:val="0"/>
      <w:marRight w:val="0"/>
      <w:marTop w:val="0"/>
      <w:marBottom w:val="0"/>
      <w:divBdr>
        <w:top w:val="none" w:sz="0" w:space="0" w:color="auto"/>
        <w:left w:val="none" w:sz="0" w:space="0" w:color="auto"/>
        <w:bottom w:val="none" w:sz="0" w:space="0" w:color="auto"/>
        <w:right w:val="none" w:sz="0" w:space="0" w:color="auto"/>
      </w:divBdr>
    </w:div>
    <w:div w:id="1781801545">
      <w:bodyDiv w:val="1"/>
      <w:marLeft w:val="0"/>
      <w:marRight w:val="0"/>
      <w:marTop w:val="0"/>
      <w:marBottom w:val="0"/>
      <w:divBdr>
        <w:top w:val="none" w:sz="0" w:space="0" w:color="auto"/>
        <w:left w:val="none" w:sz="0" w:space="0" w:color="auto"/>
        <w:bottom w:val="none" w:sz="0" w:space="0" w:color="auto"/>
        <w:right w:val="none" w:sz="0" w:space="0" w:color="auto"/>
      </w:divBdr>
    </w:div>
    <w:div w:id="1787888550">
      <w:bodyDiv w:val="1"/>
      <w:marLeft w:val="0"/>
      <w:marRight w:val="0"/>
      <w:marTop w:val="0"/>
      <w:marBottom w:val="0"/>
      <w:divBdr>
        <w:top w:val="none" w:sz="0" w:space="0" w:color="auto"/>
        <w:left w:val="none" w:sz="0" w:space="0" w:color="auto"/>
        <w:bottom w:val="none" w:sz="0" w:space="0" w:color="auto"/>
        <w:right w:val="none" w:sz="0" w:space="0" w:color="auto"/>
      </w:divBdr>
    </w:div>
    <w:div w:id="1860654553">
      <w:bodyDiv w:val="1"/>
      <w:marLeft w:val="0"/>
      <w:marRight w:val="0"/>
      <w:marTop w:val="0"/>
      <w:marBottom w:val="0"/>
      <w:divBdr>
        <w:top w:val="none" w:sz="0" w:space="0" w:color="auto"/>
        <w:left w:val="none" w:sz="0" w:space="0" w:color="auto"/>
        <w:bottom w:val="none" w:sz="0" w:space="0" w:color="auto"/>
        <w:right w:val="none" w:sz="0" w:space="0" w:color="auto"/>
      </w:divBdr>
    </w:div>
    <w:div w:id="1865095818">
      <w:bodyDiv w:val="1"/>
      <w:marLeft w:val="0"/>
      <w:marRight w:val="0"/>
      <w:marTop w:val="0"/>
      <w:marBottom w:val="0"/>
      <w:divBdr>
        <w:top w:val="none" w:sz="0" w:space="0" w:color="auto"/>
        <w:left w:val="none" w:sz="0" w:space="0" w:color="auto"/>
        <w:bottom w:val="none" w:sz="0" w:space="0" w:color="auto"/>
        <w:right w:val="none" w:sz="0" w:space="0" w:color="auto"/>
      </w:divBdr>
    </w:div>
    <w:div w:id="1923097490">
      <w:bodyDiv w:val="1"/>
      <w:marLeft w:val="0"/>
      <w:marRight w:val="0"/>
      <w:marTop w:val="0"/>
      <w:marBottom w:val="0"/>
      <w:divBdr>
        <w:top w:val="none" w:sz="0" w:space="0" w:color="auto"/>
        <w:left w:val="none" w:sz="0" w:space="0" w:color="auto"/>
        <w:bottom w:val="none" w:sz="0" w:space="0" w:color="auto"/>
        <w:right w:val="none" w:sz="0" w:space="0" w:color="auto"/>
      </w:divBdr>
    </w:div>
    <w:div w:id="1943604253">
      <w:bodyDiv w:val="1"/>
      <w:marLeft w:val="0"/>
      <w:marRight w:val="0"/>
      <w:marTop w:val="0"/>
      <w:marBottom w:val="0"/>
      <w:divBdr>
        <w:top w:val="none" w:sz="0" w:space="0" w:color="auto"/>
        <w:left w:val="none" w:sz="0" w:space="0" w:color="auto"/>
        <w:bottom w:val="none" w:sz="0" w:space="0" w:color="auto"/>
        <w:right w:val="none" w:sz="0" w:space="0" w:color="auto"/>
      </w:divBdr>
    </w:div>
    <w:div w:id="1982340854">
      <w:bodyDiv w:val="1"/>
      <w:marLeft w:val="0"/>
      <w:marRight w:val="0"/>
      <w:marTop w:val="0"/>
      <w:marBottom w:val="0"/>
      <w:divBdr>
        <w:top w:val="none" w:sz="0" w:space="0" w:color="auto"/>
        <w:left w:val="none" w:sz="0" w:space="0" w:color="auto"/>
        <w:bottom w:val="none" w:sz="0" w:space="0" w:color="auto"/>
        <w:right w:val="none" w:sz="0" w:space="0" w:color="auto"/>
      </w:divBdr>
    </w:div>
    <w:div w:id="2062365651">
      <w:bodyDiv w:val="1"/>
      <w:marLeft w:val="0"/>
      <w:marRight w:val="0"/>
      <w:marTop w:val="0"/>
      <w:marBottom w:val="0"/>
      <w:divBdr>
        <w:top w:val="none" w:sz="0" w:space="0" w:color="auto"/>
        <w:left w:val="none" w:sz="0" w:space="0" w:color="auto"/>
        <w:bottom w:val="none" w:sz="0" w:space="0" w:color="auto"/>
        <w:right w:val="none" w:sz="0" w:space="0" w:color="auto"/>
      </w:divBdr>
    </w:div>
    <w:div w:id="2127848398">
      <w:bodyDiv w:val="1"/>
      <w:marLeft w:val="0"/>
      <w:marRight w:val="0"/>
      <w:marTop w:val="0"/>
      <w:marBottom w:val="0"/>
      <w:divBdr>
        <w:top w:val="none" w:sz="0" w:space="0" w:color="auto"/>
        <w:left w:val="none" w:sz="0" w:space="0" w:color="auto"/>
        <w:bottom w:val="none" w:sz="0" w:space="0" w:color="auto"/>
        <w:right w:val="none" w:sz="0" w:space="0" w:color="auto"/>
      </w:divBdr>
    </w:div>
    <w:div w:id="2137943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financemanagement.com/financial-analysis/limitations-of-ratio-analysis" TargetMode="External"/><Relationship Id="rId13" Type="http://schemas.openxmlformats.org/officeDocument/2006/relationships/hyperlink" Target="https://byjus.com/commerce/advantages-and-disadvantages-of-ratio-analysi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scholarworks.umass.edu/cgi/viewcontent.cgi?article=1205&amp;context=jhfm" TargetMode="External"/><Relationship Id="rId12" Type="http://schemas.openxmlformats.org/officeDocument/2006/relationships/hyperlink" Target="https://www.yourarticlelibrary.com/accounting/ratio-analysis/ratio-analysis-meaning-advantages-and-limitations-accounting/65204" TargetMode="External"/><Relationship Id="rId17"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accountingnotes.net/accounting/ratio-analysis-accounting/importance-of-ratio-analysis-accounting/13434" TargetMode="External"/><Relationship Id="rId5" Type="http://schemas.openxmlformats.org/officeDocument/2006/relationships/image" Target="media/image1.png"/><Relationship Id="rId15" Type="http://schemas.openxmlformats.org/officeDocument/2006/relationships/hyperlink" Target="https://www.wallstreetmojo.com/importance-of-ratio-analysis/" TargetMode="External"/><Relationship Id="rId10" Type="http://schemas.openxmlformats.org/officeDocument/2006/relationships/hyperlink" Target="https://www.educba.com/importance-of-ratio-analysis/" TargetMode="External"/><Relationship Id="rId4" Type="http://schemas.openxmlformats.org/officeDocument/2006/relationships/webSettings" Target="webSettings.xml"/><Relationship Id="rId9" Type="http://schemas.openxmlformats.org/officeDocument/2006/relationships/hyperlink" Target="https://www.toppr.com/guides/accountancy/accounting-ratios/meaning-objectives-advantages-and-limitations-of-ratio-analysis/" TargetMode="External"/><Relationship Id="rId14" Type="http://schemas.openxmlformats.org/officeDocument/2006/relationships/hyperlink" Target="https://learn.financestrategists.com/explanation/management-accounting/q-1-what-is-ratio-analysis-discuss-importance-and-limitations-of-ratio-analysi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15D9CD6248CF04A8CE7208EF2C9D0DF"/>
        <w:category>
          <w:name w:val="General"/>
          <w:gallery w:val="placeholder"/>
        </w:category>
        <w:types>
          <w:type w:val="bbPlcHdr"/>
        </w:types>
        <w:behaviors>
          <w:behavior w:val="content"/>
        </w:behaviors>
        <w:guid w:val="{5FB10DC6-F7D6-7940-83CF-569240CC4AA6}"/>
      </w:docPartPr>
      <w:docPartBody>
        <w:p w:rsidR="00000000" w:rsidRDefault="00B27797" w:rsidP="00B27797">
          <w:pPr>
            <w:pStyle w:val="815D9CD6248CF04A8CE7208EF2C9D0DF"/>
          </w:pPr>
          <w:r>
            <w:rPr>
              <w:rFonts w:asciiTheme="majorHAnsi" w:eastAsiaTheme="majorEastAsia" w:hAnsiTheme="majorHAnsi" w:cstheme="majorBidi"/>
              <w:caps/>
              <w:color w:val="4472C4" w:themeColor="accent1"/>
              <w:sz w:val="80"/>
              <w:szCs w:val="80"/>
            </w:rPr>
            <w:t>[Document title]</w:t>
          </w:r>
        </w:p>
      </w:docPartBody>
    </w:docPart>
    <w:docPart>
      <w:docPartPr>
        <w:name w:val="639FC0C107884947A0FBB03843277084"/>
        <w:category>
          <w:name w:val="General"/>
          <w:gallery w:val="placeholder"/>
        </w:category>
        <w:types>
          <w:type w:val="bbPlcHdr"/>
        </w:types>
        <w:behaviors>
          <w:behavior w:val="content"/>
        </w:behaviors>
        <w:guid w:val="{24AD6941-DB88-5D4B-BA05-9DE5BEC58CF7}"/>
      </w:docPartPr>
      <w:docPartBody>
        <w:p w:rsidR="00000000" w:rsidRDefault="00B27797" w:rsidP="00B27797">
          <w:pPr>
            <w:pStyle w:val="639FC0C107884947A0FBB0384327708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7797"/>
    <w:rsid w:val="00B27797"/>
    <w:rsid w:val="00DB622C"/>
  </w:rsids>
  <m:mathPr>
    <m:mathFont m:val="Cambria Math"/>
    <m:brkBin m:val="before"/>
    <m:brkBinSub m:val="--"/>
    <m:smallFrac m:val="0"/>
    <m:dispDef/>
    <m:lMargin m:val="0"/>
    <m:rMargin m:val="0"/>
    <m:defJc m:val="centerGroup"/>
    <m:wrapIndent m:val="1440"/>
    <m:intLim m:val="subSup"/>
    <m:naryLim m:val="undOvr"/>
  </m:mathPr>
  <w:themeFontLang w:val="en-TR"/>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TR"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15D9CD6248CF04A8CE7208EF2C9D0DF">
    <w:name w:val="815D9CD6248CF04A8CE7208EF2C9D0DF"/>
    <w:rsid w:val="00B27797"/>
  </w:style>
  <w:style w:type="paragraph" w:customStyle="1" w:styleId="639FC0C107884947A0FBB03843277084">
    <w:name w:val="639FC0C107884947A0FBB03843277084"/>
    <w:rsid w:val="00B2779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2022-06-01T00:00:00</PublishDate>
  <Abstract/>
  <CompanyAddress>UNIVERSITY</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346</TotalTime>
  <Pages>9</Pages>
  <Words>2619</Words>
  <Characters>14929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17513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of the Financial Statements of Hilton</dc:title>
  <dc:subject>ANGUR MIAH.   2021261</dc:subject>
  <dc:creator>FAYAZ ABDULLAH</dc:creator>
  <cp:keywords/>
  <dc:description/>
  <cp:lastModifiedBy>Microsoft Office User</cp:lastModifiedBy>
  <cp:revision>11</cp:revision>
  <dcterms:created xsi:type="dcterms:W3CDTF">2022-05-27T08:59:00Z</dcterms:created>
  <dcterms:modified xsi:type="dcterms:W3CDTF">2022-06-01T10:35:00Z</dcterms:modified>
</cp:coreProperties>
</file>