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27554" w:rsidRDefault="00527554">
      <w:pPr>
        <w:spacing w:line="480" w:lineRule="auto"/>
        <w:jc w:val="center"/>
      </w:pPr>
      <w:bookmarkStart w:id="0" w:name="_GoBack"/>
      <w:bookmarkEnd w:id="0"/>
    </w:p>
    <w:p w:rsidR="00527554" w:rsidRDefault="00527554">
      <w:pPr>
        <w:spacing w:line="480" w:lineRule="auto"/>
        <w:jc w:val="center"/>
      </w:pPr>
    </w:p>
    <w:p w:rsidR="00527554" w:rsidRDefault="00527554">
      <w:pPr>
        <w:spacing w:line="480" w:lineRule="auto"/>
        <w:jc w:val="center"/>
      </w:pPr>
    </w:p>
    <w:p w:rsidR="00527554" w:rsidRDefault="00527554">
      <w:pPr>
        <w:spacing w:line="480" w:lineRule="auto"/>
        <w:jc w:val="center"/>
      </w:pPr>
    </w:p>
    <w:p w:rsidR="00527554" w:rsidRDefault="00527554">
      <w:pPr>
        <w:spacing w:line="480" w:lineRule="auto"/>
        <w:jc w:val="center"/>
      </w:pPr>
    </w:p>
    <w:p w:rsidR="00527554" w:rsidRDefault="00527554">
      <w:pPr>
        <w:spacing w:line="480" w:lineRule="auto"/>
        <w:jc w:val="center"/>
      </w:pPr>
    </w:p>
    <w:p w:rsidR="00527554" w:rsidRDefault="00527554">
      <w:pPr>
        <w:spacing w:line="480" w:lineRule="auto"/>
        <w:jc w:val="center"/>
      </w:pPr>
    </w:p>
    <w:p w:rsidR="00527554" w:rsidRDefault="00527554">
      <w:pPr>
        <w:spacing w:line="480" w:lineRule="auto"/>
      </w:pPr>
    </w:p>
    <w:p w:rsidR="00527554" w:rsidRDefault="00EB45BB">
      <w:pPr>
        <w:spacing w:line="480" w:lineRule="auto"/>
        <w:jc w:val="center"/>
        <w:rPr>
          <w:b/>
          <w:sz w:val="28"/>
          <w:szCs w:val="28"/>
          <w:u w:val="single"/>
        </w:rPr>
      </w:pPr>
      <w:r>
        <w:rPr>
          <w:b/>
          <w:sz w:val="28"/>
          <w:szCs w:val="28"/>
          <w:u w:val="single"/>
        </w:rPr>
        <w:t>BSc Applied Psychology</w:t>
      </w:r>
    </w:p>
    <w:p w:rsidR="00527554" w:rsidRDefault="00527554">
      <w:pPr>
        <w:spacing w:line="480" w:lineRule="auto"/>
        <w:jc w:val="center"/>
        <w:rPr>
          <w:b/>
          <w:sz w:val="28"/>
          <w:szCs w:val="28"/>
          <w:u w:val="single"/>
        </w:rPr>
      </w:pPr>
    </w:p>
    <w:p w:rsidR="00527554" w:rsidRDefault="00EB45BB">
      <w:pPr>
        <w:spacing w:line="480" w:lineRule="auto"/>
        <w:jc w:val="center"/>
        <w:rPr>
          <w:b/>
          <w:sz w:val="28"/>
          <w:szCs w:val="28"/>
          <w:u w:val="single"/>
        </w:rPr>
      </w:pPr>
      <w:r>
        <w:rPr>
          <w:b/>
          <w:sz w:val="28"/>
          <w:szCs w:val="28"/>
          <w:u w:val="single"/>
        </w:rPr>
        <w:t>Portfolio Of Activities 1: Paraphrase a section from a selected book chapter (500 words)</w:t>
      </w:r>
    </w:p>
    <w:p w:rsidR="00527554" w:rsidRDefault="00527554">
      <w:pPr>
        <w:spacing w:line="480" w:lineRule="auto"/>
        <w:jc w:val="center"/>
      </w:pPr>
    </w:p>
    <w:p w:rsidR="00527554" w:rsidRDefault="00527554">
      <w:pPr>
        <w:spacing w:line="480" w:lineRule="auto"/>
        <w:jc w:val="center"/>
      </w:pPr>
    </w:p>
    <w:p w:rsidR="00527554" w:rsidRDefault="00527554">
      <w:pPr>
        <w:spacing w:line="480" w:lineRule="auto"/>
        <w:jc w:val="center"/>
      </w:pPr>
    </w:p>
    <w:p w:rsidR="00527554" w:rsidRDefault="00527554">
      <w:pPr>
        <w:spacing w:line="480" w:lineRule="auto"/>
        <w:jc w:val="center"/>
      </w:pPr>
    </w:p>
    <w:p w:rsidR="00527554" w:rsidRDefault="00527554">
      <w:pPr>
        <w:spacing w:line="480" w:lineRule="auto"/>
        <w:jc w:val="center"/>
      </w:pPr>
    </w:p>
    <w:p w:rsidR="00527554" w:rsidRDefault="00527554">
      <w:pPr>
        <w:spacing w:line="480" w:lineRule="auto"/>
      </w:pPr>
    </w:p>
    <w:p w:rsidR="00527554" w:rsidRDefault="00527554">
      <w:pPr>
        <w:spacing w:line="480" w:lineRule="auto"/>
      </w:pPr>
    </w:p>
    <w:p w:rsidR="00527554" w:rsidRDefault="00527554">
      <w:pPr>
        <w:spacing w:line="480" w:lineRule="auto"/>
        <w:jc w:val="center"/>
      </w:pPr>
    </w:p>
    <w:p w:rsidR="00527554" w:rsidRDefault="00527554">
      <w:pPr>
        <w:spacing w:line="480" w:lineRule="auto"/>
        <w:jc w:val="center"/>
      </w:pPr>
    </w:p>
    <w:p w:rsidR="00527554" w:rsidRDefault="00527554">
      <w:pPr>
        <w:spacing w:line="480" w:lineRule="auto"/>
      </w:pPr>
    </w:p>
    <w:p w:rsidR="00527554" w:rsidRDefault="00527554">
      <w:pPr>
        <w:spacing w:line="480" w:lineRule="auto"/>
      </w:pPr>
    </w:p>
    <w:p w:rsidR="00527554" w:rsidRDefault="00EB45BB">
      <w:pPr>
        <w:spacing w:line="480" w:lineRule="auto"/>
        <w:rPr>
          <w:sz w:val="24"/>
          <w:szCs w:val="24"/>
        </w:rPr>
      </w:pPr>
      <w:r>
        <w:rPr>
          <w:sz w:val="24"/>
          <w:szCs w:val="24"/>
        </w:rPr>
        <w:t>Lauren Megan Lloyd-Davies</w:t>
      </w:r>
    </w:p>
    <w:p w:rsidR="00527554" w:rsidRDefault="00EB45BB">
      <w:pPr>
        <w:spacing w:line="480" w:lineRule="auto"/>
        <w:rPr>
          <w:sz w:val="24"/>
          <w:szCs w:val="24"/>
        </w:rPr>
      </w:pPr>
      <w:r>
        <w:rPr>
          <w:sz w:val="24"/>
          <w:szCs w:val="24"/>
        </w:rPr>
        <w:t>14/11/2017</w:t>
      </w:r>
    </w:p>
    <w:p w:rsidR="00527554" w:rsidRDefault="00527554">
      <w:pPr>
        <w:spacing w:line="480" w:lineRule="auto"/>
        <w:rPr>
          <w:sz w:val="24"/>
          <w:szCs w:val="24"/>
        </w:rPr>
      </w:pPr>
    </w:p>
    <w:p w:rsidR="00527554" w:rsidRDefault="00EB45BB">
      <w:pPr>
        <w:spacing w:line="480" w:lineRule="auto"/>
        <w:rPr>
          <w:b/>
          <w:sz w:val="24"/>
          <w:szCs w:val="24"/>
        </w:rPr>
      </w:pPr>
      <w:r>
        <w:rPr>
          <w:b/>
          <w:sz w:val="24"/>
          <w:szCs w:val="24"/>
        </w:rPr>
        <w:lastRenderedPageBreak/>
        <w:t>Chapter 37: Adolescence</w:t>
      </w:r>
    </w:p>
    <w:p w:rsidR="00527554" w:rsidRDefault="00EB45BB">
      <w:pPr>
        <w:spacing w:line="480" w:lineRule="auto"/>
        <w:jc w:val="center"/>
        <w:rPr>
          <w:b/>
          <w:sz w:val="24"/>
          <w:szCs w:val="24"/>
          <w:u w:val="single"/>
        </w:rPr>
      </w:pPr>
      <w:r>
        <w:rPr>
          <w:b/>
          <w:sz w:val="24"/>
          <w:szCs w:val="24"/>
          <w:u w:val="single"/>
        </w:rPr>
        <w:t>Summary</w:t>
      </w:r>
    </w:p>
    <w:p w:rsidR="00527554" w:rsidRDefault="00EB45BB">
      <w:pPr>
        <w:spacing w:line="480" w:lineRule="auto"/>
        <w:rPr>
          <w:sz w:val="24"/>
          <w:szCs w:val="24"/>
        </w:rPr>
      </w:pPr>
      <w:r>
        <w:rPr>
          <w:sz w:val="24"/>
          <w:szCs w:val="24"/>
        </w:rPr>
        <w:t xml:space="preserve"> During the period of adolescence, beginning and experiencing the physical, mental and sexual changed tied to puberty is not only important, but it is also a rite of passage for each and every individual. As the human body matures and reaches the age of 12</w:t>
      </w:r>
      <w:r>
        <w:rPr>
          <w:sz w:val="24"/>
          <w:szCs w:val="24"/>
        </w:rPr>
        <w:t xml:space="preserve"> to 13 years old for females, and 14 to 15  years old for males, bodily changes take place.</w:t>
      </w:r>
    </w:p>
    <w:p w:rsidR="00527554" w:rsidRDefault="00EB45BB">
      <w:pPr>
        <w:spacing w:line="480" w:lineRule="auto"/>
        <w:rPr>
          <w:sz w:val="24"/>
          <w:szCs w:val="24"/>
        </w:rPr>
      </w:pPr>
      <w:r>
        <w:rPr>
          <w:sz w:val="24"/>
          <w:szCs w:val="24"/>
        </w:rPr>
        <w:t xml:space="preserve">   Physiological changes such as the expansion of the sexual organs begin. In the female body, their ovaries begin to expand. In males, their seminal vesicle and also their prostate gland begin to expand. Both male and female bodies will experience the dev</w:t>
      </w:r>
      <w:r>
        <w:rPr>
          <w:sz w:val="24"/>
          <w:szCs w:val="24"/>
        </w:rPr>
        <w:t>elopment of pubic hair around their sexual organ region, But only males will experience the development of chest hair and sperm production. And only females will begin the development of breast growth and the start of a regular menstruation cycle. During t</w:t>
      </w:r>
      <w:r>
        <w:rPr>
          <w:sz w:val="24"/>
          <w:szCs w:val="24"/>
        </w:rPr>
        <w:t>he age range of 10 to 12 years old the human brain shows significant increases in size to the ages of 24 years of age, more specifically, the parietal lobes and the frontal lobes. This significantly large increase in size is followed by a lessening of mass</w:t>
      </w:r>
      <w:r>
        <w:rPr>
          <w:sz w:val="24"/>
          <w:szCs w:val="24"/>
        </w:rPr>
        <w:t xml:space="preserve"> in the parietal and frontal lobes of up to 1 percent for each year passed. This comes to a stop when the brain has reached its mature proportion.</w:t>
      </w:r>
    </w:p>
    <w:p w:rsidR="00527554" w:rsidRDefault="00EB45BB">
      <w:pPr>
        <w:spacing w:line="480" w:lineRule="auto"/>
        <w:rPr>
          <w:sz w:val="24"/>
          <w:szCs w:val="24"/>
        </w:rPr>
      </w:pPr>
      <w:r>
        <w:rPr>
          <w:sz w:val="24"/>
          <w:szCs w:val="24"/>
        </w:rPr>
        <w:t xml:space="preserve">  Due to the heightened emotions attracted with hormones, the majority of adolescents have a sensitive and cr</w:t>
      </w:r>
      <w:r>
        <w:rPr>
          <w:sz w:val="24"/>
          <w:szCs w:val="24"/>
        </w:rPr>
        <w:t xml:space="preserve">itical opinion of oneself, and their self-esteem tends to decline. A vast majority of females have an idealistic world of how a woman should look. This may be encouraged by social learning, whether it be observing others experience of puberty or observing </w:t>
      </w:r>
      <w:r>
        <w:rPr>
          <w:sz w:val="24"/>
          <w:szCs w:val="24"/>
        </w:rPr>
        <w:t xml:space="preserve">the ideal body of those who have become </w:t>
      </w:r>
      <w:r>
        <w:rPr>
          <w:sz w:val="24"/>
          <w:szCs w:val="24"/>
        </w:rPr>
        <w:lastRenderedPageBreak/>
        <w:t>famous and those who appear in the media. An over critical standard will be set for themselves and those of others. Therefore, a cultural standard for all will be set.</w:t>
      </w:r>
    </w:p>
    <w:p w:rsidR="00527554" w:rsidRDefault="00EB45BB">
      <w:pPr>
        <w:spacing w:line="480" w:lineRule="auto"/>
        <w:rPr>
          <w:sz w:val="24"/>
          <w:szCs w:val="24"/>
        </w:rPr>
      </w:pPr>
      <w:r>
        <w:rPr>
          <w:sz w:val="24"/>
          <w:szCs w:val="24"/>
        </w:rPr>
        <w:t xml:space="preserve">   We reverse this when it comes to males. As th</w:t>
      </w:r>
      <w:r>
        <w:rPr>
          <w:sz w:val="24"/>
          <w:szCs w:val="24"/>
        </w:rPr>
        <w:t xml:space="preserve">ey develop through puberty, males also create this idealistic world of the criteria that the typical man should set to become. This may also be encouraged by social learning, whether it be observing other males experience of puberty or observing the ideal </w:t>
      </w:r>
      <w:r>
        <w:rPr>
          <w:sz w:val="24"/>
          <w:szCs w:val="24"/>
        </w:rPr>
        <w:t>body of those who have become famous and appear in the media. Puberty is said to create the ideal male, by benefiting from its adjustments and creating the athletic, strong man. So they edge closer to their ideal physique. Whereas for females, they edge aw</w:t>
      </w:r>
      <w:r>
        <w:rPr>
          <w:sz w:val="24"/>
          <w:szCs w:val="24"/>
        </w:rPr>
        <w:t>ay from their physical idea of a woman as normal female puberty comes with weight gain due to hormones and discomfort from menstruation.</w:t>
      </w:r>
    </w:p>
    <w:p w:rsidR="00527554" w:rsidRDefault="00EB45BB">
      <w:pPr>
        <w:spacing w:line="480" w:lineRule="auto"/>
        <w:rPr>
          <w:sz w:val="24"/>
          <w:szCs w:val="24"/>
        </w:rPr>
      </w:pPr>
      <w:r>
        <w:rPr>
          <w:sz w:val="24"/>
          <w:szCs w:val="24"/>
        </w:rPr>
        <w:t xml:space="preserve">Timing is the most crucial factor when it comes to the humans pubertal period. Early maturing girls are one step ahead </w:t>
      </w:r>
      <w:r>
        <w:rPr>
          <w:sz w:val="24"/>
          <w:szCs w:val="24"/>
        </w:rPr>
        <w:t xml:space="preserve">of all boys that begin puberty at a later stage. The normal age range for girls that experience puberty maturation has shown a decrease. From the lowest age of 13 to an even lower age of 12 years old and 10 months. </w:t>
      </w:r>
    </w:p>
    <w:p w:rsidR="00527554" w:rsidRDefault="00527554">
      <w:pPr>
        <w:spacing w:line="480" w:lineRule="auto"/>
        <w:rPr>
          <w:sz w:val="24"/>
          <w:szCs w:val="24"/>
        </w:rPr>
      </w:pPr>
    </w:p>
    <w:p w:rsidR="00527554" w:rsidRDefault="00527554">
      <w:pPr>
        <w:spacing w:line="480" w:lineRule="auto"/>
        <w:rPr>
          <w:sz w:val="24"/>
          <w:szCs w:val="24"/>
        </w:rPr>
      </w:pPr>
    </w:p>
    <w:p w:rsidR="00527554" w:rsidRDefault="00527554">
      <w:pPr>
        <w:spacing w:line="480" w:lineRule="auto"/>
        <w:rPr>
          <w:sz w:val="24"/>
          <w:szCs w:val="24"/>
        </w:rPr>
      </w:pPr>
    </w:p>
    <w:p w:rsidR="00527554" w:rsidRDefault="00EB45BB">
      <w:pPr>
        <w:spacing w:line="480" w:lineRule="auto"/>
        <w:jc w:val="center"/>
        <w:rPr>
          <w:b/>
          <w:sz w:val="24"/>
          <w:szCs w:val="24"/>
          <w:u w:val="single"/>
        </w:rPr>
      </w:pPr>
      <w:r>
        <w:rPr>
          <w:b/>
          <w:sz w:val="24"/>
          <w:szCs w:val="24"/>
          <w:u w:val="single"/>
        </w:rPr>
        <w:t>Reference list</w:t>
      </w:r>
    </w:p>
    <w:p w:rsidR="00527554" w:rsidRDefault="00EB45BB">
      <w:pPr>
        <w:spacing w:line="480" w:lineRule="auto"/>
        <w:rPr>
          <w:sz w:val="24"/>
          <w:szCs w:val="24"/>
        </w:rPr>
      </w:pPr>
      <w:r>
        <w:rPr>
          <w:sz w:val="24"/>
          <w:szCs w:val="24"/>
        </w:rPr>
        <w:t>Coleman, J.C. &amp; Hendry</w:t>
      </w:r>
      <w:r>
        <w:rPr>
          <w:sz w:val="24"/>
          <w:szCs w:val="24"/>
        </w:rPr>
        <w:t>, L. (1990)</w:t>
      </w:r>
      <w:r>
        <w:rPr>
          <w:i/>
          <w:sz w:val="24"/>
          <w:szCs w:val="24"/>
        </w:rPr>
        <w:t xml:space="preserve"> The Nature of Adolescence</w:t>
      </w:r>
      <w:r>
        <w:rPr>
          <w:sz w:val="24"/>
          <w:szCs w:val="24"/>
        </w:rPr>
        <w:t xml:space="preserve"> (2nd edition) London: Routledge.</w:t>
      </w:r>
    </w:p>
    <w:p w:rsidR="00527554" w:rsidRDefault="00EB45BB">
      <w:pPr>
        <w:spacing w:line="480" w:lineRule="auto"/>
        <w:rPr>
          <w:sz w:val="24"/>
          <w:szCs w:val="24"/>
        </w:rPr>
      </w:pPr>
      <w:r>
        <w:rPr>
          <w:sz w:val="24"/>
          <w:szCs w:val="24"/>
        </w:rPr>
        <w:lastRenderedPageBreak/>
        <w:t xml:space="preserve">Crawford, M. &amp; Unger, R.K. (1995) Gender issues in psychology. In A.M. Coleman (ed) </w:t>
      </w:r>
      <w:r>
        <w:rPr>
          <w:i/>
          <w:sz w:val="24"/>
          <w:szCs w:val="24"/>
        </w:rPr>
        <w:t>Controversies in Psychology</w:t>
      </w:r>
      <w:r>
        <w:rPr>
          <w:sz w:val="24"/>
          <w:szCs w:val="24"/>
        </w:rPr>
        <w:t>. London:Longman.</w:t>
      </w:r>
    </w:p>
    <w:p w:rsidR="00527554" w:rsidRDefault="00EB45BB">
      <w:pPr>
        <w:spacing w:line="480" w:lineRule="auto"/>
        <w:rPr>
          <w:i/>
          <w:sz w:val="24"/>
          <w:szCs w:val="24"/>
        </w:rPr>
      </w:pPr>
      <w:r>
        <w:rPr>
          <w:sz w:val="24"/>
          <w:szCs w:val="24"/>
        </w:rPr>
        <w:t>Davies, E. &amp; Furnham, A. (1986) Body satisfaction in ado</w:t>
      </w:r>
      <w:r>
        <w:rPr>
          <w:sz w:val="24"/>
          <w:szCs w:val="24"/>
        </w:rPr>
        <w:t xml:space="preserve">lescent girls. </w:t>
      </w:r>
      <w:r>
        <w:rPr>
          <w:i/>
          <w:sz w:val="24"/>
          <w:szCs w:val="24"/>
        </w:rPr>
        <w:t>British Journal of Medical Psychology, 59, pp.279-288.</w:t>
      </w:r>
    </w:p>
    <w:p w:rsidR="00527554" w:rsidRDefault="00EB45BB">
      <w:pPr>
        <w:spacing w:line="480" w:lineRule="auto"/>
        <w:rPr>
          <w:sz w:val="24"/>
          <w:szCs w:val="24"/>
        </w:rPr>
      </w:pPr>
      <w:r>
        <w:rPr>
          <w:sz w:val="24"/>
          <w:szCs w:val="24"/>
        </w:rPr>
        <w:t>Kloep, M. &amp; Hendry, L.B. (1999) Challenges, risks and coping in adolescence.</w:t>
      </w:r>
      <w:r>
        <w:rPr>
          <w:i/>
          <w:sz w:val="24"/>
          <w:szCs w:val="24"/>
        </w:rPr>
        <w:t xml:space="preserve"> </w:t>
      </w:r>
      <w:r>
        <w:rPr>
          <w:sz w:val="24"/>
          <w:szCs w:val="24"/>
        </w:rPr>
        <w:t xml:space="preserve">In D.Messer &amp; S. Miller (eds) </w:t>
      </w:r>
      <w:r>
        <w:rPr>
          <w:i/>
          <w:sz w:val="24"/>
          <w:szCs w:val="24"/>
        </w:rPr>
        <w:t>Exploring Developmental Psychology: From Infancy to Adolescence.</w:t>
      </w:r>
      <w:r>
        <w:rPr>
          <w:sz w:val="24"/>
          <w:szCs w:val="24"/>
        </w:rPr>
        <w:t xml:space="preserve"> London: Arnold</w:t>
      </w:r>
      <w:r>
        <w:rPr>
          <w:sz w:val="24"/>
          <w:szCs w:val="24"/>
        </w:rPr>
        <w:t>.</w:t>
      </w:r>
    </w:p>
    <w:p w:rsidR="00527554" w:rsidRDefault="00EB45BB">
      <w:pPr>
        <w:spacing w:line="480" w:lineRule="auto"/>
        <w:rPr>
          <w:sz w:val="24"/>
          <w:szCs w:val="24"/>
        </w:rPr>
      </w:pPr>
      <w:r>
        <w:rPr>
          <w:sz w:val="24"/>
          <w:szCs w:val="24"/>
        </w:rPr>
        <w:t xml:space="preserve">Simmons, R.G. &amp; Blyth, D.A. (1987) </w:t>
      </w:r>
      <w:r>
        <w:rPr>
          <w:i/>
          <w:sz w:val="24"/>
          <w:szCs w:val="24"/>
        </w:rPr>
        <w:t xml:space="preserve">Moving into Adolescence: The Impact of Pubertal Change and School Context. </w:t>
      </w:r>
      <w:r>
        <w:rPr>
          <w:sz w:val="24"/>
          <w:szCs w:val="24"/>
        </w:rPr>
        <w:t>New York:Aldine de Gruyter.</w:t>
      </w:r>
    </w:p>
    <w:p w:rsidR="00527554" w:rsidRDefault="00EB45BB">
      <w:pPr>
        <w:spacing w:line="480" w:lineRule="auto"/>
        <w:rPr>
          <w:sz w:val="24"/>
          <w:szCs w:val="24"/>
        </w:rPr>
      </w:pPr>
      <w:r>
        <w:rPr>
          <w:sz w:val="24"/>
          <w:szCs w:val="24"/>
        </w:rPr>
        <w:t>Wichstrom, L. (1998) SElf-concept development during adolescence: Do American truths hold for Norwegians? In E. Skoe</w:t>
      </w:r>
      <w:r>
        <w:rPr>
          <w:sz w:val="24"/>
          <w:szCs w:val="24"/>
        </w:rPr>
        <w:t xml:space="preserve"> &amp; A. von der Lippe (eds) </w:t>
      </w:r>
      <w:r>
        <w:rPr>
          <w:i/>
          <w:sz w:val="24"/>
          <w:szCs w:val="24"/>
        </w:rPr>
        <w:t xml:space="preserve">Personality Development in Adolescence: A Cross National and LIfe Span Perspective. </w:t>
      </w:r>
      <w:r>
        <w:rPr>
          <w:sz w:val="24"/>
          <w:szCs w:val="24"/>
        </w:rPr>
        <w:t>London:Routledge.</w:t>
      </w:r>
    </w:p>
    <w:p w:rsidR="00527554" w:rsidRDefault="00527554">
      <w:pPr>
        <w:spacing w:line="480" w:lineRule="auto"/>
        <w:rPr>
          <w:sz w:val="24"/>
          <w:szCs w:val="24"/>
        </w:rPr>
      </w:pPr>
    </w:p>
    <w:p w:rsidR="00527554" w:rsidRDefault="00527554">
      <w:pPr>
        <w:spacing w:line="480" w:lineRule="auto"/>
        <w:rPr>
          <w:sz w:val="24"/>
          <w:szCs w:val="24"/>
        </w:rPr>
      </w:pPr>
    </w:p>
    <w:p w:rsidR="00527554" w:rsidRDefault="00527554">
      <w:pPr>
        <w:spacing w:line="480" w:lineRule="auto"/>
        <w:rPr>
          <w:sz w:val="24"/>
          <w:szCs w:val="24"/>
        </w:rPr>
      </w:pPr>
    </w:p>
    <w:p w:rsidR="00527554" w:rsidRDefault="00527554">
      <w:pPr>
        <w:spacing w:line="480" w:lineRule="auto"/>
        <w:rPr>
          <w:sz w:val="24"/>
          <w:szCs w:val="24"/>
        </w:rPr>
      </w:pPr>
    </w:p>
    <w:p w:rsidR="00527554" w:rsidRDefault="00527554">
      <w:pPr>
        <w:spacing w:line="480" w:lineRule="auto"/>
        <w:rPr>
          <w:sz w:val="24"/>
          <w:szCs w:val="24"/>
        </w:rPr>
      </w:pPr>
    </w:p>
    <w:p w:rsidR="00527554" w:rsidRDefault="00527554">
      <w:pPr>
        <w:spacing w:line="480" w:lineRule="auto"/>
        <w:rPr>
          <w:sz w:val="24"/>
          <w:szCs w:val="24"/>
        </w:rPr>
      </w:pPr>
    </w:p>
    <w:p w:rsidR="00527554" w:rsidRDefault="00527554">
      <w:pPr>
        <w:spacing w:line="480" w:lineRule="auto"/>
        <w:rPr>
          <w:sz w:val="24"/>
          <w:szCs w:val="24"/>
        </w:rPr>
      </w:pPr>
    </w:p>
    <w:p w:rsidR="00527554" w:rsidRDefault="00527554">
      <w:pPr>
        <w:spacing w:line="480" w:lineRule="auto"/>
        <w:rPr>
          <w:b/>
          <w:sz w:val="24"/>
          <w:szCs w:val="24"/>
          <w:u w:val="single"/>
        </w:rPr>
      </w:pPr>
    </w:p>
    <w:p w:rsidR="00527554" w:rsidRDefault="00527554">
      <w:pPr>
        <w:spacing w:line="480" w:lineRule="auto"/>
        <w:jc w:val="center"/>
        <w:rPr>
          <w:b/>
          <w:sz w:val="24"/>
          <w:szCs w:val="24"/>
          <w:u w:val="single"/>
        </w:rPr>
      </w:pPr>
    </w:p>
    <w:p w:rsidR="00527554" w:rsidRDefault="00EB45BB">
      <w:pPr>
        <w:spacing w:line="480" w:lineRule="auto"/>
        <w:jc w:val="center"/>
        <w:rPr>
          <w:b/>
          <w:sz w:val="24"/>
          <w:szCs w:val="24"/>
          <w:u w:val="single"/>
        </w:rPr>
      </w:pPr>
      <w:r>
        <w:rPr>
          <w:b/>
          <w:sz w:val="24"/>
          <w:szCs w:val="24"/>
          <w:u w:val="single"/>
        </w:rPr>
        <w:t>BSc Applied Psychology</w:t>
      </w:r>
    </w:p>
    <w:p w:rsidR="00527554" w:rsidRDefault="00527554">
      <w:pPr>
        <w:spacing w:line="480" w:lineRule="auto"/>
        <w:jc w:val="center"/>
        <w:rPr>
          <w:b/>
          <w:sz w:val="24"/>
          <w:szCs w:val="24"/>
          <w:u w:val="single"/>
        </w:rPr>
      </w:pPr>
    </w:p>
    <w:p w:rsidR="00527554" w:rsidRDefault="00EB45BB">
      <w:pPr>
        <w:spacing w:line="480" w:lineRule="auto"/>
        <w:jc w:val="center"/>
        <w:rPr>
          <w:b/>
          <w:sz w:val="24"/>
          <w:szCs w:val="24"/>
          <w:u w:val="single"/>
        </w:rPr>
      </w:pPr>
      <w:r>
        <w:rPr>
          <w:b/>
          <w:sz w:val="24"/>
          <w:szCs w:val="24"/>
          <w:u w:val="single"/>
        </w:rPr>
        <w:t>Portfolio Of Activities 2: Summarise a selected journal paper into an abstract. (500 words)</w:t>
      </w:r>
    </w:p>
    <w:p w:rsidR="00527554" w:rsidRDefault="00527554">
      <w:pPr>
        <w:spacing w:line="480" w:lineRule="auto"/>
        <w:jc w:val="center"/>
        <w:rPr>
          <w:b/>
          <w:sz w:val="24"/>
          <w:szCs w:val="24"/>
          <w:u w:val="single"/>
        </w:rPr>
      </w:pPr>
    </w:p>
    <w:p w:rsidR="00527554" w:rsidRDefault="00527554">
      <w:pPr>
        <w:spacing w:line="480" w:lineRule="auto"/>
        <w:jc w:val="center"/>
        <w:rPr>
          <w:b/>
          <w:sz w:val="24"/>
          <w:szCs w:val="24"/>
          <w:u w:val="single"/>
        </w:rPr>
      </w:pPr>
    </w:p>
    <w:p w:rsidR="00527554" w:rsidRDefault="00527554">
      <w:pPr>
        <w:spacing w:line="480" w:lineRule="auto"/>
        <w:jc w:val="center"/>
        <w:rPr>
          <w:b/>
          <w:sz w:val="24"/>
          <w:szCs w:val="24"/>
          <w:u w:val="single"/>
        </w:rPr>
      </w:pPr>
    </w:p>
    <w:p w:rsidR="00527554" w:rsidRDefault="00527554">
      <w:pPr>
        <w:spacing w:line="480" w:lineRule="auto"/>
        <w:jc w:val="center"/>
        <w:rPr>
          <w:b/>
          <w:sz w:val="24"/>
          <w:szCs w:val="24"/>
          <w:u w:val="single"/>
        </w:rPr>
      </w:pPr>
    </w:p>
    <w:p w:rsidR="00527554" w:rsidRDefault="00527554">
      <w:pPr>
        <w:spacing w:line="480" w:lineRule="auto"/>
        <w:rPr>
          <w:b/>
          <w:sz w:val="24"/>
          <w:szCs w:val="24"/>
          <w:u w:val="single"/>
        </w:rPr>
      </w:pPr>
    </w:p>
    <w:p w:rsidR="00527554" w:rsidRDefault="00527554">
      <w:pPr>
        <w:spacing w:line="480" w:lineRule="auto"/>
        <w:rPr>
          <w:b/>
          <w:sz w:val="24"/>
          <w:szCs w:val="24"/>
          <w:u w:val="single"/>
        </w:rPr>
      </w:pPr>
    </w:p>
    <w:p w:rsidR="00527554" w:rsidRDefault="00527554">
      <w:pPr>
        <w:spacing w:line="480" w:lineRule="auto"/>
        <w:jc w:val="center"/>
        <w:rPr>
          <w:b/>
          <w:sz w:val="24"/>
          <w:szCs w:val="24"/>
          <w:u w:val="single"/>
        </w:rPr>
      </w:pPr>
    </w:p>
    <w:p w:rsidR="00527554" w:rsidRDefault="00EB45BB">
      <w:pPr>
        <w:spacing w:line="480" w:lineRule="auto"/>
        <w:rPr>
          <w:sz w:val="24"/>
          <w:szCs w:val="24"/>
        </w:rPr>
      </w:pPr>
      <w:r>
        <w:rPr>
          <w:sz w:val="24"/>
          <w:szCs w:val="24"/>
        </w:rPr>
        <w:t>Lauren Megan Lloyd-Davies</w:t>
      </w:r>
    </w:p>
    <w:p w:rsidR="00527554" w:rsidRDefault="00EB45BB">
      <w:pPr>
        <w:spacing w:line="480" w:lineRule="auto"/>
        <w:rPr>
          <w:sz w:val="24"/>
          <w:szCs w:val="24"/>
        </w:rPr>
      </w:pPr>
      <w:r>
        <w:rPr>
          <w:sz w:val="24"/>
          <w:szCs w:val="24"/>
        </w:rPr>
        <w:t>14/11/2017</w:t>
      </w:r>
    </w:p>
    <w:p w:rsidR="00527554" w:rsidRDefault="00527554">
      <w:pPr>
        <w:spacing w:line="480" w:lineRule="auto"/>
        <w:rPr>
          <w:sz w:val="24"/>
          <w:szCs w:val="24"/>
        </w:rPr>
      </w:pPr>
    </w:p>
    <w:p w:rsidR="00527554" w:rsidRDefault="00EB45BB">
      <w:pPr>
        <w:spacing w:line="480" w:lineRule="auto"/>
        <w:jc w:val="center"/>
        <w:rPr>
          <w:b/>
          <w:sz w:val="24"/>
          <w:szCs w:val="24"/>
          <w:u w:val="single"/>
        </w:rPr>
      </w:pPr>
      <w:r>
        <w:rPr>
          <w:b/>
          <w:sz w:val="24"/>
          <w:szCs w:val="24"/>
          <w:u w:val="single"/>
        </w:rPr>
        <w:t>Abstract</w:t>
      </w:r>
    </w:p>
    <w:p w:rsidR="00527554" w:rsidRDefault="00EB45BB">
      <w:pPr>
        <w:spacing w:line="480" w:lineRule="auto"/>
        <w:rPr>
          <w:sz w:val="24"/>
          <w:szCs w:val="24"/>
        </w:rPr>
      </w:pPr>
      <w:r>
        <w:rPr>
          <w:sz w:val="24"/>
          <w:szCs w:val="24"/>
        </w:rPr>
        <w:t>The following article consists of research and studies to try and gather supporting evidence that anxiety and depression are linked with decreased academic performance, and increased worry. Anxiety and depression are the most common and most widely encount</w:t>
      </w:r>
      <w:r>
        <w:rPr>
          <w:sz w:val="24"/>
          <w:szCs w:val="24"/>
        </w:rPr>
        <w:t>ered emotions across the world. Previous research, such as ”Eyseneck’s Processing Efficiency Theory”, shows that anxiety significantly puts the ability to performance in academic studies at a threat. And also that the higher the severity of anxiety there i</w:t>
      </w:r>
      <w:r>
        <w:rPr>
          <w:sz w:val="24"/>
          <w:szCs w:val="24"/>
        </w:rPr>
        <w:t xml:space="preserve">s in an individual the more likely they are to suffer from worry as well. Depression and worry are said to distract an individual and create a decrease in their ability to function their working memory. The aim of this “anxiety </w:t>
      </w:r>
      <w:r>
        <w:rPr>
          <w:sz w:val="24"/>
          <w:szCs w:val="24"/>
        </w:rPr>
        <w:lastRenderedPageBreak/>
        <w:t>and depression in academic p</w:t>
      </w:r>
      <w:r>
        <w:rPr>
          <w:sz w:val="24"/>
          <w:szCs w:val="24"/>
        </w:rPr>
        <w:t>erformance” article is it experiment and seek the connection linking anxiety and depression to academic output in students from two UK schools. In study 1 we experiment the link between negative affect and academic performance. This study consisted of 32 b</w:t>
      </w:r>
      <w:r>
        <w:rPr>
          <w:sz w:val="24"/>
          <w:szCs w:val="24"/>
        </w:rPr>
        <w:t xml:space="preserve">oys, aged 12 to 13 years of age, that participated in filling out a questionnaire at the start of the academic day to measure their levels of anxiety, worry and depression. As a result, the outcome of this test showed us that anxiety, depression and worry </w:t>
      </w:r>
      <w:r>
        <w:rPr>
          <w:sz w:val="24"/>
          <w:szCs w:val="24"/>
        </w:rPr>
        <w:t xml:space="preserve">were in fact linked to a decrease in academic ability. In study 2, we assessed the indirect effects of negative affects and academic performance and how they intervene with working memory. This study included 15 boys and 16 girls aged 12 years to 13 years </w:t>
      </w:r>
      <w:r>
        <w:rPr>
          <w:sz w:val="24"/>
          <w:szCs w:val="24"/>
        </w:rPr>
        <w:t xml:space="preserve">old, that also participated in filling out a questionnaire at the start of the academic day to measure their levels of anxiety, worry and depression. As a result the answers showed us that, as well as in study 1, the end result of this test showed us that </w:t>
      </w:r>
      <w:r>
        <w:rPr>
          <w:sz w:val="24"/>
          <w:szCs w:val="24"/>
        </w:rPr>
        <w:t>anxiety, depression and worry were in fact linked to a decrease in academic ability, and that they are all related (anxiety, depression and worry).  To conclude this abstract, at first research was gathered from several people in order to draw up the hypot</w:t>
      </w:r>
      <w:r>
        <w:rPr>
          <w:sz w:val="24"/>
          <w:szCs w:val="24"/>
        </w:rPr>
        <w:t>hesis that anxiety, depression and worry are not only related but they negatively affect students academic performance. Also that there is an association between the central working memory system and academic performance is linked to negative affect and pe</w:t>
      </w:r>
      <w:r>
        <w:rPr>
          <w:sz w:val="24"/>
          <w:szCs w:val="24"/>
        </w:rPr>
        <w:t>rformance. The studies that were carried out involved two UK schools, the studies showed us this exactly.</w:t>
      </w:r>
    </w:p>
    <w:p w:rsidR="00527554" w:rsidRDefault="00527554">
      <w:pPr>
        <w:spacing w:line="480" w:lineRule="auto"/>
        <w:rPr>
          <w:sz w:val="24"/>
          <w:szCs w:val="24"/>
        </w:rPr>
      </w:pPr>
    </w:p>
    <w:p w:rsidR="00527554" w:rsidRDefault="00527554">
      <w:pPr>
        <w:spacing w:line="480" w:lineRule="auto"/>
        <w:rPr>
          <w:sz w:val="24"/>
          <w:szCs w:val="24"/>
        </w:rPr>
      </w:pPr>
    </w:p>
    <w:p w:rsidR="00527554" w:rsidRDefault="00527554">
      <w:pPr>
        <w:spacing w:line="480" w:lineRule="auto"/>
        <w:rPr>
          <w:sz w:val="24"/>
          <w:szCs w:val="24"/>
        </w:rPr>
      </w:pPr>
    </w:p>
    <w:p w:rsidR="00527554" w:rsidRDefault="00527554">
      <w:pPr>
        <w:spacing w:line="480" w:lineRule="auto"/>
        <w:rPr>
          <w:sz w:val="24"/>
          <w:szCs w:val="24"/>
        </w:rPr>
      </w:pPr>
    </w:p>
    <w:p w:rsidR="00527554" w:rsidRDefault="00527554">
      <w:pPr>
        <w:spacing w:line="480" w:lineRule="auto"/>
        <w:rPr>
          <w:sz w:val="24"/>
          <w:szCs w:val="24"/>
        </w:rPr>
      </w:pPr>
    </w:p>
    <w:p w:rsidR="00527554" w:rsidRDefault="00527554">
      <w:pPr>
        <w:spacing w:line="480" w:lineRule="auto"/>
        <w:rPr>
          <w:sz w:val="24"/>
          <w:szCs w:val="24"/>
        </w:rPr>
      </w:pPr>
    </w:p>
    <w:p w:rsidR="00527554" w:rsidRDefault="00527554">
      <w:pPr>
        <w:spacing w:line="480" w:lineRule="auto"/>
        <w:rPr>
          <w:sz w:val="24"/>
          <w:szCs w:val="24"/>
        </w:rPr>
      </w:pPr>
    </w:p>
    <w:p w:rsidR="00527554" w:rsidRDefault="00527554">
      <w:pPr>
        <w:spacing w:line="480" w:lineRule="auto"/>
        <w:rPr>
          <w:sz w:val="24"/>
          <w:szCs w:val="24"/>
        </w:rPr>
      </w:pPr>
    </w:p>
    <w:p w:rsidR="00527554" w:rsidRDefault="00527554">
      <w:pPr>
        <w:spacing w:line="480" w:lineRule="auto"/>
        <w:rPr>
          <w:sz w:val="24"/>
          <w:szCs w:val="24"/>
        </w:rPr>
      </w:pPr>
    </w:p>
    <w:p w:rsidR="00527554" w:rsidRDefault="00527554">
      <w:pPr>
        <w:spacing w:line="480" w:lineRule="auto"/>
        <w:rPr>
          <w:sz w:val="24"/>
          <w:szCs w:val="24"/>
        </w:rPr>
      </w:pPr>
    </w:p>
    <w:p w:rsidR="00527554" w:rsidRDefault="00527554">
      <w:pPr>
        <w:spacing w:line="480" w:lineRule="auto"/>
        <w:rPr>
          <w:sz w:val="24"/>
          <w:szCs w:val="24"/>
        </w:rPr>
      </w:pPr>
    </w:p>
    <w:p w:rsidR="00527554" w:rsidRDefault="00527554">
      <w:pPr>
        <w:spacing w:line="480" w:lineRule="auto"/>
        <w:rPr>
          <w:sz w:val="24"/>
          <w:szCs w:val="24"/>
        </w:rPr>
      </w:pPr>
    </w:p>
    <w:p w:rsidR="00527554" w:rsidRDefault="00527554">
      <w:pPr>
        <w:spacing w:line="480" w:lineRule="auto"/>
        <w:rPr>
          <w:sz w:val="24"/>
          <w:szCs w:val="24"/>
        </w:rPr>
      </w:pPr>
    </w:p>
    <w:p w:rsidR="00527554" w:rsidRDefault="00EB45BB">
      <w:pPr>
        <w:spacing w:line="480" w:lineRule="auto"/>
        <w:jc w:val="center"/>
        <w:rPr>
          <w:b/>
          <w:sz w:val="24"/>
          <w:szCs w:val="24"/>
          <w:u w:val="single"/>
        </w:rPr>
      </w:pPr>
      <w:r>
        <w:rPr>
          <w:b/>
          <w:sz w:val="24"/>
          <w:szCs w:val="24"/>
          <w:u w:val="single"/>
        </w:rPr>
        <w:t>Reference List</w:t>
      </w:r>
    </w:p>
    <w:p w:rsidR="00527554" w:rsidRDefault="00EB45BB">
      <w:pPr>
        <w:spacing w:line="480" w:lineRule="auto"/>
        <w:jc w:val="center"/>
        <w:rPr>
          <w:sz w:val="24"/>
          <w:szCs w:val="24"/>
        </w:rPr>
      </w:pPr>
      <w:r>
        <w:rPr>
          <w:sz w:val="24"/>
          <w:szCs w:val="24"/>
        </w:rPr>
        <w:t xml:space="preserve">Spielberg, C. D. (2006). Cross-cultural assessment of emotional states and personality traits. </w:t>
      </w:r>
      <w:r>
        <w:rPr>
          <w:i/>
          <w:sz w:val="24"/>
          <w:szCs w:val="24"/>
        </w:rPr>
        <w:t>European  Psychologist</w:t>
      </w:r>
      <w:r>
        <w:rPr>
          <w:sz w:val="24"/>
          <w:szCs w:val="24"/>
        </w:rPr>
        <w:t>, 11(</w:t>
      </w:r>
      <w:r>
        <w:rPr>
          <w:sz w:val="24"/>
          <w:szCs w:val="24"/>
        </w:rPr>
        <w:t>4), 297-303, doi: 10.1027/1016-9040.11.4.297.</w:t>
      </w:r>
    </w:p>
    <w:p w:rsidR="00527554" w:rsidRDefault="00527554">
      <w:pPr>
        <w:spacing w:line="480" w:lineRule="auto"/>
        <w:jc w:val="center"/>
        <w:rPr>
          <w:sz w:val="24"/>
          <w:szCs w:val="24"/>
        </w:rPr>
      </w:pPr>
    </w:p>
    <w:p w:rsidR="00527554" w:rsidRDefault="00EB45BB">
      <w:pPr>
        <w:spacing w:line="480" w:lineRule="auto"/>
        <w:jc w:val="center"/>
        <w:rPr>
          <w:sz w:val="24"/>
          <w:szCs w:val="24"/>
        </w:rPr>
      </w:pPr>
      <w:r>
        <w:rPr>
          <w:sz w:val="24"/>
          <w:szCs w:val="24"/>
        </w:rPr>
        <w:t xml:space="preserve">Eyseneck, M. W., Derakshan, N. (2007). Anxiety and cognitive performance: Attentional control theory. </w:t>
      </w:r>
      <w:r>
        <w:rPr>
          <w:i/>
          <w:sz w:val="24"/>
          <w:szCs w:val="24"/>
        </w:rPr>
        <w:t>Emotion</w:t>
      </w:r>
      <w:r>
        <w:rPr>
          <w:sz w:val="24"/>
          <w:szCs w:val="24"/>
        </w:rPr>
        <w:t>, 6(6), 409-434, doi: 10.1037/1528-3542.7.2.336.</w:t>
      </w:r>
    </w:p>
    <w:p w:rsidR="00527554" w:rsidRDefault="00527554">
      <w:pPr>
        <w:spacing w:line="480" w:lineRule="auto"/>
        <w:jc w:val="center"/>
        <w:rPr>
          <w:sz w:val="24"/>
          <w:szCs w:val="24"/>
        </w:rPr>
      </w:pPr>
    </w:p>
    <w:p w:rsidR="00527554" w:rsidRDefault="00EB45BB">
      <w:pPr>
        <w:spacing w:line="480" w:lineRule="auto"/>
        <w:jc w:val="center"/>
        <w:rPr>
          <w:sz w:val="24"/>
          <w:szCs w:val="24"/>
        </w:rPr>
      </w:pPr>
      <w:r>
        <w:rPr>
          <w:sz w:val="24"/>
          <w:szCs w:val="24"/>
        </w:rPr>
        <w:t xml:space="preserve">American Psychiatric Association, (2000). </w:t>
      </w:r>
      <w:r>
        <w:rPr>
          <w:i/>
          <w:sz w:val="24"/>
          <w:szCs w:val="24"/>
        </w:rPr>
        <w:t>Diagnostic and statistical manual of mental disorders</w:t>
      </w:r>
      <w:r>
        <w:rPr>
          <w:sz w:val="24"/>
          <w:szCs w:val="24"/>
        </w:rPr>
        <w:t>. Washington, DC: American Psychiatric Association.</w:t>
      </w:r>
    </w:p>
    <w:p w:rsidR="00527554" w:rsidRDefault="00527554">
      <w:pPr>
        <w:spacing w:line="480" w:lineRule="auto"/>
        <w:jc w:val="center"/>
        <w:rPr>
          <w:sz w:val="24"/>
          <w:szCs w:val="24"/>
        </w:rPr>
      </w:pPr>
    </w:p>
    <w:p w:rsidR="00527554" w:rsidRDefault="00EB45BB">
      <w:pPr>
        <w:spacing w:line="480" w:lineRule="auto"/>
        <w:jc w:val="center"/>
        <w:rPr>
          <w:sz w:val="24"/>
          <w:szCs w:val="24"/>
        </w:rPr>
      </w:pPr>
      <w:r>
        <w:rPr>
          <w:sz w:val="24"/>
          <w:szCs w:val="24"/>
        </w:rPr>
        <w:lastRenderedPageBreak/>
        <w:t>Keogh, E., Bond, F.  W., &amp; Flaxman, P. E. (2006) Improving academic performance and mental health through a stress management intervention: Outcomes a</w:t>
      </w:r>
      <w:r>
        <w:rPr>
          <w:sz w:val="24"/>
          <w:szCs w:val="24"/>
        </w:rPr>
        <w:t xml:space="preserve">nd mediators of change. </w:t>
      </w:r>
      <w:r>
        <w:rPr>
          <w:i/>
          <w:sz w:val="24"/>
          <w:szCs w:val="24"/>
        </w:rPr>
        <w:t>Behaviour Research and Therapy</w:t>
      </w:r>
      <w:r>
        <w:rPr>
          <w:sz w:val="24"/>
          <w:szCs w:val="24"/>
        </w:rPr>
        <w:t>, 44(3), 339-357, doi: 10.1016/j.brat.2005.03.002.</w:t>
      </w:r>
    </w:p>
    <w:p w:rsidR="00527554" w:rsidRDefault="00527554">
      <w:pPr>
        <w:spacing w:line="480" w:lineRule="auto"/>
        <w:jc w:val="center"/>
        <w:rPr>
          <w:b/>
          <w:sz w:val="24"/>
          <w:szCs w:val="24"/>
          <w:u w:val="single"/>
        </w:rPr>
      </w:pPr>
    </w:p>
    <w:p w:rsidR="00527554" w:rsidRDefault="00527554">
      <w:pPr>
        <w:spacing w:line="480" w:lineRule="auto"/>
        <w:jc w:val="center"/>
        <w:rPr>
          <w:b/>
          <w:sz w:val="24"/>
          <w:szCs w:val="24"/>
          <w:u w:val="single"/>
        </w:rPr>
      </w:pPr>
    </w:p>
    <w:p w:rsidR="00527554" w:rsidRDefault="00527554">
      <w:pPr>
        <w:spacing w:line="480" w:lineRule="auto"/>
        <w:rPr>
          <w:b/>
          <w:sz w:val="28"/>
          <w:szCs w:val="28"/>
          <w:u w:val="single"/>
        </w:rPr>
      </w:pPr>
    </w:p>
    <w:p w:rsidR="00527554" w:rsidRDefault="00527554">
      <w:pPr>
        <w:spacing w:line="480" w:lineRule="auto"/>
        <w:jc w:val="center"/>
        <w:rPr>
          <w:b/>
          <w:sz w:val="28"/>
          <w:szCs w:val="28"/>
          <w:u w:val="single"/>
        </w:rPr>
      </w:pPr>
    </w:p>
    <w:p w:rsidR="00527554" w:rsidRDefault="00527554">
      <w:pPr>
        <w:spacing w:line="480" w:lineRule="auto"/>
        <w:jc w:val="center"/>
        <w:rPr>
          <w:b/>
          <w:sz w:val="28"/>
          <w:szCs w:val="28"/>
          <w:u w:val="single"/>
        </w:rPr>
      </w:pPr>
    </w:p>
    <w:p w:rsidR="00527554" w:rsidRDefault="00527554">
      <w:pPr>
        <w:spacing w:line="480" w:lineRule="auto"/>
        <w:rPr>
          <w:b/>
          <w:sz w:val="28"/>
          <w:szCs w:val="28"/>
          <w:u w:val="single"/>
        </w:rPr>
      </w:pPr>
    </w:p>
    <w:p w:rsidR="00527554" w:rsidRDefault="00527554">
      <w:pPr>
        <w:spacing w:line="480" w:lineRule="auto"/>
        <w:jc w:val="center"/>
        <w:rPr>
          <w:b/>
          <w:sz w:val="28"/>
          <w:szCs w:val="28"/>
          <w:u w:val="single"/>
        </w:rPr>
      </w:pPr>
    </w:p>
    <w:p w:rsidR="00527554" w:rsidRDefault="00EB45BB">
      <w:pPr>
        <w:spacing w:line="480" w:lineRule="auto"/>
        <w:jc w:val="center"/>
        <w:rPr>
          <w:b/>
          <w:sz w:val="28"/>
          <w:szCs w:val="28"/>
          <w:u w:val="single"/>
        </w:rPr>
      </w:pPr>
      <w:r>
        <w:rPr>
          <w:b/>
          <w:sz w:val="28"/>
          <w:szCs w:val="28"/>
          <w:u w:val="single"/>
        </w:rPr>
        <w:t>BSc Applied Psychology</w:t>
      </w:r>
    </w:p>
    <w:p w:rsidR="00527554" w:rsidRDefault="00527554">
      <w:pPr>
        <w:spacing w:line="480" w:lineRule="auto"/>
        <w:jc w:val="center"/>
        <w:rPr>
          <w:b/>
          <w:sz w:val="28"/>
          <w:szCs w:val="28"/>
          <w:u w:val="single"/>
        </w:rPr>
      </w:pPr>
    </w:p>
    <w:p w:rsidR="00527554" w:rsidRDefault="00EB45BB">
      <w:pPr>
        <w:spacing w:line="480" w:lineRule="auto"/>
        <w:jc w:val="center"/>
        <w:rPr>
          <w:b/>
          <w:sz w:val="28"/>
          <w:szCs w:val="28"/>
          <w:u w:val="single"/>
        </w:rPr>
      </w:pPr>
      <w:r>
        <w:rPr>
          <w:b/>
          <w:sz w:val="28"/>
          <w:szCs w:val="28"/>
          <w:u w:val="single"/>
        </w:rPr>
        <w:t>Portfolio Of Activities 3: Create a reference list (500 words)</w:t>
      </w:r>
    </w:p>
    <w:p w:rsidR="00527554" w:rsidRDefault="00527554">
      <w:pPr>
        <w:spacing w:line="480" w:lineRule="auto"/>
        <w:jc w:val="center"/>
        <w:rPr>
          <w:b/>
          <w:sz w:val="28"/>
          <w:szCs w:val="28"/>
          <w:u w:val="single"/>
        </w:rPr>
      </w:pPr>
    </w:p>
    <w:p w:rsidR="00527554" w:rsidRDefault="00527554">
      <w:pPr>
        <w:spacing w:line="480" w:lineRule="auto"/>
        <w:jc w:val="center"/>
        <w:rPr>
          <w:b/>
          <w:sz w:val="28"/>
          <w:szCs w:val="28"/>
          <w:u w:val="single"/>
        </w:rPr>
      </w:pPr>
    </w:p>
    <w:p w:rsidR="00527554" w:rsidRDefault="00527554">
      <w:pPr>
        <w:spacing w:line="480" w:lineRule="auto"/>
        <w:jc w:val="center"/>
        <w:rPr>
          <w:b/>
          <w:sz w:val="28"/>
          <w:szCs w:val="28"/>
          <w:u w:val="single"/>
        </w:rPr>
      </w:pPr>
    </w:p>
    <w:p w:rsidR="00527554" w:rsidRDefault="00527554">
      <w:pPr>
        <w:spacing w:line="480" w:lineRule="auto"/>
        <w:jc w:val="center"/>
        <w:rPr>
          <w:b/>
          <w:sz w:val="28"/>
          <w:szCs w:val="28"/>
          <w:u w:val="single"/>
        </w:rPr>
      </w:pPr>
    </w:p>
    <w:p w:rsidR="00527554" w:rsidRDefault="00527554">
      <w:pPr>
        <w:spacing w:line="480" w:lineRule="auto"/>
        <w:rPr>
          <w:b/>
          <w:sz w:val="28"/>
          <w:szCs w:val="28"/>
          <w:u w:val="single"/>
        </w:rPr>
      </w:pPr>
    </w:p>
    <w:p w:rsidR="00527554" w:rsidRDefault="00527554">
      <w:pPr>
        <w:spacing w:line="480" w:lineRule="auto"/>
        <w:jc w:val="center"/>
        <w:rPr>
          <w:b/>
          <w:sz w:val="28"/>
          <w:szCs w:val="28"/>
          <w:u w:val="single"/>
        </w:rPr>
      </w:pPr>
    </w:p>
    <w:p w:rsidR="00527554" w:rsidRDefault="00EB45BB">
      <w:pPr>
        <w:spacing w:line="480" w:lineRule="auto"/>
        <w:rPr>
          <w:sz w:val="28"/>
          <w:szCs w:val="28"/>
        </w:rPr>
      </w:pPr>
      <w:r>
        <w:rPr>
          <w:sz w:val="28"/>
          <w:szCs w:val="28"/>
        </w:rPr>
        <w:lastRenderedPageBreak/>
        <w:t>Lauren Megan Lloyd-Davies</w:t>
      </w:r>
    </w:p>
    <w:p w:rsidR="00527554" w:rsidRDefault="00EB45BB">
      <w:pPr>
        <w:spacing w:line="480" w:lineRule="auto"/>
        <w:rPr>
          <w:sz w:val="28"/>
          <w:szCs w:val="28"/>
        </w:rPr>
      </w:pPr>
      <w:r>
        <w:rPr>
          <w:sz w:val="28"/>
          <w:szCs w:val="28"/>
        </w:rPr>
        <w:t>14/11/2017</w:t>
      </w:r>
    </w:p>
    <w:p w:rsidR="00527554" w:rsidRDefault="00527554">
      <w:pPr>
        <w:spacing w:line="480" w:lineRule="auto"/>
        <w:rPr>
          <w:sz w:val="28"/>
          <w:szCs w:val="28"/>
        </w:rPr>
      </w:pPr>
    </w:p>
    <w:p w:rsidR="00527554" w:rsidRDefault="00EB45BB">
      <w:pPr>
        <w:pStyle w:val="Heading2"/>
        <w:keepNext w:val="0"/>
        <w:keepLines w:val="0"/>
        <w:spacing w:before="0" w:after="0"/>
        <w:ind w:left="-900" w:right="-900"/>
        <w:jc w:val="center"/>
        <w:rPr>
          <w:b/>
          <w:sz w:val="24"/>
          <w:szCs w:val="24"/>
          <w:highlight w:val="white"/>
          <w:u w:val="single"/>
        </w:rPr>
      </w:pPr>
      <w:bookmarkStart w:id="1" w:name="_obgnpecje2lc" w:colFirst="0" w:colLast="0"/>
      <w:bookmarkEnd w:id="1"/>
      <w:r>
        <w:rPr>
          <w:b/>
          <w:sz w:val="24"/>
          <w:szCs w:val="24"/>
          <w:highlight w:val="white"/>
          <w:u w:val="single"/>
        </w:rPr>
        <w:t>Reference Lis</w:t>
      </w:r>
      <w:r>
        <w:rPr>
          <w:b/>
          <w:sz w:val="24"/>
          <w:szCs w:val="24"/>
          <w:highlight w:val="white"/>
          <w:u w:val="single"/>
        </w:rPr>
        <w:t>t</w:t>
      </w:r>
    </w:p>
    <w:p w:rsidR="00527554" w:rsidRDefault="00527554">
      <w:pPr>
        <w:pStyle w:val="Heading2"/>
        <w:keepNext w:val="0"/>
        <w:keepLines w:val="0"/>
        <w:spacing w:before="0" w:after="0"/>
        <w:ind w:left="-900" w:right="-900"/>
        <w:rPr>
          <w:b/>
          <w:sz w:val="34"/>
          <w:szCs w:val="34"/>
          <w:highlight w:val="white"/>
        </w:rPr>
      </w:pPr>
      <w:bookmarkStart w:id="2" w:name="_7m3jcs6uwxxk" w:colFirst="0" w:colLast="0"/>
      <w:bookmarkEnd w:id="2"/>
    </w:p>
    <w:p w:rsidR="00527554" w:rsidRDefault="00EB45BB">
      <w:pPr>
        <w:pBdr>
          <w:top w:val="none" w:sz="0" w:space="6" w:color="auto"/>
          <w:bottom w:val="none" w:sz="0" w:space="6" w:color="auto"/>
          <w:right w:val="none" w:sz="0" w:space="22" w:color="auto"/>
          <w:between w:val="none" w:sz="0" w:space="6" w:color="auto"/>
        </w:pBdr>
        <w:spacing w:after="300" w:line="480" w:lineRule="auto"/>
        <w:ind w:right="-440"/>
      </w:pPr>
      <w:r>
        <w:rPr>
          <w:sz w:val="24"/>
          <w:szCs w:val="24"/>
        </w:rPr>
        <w:t xml:space="preserve">Bzdok, D., Hartwigsen, G., Reid, A., Laird, A., Fox, P., &amp; Eickhoff, S. (2016). Left inferior parietal lobe engagement in social cognition and language. </w:t>
      </w:r>
      <w:r>
        <w:rPr>
          <w:i/>
          <w:sz w:val="24"/>
          <w:szCs w:val="24"/>
        </w:rPr>
        <w:t>Neuroscience &amp; Biobehavioral Reviews</w:t>
      </w:r>
      <w:r>
        <w:rPr>
          <w:sz w:val="24"/>
          <w:szCs w:val="24"/>
        </w:rPr>
        <w:t>, 68, pp.319-334.</w:t>
      </w:r>
    </w:p>
    <w:p w:rsidR="00527554" w:rsidRDefault="00EB45BB">
      <w:pPr>
        <w:pBdr>
          <w:top w:val="none" w:sz="0" w:space="0" w:color="auto"/>
          <w:bottom w:val="none" w:sz="0" w:space="0" w:color="auto"/>
          <w:right w:val="none" w:sz="0" w:space="0" w:color="auto"/>
          <w:between w:val="none" w:sz="0" w:space="0" w:color="auto"/>
        </w:pBdr>
        <w:spacing w:after="300" w:line="480" w:lineRule="auto"/>
        <w:ind w:right="-440"/>
        <w:rPr>
          <w:sz w:val="24"/>
          <w:szCs w:val="24"/>
        </w:rPr>
      </w:pPr>
      <w:r>
        <w:rPr>
          <w:sz w:val="24"/>
          <w:szCs w:val="24"/>
        </w:rPr>
        <w:t xml:space="preserve">Cromby, J., Harper, D., &amp; Reavey, P. (2013). </w:t>
      </w:r>
      <w:r>
        <w:rPr>
          <w:i/>
          <w:sz w:val="24"/>
          <w:szCs w:val="24"/>
        </w:rPr>
        <w:t>Psychology, mental health and distress</w:t>
      </w:r>
      <w:r>
        <w:rPr>
          <w:sz w:val="24"/>
          <w:szCs w:val="24"/>
        </w:rPr>
        <w:t>. Basingstoke: Palgrave Macmillan.</w:t>
      </w:r>
    </w:p>
    <w:p w:rsidR="00527554" w:rsidRDefault="00EB45BB">
      <w:pPr>
        <w:pBdr>
          <w:top w:val="none" w:sz="0" w:space="0" w:color="auto"/>
          <w:bottom w:val="none" w:sz="0" w:space="0" w:color="auto"/>
          <w:right w:val="none" w:sz="0" w:space="0" w:color="auto"/>
          <w:between w:val="none" w:sz="0" w:space="0" w:color="auto"/>
        </w:pBdr>
        <w:spacing w:after="300" w:line="480" w:lineRule="auto"/>
        <w:ind w:right="-440"/>
        <w:rPr>
          <w:sz w:val="24"/>
          <w:szCs w:val="24"/>
        </w:rPr>
      </w:pPr>
      <w:r>
        <w:rPr>
          <w:sz w:val="24"/>
          <w:szCs w:val="24"/>
        </w:rPr>
        <w:t xml:space="preserve">Evans, L., Mitchell, I., &amp; Jones, S. ed., (2006). Psychological Responses to Sport Injury. In: </w:t>
      </w:r>
      <w:r>
        <w:rPr>
          <w:i/>
          <w:sz w:val="24"/>
          <w:szCs w:val="24"/>
        </w:rPr>
        <w:t>Literature reviews in Sport Psychology</w:t>
      </w:r>
      <w:r>
        <w:rPr>
          <w:sz w:val="24"/>
          <w:szCs w:val="24"/>
        </w:rPr>
        <w:t>. Hauppage, NY.: Nova Science Publications., pp.28</w:t>
      </w:r>
      <w:r>
        <w:rPr>
          <w:sz w:val="24"/>
          <w:szCs w:val="24"/>
        </w:rPr>
        <w:t>9-319.</w:t>
      </w:r>
    </w:p>
    <w:p w:rsidR="00527554" w:rsidRDefault="00EB45BB">
      <w:pPr>
        <w:pBdr>
          <w:top w:val="none" w:sz="0" w:space="0" w:color="auto"/>
          <w:bottom w:val="none" w:sz="0" w:space="0" w:color="auto"/>
          <w:right w:val="none" w:sz="0" w:space="0" w:color="auto"/>
          <w:between w:val="none" w:sz="0" w:space="0" w:color="auto"/>
        </w:pBdr>
        <w:spacing w:after="300" w:line="480" w:lineRule="auto"/>
        <w:ind w:right="-440"/>
        <w:rPr>
          <w:sz w:val="24"/>
          <w:szCs w:val="24"/>
        </w:rPr>
      </w:pPr>
      <w:r>
        <w:rPr>
          <w:sz w:val="24"/>
          <w:szCs w:val="24"/>
        </w:rPr>
        <w:t xml:space="preserve">Geekie, J., &amp; Read, J. (2009). </w:t>
      </w:r>
      <w:r>
        <w:rPr>
          <w:i/>
          <w:sz w:val="24"/>
          <w:szCs w:val="24"/>
        </w:rPr>
        <w:t>Making sense of madness:Contesting the meaning of schizophrenia.</w:t>
      </w:r>
      <w:r>
        <w:rPr>
          <w:sz w:val="24"/>
          <w:szCs w:val="24"/>
        </w:rPr>
        <w:t>. [ebook] London: Routledge Taylor &amp; Francis. Available at: http://www.tandfebooks.com/doi/view/10.4324/9780203878.</w:t>
      </w:r>
    </w:p>
    <w:p w:rsidR="00527554" w:rsidRDefault="00EB45BB">
      <w:pPr>
        <w:pBdr>
          <w:top w:val="none" w:sz="0" w:space="0" w:color="auto"/>
          <w:bottom w:val="none" w:sz="0" w:space="0" w:color="auto"/>
          <w:right w:val="none" w:sz="0" w:space="0" w:color="auto"/>
          <w:between w:val="none" w:sz="0" w:space="0" w:color="auto"/>
        </w:pBdr>
        <w:spacing w:after="300" w:line="480" w:lineRule="auto"/>
        <w:ind w:right="-440"/>
        <w:rPr>
          <w:sz w:val="24"/>
          <w:szCs w:val="24"/>
        </w:rPr>
      </w:pPr>
      <w:r>
        <w:rPr>
          <w:sz w:val="24"/>
          <w:szCs w:val="24"/>
        </w:rPr>
        <w:t xml:space="preserve">Hefferon, K., &amp; Boniwell, I. (2011). </w:t>
      </w:r>
      <w:r>
        <w:rPr>
          <w:i/>
          <w:sz w:val="24"/>
          <w:szCs w:val="24"/>
        </w:rPr>
        <w:t>P</w:t>
      </w:r>
      <w:r>
        <w:rPr>
          <w:i/>
          <w:sz w:val="24"/>
          <w:szCs w:val="24"/>
        </w:rPr>
        <w:t>ositive Psychology</w:t>
      </w:r>
      <w:r>
        <w:rPr>
          <w:sz w:val="24"/>
          <w:szCs w:val="24"/>
        </w:rPr>
        <w:t>. Maidenhead: McGraw-Hill International (UK) Ltd.</w:t>
      </w:r>
    </w:p>
    <w:p w:rsidR="00527554" w:rsidRDefault="00EB45BB">
      <w:pPr>
        <w:pBdr>
          <w:top w:val="none" w:sz="0" w:space="0" w:color="auto"/>
          <w:bottom w:val="none" w:sz="0" w:space="0" w:color="auto"/>
          <w:right w:val="none" w:sz="0" w:space="0" w:color="auto"/>
          <w:between w:val="none" w:sz="0" w:space="0" w:color="auto"/>
        </w:pBdr>
        <w:spacing w:after="300" w:line="480" w:lineRule="auto"/>
        <w:ind w:right="-440"/>
        <w:rPr>
          <w:sz w:val="24"/>
          <w:szCs w:val="24"/>
        </w:rPr>
      </w:pPr>
      <w:r>
        <w:rPr>
          <w:sz w:val="24"/>
          <w:szCs w:val="24"/>
        </w:rPr>
        <w:lastRenderedPageBreak/>
        <w:t xml:space="preserve">Hefferon, K., &amp; Boniwell, I. ed., (2011). Happiness and subjective well-being across nations. In: </w:t>
      </w:r>
      <w:r>
        <w:rPr>
          <w:i/>
          <w:sz w:val="24"/>
          <w:szCs w:val="24"/>
        </w:rPr>
        <w:t>positive psychology: theory, research and applications.</w:t>
      </w:r>
      <w:r>
        <w:rPr>
          <w:sz w:val="24"/>
          <w:szCs w:val="24"/>
        </w:rPr>
        <w:t>.  NY: Open University Press, pp.44-75.</w:t>
      </w:r>
    </w:p>
    <w:p w:rsidR="00527554" w:rsidRDefault="00527554">
      <w:pPr>
        <w:pBdr>
          <w:top w:val="none" w:sz="0" w:space="0" w:color="auto"/>
          <w:bottom w:val="none" w:sz="0" w:space="0" w:color="auto"/>
          <w:right w:val="none" w:sz="0" w:space="0" w:color="auto"/>
          <w:between w:val="none" w:sz="0" w:space="0" w:color="auto"/>
        </w:pBdr>
        <w:spacing w:after="300" w:line="480" w:lineRule="auto"/>
        <w:ind w:right="-440"/>
        <w:rPr>
          <w:sz w:val="24"/>
          <w:szCs w:val="24"/>
        </w:rPr>
      </w:pPr>
    </w:p>
    <w:p w:rsidR="00527554" w:rsidRDefault="00EB45BB">
      <w:pPr>
        <w:pBdr>
          <w:top w:val="none" w:sz="0" w:space="0" w:color="auto"/>
          <w:bottom w:val="none" w:sz="0" w:space="0" w:color="auto"/>
          <w:right w:val="none" w:sz="0" w:space="0" w:color="auto"/>
          <w:between w:val="none" w:sz="0" w:space="0" w:color="auto"/>
        </w:pBdr>
        <w:spacing w:after="300" w:line="480" w:lineRule="auto"/>
        <w:ind w:right="-440"/>
        <w:rPr>
          <w:sz w:val="24"/>
          <w:szCs w:val="24"/>
        </w:rPr>
      </w:pPr>
      <w:r>
        <w:rPr>
          <w:sz w:val="24"/>
          <w:szCs w:val="24"/>
        </w:rPr>
        <w:t xml:space="preserve">Marsh, s. (2017). eating disorders in men rise by 70% in nhs figures. </w:t>
      </w:r>
      <w:r>
        <w:rPr>
          <w:i/>
          <w:sz w:val="24"/>
          <w:szCs w:val="24"/>
        </w:rPr>
        <w:t>the guardian</w:t>
      </w:r>
      <w:r>
        <w:rPr>
          <w:sz w:val="24"/>
          <w:szCs w:val="24"/>
        </w:rPr>
        <w:t>. [online] Available at: http://www.theguardian.com/society/2017/jul/13/eating-disorders-in-men-rise-by-70-in-nhs-figures.</w:t>
      </w:r>
    </w:p>
    <w:p w:rsidR="00527554" w:rsidRDefault="00EB45BB">
      <w:pPr>
        <w:pBdr>
          <w:top w:val="none" w:sz="0" w:space="0" w:color="auto"/>
          <w:bottom w:val="none" w:sz="0" w:space="0" w:color="auto"/>
          <w:right w:val="none" w:sz="0" w:space="0" w:color="auto"/>
          <w:between w:val="none" w:sz="0" w:space="0" w:color="auto"/>
        </w:pBdr>
        <w:spacing w:after="300" w:line="480" w:lineRule="auto"/>
        <w:ind w:right="-440"/>
        <w:rPr>
          <w:sz w:val="24"/>
          <w:szCs w:val="24"/>
        </w:rPr>
      </w:pPr>
      <w:r>
        <w:rPr>
          <w:sz w:val="24"/>
          <w:szCs w:val="24"/>
        </w:rPr>
        <w:t>Mental Hea</w:t>
      </w:r>
      <w:r>
        <w:rPr>
          <w:sz w:val="24"/>
          <w:szCs w:val="24"/>
        </w:rPr>
        <w:t xml:space="preserve">lth Foundation. (2017). </w:t>
      </w:r>
      <w:r>
        <w:rPr>
          <w:i/>
          <w:sz w:val="24"/>
          <w:szCs w:val="24"/>
        </w:rPr>
        <w:t>Computerised cognitive behavioural therapy.</w:t>
      </w:r>
      <w:r>
        <w:rPr>
          <w:sz w:val="24"/>
          <w:szCs w:val="24"/>
        </w:rPr>
        <w:t>. [podcast] Available at: http://www.mentalhealth.org.uk/podcast-and-videos/computerised-cognitive-behavioural-therapy.</w:t>
      </w:r>
    </w:p>
    <w:p w:rsidR="00527554" w:rsidRDefault="00EB45BB">
      <w:pPr>
        <w:pBdr>
          <w:top w:val="none" w:sz="0" w:space="0" w:color="auto"/>
          <w:bottom w:val="none" w:sz="0" w:space="0" w:color="auto"/>
          <w:right w:val="none" w:sz="0" w:space="0" w:color="auto"/>
          <w:between w:val="none" w:sz="0" w:space="0" w:color="auto"/>
        </w:pBdr>
        <w:spacing w:after="300" w:line="480" w:lineRule="auto"/>
        <w:ind w:right="-440"/>
        <w:rPr>
          <w:sz w:val="24"/>
          <w:szCs w:val="24"/>
        </w:rPr>
      </w:pPr>
      <w:r>
        <w:rPr>
          <w:sz w:val="24"/>
          <w:szCs w:val="24"/>
        </w:rPr>
        <w:t xml:space="preserve">Mohamed, S. (2011). </w:t>
      </w:r>
      <w:r>
        <w:rPr>
          <w:i/>
          <w:sz w:val="24"/>
          <w:szCs w:val="24"/>
        </w:rPr>
        <w:t>Stigma and mental illness: are there cultural dif</w:t>
      </w:r>
      <w:r>
        <w:rPr>
          <w:i/>
          <w:sz w:val="24"/>
          <w:szCs w:val="24"/>
        </w:rPr>
        <w:t>ferences?</w:t>
      </w:r>
      <w:r>
        <w:rPr>
          <w:sz w:val="24"/>
          <w:szCs w:val="24"/>
        </w:rPr>
        <w:t>. Doctor of Clinical Psychology. University of East Anglia.</w:t>
      </w:r>
    </w:p>
    <w:p w:rsidR="00527554" w:rsidRDefault="00EB45BB">
      <w:pPr>
        <w:pBdr>
          <w:top w:val="none" w:sz="0" w:space="0" w:color="auto"/>
          <w:bottom w:val="none" w:sz="0" w:space="0" w:color="auto"/>
          <w:right w:val="none" w:sz="0" w:space="0" w:color="auto"/>
          <w:between w:val="none" w:sz="0" w:space="0" w:color="auto"/>
        </w:pBdr>
        <w:spacing w:after="300" w:line="480" w:lineRule="auto"/>
        <w:ind w:right="-440"/>
        <w:rPr>
          <w:sz w:val="24"/>
          <w:szCs w:val="24"/>
        </w:rPr>
      </w:pPr>
      <w:r>
        <w:rPr>
          <w:sz w:val="24"/>
          <w:szCs w:val="24"/>
        </w:rPr>
        <w:t xml:space="preserve">Oliver, E., Mawn, L., Stain, H., Bambra, C., Torgerson, C., Oliver, A., &amp; Bridle, C. (2014). Should we ‘hug a hoodie’? Protocol for a systematic review and meta-analysis of interventions </w:t>
      </w:r>
      <w:r>
        <w:rPr>
          <w:sz w:val="24"/>
          <w:szCs w:val="24"/>
        </w:rPr>
        <w:t xml:space="preserve">with young people not in employment, education or training (so-called NEETs). </w:t>
      </w:r>
      <w:r>
        <w:rPr>
          <w:i/>
          <w:sz w:val="24"/>
          <w:szCs w:val="24"/>
        </w:rPr>
        <w:t>Systematic Reviews</w:t>
      </w:r>
      <w:r>
        <w:rPr>
          <w:sz w:val="24"/>
          <w:szCs w:val="24"/>
        </w:rPr>
        <w:t>, 3(1).</w:t>
      </w:r>
    </w:p>
    <w:p w:rsidR="00527554" w:rsidRDefault="00EB45BB">
      <w:pPr>
        <w:pBdr>
          <w:top w:val="none" w:sz="0" w:space="0" w:color="auto"/>
          <w:bottom w:val="none" w:sz="0" w:space="0" w:color="auto"/>
          <w:right w:val="none" w:sz="0" w:space="0" w:color="auto"/>
          <w:between w:val="none" w:sz="0" w:space="0" w:color="auto"/>
        </w:pBdr>
        <w:spacing w:after="300" w:line="480" w:lineRule="auto"/>
        <w:ind w:right="-440"/>
        <w:rPr>
          <w:sz w:val="24"/>
          <w:szCs w:val="24"/>
        </w:rPr>
      </w:pPr>
      <w:r>
        <w:rPr>
          <w:sz w:val="24"/>
          <w:szCs w:val="24"/>
        </w:rPr>
        <w:t xml:space="preserve">Pathways.nice.org.uk. (2017). </w:t>
      </w:r>
      <w:r>
        <w:rPr>
          <w:i/>
          <w:sz w:val="24"/>
          <w:szCs w:val="24"/>
        </w:rPr>
        <w:t>Social and emotional wellbeing for children and young people - NICE Pathways</w:t>
      </w:r>
      <w:r>
        <w:rPr>
          <w:sz w:val="24"/>
          <w:szCs w:val="24"/>
        </w:rPr>
        <w:t xml:space="preserve">. [online] Available at: </w:t>
      </w:r>
      <w:r>
        <w:rPr>
          <w:sz w:val="24"/>
          <w:szCs w:val="24"/>
        </w:rPr>
        <w:lastRenderedPageBreak/>
        <w:t>http://pathways.nice.</w:t>
      </w:r>
      <w:r>
        <w:rPr>
          <w:sz w:val="24"/>
          <w:szCs w:val="24"/>
        </w:rPr>
        <w:t>org.uk/pathways/social-and-emotional-wellbeing-for-children-and-young-people.</w:t>
      </w:r>
    </w:p>
    <w:p w:rsidR="00527554" w:rsidRDefault="00527554">
      <w:pPr>
        <w:pBdr>
          <w:top w:val="none" w:sz="0" w:space="0" w:color="auto"/>
          <w:bottom w:val="none" w:sz="0" w:space="0" w:color="auto"/>
          <w:right w:val="none" w:sz="0" w:space="0" w:color="auto"/>
          <w:between w:val="none" w:sz="0" w:space="0" w:color="auto"/>
        </w:pBdr>
        <w:spacing w:after="300" w:line="480" w:lineRule="auto"/>
        <w:ind w:right="-440"/>
        <w:rPr>
          <w:sz w:val="24"/>
          <w:szCs w:val="24"/>
        </w:rPr>
      </w:pPr>
    </w:p>
    <w:p w:rsidR="00527554" w:rsidRDefault="00527554">
      <w:pPr>
        <w:pBdr>
          <w:top w:val="none" w:sz="0" w:space="0" w:color="auto"/>
          <w:bottom w:val="none" w:sz="0" w:space="0" w:color="auto"/>
          <w:right w:val="none" w:sz="0" w:space="0" w:color="auto"/>
          <w:between w:val="none" w:sz="0" w:space="0" w:color="auto"/>
        </w:pBdr>
        <w:spacing w:after="300" w:line="480" w:lineRule="auto"/>
        <w:ind w:right="-440"/>
        <w:rPr>
          <w:sz w:val="24"/>
          <w:szCs w:val="24"/>
        </w:rPr>
      </w:pPr>
    </w:p>
    <w:p w:rsidR="00527554" w:rsidRDefault="00EB45BB">
      <w:pPr>
        <w:pBdr>
          <w:top w:val="none" w:sz="0" w:space="0" w:color="auto"/>
          <w:bottom w:val="none" w:sz="0" w:space="0" w:color="auto"/>
          <w:right w:val="none" w:sz="0" w:space="0" w:color="auto"/>
          <w:between w:val="none" w:sz="0" w:space="0" w:color="auto"/>
        </w:pBdr>
        <w:spacing w:after="300" w:line="480" w:lineRule="auto"/>
        <w:ind w:right="-440"/>
        <w:rPr>
          <w:sz w:val="24"/>
          <w:szCs w:val="24"/>
          <w:shd w:val="clear" w:color="auto" w:fill="FFF5AA"/>
        </w:rPr>
      </w:pPr>
      <w:r>
        <w:rPr>
          <w:sz w:val="24"/>
          <w:szCs w:val="24"/>
        </w:rPr>
        <w:t>Phelps, C., Minou, M., Baker, A., Hughes, C., French, H., Hawkins, W., Leeuwenberg, A., Crabtree, R., &amp; Hutchings, P. (2016). Necessary but not sufficient? Engaging young peopl</w:t>
      </w:r>
      <w:r>
        <w:rPr>
          <w:sz w:val="24"/>
          <w:szCs w:val="24"/>
        </w:rPr>
        <w:t xml:space="preserve">e in the development of an avatar-based online intervention designed to provide psychosocial support to young people affected by their own or a family member's cancer diagnosis. </w:t>
      </w:r>
      <w:r>
        <w:rPr>
          <w:i/>
          <w:sz w:val="24"/>
          <w:szCs w:val="24"/>
        </w:rPr>
        <w:t>Health Expectations</w:t>
      </w:r>
      <w:r>
        <w:rPr>
          <w:sz w:val="24"/>
          <w:szCs w:val="24"/>
        </w:rPr>
        <w:t>, 20(3), pp.459-470.</w:t>
      </w:r>
      <w:r>
        <w:rPr>
          <w:sz w:val="24"/>
          <w:szCs w:val="24"/>
          <w:shd w:val="clear" w:color="auto" w:fill="FFF5AA"/>
        </w:rPr>
        <w:t xml:space="preserve"> </w:t>
      </w:r>
    </w:p>
    <w:p w:rsidR="00527554" w:rsidRDefault="00EB45BB">
      <w:pPr>
        <w:pBdr>
          <w:top w:val="none" w:sz="0" w:space="0" w:color="auto"/>
          <w:bottom w:val="none" w:sz="0" w:space="0" w:color="auto"/>
          <w:right w:val="none" w:sz="0" w:space="0" w:color="auto"/>
          <w:between w:val="none" w:sz="0" w:space="0" w:color="auto"/>
        </w:pBdr>
        <w:spacing w:after="300" w:line="480" w:lineRule="auto"/>
        <w:ind w:right="-440"/>
        <w:rPr>
          <w:sz w:val="24"/>
          <w:szCs w:val="24"/>
        </w:rPr>
      </w:pPr>
      <w:r>
        <w:rPr>
          <w:i/>
          <w:sz w:val="24"/>
          <w:szCs w:val="24"/>
        </w:rPr>
        <w:t>Silver Linings Playbook</w:t>
      </w:r>
      <w:r>
        <w:rPr>
          <w:sz w:val="24"/>
          <w:szCs w:val="24"/>
        </w:rPr>
        <w:t>. (2017). [fil</w:t>
      </w:r>
      <w:r>
        <w:rPr>
          <w:sz w:val="24"/>
          <w:szCs w:val="24"/>
        </w:rPr>
        <w:t>m] Directed by D. Russell, &amp; D. Gigliotti. US: The Weinstein Company.</w:t>
      </w:r>
    </w:p>
    <w:p w:rsidR="00527554" w:rsidRDefault="00EB45BB">
      <w:pPr>
        <w:pBdr>
          <w:top w:val="none" w:sz="0" w:space="0" w:color="auto"/>
          <w:bottom w:val="none" w:sz="0" w:space="0" w:color="auto"/>
          <w:right w:val="none" w:sz="0" w:space="0" w:color="auto"/>
          <w:between w:val="none" w:sz="0" w:space="0" w:color="auto"/>
        </w:pBdr>
        <w:spacing w:after="300" w:line="480" w:lineRule="auto"/>
        <w:ind w:right="-440"/>
        <w:rPr>
          <w:sz w:val="24"/>
          <w:szCs w:val="24"/>
        </w:rPr>
      </w:pPr>
      <w:r>
        <w:rPr>
          <w:sz w:val="24"/>
          <w:szCs w:val="24"/>
        </w:rPr>
        <w:t>Supporting adolescents struggling with appearance-altering conditions: the feasibility of using an online psychosocial intervention (YP Face IT) in primary care. (2016). [ebook] University of the west of England, Annual primary care conference, Royal colle</w:t>
      </w:r>
      <w:r>
        <w:rPr>
          <w:sz w:val="24"/>
          <w:szCs w:val="24"/>
        </w:rPr>
        <w:t xml:space="preserve">ge of general practitioners. Available at: http://www.rcgpac.org.uk/wp-content/uploads/2016/09/101-RN-96-Williamson-Heidi-Support-adolescents-struggling-with-appearance-altering-conditions-ONLINE.pptx </w:t>
      </w:r>
    </w:p>
    <w:p w:rsidR="00527554" w:rsidRDefault="00EB45BB">
      <w:pPr>
        <w:pBdr>
          <w:top w:val="none" w:sz="0" w:space="0" w:color="auto"/>
          <w:left w:val="none" w:sz="0" w:space="0" w:color="auto"/>
          <w:bottom w:val="none" w:sz="0" w:space="0" w:color="auto"/>
          <w:right w:val="none" w:sz="0" w:space="0" w:color="auto"/>
          <w:between w:val="none" w:sz="0" w:space="0" w:color="auto"/>
        </w:pBdr>
        <w:spacing w:line="480" w:lineRule="auto"/>
        <w:rPr>
          <w:sz w:val="24"/>
          <w:szCs w:val="24"/>
        </w:rPr>
      </w:pPr>
      <w:r>
        <w:rPr>
          <w:sz w:val="24"/>
          <w:szCs w:val="24"/>
        </w:rPr>
        <w:t xml:space="preserve"> Windsor-Shellard, B. (2017). </w:t>
      </w:r>
      <w:r>
        <w:rPr>
          <w:i/>
          <w:sz w:val="24"/>
          <w:szCs w:val="24"/>
        </w:rPr>
        <w:t>Adult drinking habits in</w:t>
      </w:r>
      <w:r>
        <w:rPr>
          <w:i/>
          <w:sz w:val="24"/>
          <w:szCs w:val="24"/>
        </w:rPr>
        <w:t xml:space="preserve"> Great Britain - Office for National Statistics</w:t>
      </w:r>
      <w:r>
        <w:rPr>
          <w:sz w:val="24"/>
          <w:szCs w:val="24"/>
        </w:rPr>
        <w:t xml:space="preserve">. [Website] Ons.gov.uk. Available at: </w:t>
      </w:r>
      <w:r>
        <w:rPr>
          <w:sz w:val="24"/>
          <w:szCs w:val="24"/>
        </w:rPr>
        <w:lastRenderedPageBreak/>
        <w:t>https://www.ons.gov.uk/peoplepopulationandcommunity/healthandsocialcare/drugusealcoholandsmoking/bulletins/opinionsandlifestylesurveyadultdrinkinghabitsingreatbritain/2005</w:t>
      </w:r>
      <w:r>
        <w:rPr>
          <w:sz w:val="24"/>
          <w:szCs w:val="24"/>
        </w:rPr>
        <w:t xml:space="preserve">to2016 </w:t>
      </w:r>
    </w:p>
    <w:p w:rsidR="00527554" w:rsidRDefault="00527554">
      <w:pPr>
        <w:pBdr>
          <w:top w:val="none" w:sz="0" w:space="0" w:color="auto"/>
          <w:left w:val="none" w:sz="0" w:space="0" w:color="auto"/>
          <w:bottom w:val="none" w:sz="0" w:space="0" w:color="auto"/>
          <w:right w:val="none" w:sz="0" w:space="0" w:color="auto"/>
          <w:between w:val="none" w:sz="0" w:space="0" w:color="auto"/>
        </w:pBdr>
        <w:spacing w:line="480" w:lineRule="auto"/>
        <w:rPr>
          <w:sz w:val="24"/>
          <w:szCs w:val="24"/>
        </w:rPr>
      </w:pPr>
    </w:p>
    <w:p w:rsidR="00527554" w:rsidRDefault="00EB45BB">
      <w:pPr>
        <w:pBdr>
          <w:top w:val="none" w:sz="0" w:space="0" w:color="auto"/>
          <w:left w:val="none" w:sz="0" w:space="0" w:color="auto"/>
          <w:bottom w:val="none" w:sz="0" w:space="0" w:color="auto"/>
          <w:right w:val="none" w:sz="0" w:space="0" w:color="auto"/>
          <w:between w:val="none" w:sz="0" w:space="0" w:color="auto"/>
        </w:pBdr>
        <w:spacing w:line="480" w:lineRule="auto"/>
        <w:rPr>
          <w:sz w:val="24"/>
          <w:szCs w:val="24"/>
        </w:rPr>
      </w:pPr>
      <w:r>
        <w:rPr>
          <w:sz w:val="24"/>
          <w:szCs w:val="24"/>
        </w:rPr>
        <w:t xml:space="preserve">Vartanian, L., Trewartha, T., &amp; Vanman, E. (2015). Disgkust predicts prejudice and discrimination toward individuals with obesity. </w:t>
      </w:r>
      <w:r>
        <w:rPr>
          <w:i/>
          <w:sz w:val="24"/>
          <w:szCs w:val="24"/>
        </w:rPr>
        <w:t>Journal of Applied Social Psychology</w:t>
      </w:r>
      <w:r>
        <w:rPr>
          <w:sz w:val="24"/>
          <w:szCs w:val="24"/>
        </w:rPr>
        <w:t>, 46(6), pp.369-375.</w:t>
      </w:r>
    </w:p>
    <w:p w:rsidR="00527554" w:rsidRDefault="00EB45BB">
      <w:pPr>
        <w:pBdr>
          <w:top w:val="none" w:sz="0" w:space="0" w:color="auto"/>
          <w:left w:val="none" w:sz="0" w:space="0" w:color="auto"/>
          <w:bottom w:val="none" w:sz="0" w:space="0" w:color="auto"/>
          <w:right w:val="none" w:sz="0" w:space="0" w:color="auto"/>
          <w:between w:val="none" w:sz="0" w:space="0" w:color="auto"/>
        </w:pBdr>
        <w:spacing w:line="480" w:lineRule="auto"/>
        <w:rPr>
          <w:sz w:val="24"/>
          <w:szCs w:val="24"/>
        </w:rPr>
      </w:pPr>
      <w:r>
        <w:rPr>
          <w:sz w:val="24"/>
          <w:szCs w:val="24"/>
        </w:rPr>
        <w:t xml:space="preserve">Young, E. (2017). </w:t>
      </w:r>
      <w:r>
        <w:rPr>
          <w:i/>
          <w:sz w:val="24"/>
          <w:szCs w:val="24"/>
        </w:rPr>
        <w:t>Women know better than men what other wom</w:t>
      </w:r>
      <w:r>
        <w:rPr>
          <w:i/>
          <w:sz w:val="24"/>
          <w:szCs w:val="24"/>
        </w:rPr>
        <w:t>en are thinking and feeling</w:t>
      </w:r>
      <w:r>
        <w:rPr>
          <w:sz w:val="24"/>
          <w:szCs w:val="24"/>
        </w:rPr>
        <w:t>. [online] Research Digest. Available at: http://digest.bps.org.uk/2017/09/18/women-know-better-than-men-what-other-women-are-thinking-and-feeling/.</w:t>
      </w:r>
    </w:p>
    <w:p w:rsidR="00527554" w:rsidRDefault="00527554">
      <w:pPr>
        <w:pBdr>
          <w:top w:val="none" w:sz="0" w:space="0" w:color="auto"/>
          <w:bottom w:val="none" w:sz="0" w:space="0" w:color="auto"/>
          <w:right w:val="none" w:sz="0" w:space="0" w:color="auto"/>
          <w:between w:val="none" w:sz="0" w:space="0" w:color="auto"/>
        </w:pBdr>
        <w:spacing w:after="300" w:line="480" w:lineRule="auto"/>
        <w:ind w:right="-440"/>
        <w:rPr>
          <w:sz w:val="24"/>
          <w:szCs w:val="24"/>
        </w:rPr>
      </w:pPr>
    </w:p>
    <w:p w:rsidR="00527554" w:rsidRDefault="00527554">
      <w:pPr>
        <w:numPr>
          <w:ilvl w:val="0"/>
          <w:numId w:val="1"/>
        </w:numPr>
        <w:pBdr>
          <w:top w:val="none" w:sz="0" w:space="6" w:color="auto"/>
          <w:bottom w:val="none" w:sz="0" w:space="6" w:color="auto"/>
          <w:right w:val="none" w:sz="0" w:space="22" w:color="auto"/>
          <w:between w:val="none" w:sz="0" w:space="6" w:color="auto"/>
        </w:pBdr>
        <w:spacing w:before="40" w:after="300" w:line="480" w:lineRule="auto"/>
        <w:ind w:left="280" w:right="-220"/>
        <w:contextualSpacing/>
        <w:rPr>
          <w:sz w:val="24"/>
          <w:szCs w:val="24"/>
          <w:shd w:val="clear" w:color="auto" w:fill="FFF5AA"/>
        </w:rPr>
      </w:pPr>
    </w:p>
    <w:p w:rsidR="00527554" w:rsidRDefault="00527554">
      <w:pPr>
        <w:spacing w:line="480" w:lineRule="auto"/>
        <w:rPr>
          <w:sz w:val="24"/>
          <w:szCs w:val="24"/>
        </w:rPr>
      </w:pPr>
    </w:p>
    <w:sectPr w:rsidR="00527554">
      <w:headerReference w:type="default" r:id="rId7"/>
      <w:footerReference w:type="default" r:id="rId8"/>
      <w:headerReference w:type="first" r:id="rId9"/>
      <w:footerReference w:type="first" r:id="rId10"/>
      <w:pgSz w:w="11909" w:h="16834"/>
      <w:pgMar w:top="1440" w:right="1440" w:bottom="1440" w:left="1440" w:header="0" w:footer="720" w:gutter="0"/>
      <w:pgNumType w:start="1"/>
      <w:cols w:space="720"/>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B45BB" w:rsidRDefault="00EB45BB">
      <w:pPr>
        <w:spacing w:line="240" w:lineRule="auto"/>
      </w:pPr>
      <w:r>
        <w:separator/>
      </w:r>
    </w:p>
  </w:endnote>
  <w:endnote w:type="continuationSeparator" w:id="0">
    <w:p w:rsidR="00EB45BB" w:rsidRDefault="00EB45B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27554" w:rsidRDefault="00527554">
    <w:pPr>
      <w:jc w:val="right"/>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27554" w:rsidRDefault="00527554">
    <w:pPr>
      <w:jc w:val="right"/>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B45BB" w:rsidRDefault="00EB45BB">
      <w:pPr>
        <w:spacing w:line="240" w:lineRule="auto"/>
      </w:pPr>
      <w:r>
        <w:separator/>
      </w:r>
    </w:p>
  </w:footnote>
  <w:footnote w:type="continuationSeparator" w:id="0">
    <w:p w:rsidR="00EB45BB" w:rsidRDefault="00EB45BB">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27554" w:rsidRDefault="00527554">
    <w:pPr>
      <w:rPr>
        <w:sz w:val="24"/>
        <w:szCs w:val="24"/>
      </w:rPr>
    </w:pPr>
  </w:p>
  <w:p w:rsidR="00527554" w:rsidRDefault="00527554">
    <w:pPr>
      <w:rPr>
        <w:sz w:val="24"/>
        <w:szCs w:val="24"/>
      </w:rPr>
    </w:pPr>
  </w:p>
  <w:p w:rsidR="00527554" w:rsidRDefault="00527554">
    <w:pPr>
      <w:rPr>
        <w:sz w:val="24"/>
        <w:szCs w:val="24"/>
      </w:rPr>
    </w:pPr>
  </w:p>
  <w:p w:rsidR="00527554" w:rsidRDefault="00527554">
    <w:pPr>
      <w:jc w:val="center"/>
      <w:rPr>
        <w:b/>
        <w:sz w:val="24"/>
        <w:szCs w:val="24"/>
        <w:u w:val="single"/>
      </w:rPr>
    </w:pPr>
  </w:p>
  <w:p w:rsidR="00527554" w:rsidRDefault="00527554">
    <w:pPr>
      <w:jc w:val="center"/>
      <w:rPr>
        <w:b/>
        <w:sz w:val="24"/>
        <w:szCs w:val="24"/>
        <w:u w:val="single"/>
      </w:rPr>
    </w:pPr>
  </w:p>
  <w:p w:rsidR="00527554" w:rsidRDefault="00527554">
    <w:pPr>
      <w:jc w:val="center"/>
      <w:rPr>
        <w:b/>
        <w:sz w:val="24"/>
        <w:szCs w:val="24"/>
        <w:u w:val="single"/>
      </w:rPr>
    </w:pPr>
  </w:p>
  <w:p w:rsidR="00527554" w:rsidRDefault="00527554">
    <w:pPr>
      <w:rPr>
        <w:sz w:val="24"/>
        <w:szCs w:val="24"/>
      </w:rPr>
    </w:pPr>
  </w:p>
  <w:p w:rsidR="00527554" w:rsidRDefault="00527554">
    <w:pPr>
      <w:jc w:val="center"/>
      <w:rPr>
        <w:sz w:val="24"/>
        <w:szCs w:val="24"/>
      </w:rPr>
    </w:pPr>
  </w:p>
  <w:p w:rsidR="00527554" w:rsidRDefault="00EB45BB">
    <w:pPr>
      <w:jc w:val="right"/>
      <w:rPr>
        <w:sz w:val="24"/>
        <w:szCs w:val="24"/>
      </w:rPr>
    </w:pPr>
    <w:r>
      <w:rPr>
        <w:sz w:val="24"/>
        <w:szCs w:val="24"/>
      </w:rPr>
      <w:fldChar w:fldCharType="begin"/>
    </w:r>
    <w:r>
      <w:rPr>
        <w:sz w:val="24"/>
        <w:szCs w:val="24"/>
      </w:rPr>
      <w:instrText>PAGE</w:instrText>
    </w:r>
    <w:r w:rsidR="00764C7A">
      <w:rPr>
        <w:sz w:val="24"/>
        <w:szCs w:val="24"/>
      </w:rPr>
      <w:fldChar w:fldCharType="separate"/>
    </w:r>
    <w:r w:rsidR="00764C7A">
      <w:rPr>
        <w:noProof/>
        <w:sz w:val="24"/>
        <w:szCs w:val="24"/>
      </w:rPr>
      <w:t>5</w:t>
    </w:r>
    <w:r>
      <w:rPr>
        <w:sz w:val="24"/>
        <w:szCs w:val="24"/>
      </w:rPr>
      <w:fldChar w:fldCharType="end"/>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27554" w:rsidRDefault="00EB45BB">
    <w:pPr>
      <w:jc w:val="right"/>
    </w:pPr>
    <w:r>
      <w:rPr>
        <w:sz w:val="24"/>
        <w:szCs w:val="24"/>
      </w:rPr>
      <w:fldChar w:fldCharType="begin"/>
    </w:r>
    <w:r>
      <w:rPr>
        <w:sz w:val="24"/>
        <w:szCs w:val="24"/>
      </w:rPr>
      <w:instrText>PAGE</w:instrText>
    </w:r>
    <w:r w:rsidR="00764C7A">
      <w:rPr>
        <w:sz w:val="24"/>
        <w:szCs w:val="24"/>
      </w:rPr>
      <w:fldChar w:fldCharType="separate"/>
    </w:r>
    <w:r w:rsidR="00764C7A">
      <w:rPr>
        <w:noProof/>
        <w:sz w:val="24"/>
        <w:szCs w:val="24"/>
      </w:rPr>
      <w:t>1</w:t>
    </w:r>
    <w:r>
      <w:rPr>
        <w:sz w:val="24"/>
        <w:szCs w:val="24"/>
      </w:rPr>
      <w:fldChar w:fldCharType="end"/>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5F481C68"/>
    <w:multiLevelType w:val="multilevel"/>
    <w:tmpl w:val="14FA0A7E"/>
    <w:lvl w:ilvl="0">
      <w:start w:val="1"/>
      <w:numFmt w:val="bullet"/>
      <w:lvlText w:val=""/>
      <w:lvlJc w:val="left"/>
      <w:pPr>
        <w:ind w:left="720" w:hanging="360"/>
      </w:pPr>
      <w:rPr>
        <w:rFonts w:ascii="Arial" w:eastAsia="Arial" w:hAnsi="Arial" w:cs="Arial"/>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27554"/>
    <w:rsid w:val="00527554"/>
    <w:rsid w:val="00764C7A"/>
    <w:rsid w:val="00EB45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E4D2484A-F0E1-40B0-ADB9-74BAF144A3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color w:val="000000"/>
        <w:sz w:val="22"/>
        <w:szCs w:val="22"/>
        <w:lang w:val="en-GB" w:eastAsia="en-GB" w:bidi="ar-SA"/>
      </w:rPr>
    </w:rPrDefault>
    <w:pPrDefault>
      <w:pPr>
        <w:pBdr>
          <w:top w:val="nil"/>
          <w:left w:val="nil"/>
          <w:bottom w:val="nil"/>
          <w:right w:val="nil"/>
          <w:between w:val="nil"/>
        </w:pBd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1686</Words>
  <Characters>9616</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11280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Stuart Jones</dc:creator>
  <cp:lastModifiedBy>Stuart Jones</cp:lastModifiedBy>
  <cp:revision>2</cp:revision>
  <dcterms:created xsi:type="dcterms:W3CDTF">2017-11-22T10:52:00Z</dcterms:created>
  <dcterms:modified xsi:type="dcterms:W3CDTF">2017-11-22T10:52:00Z</dcterms:modified>
</cp:coreProperties>
</file>