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B0817C" w14:textId="77777777" w:rsidR="00463B6E" w:rsidRDefault="00463B6E" w:rsidP="00463B6E">
      <w:pPr>
        <w:rPr>
          <w:rStyle w:val="Strong"/>
          <w:sz w:val="48"/>
          <w:szCs w:val="44"/>
        </w:rPr>
      </w:pPr>
    </w:p>
    <w:p w14:paraId="75A0FEFB" w14:textId="36E01405" w:rsidR="00463B6E" w:rsidRDefault="00463B6E" w:rsidP="004A13A8">
      <w:pPr>
        <w:jc w:val="center"/>
        <w:rPr>
          <w:rStyle w:val="Strong"/>
          <w:sz w:val="48"/>
          <w:szCs w:val="44"/>
        </w:rPr>
      </w:pPr>
      <w:r w:rsidRPr="00463B6E">
        <w:rPr>
          <w:rStyle w:val="Strong"/>
          <w:noProof/>
          <w:sz w:val="48"/>
          <w:szCs w:val="44"/>
        </w:rPr>
        <w:drawing>
          <wp:inline distT="0" distB="0" distL="0" distR="0" wp14:anchorId="4D6CE73F" wp14:editId="65F03726">
            <wp:extent cx="2486372" cy="1343212"/>
            <wp:effectExtent l="0" t="0" r="9525" b="9525"/>
            <wp:docPr id="2096495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95495" name=""/>
                    <pic:cNvPicPr/>
                  </pic:nvPicPr>
                  <pic:blipFill>
                    <a:blip r:embed="rId8"/>
                    <a:stretch>
                      <a:fillRect/>
                    </a:stretch>
                  </pic:blipFill>
                  <pic:spPr>
                    <a:xfrm>
                      <a:off x="0" y="0"/>
                      <a:ext cx="2486372" cy="1343212"/>
                    </a:xfrm>
                    <a:prstGeom prst="rect">
                      <a:avLst/>
                    </a:prstGeom>
                  </pic:spPr>
                </pic:pic>
              </a:graphicData>
            </a:graphic>
          </wp:inline>
        </w:drawing>
      </w:r>
    </w:p>
    <w:p w14:paraId="4D599F12" w14:textId="7BFB600E" w:rsidR="004A13A8" w:rsidRPr="004A13A8" w:rsidRDefault="004A13A8" w:rsidP="004A13A8">
      <w:pPr>
        <w:jc w:val="center"/>
        <w:rPr>
          <w:rStyle w:val="Strong"/>
          <w:sz w:val="48"/>
          <w:szCs w:val="44"/>
        </w:rPr>
      </w:pPr>
      <w:r w:rsidRPr="004A13A8">
        <w:rPr>
          <w:rStyle w:val="Strong"/>
          <w:sz w:val="48"/>
          <w:szCs w:val="44"/>
        </w:rPr>
        <w:t>BA Business Management</w:t>
      </w:r>
    </w:p>
    <w:p w14:paraId="70C2A384" w14:textId="246A87FF" w:rsidR="004A13A8" w:rsidRPr="004A13A8" w:rsidRDefault="004A13A8" w:rsidP="004A13A8">
      <w:pPr>
        <w:jc w:val="center"/>
        <w:rPr>
          <w:rStyle w:val="Strong"/>
          <w:sz w:val="48"/>
          <w:szCs w:val="44"/>
        </w:rPr>
      </w:pPr>
      <w:r w:rsidRPr="004A13A8">
        <w:rPr>
          <w:rStyle w:val="Strong"/>
          <w:sz w:val="48"/>
          <w:szCs w:val="44"/>
        </w:rPr>
        <w:t>Introduction to Business</w:t>
      </w:r>
    </w:p>
    <w:p w14:paraId="4951F3F5" w14:textId="4C10C38B" w:rsidR="00463B6E" w:rsidRDefault="00463B6E" w:rsidP="00463B6E">
      <w:pPr>
        <w:spacing w:before="120" w:after="120"/>
        <w:jc w:val="center"/>
        <w:rPr>
          <w:rFonts w:cs="Times New Roman"/>
          <w:b/>
          <w:sz w:val="36"/>
          <w:szCs w:val="36"/>
        </w:rPr>
      </w:pPr>
      <w:r w:rsidRPr="00463B6E">
        <w:rPr>
          <w:rFonts w:cs="Times New Roman"/>
          <w:b/>
          <w:sz w:val="36"/>
          <w:szCs w:val="36"/>
        </w:rPr>
        <w:t>Component 1: Essay</w:t>
      </w:r>
    </w:p>
    <w:p w14:paraId="4DD167A0" w14:textId="25BA0E62" w:rsidR="00E35724" w:rsidRDefault="00E35724" w:rsidP="00463B6E">
      <w:pPr>
        <w:spacing w:before="120" w:after="120"/>
        <w:jc w:val="center"/>
        <w:rPr>
          <w:rFonts w:cs="Times New Roman"/>
          <w:b/>
          <w:sz w:val="36"/>
          <w:szCs w:val="36"/>
        </w:rPr>
      </w:pPr>
      <w:r>
        <w:rPr>
          <w:rFonts w:cs="Times New Roman"/>
          <w:b/>
          <w:sz w:val="36"/>
          <w:szCs w:val="36"/>
        </w:rPr>
        <w:t>Student Name:</w:t>
      </w:r>
      <w:r w:rsidR="00012351">
        <w:rPr>
          <w:rFonts w:cs="Times New Roman"/>
          <w:b/>
          <w:sz w:val="36"/>
          <w:szCs w:val="36"/>
        </w:rPr>
        <w:t xml:space="preserve"> Daniel Butuc</w:t>
      </w:r>
    </w:p>
    <w:p w14:paraId="4C619998" w14:textId="53EE2C0E" w:rsidR="00E35724" w:rsidRPr="00463B6E" w:rsidRDefault="00E35724" w:rsidP="00463B6E">
      <w:pPr>
        <w:spacing w:before="120" w:after="120"/>
        <w:jc w:val="center"/>
        <w:rPr>
          <w:rFonts w:cs="Times New Roman"/>
          <w:b/>
          <w:sz w:val="36"/>
          <w:szCs w:val="36"/>
        </w:rPr>
      </w:pPr>
      <w:r>
        <w:rPr>
          <w:rFonts w:cs="Times New Roman"/>
          <w:b/>
          <w:sz w:val="36"/>
          <w:szCs w:val="36"/>
        </w:rPr>
        <w:t>Student ID:</w:t>
      </w:r>
      <w:r w:rsidR="00012351">
        <w:rPr>
          <w:rFonts w:cs="Times New Roman"/>
          <w:b/>
          <w:sz w:val="36"/>
          <w:szCs w:val="36"/>
        </w:rPr>
        <w:t>2326536</w:t>
      </w:r>
    </w:p>
    <w:p w14:paraId="25F0073F" w14:textId="1DF8A451" w:rsidR="004A13A8" w:rsidRPr="00012351" w:rsidRDefault="00012351">
      <w:pPr>
        <w:rPr>
          <w:rStyle w:val="Strong"/>
          <w:sz w:val="36"/>
          <w:szCs w:val="36"/>
        </w:rPr>
      </w:pPr>
      <w:r>
        <w:rPr>
          <w:rStyle w:val="Strong"/>
          <w:b w:val="0"/>
          <w:bCs w:val="0"/>
        </w:rPr>
        <w:tab/>
      </w:r>
      <w:r>
        <w:rPr>
          <w:rStyle w:val="Strong"/>
          <w:b w:val="0"/>
          <w:bCs w:val="0"/>
        </w:rPr>
        <w:tab/>
      </w:r>
      <w:r>
        <w:rPr>
          <w:rStyle w:val="Strong"/>
          <w:b w:val="0"/>
          <w:bCs w:val="0"/>
        </w:rPr>
        <w:tab/>
      </w:r>
      <w:proofErr w:type="gramStart"/>
      <w:r>
        <w:rPr>
          <w:rStyle w:val="Strong"/>
          <w:sz w:val="36"/>
          <w:szCs w:val="36"/>
        </w:rPr>
        <w:t>Lecturer :</w:t>
      </w:r>
      <w:proofErr w:type="gramEnd"/>
      <w:r>
        <w:rPr>
          <w:rStyle w:val="Strong"/>
          <w:sz w:val="36"/>
          <w:szCs w:val="36"/>
        </w:rPr>
        <w:t xml:space="preserve"> Aderemi </w:t>
      </w:r>
      <w:proofErr w:type="spellStart"/>
      <w:r>
        <w:rPr>
          <w:rStyle w:val="Strong"/>
          <w:sz w:val="36"/>
          <w:szCs w:val="36"/>
        </w:rPr>
        <w:t>Ojebode</w:t>
      </w:r>
      <w:proofErr w:type="spellEnd"/>
    </w:p>
    <w:sdt>
      <w:sdtPr>
        <w:rPr>
          <w:rFonts w:ascii="Times New Roman" w:eastAsiaTheme="minorHAnsi" w:hAnsi="Times New Roman" w:cstheme="minorBidi"/>
          <w:b/>
          <w:bCs/>
          <w:color w:val="auto"/>
          <w:kern w:val="2"/>
          <w:sz w:val="24"/>
          <w:szCs w:val="22"/>
          <w:lang w:val="en-IN"/>
          <w14:ligatures w14:val="standardContextual"/>
        </w:rPr>
        <w:id w:val="-738405443"/>
        <w:docPartObj>
          <w:docPartGallery w:val="Table of Contents"/>
          <w:docPartUnique/>
        </w:docPartObj>
      </w:sdtPr>
      <w:sdtEndPr>
        <w:rPr>
          <w:noProof/>
        </w:rPr>
      </w:sdtEndPr>
      <w:sdtContent>
        <w:p w14:paraId="0C41664E" w14:textId="77777777" w:rsidR="00463B6E" w:rsidRDefault="00463B6E" w:rsidP="00EC7764">
          <w:pPr>
            <w:pStyle w:val="TOCHeading"/>
            <w:jc w:val="center"/>
            <w:rPr>
              <w:rFonts w:ascii="Times New Roman" w:eastAsiaTheme="minorHAnsi" w:hAnsi="Times New Roman" w:cstheme="minorBidi"/>
              <w:color w:val="auto"/>
              <w:kern w:val="2"/>
              <w:sz w:val="24"/>
              <w:szCs w:val="22"/>
              <w:lang w:val="en-IN"/>
              <w14:ligatures w14:val="standardContextual"/>
            </w:rPr>
          </w:pPr>
        </w:p>
        <w:p w14:paraId="152A15AD" w14:textId="77777777" w:rsidR="00463B6E" w:rsidRDefault="00463B6E">
          <w:r>
            <w:br w:type="page"/>
          </w:r>
        </w:p>
        <w:p w14:paraId="6896ECCF" w14:textId="43FE7DBA" w:rsidR="00EC7764" w:rsidRDefault="00EC7764" w:rsidP="00EC7764">
          <w:pPr>
            <w:pStyle w:val="TOCHeading"/>
            <w:jc w:val="center"/>
          </w:pPr>
          <w:r w:rsidRPr="00EC7764">
            <w:rPr>
              <w:rFonts w:ascii="Times New Roman" w:hAnsi="Times New Roman" w:cs="Times New Roman"/>
              <w:color w:val="auto"/>
            </w:rPr>
            <w:lastRenderedPageBreak/>
            <w:t>Table of Contents</w:t>
          </w:r>
        </w:p>
        <w:p w14:paraId="31F6447A" w14:textId="5488306F" w:rsidR="00E35724" w:rsidRDefault="00EC7764">
          <w:pPr>
            <w:pStyle w:val="TOC2"/>
            <w:tabs>
              <w:tab w:val="right" w:leader="dot" w:pos="9016"/>
            </w:tabs>
            <w:rPr>
              <w:rFonts w:asciiTheme="minorHAnsi" w:eastAsiaTheme="minorEastAsia" w:hAnsiTheme="minorHAnsi"/>
              <w:noProof/>
              <w:sz w:val="22"/>
              <w:szCs w:val="20"/>
              <w:lang w:eastAsia="en-IN" w:bidi="hi-IN"/>
            </w:rPr>
          </w:pPr>
          <w:r>
            <w:fldChar w:fldCharType="begin"/>
          </w:r>
          <w:r>
            <w:instrText xml:space="preserve"> TOC \o "1-3" \h \z \u </w:instrText>
          </w:r>
          <w:r>
            <w:fldChar w:fldCharType="separate"/>
          </w:r>
          <w:hyperlink w:anchor="_Toc170156275" w:history="1">
            <w:r w:rsidR="00E35724" w:rsidRPr="003C4746">
              <w:rPr>
                <w:rStyle w:val="Hyperlink"/>
                <w:noProof/>
              </w:rPr>
              <w:t>Introduction</w:t>
            </w:r>
            <w:r w:rsidR="00E35724">
              <w:rPr>
                <w:noProof/>
                <w:webHidden/>
              </w:rPr>
              <w:tab/>
            </w:r>
            <w:r w:rsidR="00E35724">
              <w:rPr>
                <w:noProof/>
                <w:webHidden/>
              </w:rPr>
              <w:fldChar w:fldCharType="begin"/>
            </w:r>
            <w:r w:rsidR="00E35724">
              <w:rPr>
                <w:noProof/>
                <w:webHidden/>
              </w:rPr>
              <w:instrText xml:space="preserve"> PAGEREF _Toc170156275 \h </w:instrText>
            </w:r>
            <w:r w:rsidR="00E35724">
              <w:rPr>
                <w:noProof/>
                <w:webHidden/>
              </w:rPr>
            </w:r>
            <w:r w:rsidR="00E35724">
              <w:rPr>
                <w:noProof/>
                <w:webHidden/>
              </w:rPr>
              <w:fldChar w:fldCharType="separate"/>
            </w:r>
            <w:r w:rsidR="00E35724">
              <w:rPr>
                <w:noProof/>
                <w:webHidden/>
              </w:rPr>
              <w:t>3</w:t>
            </w:r>
            <w:r w:rsidR="00E35724">
              <w:rPr>
                <w:noProof/>
                <w:webHidden/>
              </w:rPr>
              <w:fldChar w:fldCharType="end"/>
            </w:r>
          </w:hyperlink>
        </w:p>
        <w:p w14:paraId="4FADD1AA" w14:textId="292C9FE7" w:rsidR="00E35724" w:rsidRDefault="00000000">
          <w:pPr>
            <w:pStyle w:val="TOC2"/>
            <w:tabs>
              <w:tab w:val="right" w:leader="dot" w:pos="9016"/>
            </w:tabs>
            <w:rPr>
              <w:rFonts w:asciiTheme="minorHAnsi" w:eastAsiaTheme="minorEastAsia" w:hAnsiTheme="minorHAnsi"/>
              <w:noProof/>
              <w:sz w:val="22"/>
              <w:szCs w:val="20"/>
              <w:lang w:eastAsia="en-IN" w:bidi="hi-IN"/>
            </w:rPr>
          </w:pPr>
          <w:hyperlink w:anchor="_Toc170156276" w:history="1">
            <w:r w:rsidR="00E35724" w:rsidRPr="003C4746">
              <w:rPr>
                <w:rStyle w:val="Hyperlink"/>
                <w:noProof/>
              </w:rPr>
              <w:t>Main Body</w:t>
            </w:r>
            <w:r w:rsidR="00E35724">
              <w:rPr>
                <w:noProof/>
                <w:webHidden/>
              </w:rPr>
              <w:tab/>
            </w:r>
            <w:r w:rsidR="00E35724">
              <w:rPr>
                <w:noProof/>
                <w:webHidden/>
              </w:rPr>
              <w:fldChar w:fldCharType="begin"/>
            </w:r>
            <w:r w:rsidR="00E35724">
              <w:rPr>
                <w:noProof/>
                <w:webHidden/>
              </w:rPr>
              <w:instrText xml:space="preserve"> PAGEREF _Toc170156276 \h </w:instrText>
            </w:r>
            <w:r w:rsidR="00E35724">
              <w:rPr>
                <w:noProof/>
                <w:webHidden/>
              </w:rPr>
            </w:r>
            <w:r w:rsidR="00E35724">
              <w:rPr>
                <w:noProof/>
                <w:webHidden/>
              </w:rPr>
              <w:fldChar w:fldCharType="separate"/>
            </w:r>
            <w:r w:rsidR="00E35724">
              <w:rPr>
                <w:noProof/>
                <w:webHidden/>
              </w:rPr>
              <w:t>4</w:t>
            </w:r>
            <w:r w:rsidR="00E35724">
              <w:rPr>
                <w:noProof/>
                <w:webHidden/>
              </w:rPr>
              <w:fldChar w:fldCharType="end"/>
            </w:r>
          </w:hyperlink>
        </w:p>
        <w:p w14:paraId="5A513C53" w14:textId="42093860" w:rsidR="00E35724" w:rsidRDefault="00000000">
          <w:pPr>
            <w:pStyle w:val="TOC2"/>
            <w:tabs>
              <w:tab w:val="right" w:leader="dot" w:pos="9016"/>
            </w:tabs>
            <w:rPr>
              <w:rFonts w:asciiTheme="minorHAnsi" w:eastAsiaTheme="minorEastAsia" w:hAnsiTheme="minorHAnsi"/>
              <w:noProof/>
              <w:sz w:val="22"/>
              <w:szCs w:val="20"/>
              <w:lang w:eastAsia="en-IN" w:bidi="hi-IN"/>
            </w:rPr>
          </w:pPr>
          <w:hyperlink w:anchor="_Toc170156277" w:history="1">
            <w:r w:rsidR="00E35724" w:rsidRPr="003C4746">
              <w:rPr>
                <w:rStyle w:val="Hyperlink"/>
                <w:noProof/>
              </w:rPr>
              <w:t>Conclusion</w:t>
            </w:r>
            <w:r w:rsidR="00E35724">
              <w:rPr>
                <w:noProof/>
                <w:webHidden/>
              </w:rPr>
              <w:tab/>
            </w:r>
            <w:r w:rsidR="00E35724">
              <w:rPr>
                <w:noProof/>
                <w:webHidden/>
              </w:rPr>
              <w:fldChar w:fldCharType="begin"/>
            </w:r>
            <w:r w:rsidR="00E35724">
              <w:rPr>
                <w:noProof/>
                <w:webHidden/>
              </w:rPr>
              <w:instrText xml:space="preserve"> PAGEREF _Toc170156277 \h </w:instrText>
            </w:r>
            <w:r w:rsidR="00E35724">
              <w:rPr>
                <w:noProof/>
                <w:webHidden/>
              </w:rPr>
            </w:r>
            <w:r w:rsidR="00E35724">
              <w:rPr>
                <w:noProof/>
                <w:webHidden/>
              </w:rPr>
              <w:fldChar w:fldCharType="separate"/>
            </w:r>
            <w:r w:rsidR="00E35724">
              <w:rPr>
                <w:noProof/>
                <w:webHidden/>
              </w:rPr>
              <w:t>7</w:t>
            </w:r>
            <w:r w:rsidR="00E35724">
              <w:rPr>
                <w:noProof/>
                <w:webHidden/>
              </w:rPr>
              <w:fldChar w:fldCharType="end"/>
            </w:r>
          </w:hyperlink>
        </w:p>
        <w:p w14:paraId="7984269F" w14:textId="673ED454" w:rsidR="00E35724" w:rsidRDefault="00000000">
          <w:pPr>
            <w:pStyle w:val="TOC2"/>
            <w:tabs>
              <w:tab w:val="right" w:leader="dot" w:pos="9016"/>
            </w:tabs>
            <w:rPr>
              <w:rFonts w:asciiTheme="minorHAnsi" w:eastAsiaTheme="minorEastAsia" w:hAnsiTheme="minorHAnsi"/>
              <w:noProof/>
              <w:sz w:val="22"/>
              <w:szCs w:val="20"/>
              <w:lang w:eastAsia="en-IN" w:bidi="hi-IN"/>
            </w:rPr>
          </w:pPr>
          <w:hyperlink w:anchor="_Toc170156278" w:history="1">
            <w:r w:rsidR="00E35724" w:rsidRPr="003C4746">
              <w:rPr>
                <w:rStyle w:val="Hyperlink"/>
                <w:noProof/>
              </w:rPr>
              <w:t>References</w:t>
            </w:r>
            <w:r w:rsidR="00E35724">
              <w:rPr>
                <w:noProof/>
                <w:webHidden/>
              </w:rPr>
              <w:tab/>
            </w:r>
            <w:r w:rsidR="00E35724">
              <w:rPr>
                <w:noProof/>
                <w:webHidden/>
              </w:rPr>
              <w:fldChar w:fldCharType="begin"/>
            </w:r>
            <w:r w:rsidR="00E35724">
              <w:rPr>
                <w:noProof/>
                <w:webHidden/>
              </w:rPr>
              <w:instrText xml:space="preserve"> PAGEREF _Toc170156278 \h </w:instrText>
            </w:r>
            <w:r w:rsidR="00E35724">
              <w:rPr>
                <w:noProof/>
                <w:webHidden/>
              </w:rPr>
            </w:r>
            <w:r w:rsidR="00E35724">
              <w:rPr>
                <w:noProof/>
                <w:webHidden/>
              </w:rPr>
              <w:fldChar w:fldCharType="separate"/>
            </w:r>
            <w:r w:rsidR="00E35724">
              <w:rPr>
                <w:noProof/>
                <w:webHidden/>
              </w:rPr>
              <w:t>8</w:t>
            </w:r>
            <w:r w:rsidR="00E35724">
              <w:rPr>
                <w:noProof/>
                <w:webHidden/>
              </w:rPr>
              <w:fldChar w:fldCharType="end"/>
            </w:r>
          </w:hyperlink>
        </w:p>
        <w:p w14:paraId="0107B4BE" w14:textId="5DCAA63C" w:rsidR="00EC7764" w:rsidRDefault="00EC7764">
          <w:r>
            <w:rPr>
              <w:b/>
              <w:bCs/>
              <w:noProof/>
            </w:rPr>
            <w:fldChar w:fldCharType="end"/>
          </w:r>
        </w:p>
      </w:sdtContent>
    </w:sdt>
    <w:p w14:paraId="06FD3A1C" w14:textId="529AEC67" w:rsidR="004A13A8" w:rsidRDefault="004A13A8"/>
    <w:p w14:paraId="280BBEF0" w14:textId="77777777" w:rsidR="004A13A8" w:rsidRDefault="004A13A8">
      <w:pPr>
        <w:rPr>
          <w:rStyle w:val="Strong"/>
          <w:rFonts w:eastAsiaTheme="majorEastAsia" w:cstheme="majorBidi"/>
          <w:bCs w:val="0"/>
          <w:color w:val="000000" w:themeColor="text1"/>
          <w:sz w:val="32"/>
          <w:szCs w:val="32"/>
        </w:rPr>
      </w:pPr>
      <w:r>
        <w:rPr>
          <w:rStyle w:val="Strong"/>
          <w:b w:val="0"/>
          <w:bCs w:val="0"/>
        </w:rPr>
        <w:br w:type="page"/>
      </w:r>
    </w:p>
    <w:p w14:paraId="7859BE5A" w14:textId="7607E5E7" w:rsidR="00AE5D40" w:rsidRDefault="00AE5D40" w:rsidP="004A13A8">
      <w:pPr>
        <w:pStyle w:val="Heading2"/>
        <w:spacing w:line="360" w:lineRule="auto"/>
        <w:jc w:val="both"/>
        <w:rPr>
          <w:rStyle w:val="Strong"/>
          <w:b/>
          <w:bCs w:val="0"/>
        </w:rPr>
      </w:pPr>
      <w:bookmarkStart w:id="0" w:name="_Toc170139748"/>
      <w:bookmarkStart w:id="1" w:name="_Toc170156275"/>
      <w:r w:rsidRPr="00AE5D40">
        <w:rPr>
          <w:rStyle w:val="Strong"/>
          <w:b/>
          <w:bCs w:val="0"/>
        </w:rPr>
        <w:lastRenderedPageBreak/>
        <w:t>Introduction</w:t>
      </w:r>
      <w:bookmarkEnd w:id="0"/>
      <w:bookmarkEnd w:id="1"/>
    </w:p>
    <w:p w14:paraId="55ED50BA" w14:textId="16D394D5" w:rsidR="004A13A8" w:rsidRDefault="00AE5D40" w:rsidP="004A13A8">
      <w:pPr>
        <w:spacing w:line="360" w:lineRule="auto"/>
        <w:jc w:val="both"/>
      </w:pPr>
      <w:r w:rsidRPr="00AE5D40">
        <w:t xml:space="preserve">Tesco appeared as an example of a private sector retail giant of Britain, which has expanded to become a strong player </w:t>
      </w:r>
      <w:r w:rsidR="004A13A8">
        <w:t>in</w:t>
      </w:r>
      <w:r w:rsidRPr="00AE5D40">
        <w:t xml:space="preserve"> the global market. Paying a particular focus on the idea of breathing, Tesco enhances the visions of customer satisfaction by providing customers with great value and vast percentages of groceries and other products. It has been divided into categories such as </w:t>
      </w:r>
      <w:r w:rsidR="004A13A8">
        <w:t>Product</w:t>
      </w:r>
      <w:r w:rsidRPr="00AE5D40">
        <w:t xml:space="preserve"> store, Fresh Produce, Bill payment center, Electronics, </w:t>
      </w:r>
      <w:r w:rsidR="004A13A8" w:rsidRPr="00AE5D40">
        <w:t>MoneyGram</w:t>
      </w:r>
      <w:r w:rsidRPr="00AE5D40">
        <w:t xml:space="preserve"> services</w:t>
      </w:r>
      <w:r w:rsidR="004A13A8">
        <w:t>,</w:t>
      </w:r>
      <w:r w:rsidRPr="00AE5D40">
        <w:t xml:space="preserve"> Mobile money services</w:t>
      </w:r>
      <w:r w:rsidR="004A13A8">
        <w:t>,</w:t>
      </w:r>
      <w:r w:rsidRPr="00AE5D40">
        <w:t xml:space="preserve"> and online shopping through websites and </w:t>
      </w:r>
      <w:r w:rsidR="004A13A8">
        <w:t>applications</w:t>
      </w:r>
      <w:r w:rsidR="00B44EE0">
        <w:t xml:space="preserve"> (Hutt and Speh, 2021). </w:t>
      </w:r>
      <w:r w:rsidRPr="00AE5D40">
        <w:t xml:space="preserve">This more diverse combination of products and the vigorous adherence to customer orientation has endowed Tesco with </w:t>
      </w:r>
      <w:r w:rsidR="004A13A8">
        <w:t xml:space="preserve">the </w:t>
      </w:r>
      <w:r w:rsidRPr="00AE5D40">
        <w:t xml:space="preserve">primary characteristics of a leading retail organization. In satisfying a plethora of consumers’ needs and wants by making the right balance of convenience and variety and successfully adapting to the shifting retail environment, Tesco continuously sustains strategic supremacy; thus, perpetually preserving relevance and popularity in the international marketplace for its </w:t>
      </w:r>
      <w:r w:rsidR="00B44EE0" w:rsidRPr="00AE5D40">
        <w:t>customers</w:t>
      </w:r>
      <w:r w:rsidR="00B44EE0">
        <w:t xml:space="preserve"> (Labanauskaitė, Fiore and Stašys, 2020).</w:t>
      </w:r>
    </w:p>
    <w:p w14:paraId="70643DED" w14:textId="77777777" w:rsidR="004A13A8" w:rsidRDefault="004A13A8">
      <w:r>
        <w:br w:type="page"/>
      </w:r>
    </w:p>
    <w:p w14:paraId="63A04C00" w14:textId="77777777" w:rsidR="00AE5D40" w:rsidRDefault="00AE5D40" w:rsidP="004A13A8">
      <w:pPr>
        <w:pStyle w:val="Heading2"/>
        <w:spacing w:line="360" w:lineRule="auto"/>
        <w:jc w:val="both"/>
        <w:rPr>
          <w:rStyle w:val="Strong"/>
          <w:b/>
          <w:bCs w:val="0"/>
        </w:rPr>
      </w:pPr>
      <w:bookmarkStart w:id="2" w:name="_Toc170139749"/>
      <w:bookmarkStart w:id="3" w:name="_Toc170156276"/>
      <w:r w:rsidRPr="00AE5D40">
        <w:rPr>
          <w:rStyle w:val="Strong"/>
          <w:b/>
          <w:bCs w:val="0"/>
        </w:rPr>
        <w:lastRenderedPageBreak/>
        <w:t>Main Body</w:t>
      </w:r>
      <w:bookmarkEnd w:id="2"/>
      <w:bookmarkEnd w:id="3"/>
    </w:p>
    <w:p w14:paraId="7E6BD817" w14:textId="0A4DD5F5" w:rsidR="00AE5D40" w:rsidRPr="00463B6E" w:rsidRDefault="00AE5D40" w:rsidP="00463B6E">
      <w:pPr>
        <w:rPr>
          <w:b/>
          <w:bCs/>
        </w:rPr>
      </w:pPr>
      <w:bookmarkStart w:id="4" w:name="_Toc170139750"/>
      <w:r w:rsidRPr="00463B6E">
        <w:rPr>
          <w:b/>
          <w:bCs/>
        </w:rPr>
        <w:t>PESTEL analysis</w:t>
      </w:r>
      <w:bookmarkEnd w:id="4"/>
    </w:p>
    <w:p w14:paraId="4AA99935" w14:textId="6B1F8236" w:rsidR="00AE5D40" w:rsidRDefault="00AE5D40" w:rsidP="004A13A8">
      <w:pPr>
        <w:spacing w:line="360" w:lineRule="auto"/>
        <w:jc w:val="both"/>
      </w:pPr>
      <w:r>
        <w:t xml:space="preserve">A PESTEL analysis of Tesco’s operating factors indicates that its operations are directly impacted by </w:t>
      </w:r>
      <w:r w:rsidR="004A13A8">
        <w:t>several</w:t>
      </w:r>
      <w:r>
        <w:t xml:space="preserve"> external factors.</w:t>
      </w:r>
    </w:p>
    <w:p w14:paraId="7FF1D3A6" w14:textId="6E4E8C0E" w:rsidR="00AE5D40" w:rsidRDefault="00AE5D40" w:rsidP="004A13A8">
      <w:pPr>
        <w:spacing w:line="360" w:lineRule="auto"/>
        <w:jc w:val="both"/>
      </w:pPr>
      <w:r w:rsidRPr="00463B6E">
        <w:t>Political Factors:</w:t>
      </w:r>
      <w:r>
        <w:t xml:space="preserve"> Political risks are known to affect many companies operating internationally, and for Tesco to achieve its goals overseas it is important to have </w:t>
      </w:r>
      <w:r w:rsidR="004A13A8">
        <w:t xml:space="preserve">a </w:t>
      </w:r>
      <w:r>
        <w:t>stable political environment that will not hinder the company’s operations. Economic factors such as taxation policies, trade barriers, and legislation influencing labor relations in different international markets will dictate the kind of loss and gain that Tesco will experience and the strategies it will employ for expansion</w:t>
      </w:r>
      <w:r w:rsidR="00B44EE0">
        <w:t xml:space="preserve"> (Haudi et al., 2022).</w:t>
      </w:r>
    </w:p>
    <w:p w14:paraId="03C52103" w14:textId="22767014" w:rsidR="00AE5D40" w:rsidRPr="00463B6E" w:rsidRDefault="00AE5D40" w:rsidP="004A13A8">
      <w:pPr>
        <w:spacing w:line="360" w:lineRule="auto"/>
        <w:jc w:val="both"/>
      </w:pPr>
      <w:r w:rsidRPr="00463B6E">
        <w:t>Economic Factors: Thus, the economic situations such as inflation rates, exchange rates, and GDP growth of the country affect Tesco greatly. Market risk: economic indicators: downturns are always a threat to consumer spending as Tesco’s sales prove might be threatened.</w:t>
      </w:r>
    </w:p>
    <w:p w14:paraId="008EC4E7" w14:textId="19D30602" w:rsidR="00AE5D40" w:rsidRPr="00463B6E" w:rsidRDefault="00AE5D40" w:rsidP="004A13A8">
      <w:pPr>
        <w:spacing w:line="360" w:lineRule="auto"/>
        <w:jc w:val="both"/>
      </w:pPr>
      <w:r w:rsidRPr="00463B6E">
        <w:t xml:space="preserve">Social Factors: Societal changes are ever </w:t>
      </w:r>
      <w:r w:rsidR="004A13A8" w:rsidRPr="00463B6E">
        <w:t>prevailing,</w:t>
      </w:r>
      <w:r w:rsidRPr="00463B6E">
        <w:t xml:space="preserve"> and so Tesco has to monitor closely these aspects of its social environment. For example, the </w:t>
      </w:r>
      <w:r w:rsidR="004A13A8" w:rsidRPr="00463B6E">
        <w:t>ever-rising</w:t>
      </w:r>
      <w:r w:rsidRPr="00463B6E">
        <w:t xml:space="preserve"> awareness of health has led to high demand for organic and healthy foods and thus, Tesco has been forced to change tact and respond to this trend by stocking healthier products.</w:t>
      </w:r>
    </w:p>
    <w:p w14:paraId="15B67301" w14:textId="7D889BF9" w:rsidR="00AE5D40" w:rsidRPr="00463B6E" w:rsidRDefault="00AE5D40" w:rsidP="004A13A8">
      <w:pPr>
        <w:spacing w:line="360" w:lineRule="auto"/>
        <w:jc w:val="both"/>
      </w:pPr>
      <w:r w:rsidRPr="00463B6E">
        <w:t xml:space="preserve">Technological Factors: Pledge Technologies, known and proactively maintained online retail platforms for selling products, efficient and sophisticated supply chain management, strong consumer knowledge through the consumption of data analysis, and computerization of organizational processes </w:t>
      </w:r>
      <w:r w:rsidR="004A13A8" w:rsidRPr="00463B6E">
        <w:t>make</w:t>
      </w:r>
      <w:r w:rsidRPr="00463B6E">
        <w:t xml:space="preserve"> Tesco competitive.</w:t>
      </w:r>
    </w:p>
    <w:p w14:paraId="63676365" w14:textId="783CCD37" w:rsidR="00AE5D40" w:rsidRDefault="00AE5D40" w:rsidP="004A13A8">
      <w:pPr>
        <w:spacing w:line="360" w:lineRule="auto"/>
        <w:jc w:val="both"/>
      </w:pPr>
      <w:r w:rsidRPr="00463B6E">
        <w:t xml:space="preserve">Environmental Factors: Tesco is very focused on sustainability and has set </w:t>
      </w:r>
      <w:r w:rsidR="004A13A8" w:rsidRPr="00463B6E">
        <w:t>several</w:t>
      </w:r>
      <w:r w:rsidRPr="00463B6E">
        <w:t xml:space="preserve"> goals in the reduction of carbon emissions, the use of renewable energy, </w:t>
      </w:r>
      <w:r w:rsidR="004A13A8" w:rsidRPr="00463B6E">
        <w:t xml:space="preserve">the </w:t>
      </w:r>
      <w:r w:rsidRPr="00463B6E">
        <w:t>minimization of waste, and the incorporation of sustainable initiatives in supply chain activities. There are mainly three</w:t>
      </w:r>
      <w:r>
        <w:t xml:space="preserve"> significant measures, which are proactive concerning the consumers’ expectations as well as the regulations</w:t>
      </w:r>
    </w:p>
    <w:p w14:paraId="7F410F12" w14:textId="0D9AB714" w:rsidR="00AE5D40" w:rsidRPr="00463B6E" w:rsidRDefault="00AE5D40" w:rsidP="004A13A8">
      <w:pPr>
        <w:spacing w:line="360" w:lineRule="auto"/>
        <w:jc w:val="both"/>
      </w:pPr>
      <w:r w:rsidRPr="00463B6E">
        <w:t>Legal Factors: In this respect, compliance with a wide range of legal requirements, rules governing product quality, health, safety, and employment, competition laws</w:t>
      </w:r>
      <w:r w:rsidR="004A13A8" w:rsidRPr="00463B6E">
        <w:t>,</w:t>
      </w:r>
      <w:r w:rsidRPr="00463B6E">
        <w:t xml:space="preserve"> and regulations including the data protection regulations including the General Data Protection Regulation of the European Union is crucial for Tesco’s continued operation and reputation.</w:t>
      </w:r>
    </w:p>
    <w:p w14:paraId="1EB63152" w14:textId="7C142AF4" w:rsidR="00AE5D40" w:rsidRPr="00AE5D40" w:rsidRDefault="00AE5D40" w:rsidP="004A13A8">
      <w:pPr>
        <w:spacing w:line="360" w:lineRule="auto"/>
        <w:jc w:val="both"/>
      </w:pPr>
      <w:r w:rsidRPr="00463B6E">
        <w:lastRenderedPageBreak/>
        <w:t xml:space="preserve">Political stability plays a very significant role for Tesco group’s international functions; a route where it can easily conduct its business and implement its expansion strategies. Using the UK experience, </w:t>
      </w:r>
      <w:r w:rsidR="004A13A8" w:rsidRPr="00463B6E">
        <w:t>Wrigley</w:t>
      </w:r>
      <w:r w:rsidRPr="00463B6E">
        <w:t xml:space="preserve"> noted that economic factors such as taxation policies, trade restrictions, and </w:t>
      </w:r>
      <w:r w:rsidR="004A13A8" w:rsidRPr="00463B6E">
        <w:t>labor</w:t>
      </w:r>
      <w:r w:rsidRPr="00463B6E">
        <w:t xml:space="preserve"> laws have </w:t>
      </w:r>
      <w:r w:rsidR="004A13A8" w:rsidRPr="00463B6E">
        <w:t xml:space="preserve">a </w:t>
      </w:r>
      <w:r w:rsidRPr="00463B6E">
        <w:t>direct influence on Tesco’s profitability and marketing strategies in various countries. Market risks are another concern since they can arise due to changing economic circumstances that include inflation differentials, exchange rate changes</w:t>
      </w:r>
      <w:r w:rsidR="004A13A8" w:rsidRPr="00463B6E">
        <w:t>,</w:t>
      </w:r>
      <w:r w:rsidRPr="00463B6E">
        <w:t xml:space="preserve"> and differential growth rates in GDP. </w:t>
      </w:r>
      <w:r w:rsidR="004A13A8" w:rsidRPr="00463B6E">
        <w:t>Socially</w:t>
      </w:r>
      <w:r w:rsidRPr="00463B6E">
        <w:t>, Tesco sustains exceptional flexibility considering emergent threats and opportunities such as the growing</w:t>
      </w:r>
      <w:r w:rsidRPr="00AE5D40">
        <w:t xml:space="preserve"> trend in the need for organic and healthy foods due to a rise in health consciousness level among consumers</w:t>
      </w:r>
      <w:r w:rsidR="00B44EE0">
        <w:t xml:space="preserve"> (Kundu, 2021).</w:t>
      </w:r>
      <w:r w:rsidRPr="00AE5D40">
        <w:t xml:space="preserve"> In a Technological dimension, the effective management of internet sales channels, timely implementation of modern technology in supply chain management, handling of big data, and the adoption of efficient processes and system </w:t>
      </w:r>
      <w:r w:rsidR="004A13A8">
        <w:t>applications</w:t>
      </w:r>
      <w:r w:rsidRPr="00AE5D40">
        <w:t xml:space="preserve"> improve the competitiveness of Tesco. Environmentally, the sustainability drive based on carbon emission reductions, efficient use of renewable energy, waste management</w:t>
      </w:r>
      <w:r w:rsidR="004A13A8">
        <w:t>,</w:t>
      </w:r>
      <w:r w:rsidRPr="00AE5D40">
        <w:t xml:space="preserve"> and the implementation of sustainable supply chains is in line with the market expectations and the relevant legislation</w:t>
      </w:r>
      <w:r w:rsidR="00B44EE0">
        <w:t xml:space="preserve"> (Mishbakhudin and Aisyah, 2021).</w:t>
      </w:r>
    </w:p>
    <w:p w14:paraId="1595A17A" w14:textId="77777777" w:rsidR="00AE5D40" w:rsidRDefault="00AE5D40" w:rsidP="00463B6E">
      <w:pPr>
        <w:rPr>
          <w:rStyle w:val="Strong"/>
          <w:b w:val="0"/>
          <w:bCs w:val="0"/>
        </w:rPr>
      </w:pPr>
      <w:bookmarkStart w:id="5" w:name="_Toc170139751"/>
      <w:r w:rsidRPr="00AE5D40">
        <w:rPr>
          <w:rStyle w:val="Strong"/>
          <w:bCs w:val="0"/>
        </w:rPr>
        <w:t>SWOT Analysis</w:t>
      </w:r>
      <w:bookmarkEnd w:id="5"/>
    </w:p>
    <w:p w14:paraId="4CD1F643" w14:textId="27EA3B48" w:rsidR="00AE5D40" w:rsidRPr="00463B6E" w:rsidRDefault="00AE5D40" w:rsidP="004A13A8">
      <w:pPr>
        <w:spacing w:line="360" w:lineRule="auto"/>
        <w:jc w:val="both"/>
      </w:pPr>
      <w:r w:rsidRPr="00463B6E">
        <w:t xml:space="preserve">Strengths: As for the weaknesses, Tesco’s exposure to international markets and large customer base, broad product portfolio, intact supply network, customer loyalty-promoting strategies, and ongoing </w:t>
      </w:r>
      <w:r w:rsidR="004A13A8" w:rsidRPr="00463B6E">
        <w:t>digitalization</w:t>
      </w:r>
      <w:r w:rsidRPr="00463B6E">
        <w:t xml:space="preserve"> efforts all represent Tesco’s overall strengths. </w:t>
      </w:r>
    </w:p>
    <w:p w14:paraId="198F7ADF" w14:textId="18F4FC97" w:rsidR="00AE5D40" w:rsidRPr="00463B6E" w:rsidRDefault="00AE5D40" w:rsidP="004A13A8">
      <w:pPr>
        <w:spacing w:line="360" w:lineRule="auto"/>
        <w:jc w:val="both"/>
      </w:pPr>
      <w:r w:rsidRPr="00463B6E">
        <w:t xml:space="preserve">Weaknesses: The threats include </w:t>
      </w:r>
      <w:r w:rsidR="004A13A8" w:rsidRPr="00463B6E">
        <w:t>threats</w:t>
      </w:r>
      <w:r w:rsidRPr="00463B6E">
        <w:t xml:space="preserve"> from cut-price players such as Aldi and Lidl, geographic concentration risk- specifically the UK market, risk of industrial action by Walmart employees, </w:t>
      </w:r>
      <w:r w:rsidR="004A13A8" w:rsidRPr="00463B6E">
        <w:t xml:space="preserve">and </w:t>
      </w:r>
      <w:r w:rsidRPr="00463B6E">
        <w:t>procurement controversy risks</w:t>
      </w:r>
      <w:r w:rsidR="00B44EE0" w:rsidRPr="00463B6E">
        <w:t xml:space="preserve"> (Kotler and Armstrong, 2020).</w:t>
      </w:r>
    </w:p>
    <w:p w14:paraId="3069828C" w14:textId="1ECA2CC6" w:rsidR="00AE5D40" w:rsidRPr="00463B6E" w:rsidRDefault="00AE5D40" w:rsidP="004A13A8">
      <w:pPr>
        <w:spacing w:line="360" w:lineRule="auto"/>
        <w:jc w:val="both"/>
      </w:pPr>
      <w:r w:rsidRPr="00463B6E">
        <w:t xml:space="preserve">Opportunities: Sophistically, opportunities include penetrating emerging geographic locations, going deeper into the value chain by diversifying its </w:t>
      </w:r>
      <w:r w:rsidR="004A13A8" w:rsidRPr="00463B6E">
        <w:t>product</w:t>
      </w:r>
      <w:r w:rsidRPr="00463B6E">
        <w:t xml:space="preserve"> offering (for instance, offering healthy living products), increasing its online platform</w:t>
      </w:r>
      <w:r w:rsidR="004A13A8" w:rsidRPr="00463B6E">
        <w:t>,</w:t>
      </w:r>
      <w:r w:rsidRPr="00463B6E">
        <w:t xml:space="preserve"> and adopting sustainable solutions.</w:t>
      </w:r>
    </w:p>
    <w:p w14:paraId="5AC1FDEA" w14:textId="740391B8" w:rsidR="00AE5D40" w:rsidRPr="00463B6E" w:rsidRDefault="00AE5D40" w:rsidP="004A13A8">
      <w:pPr>
        <w:spacing w:line="360" w:lineRule="auto"/>
        <w:jc w:val="both"/>
      </w:pPr>
      <w:r w:rsidRPr="00463B6E">
        <w:t xml:space="preserve"> Threats: Lawsuits, high competition </w:t>
      </w:r>
      <w:r w:rsidR="004A13A8" w:rsidRPr="00463B6E">
        <w:t>in</w:t>
      </w:r>
      <w:r w:rsidRPr="00463B6E">
        <w:t xml:space="preserve"> the retail industry, fluctuations in economic situations that affect buying habits, legislation and policy changes to business operations and costs, and changing consumer behavior by shifting to online shopping activity.</w:t>
      </w:r>
      <w:r w:rsidR="00B44EE0" w:rsidRPr="00463B6E">
        <w:t xml:space="preserve"> </w:t>
      </w:r>
    </w:p>
    <w:p w14:paraId="45B367C2" w14:textId="38623DAD" w:rsidR="004A13A8" w:rsidRDefault="00AE5D40" w:rsidP="004A13A8">
      <w:pPr>
        <w:spacing w:line="360" w:lineRule="auto"/>
        <w:jc w:val="both"/>
      </w:pPr>
      <w:r w:rsidRPr="00463B6E">
        <w:t>Importance of SWOT Analysis</w:t>
      </w:r>
      <w:r>
        <w:t xml:space="preserve"> SWOT analysis provides valuable insight </w:t>
      </w:r>
      <w:r w:rsidR="004A13A8">
        <w:t>into</w:t>
      </w:r>
      <w:r>
        <w:t xml:space="preserve"> Tesco’s strategic position and the course of action needed to sustain success. Through identifying internal strengths and </w:t>
      </w:r>
      <w:r w:rsidR="004A13A8">
        <w:t>weaknesses</w:t>
      </w:r>
      <w:r>
        <w:t xml:space="preserve">, Tesco </w:t>
      </w:r>
      <w:r w:rsidR="004A13A8">
        <w:t>can</w:t>
      </w:r>
      <w:r>
        <w:t xml:space="preserve"> take advantage of opportunities that </w:t>
      </w:r>
      <w:r w:rsidR="004A13A8">
        <w:t>support</w:t>
      </w:r>
      <w:r>
        <w:t xml:space="preserve"> the strengths </w:t>
      </w:r>
      <w:r>
        <w:lastRenderedPageBreak/>
        <w:t xml:space="preserve">while avoiding any opportunities that could harm the weaknesses as well as threats. For instance, Tesco can leverage its brand equity </w:t>
      </w:r>
      <w:r w:rsidR="004A13A8">
        <w:t>and</w:t>
      </w:r>
      <w:r>
        <w:t xml:space="preserve"> advanced digital platforms to improve its online platform and effectively counter e-commerce threats. In the same way, by performing a SWOT analysis, Tesco can anticipate and even predict market trends and competitor practices </w:t>
      </w:r>
      <w:r w:rsidR="004A13A8">
        <w:t>while</w:t>
      </w:r>
      <w:r>
        <w:t xml:space="preserve"> conducting business</w:t>
      </w:r>
      <w:r w:rsidR="00B44EE0">
        <w:t xml:space="preserve"> (Mondal et al., 2022).</w:t>
      </w:r>
    </w:p>
    <w:p w14:paraId="3AD88819" w14:textId="77777777" w:rsidR="004A13A8" w:rsidRDefault="004A13A8">
      <w:r>
        <w:br w:type="page"/>
      </w:r>
    </w:p>
    <w:p w14:paraId="56524233" w14:textId="77777777" w:rsidR="00AE5D40" w:rsidRPr="00AE5D40" w:rsidRDefault="00AE5D40" w:rsidP="004A13A8">
      <w:pPr>
        <w:spacing w:line="360" w:lineRule="auto"/>
        <w:jc w:val="both"/>
      </w:pPr>
    </w:p>
    <w:p w14:paraId="2A6FF96F" w14:textId="77777777" w:rsidR="00AE5D40" w:rsidRPr="004A13A8" w:rsidRDefault="00AE5D40" w:rsidP="004A13A8">
      <w:pPr>
        <w:pStyle w:val="Heading2"/>
        <w:rPr>
          <w:rStyle w:val="Strong"/>
          <w:b/>
          <w:bCs w:val="0"/>
        </w:rPr>
      </w:pPr>
      <w:bookmarkStart w:id="6" w:name="_Toc170139752"/>
      <w:bookmarkStart w:id="7" w:name="_Toc170156277"/>
      <w:r w:rsidRPr="004A13A8">
        <w:rPr>
          <w:rStyle w:val="Strong"/>
          <w:b/>
          <w:bCs w:val="0"/>
        </w:rPr>
        <w:t>Conclusion</w:t>
      </w:r>
      <w:bookmarkEnd w:id="6"/>
      <w:bookmarkEnd w:id="7"/>
    </w:p>
    <w:p w14:paraId="37A4D3C2" w14:textId="70AF245F" w:rsidR="00EC7764" w:rsidRDefault="007F10F1" w:rsidP="004A13A8">
      <w:pPr>
        <w:spacing w:line="360" w:lineRule="auto"/>
        <w:jc w:val="both"/>
      </w:pPr>
      <w:r>
        <w:t xml:space="preserve">Primary evaluations of PESTEL analysis and business SWOT analysis are unforgettable for Tesco to go further to organize their strategic plans, </w:t>
      </w:r>
      <w:r w:rsidR="004A13A8">
        <w:t>measure</w:t>
      </w:r>
      <w:r>
        <w:t xml:space="preserve"> risks and opportunities</w:t>
      </w:r>
      <w:r w:rsidR="004A13A8">
        <w:t>,</w:t>
      </w:r>
      <w:r>
        <w:t xml:space="preserve"> and </w:t>
      </w:r>
      <w:r w:rsidR="004A13A8">
        <w:t>search</w:t>
      </w:r>
      <w:r>
        <w:t xml:space="preserve"> for change. These tools provide views regarding the challenges and opportunities from the outside world in terms of political backdrop, economic scenario, social issues and cultural factors, technological factors, environmental factors</w:t>
      </w:r>
      <w:r w:rsidR="004A13A8">
        <w:t>,</w:t>
      </w:r>
      <w:r>
        <w:t xml:space="preserve"> and legal factors along with internal weaknesses, opportunities</w:t>
      </w:r>
      <w:r w:rsidR="004A13A8">
        <w:t>,</w:t>
      </w:r>
      <w:r>
        <w:t xml:space="preserve"> and threats. With this knowledge, Tesco </w:t>
      </w:r>
      <w:r w:rsidR="004A13A8">
        <w:t>can</w:t>
      </w:r>
      <w:r>
        <w:t xml:space="preserve"> strategically place itself in a strategic place in the retail market and have an advantage over its competitors as it seeks to capture growth opportunities that exist and at the same time, minimize any risks that are bound to </w:t>
      </w:r>
      <w:r w:rsidR="00EC7764">
        <w:t>come</w:t>
      </w:r>
      <w:r>
        <w:t xml:space="preserve"> when the market conditions may change. </w:t>
      </w:r>
    </w:p>
    <w:p w14:paraId="206A239B" w14:textId="77777777" w:rsidR="00EC7764" w:rsidRDefault="00EC7764">
      <w:r>
        <w:br w:type="page"/>
      </w:r>
    </w:p>
    <w:p w14:paraId="7A7C5F55" w14:textId="66AA028D" w:rsidR="00AE56F9" w:rsidRDefault="00EC7764" w:rsidP="00EC7764">
      <w:pPr>
        <w:pStyle w:val="Heading2"/>
      </w:pPr>
      <w:bookmarkStart w:id="8" w:name="_Toc170156278"/>
      <w:r>
        <w:lastRenderedPageBreak/>
        <w:t>References</w:t>
      </w:r>
      <w:bookmarkEnd w:id="8"/>
      <w:r>
        <w:t xml:space="preserve"> </w:t>
      </w:r>
    </w:p>
    <w:p w14:paraId="7C13BB20" w14:textId="77777777" w:rsidR="00463B6E" w:rsidRDefault="00463B6E" w:rsidP="001D4D99">
      <w:pPr>
        <w:spacing w:line="360" w:lineRule="auto"/>
        <w:jc w:val="both"/>
      </w:pPr>
      <w:r>
        <w:t>Haudi, H., Rahadjeng, E., Santamoko, R., Putra, R., Purwoko, D., Nurjannah, D., Koho, I., Wijoyo, H., Siagian, A., Cahyono, Y. and Purwanto, A., (2022). The role of e-marketing and e-CRM on e-loyalty of Indonesian companies during Covid pandemic and digital era. Uncertain Supply Chain Management, 10(1), pp.217-224.</w:t>
      </w:r>
    </w:p>
    <w:p w14:paraId="1BFEC70B" w14:textId="77777777" w:rsidR="00463B6E" w:rsidRDefault="00463B6E" w:rsidP="001D4D99">
      <w:pPr>
        <w:spacing w:line="360" w:lineRule="auto"/>
        <w:jc w:val="both"/>
      </w:pPr>
      <w:r>
        <w:t>Hutt, M.D. and Speh, T.W., (2021). Business marketing management: B2B. South-Western, Cengage Learning.</w:t>
      </w:r>
    </w:p>
    <w:p w14:paraId="1826B3C3" w14:textId="77777777" w:rsidR="00463B6E" w:rsidRDefault="00463B6E" w:rsidP="001D4D99">
      <w:pPr>
        <w:spacing w:line="360" w:lineRule="auto"/>
        <w:jc w:val="both"/>
      </w:pPr>
      <w:r>
        <w:t>Kotler, P., Armstrong, G. (2020) Principles of Marketing (18th Global edition), 978-129234113, Publisher: Financial Times/Prentice Hall, Harlow, UK</w:t>
      </w:r>
    </w:p>
    <w:p w14:paraId="1FCAED40" w14:textId="77777777" w:rsidR="00463B6E" w:rsidRDefault="00463B6E" w:rsidP="001D4D99">
      <w:pPr>
        <w:spacing w:line="360" w:lineRule="auto"/>
        <w:jc w:val="both"/>
      </w:pPr>
      <w:r>
        <w:t>Kundu, S., (2021). Digital Marketing Trends and Prospects: Develop an effective Digital Marketing strategy with SEO, SEM, PPC, Digital Display Ads &amp; Email Marketing techniques. (English Edition). BPB Publications.</w:t>
      </w:r>
    </w:p>
    <w:p w14:paraId="46FC6693" w14:textId="77777777" w:rsidR="00463B6E" w:rsidRDefault="00463B6E" w:rsidP="001D4D99">
      <w:pPr>
        <w:spacing w:line="360" w:lineRule="auto"/>
        <w:jc w:val="both"/>
      </w:pPr>
      <w:r>
        <w:t>Labanauskaitė, D., Fiore, M. and Stašys, R., (2020). Use of E-marketing tools as communication management in the tourism industry. Tourism Management Perspectives, 34, p.100652.</w:t>
      </w:r>
    </w:p>
    <w:p w14:paraId="5BF7E354" w14:textId="77777777" w:rsidR="00463B6E" w:rsidRDefault="00463B6E" w:rsidP="001D4D99">
      <w:pPr>
        <w:spacing w:line="360" w:lineRule="auto"/>
        <w:jc w:val="both"/>
      </w:pPr>
      <w:r>
        <w:t>Mishbakhudin, M. and Aisyah, M., (2021). The E-Marketing Mix Strategy of Tokopedia Salam during the Covid-19 Pandemic. International Research Journal of Business Studies, 14(3).</w:t>
      </w:r>
    </w:p>
    <w:p w14:paraId="4FD8E3C2" w14:textId="77777777" w:rsidR="00463B6E" w:rsidRPr="00B44EE0" w:rsidRDefault="00463B6E" w:rsidP="001D4D99">
      <w:pPr>
        <w:spacing w:line="360" w:lineRule="auto"/>
        <w:jc w:val="both"/>
      </w:pPr>
      <w:r>
        <w:t>Mondal, T., Jayadeva, S.M., Pani, R., Subramanian, M. and Sumana, B., (2022). E marketing strategy in health care using IoT and Machine Learning. Materials Today: Proceedings, 56, pp.2087-2091.</w:t>
      </w:r>
    </w:p>
    <w:sectPr w:rsidR="00463B6E" w:rsidRPr="00B44EE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8643DB" w14:textId="77777777" w:rsidR="00796AFE" w:rsidRDefault="00796AFE" w:rsidP="00DE05DB">
      <w:pPr>
        <w:spacing w:after="0" w:line="240" w:lineRule="auto"/>
      </w:pPr>
      <w:r>
        <w:separator/>
      </w:r>
    </w:p>
  </w:endnote>
  <w:endnote w:type="continuationSeparator" w:id="0">
    <w:p w14:paraId="618BCB78" w14:textId="77777777" w:rsidR="00796AFE" w:rsidRDefault="00796AFE" w:rsidP="00DE0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D347F" w14:textId="77777777" w:rsidR="00012351" w:rsidRDefault="00012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5098765"/>
      <w:docPartObj>
        <w:docPartGallery w:val="Page Numbers (Bottom of Page)"/>
        <w:docPartUnique/>
      </w:docPartObj>
    </w:sdtPr>
    <w:sdtEndPr>
      <w:rPr>
        <w:noProof/>
      </w:rPr>
    </w:sdtEndPr>
    <w:sdtContent>
      <w:p w14:paraId="18A51C3F" w14:textId="62142BB1" w:rsidR="00012351" w:rsidRDefault="000123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3C4A91" w14:textId="77777777" w:rsidR="00012351" w:rsidRDefault="000123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43DDE9" w14:textId="77777777" w:rsidR="00012351" w:rsidRDefault="00012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AAB7B1" w14:textId="77777777" w:rsidR="00796AFE" w:rsidRDefault="00796AFE" w:rsidP="00DE05DB">
      <w:pPr>
        <w:spacing w:after="0" w:line="240" w:lineRule="auto"/>
      </w:pPr>
      <w:r>
        <w:separator/>
      </w:r>
    </w:p>
  </w:footnote>
  <w:footnote w:type="continuationSeparator" w:id="0">
    <w:p w14:paraId="7056DC9F" w14:textId="77777777" w:rsidR="00796AFE" w:rsidRDefault="00796AFE" w:rsidP="00DE0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DDD09" w14:textId="77777777" w:rsidR="00012351" w:rsidRDefault="000123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F7364" w14:textId="77777777" w:rsidR="00012351" w:rsidRDefault="000123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42AE4" w14:textId="77777777" w:rsidR="00012351" w:rsidRDefault="000123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D77B99"/>
    <w:multiLevelType w:val="multilevel"/>
    <w:tmpl w:val="C7E2B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385CB8"/>
    <w:multiLevelType w:val="multilevel"/>
    <w:tmpl w:val="940E4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54839378">
    <w:abstractNumId w:val="1"/>
  </w:num>
  <w:num w:numId="2" w16cid:durableId="18471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D40"/>
    <w:rsid w:val="00012351"/>
    <w:rsid w:val="000259E4"/>
    <w:rsid w:val="001527A7"/>
    <w:rsid w:val="001D4D99"/>
    <w:rsid w:val="00270770"/>
    <w:rsid w:val="002D7FF6"/>
    <w:rsid w:val="00304118"/>
    <w:rsid w:val="00463B6E"/>
    <w:rsid w:val="004A13A8"/>
    <w:rsid w:val="00513174"/>
    <w:rsid w:val="005F1432"/>
    <w:rsid w:val="00796AFE"/>
    <w:rsid w:val="007F10F1"/>
    <w:rsid w:val="0089198D"/>
    <w:rsid w:val="00AE56F9"/>
    <w:rsid w:val="00AE5D40"/>
    <w:rsid w:val="00B44EE0"/>
    <w:rsid w:val="00C72AC1"/>
    <w:rsid w:val="00DE05DB"/>
    <w:rsid w:val="00E35724"/>
    <w:rsid w:val="00EC776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B7A75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D40"/>
    <w:rPr>
      <w:rFonts w:ascii="Times New Roman" w:hAnsi="Times New Roman"/>
      <w:sz w:val="24"/>
    </w:rPr>
  </w:style>
  <w:style w:type="paragraph" w:styleId="Heading1">
    <w:name w:val="heading 1"/>
    <w:basedOn w:val="Normal"/>
    <w:next w:val="Normal"/>
    <w:link w:val="Heading1Char"/>
    <w:uiPriority w:val="9"/>
    <w:qFormat/>
    <w:rsid w:val="00AE5D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5D40"/>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unhideWhenUsed/>
    <w:qFormat/>
    <w:rsid w:val="00AE5D40"/>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AE5D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D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D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D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D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D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D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5D40"/>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AE5D40"/>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uiPriority w:val="9"/>
    <w:semiHidden/>
    <w:rsid w:val="00AE5D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D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D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D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D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D40"/>
    <w:rPr>
      <w:rFonts w:eastAsiaTheme="majorEastAsia" w:cstheme="majorBidi"/>
      <w:color w:val="272727" w:themeColor="text1" w:themeTint="D8"/>
    </w:rPr>
  </w:style>
  <w:style w:type="paragraph" w:styleId="Title">
    <w:name w:val="Title"/>
    <w:basedOn w:val="Normal"/>
    <w:next w:val="Normal"/>
    <w:link w:val="TitleChar"/>
    <w:uiPriority w:val="10"/>
    <w:qFormat/>
    <w:rsid w:val="00AE5D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D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D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D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D40"/>
    <w:pPr>
      <w:spacing w:before="160"/>
      <w:jc w:val="center"/>
    </w:pPr>
    <w:rPr>
      <w:i/>
      <w:iCs/>
      <w:color w:val="404040" w:themeColor="text1" w:themeTint="BF"/>
    </w:rPr>
  </w:style>
  <w:style w:type="character" w:customStyle="1" w:styleId="QuoteChar">
    <w:name w:val="Quote Char"/>
    <w:basedOn w:val="DefaultParagraphFont"/>
    <w:link w:val="Quote"/>
    <w:uiPriority w:val="29"/>
    <w:rsid w:val="00AE5D40"/>
    <w:rPr>
      <w:i/>
      <w:iCs/>
      <w:color w:val="404040" w:themeColor="text1" w:themeTint="BF"/>
    </w:rPr>
  </w:style>
  <w:style w:type="paragraph" w:styleId="ListParagraph">
    <w:name w:val="List Paragraph"/>
    <w:basedOn w:val="Normal"/>
    <w:uiPriority w:val="34"/>
    <w:qFormat/>
    <w:rsid w:val="00AE5D40"/>
    <w:pPr>
      <w:ind w:left="720"/>
      <w:contextualSpacing/>
    </w:pPr>
  </w:style>
  <w:style w:type="character" w:styleId="IntenseEmphasis">
    <w:name w:val="Intense Emphasis"/>
    <w:basedOn w:val="DefaultParagraphFont"/>
    <w:uiPriority w:val="21"/>
    <w:qFormat/>
    <w:rsid w:val="00AE5D40"/>
    <w:rPr>
      <w:i/>
      <w:iCs/>
      <w:color w:val="0F4761" w:themeColor="accent1" w:themeShade="BF"/>
    </w:rPr>
  </w:style>
  <w:style w:type="paragraph" w:styleId="IntenseQuote">
    <w:name w:val="Intense Quote"/>
    <w:basedOn w:val="Normal"/>
    <w:next w:val="Normal"/>
    <w:link w:val="IntenseQuoteChar"/>
    <w:uiPriority w:val="30"/>
    <w:qFormat/>
    <w:rsid w:val="00AE5D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D40"/>
    <w:rPr>
      <w:i/>
      <w:iCs/>
      <w:color w:val="0F4761" w:themeColor="accent1" w:themeShade="BF"/>
    </w:rPr>
  </w:style>
  <w:style w:type="character" w:styleId="IntenseReference">
    <w:name w:val="Intense Reference"/>
    <w:basedOn w:val="DefaultParagraphFont"/>
    <w:uiPriority w:val="32"/>
    <w:qFormat/>
    <w:rsid w:val="00AE5D40"/>
    <w:rPr>
      <w:b/>
      <w:bCs/>
      <w:smallCaps/>
      <w:color w:val="0F4761" w:themeColor="accent1" w:themeShade="BF"/>
      <w:spacing w:val="5"/>
    </w:rPr>
  </w:style>
  <w:style w:type="paragraph" w:styleId="NormalWeb">
    <w:name w:val="Normal (Web)"/>
    <w:basedOn w:val="Normal"/>
    <w:uiPriority w:val="99"/>
    <w:semiHidden/>
    <w:unhideWhenUsed/>
    <w:rsid w:val="00AE5D40"/>
    <w:pPr>
      <w:spacing w:before="100" w:beforeAutospacing="1" w:after="100" w:afterAutospacing="1" w:line="240" w:lineRule="auto"/>
    </w:pPr>
    <w:rPr>
      <w:rFonts w:eastAsia="Times New Roman" w:cs="Times New Roman"/>
      <w:kern w:val="0"/>
      <w:szCs w:val="24"/>
      <w:lang w:eastAsia="en-IN"/>
      <w14:ligatures w14:val="none"/>
    </w:rPr>
  </w:style>
  <w:style w:type="character" w:styleId="Strong">
    <w:name w:val="Strong"/>
    <w:basedOn w:val="DefaultParagraphFont"/>
    <w:uiPriority w:val="22"/>
    <w:qFormat/>
    <w:rsid w:val="00AE5D40"/>
    <w:rPr>
      <w:b/>
      <w:bCs/>
    </w:rPr>
  </w:style>
  <w:style w:type="paragraph" w:styleId="TOCHeading">
    <w:name w:val="TOC Heading"/>
    <w:basedOn w:val="Heading1"/>
    <w:next w:val="Normal"/>
    <w:uiPriority w:val="39"/>
    <w:unhideWhenUsed/>
    <w:qFormat/>
    <w:rsid w:val="004A13A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A13A8"/>
    <w:pPr>
      <w:spacing w:after="100"/>
      <w:ind w:left="240"/>
    </w:pPr>
  </w:style>
  <w:style w:type="paragraph" w:styleId="TOC3">
    <w:name w:val="toc 3"/>
    <w:basedOn w:val="Normal"/>
    <w:next w:val="Normal"/>
    <w:autoRedefine/>
    <w:uiPriority w:val="39"/>
    <w:unhideWhenUsed/>
    <w:rsid w:val="004A13A8"/>
    <w:pPr>
      <w:spacing w:after="100"/>
      <w:ind w:left="480"/>
    </w:pPr>
  </w:style>
  <w:style w:type="character" w:styleId="Hyperlink">
    <w:name w:val="Hyperlink"/>
    <w:basedOn w:val="DefaultParagraphFont"/>
    <w:uiPriority w:val="99"/>
    <w:unhideWhenUsed/>
    <w:rsid w:val="004A13A8"/>
    <w:rPr>
      <w:color w:val="467886" w:themeColor="hyperlink"/>
      <w:u w:val="single"/>
    </w:rPr>
  </w:style>
  <w:style w:type="paragraph" w:styleId="Header">
    <w:name w:val="header"/>
    <w:basedOn w:val="Normal"/>
    <w:link w:val="HeaderChar"/>
    <w:uiPriority w:val="99"/>
    <w:unhideWhenUsed/>
    <w:rsid w:val="00DE05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5DB"/>
    <w:rPr>
      <w:rFonts w:ascii="Times New Roman" w:hAnsi="Times New Roman"/>
      <w:sz w:val="24"/>
    </w:rPr>
  </w:style>
  <w:style w:type="paragraph" w:styleId="Footer">
    <w:name w:val="footer"/>
    <w:basedOn w:val="Normal"/>
    <w:link w:val="FooterChar"/>
    <w:uiPriority w:val="99"/>
    <w:unhideWhenUsed/>
    <w:rsid w:val="00DE05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5D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0902159">
      <w:bodyDiv w:val="1"/>
      <w:marLeft w:val="0"/>
      <w:marRight w:val="0"/>
      <w:marTop w:val="0"/>
      <w:marBottom w:val="0"/>
      <w:divBdr>
        <w:top w:val="none" w:sz="0" w:space="0" w:color="auto"/>
        <w:left w:val="none" w:sz="0" w:space="0" w:color="auto"/>
        <w:bottom w:val="none" w:sz="0" w:space="0" w:color="auto"/>
        <w:right w:val="none" w:sz="0" w:space="0" w:color="auto"/>
      </w:divBdr>
    </w:div>
    <w:div w:id="208930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53FC4-FEDE-4AE9-95E7-4E6136C2B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1388</Words>
  <Characters>7914</Characters>
  <Application>Microsoft Office Word</Application>
  <DocSecurity>0</DocSecurity>
  <Lines>65</Lines>
  <Paragraphs>18</Paragraphs>
  <ScaleCrop>false</ScaleCrop>
  <Company/>
  <LinksUpToDate>false</LinksUpToDate>
  <CharactersWithSpaces>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2024-06-27T19:26:00Z</dcterms:created>
  <dcterms:modified xsi:type="dcterms:W3CDTF">2024-06-27T19:26:00Z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07b46032787636f1b0d46d1edb02064efa9147e6da3bbe6b8b772dcd49846645</vt:lpwstr>
  </property>
</Properties>
</file>