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C6A75" w14:textId="77777777" w:rsidR="002635BF" w:rsidRDefault="002635BF" w:rsidP="00047813">
      <w:pPr>
        <w:rPr>
          <w:b/>
          <w:sz w:val="40"/>
          <w:lang w:eastAsia="en-GB"/>
        </w:rPr>
      </w:pPr>
    </w:p>
    <w:p w14:paraId="539CB4D6" w14:textId="77777777" w:rsidR="002635BF" w:rsidRDefault="002635BF" w:rsidP="003A3889">
      <w:pPr>
        <w:jc w:val="center"/>
        <w:rPr>
          <w:b/>
          <w:sz w:val="40"/>
          <w:lang w:eastAsia="en-GB"/>
        </w:rPr>
      </w:pPr>
    </w:p>
    <w:p w14:paraId="347ECC8F" w14:textId="77777777" w:rsidR="00047813" w:rsidRDefault="003A3889" w:rsidP="00047813">
      <w:pPr>
        <w:jc w:val="center"/>
        <w:rPr>
          <w:rFonts w:ascii="Arial" w:hAnsi="Arial" w:cs="Arial"/>
          <w:b/>
          <w:sz w:val="40"/>
          <w:lang w:eastAsia="en-GB"/>
        </w:rPr>
      </w:pPr>
      <w:r w:rsidRPr="00047813">
        <w:rPr>
          <w:rFonts w:ascii="Arial" w:hAnsi="Arial" w:cs="Arial"/>
          <w:b/>
          <w:sz w:val="40"/>
          <w:lang w:eastAsia="en-GB"/>
        </w:rPr>
        <w:t>Leadership and Management Skills for the Workplace</w:t>
      </w:r>
    </w:p>
    <w:p w14:paraId="2F39C4E4" w14:textId="77777777" w:rsidR="00047813" w:rsidRDefault="00047813" w:rsidP="00047813">
      <w:pPr>
        <w:jc w:val="center"/>
        <w:rPr>
          <w:rFonts w:ascii="Arial" w:hAnsi="Arial" w:cs="Arial"/>
          <w:b/>
          <w:sz w:val="40"/>
          <w:lang w:eastAsia="en-GB"/>
        </w:rPr>
      </w:pPr>
    </w:p>
    <w:p w14:paraId="6B35518D" w14:textId="77777777" w:rsidR="00047813" w:rsidRPr="00047813" w:rsidRDefault="00047813" w:rsidP="00047813">
      <w:pPr>
        <w:jc w:val="center"/>
        <w:rPr>
          <w:rFonts w:ascii="Arial" w:hAnsi="Arial" w:cs="Arial"/>
          <w:b/>
          <w:sz w:val="40"/>
          <w:lang w:eastAsia="en-GB"/>
        </w:rPr>
      </w:pPr>
    </w:p>
    <w:p w14:paraId="39F16E87" w14:textId="7F7A51CD" w:rsidR="00047813" w:rsidRPr="00047813" w:rsidRDefault="00047813" w:rsidP="00047813">
      <w:pPr>
        <w:jc w:val="center"/>
        <w:rPr>
          <w:rFonts w:ascii="Arial" w:hAnsi="Arial" w:cs="Arial"/>
          <w:b/>
          <w:bCs/>
          <w:color w:val="000000"/>
          <w:sz w:val="28"/>
          <w:szCs w:val="28"/>
          <w:shd w:val="clear" w:color="auto" w:fill="FFFFFF"/>
          <w:lang w:val="en-US"/>
        </w:rPr>
      </w:pPr>
      <w:r w:rsidRPr="00B5166F">
        <w:rPr>
          <w:rStyle w:val="normaltextrun"/>
          <w:rFonts w:ascii="Arial" w:hAnsi="Arial" w:cs="Arial"/>
          <w:b/>
          <w:bCs/>
          <w:color w:val="000000"/>
          <w:sz w:val="28"/>
          <w:szCs w:val="28"/>
          <w:shd w:val="clear" w:color="auto" w:fill="FFFFFF"/>
          <w:lang w:val="en-US"/>
        </w:rPr>
        <w:t xml:space="preserve">Student: </w:t>
      </w:r>
      <w:r w:rsidRPr="00B5166F">
        <w:rPr>
          <w:rStyle w:val="normaltextrun"/>
          <w:rFonts w:ascii="Arial" w:hAnsi="Arial" w:cs="Arial"/>
          <w:b/>
          <w:bCs/>
          <w:color w:val="000000"/>
          <w:sz w:val="28"/>
          <w:szCs w:val="28"/>
          <w:shd w:val="clear" w:color="auto" w:fill="FFFFFF"/>
        </w:rPr>
        <w:t>Cristian Dumitru – 2108821</w:t>
      </w:r>
    </w:p>
    <w:p w14:paraId="7E29FBAB" w14:textId="1064A725" w:rsidR="00047813" w:rsidRDefault="00047813" w:rsidP="00047813">
      <w:pPr>
        <w:pStyle w:val="paragraph"/>
        <w:spacing w:before="0" w:beforeAutospacing="0" w:after="0" w:afterAutospacing="0"/>
        <w:jc w:val="center"/>
        <w:textAlignment w:val="baseline"/>
        <w:rPr>
          <w:rFonts w:ascii="Arial" w:hAnsi="Arial" w:cs="Arial"/>
          <w:b/>
          <w:bCs/>
          <w:sz w:val="28"/>
          <w:szCs w:val="28"/>
        </w:rPr>
      </w:pPr>
      <w:r w:rsidRPr="00B5166F">
        <w:rPr>
          <w:rStyle w:val="normaltextrun"/>
          <w:rFonts w:ascii="Arial" w:hAnsi="Arial" w:cs="Arial"/>
          <w:b/>
          <w:bCs/>
          <w:sz w:val="28"/>
          <w:szCs w:val="28"/>
          <w:lang w:val="en-US"/>
        </w:rPr>
        <w:t xml:space="preserve">Module Code: </w:t>
      </w:r>
      <w:r w:rsidRPr="00B5166F">
        <w:rPr>
          <w:rFonts w:ascii="Arial" w:hAnsi="Arial" w:cs="Arial"/>
          <w:b/>
          <w:bCs/>
          <w:sz w:val="28"/>
          <w:szCs w:val="28"/>
        </w:rPr>
        <w:t>BMSW</w:t>
      </w:r>
      <w:r>
        <w:rPr>
          <w:rFonts w:ascii="Arial" w:hAnsi="Arial" w:cs="Arial"/>
          <w:b/>
          <w:bCs/>
          <w:sz w:val="28"/>
          <w:szCs w:val="28"/>
        </w:rPr>
        <w:t>6</w:t>
      </w:r>
      <w:r w:rsidRPr="00B5166F">
        <w:rPr>
          <w:rFonts w:ascii="Arial" w:hAnsi="Arial" w:cs="Arial"/>
          <w:b/>
          <w:bCs/>
          <w:sz w:val="28"/>
          <w:szCs w:val="28"/>
        </w:rPr>
        <w:t>10</w:t>
      </w:r>
      <w:r>
        <w:rPr>
          <w:rFonts w:ascii="Arial" w:hAnsi="Arial" w:cs="Arial"/>
          <w:b/>
          <w:bCs/>
          <w:sz w:val="28"/>
          <w:szCs w:val="28"/>
        </w:rPr>
        <w:t>4</w:t>
      </w:r>
    </w:p>
    <w:p w14:paraId="2BA8CC07" w14:textId="77777777" w:rsidR="00047813" w:rsidRDefault="00047813" w:rsidP="00047813">
      <w:pPr>
        <w:pStyle w:val="paragraph"/>
        <w:spacing w:before="0" w:beforeAutospacing="0" w:after="0" w:afterAutospacing="0"/>
        <w:jc w:val="center"/>
        <w:textAlignment w:val="baseline"/>
        <w:rPr>
          <w:rFonts w:ascii="Arial" w:hAnsi="Arial" w:cs="Arial"/>
          <w:b/>
          <w:bCs/>
          <w:sz w:val="28"/>
          <w:szCs w:val="28"/>
        </w:rPr>
      </w:pPr>
    </w:p>
    <w:p w14:paraId="04E01B40" w14:textId="10A48C96" w:rsidR="00047813" w:rsidRDefault="00047813" w:rsidP="00047813">
      <w:pPr>
        <w:pStyle w:val="Heading1"/>
      </w:pPr>
      <w:r w:rsidRPr="00B5166F">
        <w:rPr>
          <w:rStyle w:val="normaltextrun"/>
          <w:rFonts w:ascii="Arial" w:hAnsi="Arial"/>
          <w:szCs w:val="28"/>
          <w:lang w:val="en-US"/>
        </w:rPr>
        <w:t xml:space="preserve">Lecturer: </w:t>
      </w:r>
      <w:r w:rsidRPr="00047813">
        <w:rPr>
          <w:rFonts w:ascii="Arial" w:hAnsi="Arial"/>
        </w:rPr>
        <w:t>Olu Adegbite</w:t>
      </w:r>
    </w:p>
    <w:p w14:paraId="184548BA" w14:textId="2482074C"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59E8B304"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631B708C"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22D062E7"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4F03FF72"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2765FBCD"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6D144D19"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7F9BADEC"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59A1A83F"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51F61DF5"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099B94FA"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4531A62A"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1EF52D48"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549B6383"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4C660A92"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66B40C3A"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2ACC2965"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0692B81A"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27CC76B0"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03A46BB7"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025BC455"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11FDAE9D"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12E54AA3" w14:textId="77777777" w:rsidR="00047813" w:rsidRDefault="00047813" w:rsidP="00047813">
      <w:pPr>
        <w:pStyle w:val="paragraph"/>
        <w:shd w:val="clear" w:color="auto" w:fill="FFFFFF"/>
        <w:spacing w:before="0" w:beforeAutospacing="0" w:after="0" w:afterAutospacing="0"/>
        <w:jc w:val="center"/>
        <w:textAlignment w:val="baseline"/>
        <w:rPr>
          <w:rFonts w:ascii="Arial" w:hAnsi="Arial" w:cs="Arial"/>
          <w:b/>
          <w:bCs/>
          <w:sz w:val="28"/>
          <w:szCs w:val="28"/>
        </w:rPr>
      </w:pPr>
    </w:p>
    <w:p w14:paraId="4BDE8F49" w14:textId="3503C131" w:rsidR="00184E90" w:rsidRDefault="00184E90">
      <w:pPr>
        <w:spacing w:line="276" w:lineRule="auto"/>
        <w:jc w:val="left"/>
        <w:rPr>
          <w:b/>
          <w:sz w:val="40"/>
          <w:lang w:eastAsia="en-GB"/>
        </w:rPr>
      </w:pPr>
    </w:p>
    <w:sdt>
      <w:sdtPr>
        <w:rPr>
          <w:b/>
          <w:bCs/>
          <w:sz w:val="28"/>
          <w:szCs w:val="24"/>
        </w:rPr>
        <w:id w:val="-1680729837"/>
        <w:docPartObj>
          <w:docPartGallery w:val="Table of Contents"/>
          <w:docPartUnique/>
        </w:docPartObj>
      </w:sdtPr>
      <w:sdtEndPr>
        <w:rPr>
          <w:b w:val="0"/>
          <w:bCs w:val="0"/>
          <w:noProof/>
          <w:sz w:val="24"/>
          <w:szCs w:val="22"/>
        </w:rPr>
      </w:sdtEndPr>
      <w:sdtContent>
        <w:p w14:paraId="342BD0C4" w14:textId="77777777" w:rsidR="00184E90" w:rsidRPr="003D4822" w:rsidRDefault="00184E90" w:rsidP="003D4822">
          <w:pPr>
            <w:rPr>
              <w:b/>
              <w:bCs/>
              <w:sz w:val="28"/>
              <w:szCs w:val="24"/>
            </w:rPr>
          </w:pPr>
          <w:r w:rsidRPr="003D4822">
            <w:rPr>
              <w:b/>
              <w:bCs/>
              <w:sz w:val="28"/>
              <w:szCs w:val="24"/>
            </w:rPr>
            <w:t>Table of Contents</w:t>
          </w:r>
        </w:p>
        <w:p w14:paraId="53AC2110" w14:textId="10ACA649" w:rsidR="00062E1E" w:rsidRDefault="003C2720">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rsidR="00184E90">
            <w:instrText xml:space="preserve"> TOC \o "1-3" \h \z \u </w:instrText>
          </w:r>
          <w:r>
            <w:fldChar w:fldCharType="separate"/>
          </w:r>
          <w:hyperlink w:anchor="_Toc160579124" w:history="1">
            <w:r w:rsidR="00062E1E" w:rsidRPr="001A6EB3">
              <w:rPr>
                <w:rStyle w:val="Hyperlink"/>
                <w:rFonts w:eastAsia="Times New Roman"/>
                <w:noProof/>
                <w:lang w:eastAsia="en-GB"/>
              </w:rPr>
              <w:t>Task 1:</w:t>
            </w:r>
            <w:r w:rsidR="00062E1E">
              <w:rPr>
                <w:noProof/>
                <w:webHidden/>
              </w:rPr>
              <w:tab/>
            </w:r>
            <w:r w:rsidR="00062E1E">
              <w:rPr>
                <w:noProof/>
                <w:webHidden/>
              </w:rPr>
              <w:fldChar w:fldCharType="begin"/>
            </w:r>
            <w:r w:rsidR="00062E1E">
              <w:rPr>
                <w:noProof/>
                <w:webHidden/>
              </w:rPr>
              <w:instrText xml:space="preserve"> PAGEREF _Toc160579124 \h </w:instrText>
            </w:r>
            <w:r w:rsidR="00062E1E">
              <w:rPr>
                <w:noProof/>
                <w:webHidden/>
              </w:rPr>
            </w:r>
            <w:r w:rsidR="00062E1E">
              <w:rPr>
                <w:noProof/>
                <w:webHidden/>
              </w:rPr>
              <w:fldChar w:fldCharType="separate"/>
            </w:r>
            <w:r w:rsidR="000E3295">
              <w:rPr>
                <w:noProof/>
                <w:webHidden/>
              </w:rPr>
              <w:t>4</w:t>
            </w:r>
            <w:r w:rsidR="00062E1E">
              <w:rPr>
                <w:noProof/>
                <w:webHidden/>
              </w:rPr>
              <w:fldChar w:fldCharType="end"/>
            </w:r>
          </w:hyperlink>
        </w:p>
        <w:p w14:paraId="0D7D4C77" w14:textId="46A14D32"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25" w:history="1">
            <w:r w:rsidR="00062E1E" w:rsidRPr="001A6EB3">
              <w:rPr>
                <w:rStyle w:val="Hyperlink"/>
                <w:noProof/>
              </w:rPr>
              <w:t>1. Introduction</w:t>
            </w:r>
            <w:r w:rsidR="00062E1E">
              <w:rPr>
                <w:noProof/>
                <w:webHidden/>
              </w:rPr>
              <w:tab/>
            </w:r>
            <w:r w:rsidR="00062E1E">
              <w:rPr>
                <w:noProof/>
                <w:webHidden/>
              </w:rPr>
              <w:fldChar w:fldCharType="begin"/>
            </w:r>
            <w:r w:rsidR="00062E1E">
              <w:rPr>
                <w:noProof/>
                <w:webHidden/>
              </w:rPr>
              <w:instrText xml:space="preserve"> PAGEREF _Toc160579125 \h </w:instrText>
            </w:r>
            <w:r w:rsidR="00062E1E">
              <w:rPr>
                <w:noProof/>
                <w:webHidden/>
              </w:rPr>
            </w:r>
            <w:r w:rsidR="00062E1E">
              <w:rPr>
                <w:noProof/>
                <w:webHidden/>
              </w:rPr>
              <w:fldChar w:fldCharType="separate"/>
            </w:r>
            <w:r w:rsidR="000E3295">
              <w:rPr>
                <w:noProof/>
                <w:webHidden/>
              </w:rPr>
              <w:t>4</w:t>
            </w:r>
            <w:r w:rsidR="00062E1E">
              <w:rPr>
                <w:noProof/>
                <w:webHidden/>
              </w:rPr>
              <w:fldChar w:fldCharType="end"/>
            </w:r>
          </w:hyperlink>
        </w:p>
        <w:p w14:paraId="1AEB290E" w14:textId="2757BB8E"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26" w:history="1">
            <w:r w:rsidR="00062E1E" w:rsidRPr="001A6EB3">
              <w:rPr>
                <w:rStyle w:val="Hyperlink"/>
                <w:noProof/>
              </w:rPr>
              <w:t>2. Critically appraise the organisation’s current strategic direction.</w:t>
            </w:r>
            <w:r w:rsidR="00062E1E">
              <w:rPr>
                <w:noProof/>
                <w:webHidden/>
              </w:rPr>
              <w:tab/>
            </w:r>
            <w:r w:rsidR="00062E1E">
              <w:rPr>
                <w:noProof/>
                <w:webHidden/>
              </w:rPr>
              <w:fldChar w:fldCharType="begin"/>
            </w:r>
            <w:r w:rsidR="00062E1E">
              <w:rPr>
                <w:noProof/>
                <w:webHidden/>
              </w:rPr>
              <w:instrText xml:space="preserve"> PAGEREF _Toc160579126 \h </w:instrText>
            </w:r>
            <w:r w:rsidR="00062E1E">
              <w:rPr>
                <w:noProof/>
                <w:webHidden/>
              </w:rPr>
            </w:r>
            <w:r w:rsidR="00062E1E">
              <w:rPr>
                <w:noProof/>
                <w:webHidden/>
              </w:rPr>
              <w:fldChar w:fldCharType="separate"/>
            </w:r>
            <w:r w:rsidR="000E3295">
              <w:rPr>
                <w:noProof/>
                <w:webHidden/>
              </w:rPr>
              <w:t>4</w:t>
            </w:r>
            <w:r w:rsidR="00062E1E">
              <w:rPr>
                <w:noProof/>
                <w:webHidden/>
              </w:rPr>
              <w:fldChar w:fldCharType="end"/>
            </w:r>
          </w:hyperlink>
        </w:p>
        <w:p w14:paraId="4A92BDED" w14:textId="774A0E3E"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27" w:history="1">
            <w:r w:rsidR="00062E1E" w:rsidRPr="001A6EB3">
              <w:rPr>
                <w:rStyle w:val="Hyperlink"/>
                <w:noProof/>
              </w:rPr>
              <w:t>3. Factors effecting external and internal environment</w:t>
            </w:r>
            <w:r w:rsidR="00062E1E">
              <w:rPr>
                <w:noProof/>
                <w:webHidden/>
              </w:rPr>
              <w:tab/>
            </w:r>
            <w:r w:rsidR="00062E1E">
              <w:rPr>
                <w:noProof/>
                <w:webHidden/>
              </w:rPr>
              <w:fldChar w:fldCharType="begin"/>
            </w:r>
            <w:r w:rsidR="00062E1E">
              <w:rPr>
                <w:noProof/>
                <w:webHidden/>
              </w:rPr>
              <w:instrText xml:space="preserve"> PAGEREF _Toc160579127 \h </w:instrText>
            </w:r>
            <w:r w:rsidR="00062E1E">
              <w:rPr>
                <w:noProof/>
                <w:webHidden/>
              </w:rPr>
            </w:r>
            <w:r w:rsidR="00062E1E">
              <w:rPr>
                <w:noProof/>
                <w:webHidden/>
              </w:rPr>
              <w:fldChar w:fldCharType="separate"/>
            </w:r>
            <w:r w:rsidR="000E3295">
              <w:rPr>
                <w:noProof/>
                <w:webHidden/>
              </w:rPr>
              <w:t>6</w:t>
            </w:r>
            <w:r w:rsidR="00062E1E">
              <w:rPr>
                <w:noProof/>
                <w:webHidden/>
              </w:rPr>
              <w:fldChar w:fldCharType="end"/>
            </w:r>
          </w:hyperlink>
        </w:p>
        <w:p w14:paraId="7A8CFDA4" w14:textId="397A4E02"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28" w:history="1">
            <w:r w:rsidR="00062E1E" w:rsidRPr="001A6EB3">
              <w:rPr>
                <w:rStyle w:val="Hyperlink"/>
                <w:noProof/>
              </w:rPr>
              <w:t>4. Conduct a stakeholder analysis and critically evaluate the expectations of the different stakeholders and their relative power.</w:t>
            </w:r>
            <w:r w:rsidR="00062E1E">
              <w:rPr>
                <w:noProof/>
                <w:webHidden/>
              </w:rPr>
              <w:tab/>
            </w:r>
            <w:r w:rsidR="00062E1E">
              <w:rPr>
                <w:noProof/>
                <w:webHidden/>
              </w:rPr>
              <w:fldChar w:fldCharType="begin"/>
            </w:r>
            <w:r w:rsidR="00062E1E">
              <w:rPr>
                <w:noProof/>
                <w:webHidden/>
              </w:rPr>
              <w:instrText xml:space="preserve"> PAGEREF _Toc160579128 \h </w:instrText>
            </w:r>
            <w:r w:rsidR="00062E1E">
              <w:rPr>
                <w:noProof/>
                <w:webHidden/>
              </w:rPr>
            </w:r>
            <w:r w:rsidR="00062E1E">
              <w:rPr>
                <w:noProof/>
                <w:webHidden/>
              </w:rPr>
              <w:fldChar w:fldCharType="separate"/>
            </w:r>
            <w:r w:rsidR="000E3295">
              <w:rPr>
                <w:noProof/>
                <w:webHidden/>
              </w:rPr>
              <w:t>10</w:t>
            </w:r>
            <w:r w:rsidR="00062E1E">
              <w:rPr>
                <w:noProof/>
                <w:webHidden/>
              </w:rPr>
              <w:fldChar w:fldCharType="end"/>
            </w:r>
          </w:hyperlink>
        </w:p>
        <w:p w14:paraId="0DEB86E6" w14:textId="14B65208"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29" w:history="1">
            <w:r w:rsidR="00062E1E" w:rsidRPr="001A6EB3">
              <w:rPr>
                <w:rStyle w:val="Hyperlink"/>
                <w:noProof/>
              </w:rPr>
              <w:t>5. Discuss available strategic growth choices for SMEs in markets propose a new</w:t>
            </w:r>
            <w:r w:rsidR="00062E1E">
              <w:rPr>
                <w:noProof/>
                <w:webHidden/>
              </w:rPr>
              <w:tab/>
            </w:r>
            <w:r w:rsidR="00062E1E">
              <w:rPr>
                <w:noProof/>
                <w:webHidden/>
              </w:rPr>
              <w:fldChar w:fldCharType="begin"/>
            </w:r>
            <w:r w:rsidR="00062E1E">
              <w:rPr>
                <w:noProof/>
                <w:webHidden/>
              </w:rPr>
              <w:instrText xml:space="preserve"> PAGEREF _Toc160579129 \h </w:instrText>
            </w:r>
            <w:r w:rsidR="00062E1E">
              <w:rPr>
                <w:noProof/>
                <w:webHidden/>
              </w:rPr>
            </w:r>
            <w:r w:rsidR="00062E1E">
              <w:rPr>
                <w:noProof/>
                <w:webHidden/>
              </w:rPr>
              <w:fldChar w:fldCharType="separate"/>
            </w:r>
            <w:r w:rsidR="000E3295">
              <w:rPr>
                <w:noProof/>
                <w:webHidden/>
              </w:rPr>
              <w:t>12</w:t>
            </w:r>
            <w:r w:rsidR="00062E1E">
              <w:rPr>
                <w:noProof/>
                <w:webHidden/>
              </w:rPr>
              <w:fldChar w:fldCharType="end"/>
            </w:r>
          </w:hyperlink>
        </w:p>
        <w:p w14:paraId="1FA2E505" w14:textId="7DEF09AD"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0" w:history="1">
            <w:r w:rsidR="00062E1E" w:rsidRPr="001A6EB3">
              <w:rPr>
                <w:rStyle w:val="Hyperlink"/>
                <w:noProof/>
              </w:rPr>
              <w:t>Strategy and justify why you think it is a sustainable strategy for the long-term future of the Organisation.</w:t>
            </w:r>
            <w:r w:rsidR="00062E1E">
              <w:rPr>
                <w:noProof/>
                <w:webHidden/>
              </w:rPr>
              <w:tab/>
            </w:r>
            <w:r w:rsidR="00062E1E">
              <w:rPr>
                <w:noProof/>
                <w:webHidden/>
              </w:rPr>
              <w:fldChar w:fldCharType="begin"/>
            </w:r>
            <w:r w:rsidR="00062E1E">
              <w:rPr>
                <w:noProof/>
                <w:webHidden/>
              </w:rPr>
              <w:instrText xml:space="preserve"> PAGEREF _Toc160579130 \h </w:instrText>
            </w:r>
            <w:r w:rsidR="00062E1E">
              <w:rPr>
                <w:noProof/>
                <w:webHidden/>
              </w:rPr>
            </w:r>
            <w:r w:rsidR="00062E1E">
              <w:rPr>
                <w:noProof/>
                <w:webHidden/>
              </w:rPr>
              <w:fldChar w:fldCharType="separate"/>
            </w:r>
            <w:r w:rsidR="000E3295">
              <w:rPr>
                <w:noProof/>
                <w:webHidden/>
              </w:rPr>
              <w:t>12</w:t>
            </w:r>
            <w:r w:rsidR="00062E1E">
              <w:rPr>
                <w:noProof/>
                <w:webHidden/>
              </w:rPr>
              <w:fldChar w:fldCharType="end"/>
            </w:r>
          </w:hyperlink>
        </w:p>
        <w:p w14:paraId="4738C4E3" w14:textId="22F8D4B9"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1" w:history="1">
            <w:r w:rsidR="00062E1E" w:rsidRPr="001A6EB3">
              <w:rPr>
                <w:rStyle w:val="Hyperlink"/>
                <w:noProof/>
              </w:rPr>
              <w:t>6. Strategic recommendations for the organisation for future developments and implementation, considering the challenges SMEs encounter in implementing strategic Direction.</w:t>
            </w:r>
            <w:r w:rsidR="00062E1E">
              <w:rPr>
                <w:noProof/>
                <w:webHidden/>
              </w:rPr>
              <w:tab/>
            </w:r>
            <w:r w:rsidR="00062E1E">
              <w:rPr>
                <w:noProof/>
                <w:webHidden/>
              </w:rPr>
              <w:fldChar w:fldCharType="begin"/>
            </w:r>
            <w:r w:rsidR="00062E1E">
              <w:rPr>
                <w:noProof/>
                <w:webHidden/>
              </w:rPr>
              <w:instrText xml:space="preserve"> PAGEREF _Toc160579131 \h </w:instrText>
            </w:r>
            <w:r w:rsidR="00062E1E">
              <w:rPr>
                <w:noProof/>
                <w:webHidden/>
              </w:rPr>
            </w:r>
            <w:r w:rsidR="00062E1E">
              <w:rPr>
                <w:noProof/>
                <w:webHidden/>
              </w:rPr>
              <w:fldChar w:fldCharType="separate"/>
            </w:r>
            <w:r w:rsidR="000E3295">
              <w:rPr>
                <w:noProof/>
                <w:webHidden/>
              </w:rPr>
              <w:t>14</w:t>
            </w:r>
            <w:r w:rsidR="00062E1E">
              <w:rPr>
                <w:noProof/>
                <w:webHidden/>
              </w:rPr>
              <w:fldChar w:fldCharType="end"/>
            </w:r>
          </w:hyperlink>
        </w:p>
        <w:p w14:paraId="67E60AA9" w14:textId="75B546B4"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2" w:history="1">
            <w:r w:rsidR="00062E1E" w:rsidRPr="001A6EB3">
              <w:rPr>
                <w:rStyle w:val="Hyperlink"/>
                <w:noProof/>
              </w:rPr>
              <w:t>7. Conclusion</w:t>
            </w:r>
            <w:r w:rsidR="00062E1E">
              <w:rPr>
                <w:noProof/>
                <w:webHidden/>
              </w:rPr>
              <w:tab/>
            </w:r>
            <w:r w:rsidR="00062E1E">
              <w:rPr>
                <w:noProof/>
                <w:webHidden/>
              </w:rPr>
              <w:fldChar w:fldCharType="begin"/>
            </w:r>
            <w:r w:rsidR="00062E1E">
              <w:rPr>
                <w:noProof/>
                <w:webHidden/>
              </w:rPr>
              <w:instrText xml:space="preserve"> PAGEREF _Toc160579132 \h </w:instrText>
            </w:r>
            <w:r w:rsidR="00062E1E">
              <w:rPr>
                <w:noProof/>
                <w:webHidden/>
              </w:rPr>
            </w:r>
            <w:r w:rsidR="00062E1E">
              <w:rPr>
                <w:noProof/>
                <w:webHidden/>
              </w:rPr>
              <w:fldChar w:fldCharType="separate"/>
            </w:r>
            <w:r w:rsidR="000E3295">
              <w:rPr>
                <w:noProof/>
                <w:webHidden/>
              </w:rPr>
              <w:t>16</w:t>
            </w:r>
            <w:r w:rsidR="00062E1E">
              <w:rPr>
                <w:noProof/>
                <w:webHidden/>
              </w:rPr>
              <w:fldChar w:fldCharType="end"/>
            </w:r>
          </w:hyperlink>
        </w:p>
        <w:p w14:paraId="7F33D932" w14:textId="4CB8E38A" w:rsidR="00062E1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0579133" w:history="1">
            <w:r w:rsidR="00062E1E" w:rsidRPr="001A6EB3">
              <w:rPr>
                <w:rStyle w:val="Hyperlink"/>
                <w:rFonts w:eastAsia="Times New Roman"/>
                <w:noProof/>
                <w:lang w:eastAsia="en-GB"/>
              </w:rPr>
              <w:t>Task 2:</w:t>
            </w:r>
            <w:r w:rsidR="00062E1E">
              <w:rPr>
                <w:noProof/>
                <w:webHidden/>
              </w:rPr>
              <w:tab/>
            </w:r>
            <w:r w:rsidR="00062E1E">
              <w:rPr>
                <w:noProof/>
                <w:webHidden/>
              </w:rPr>
              <w:fldChar w:fldCharType="begin"/>
            </w:r>
            <w:r w:rsidR="00062E1E">
              <w:rPr>
                <w:noProof/>
                <w:webHidden/>
              </w:rPr>
              <w:instrText xml:space="preserve"> PAGEREF _Toc160579133 \h </w:instrText>
            </w:r>
            <w:r w:rsidR="00062E1E">
              <w:rPr>
                <w:noProof/>
                <w:webHidden/>
              </w:rPr>
            </w:r>
            <w:r w:rsidR="00062E1E">
              <w:rPr>
                <w:noProof/>
                <w:webHidden/>
              </w:rPr>
              <w:fldChar w:fldCharType="separate"/>
            </w:r>
            <w:r w:rsidR="000E3295">
              <w:rPr>
                <w:noProof/>
                <w:webHidden/>
              </w:rPr>
              <w:t>17</w:t>
            </w:r>
            <w:r w:rsidR="00062E1E">
              <w:rPr>
                <w:noProof/>
                <w:webHidden/>
              </w:rPr>
              <w:fldChar w:fldCharType="end"/>
            </w:r>
          </w:hyperlink>
        </w:p>
        <w:p w14:paraId="03205146" w14:textId="4F6B1F33"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4" w:history="1">
            <w:r w:rsidR="00062E1E" w:rsidRPr="001A6EB3">
              <w:rPr>
                <w:rStyle w:val="Hyperlink"/>
                <w:noProof/>
              </w:rPr>
              <w:t>Introduction</w:t>
            </w:r>
            <w:r w:rsidR="00062E1E">
              <w:rPr>
                <w:noProof/>
                <w:webHidden/>
              </w:rPr>
              <w:tab/>
            </w:r>
            <w:r w:rsidR="00062E1E">
              <w:rPr>
                <w:noProof/>
                <w:webHidden/>
              </w:rPr>
              <w:fldChar w:fldCharType="begin"/>
            </w:r>
            <w:r w:rsidR="00062E1E">
              <w:rPr>
                <w:noProof/>
                <w:webHidden/>
              </w:rPr>
              <w:instrText xml:space="preserve"> PAGEREF _Toc160579134 \h </w:instrText>
            </w:r>
            <w:r w:rsidR="00062E1E">
              <w:rPr>
                <w:noProof/>
                <w:webHidden/>
              </w:rPr>
            </w:r>
            <w:r w:rsidR="00062E1E">
              <w:rPr>
                <w:noProof/>
                <w:webHidden/>
              </w:rPr>
              <w:fldChar w:fldCharType="separate"/>
            </w:r>
            <w:r w:rsidR="000E3295">
              <w:rPr>
                <w:noProof/>
                <w:webHidden/>
              </w:rPr>
              <w:t>17</w:t>
            </w:r>
            <w:r w:rsidR="00062E1E">
              <w:rPr>
                <w:noProof/>
                <w:webHidden/>
              </w:rPr>
              <w:fldChar w:fldCharType="end"/>
            </w:r>
          </w:hyperlink>
        </w:p>
        <w:p w14:paraId="09DA9285" w14:textId="671CFC34"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5" w:history="1">
            <w:r w:rsidR="00062E1E" w:rsidRPr="001A6EB3">
              <w:rPr>
                <w:rStyle w:val="Hyperlink"/>
                <w:noProof/>
              </w:rPr>
              <w:t>Current Situation Analysis</w:t>
            </w:r>
            <w:r w:rsidR="00062E1E">
              <w:rPr>
                <w:noProof/>
                <w:webHidden/>
              </w:rPr>
              <w:tab/>
            </w:r>
            <w:r w:rsidR="00062E1E">
              <w:rPr>
                <w:noProof/>
                <w:webHidden/>
              </w:rPr>
              <w:fldChar w:fldCharType="begin"/>
            </w:r>
            <w:r w:rsidR="00062E1E">
              <w:rPr>
                <w:noProof/>
                <w:webHidden/>
              </w:rPr>
              <w:instrText xml:space="preserve"> PAGEREF _Toc160579135 \h </w:instrText>
            </w:r>
            <w:r w:rsidR="00062E1E">
              <w:rPr>
                <w:noProof/>
                <w:webHidden/>
              </w:rPr>
            </w:r>
            <w:r w:rsidR="00062E1E">
              <w:rPr>
                <w:noProof/>
                <w:webHidden/>
              </w:rPr>
              <w:fldChar w:fldCharType="separate"/>
            </w:r>
            <w:r w:rsidR="000E3295">
              <w:rPr>
                <w:noProof/>
                <w:webHidden/>
              </w:rPr>
              <w:t>17</w:t>
            </w:r>
            <w:r w:rsidR="00062E1E">
              <w:rPr>
                <w:noProof/>
                <w:webHidden/>
              </w:rPr>
              <w:fldChar w:fldCharType="end"/>
            </w:r>
          </w:hyperlink>
        </w:p>
        <w:p w14:paraId="2133B29D" w14:textId="24C13247"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6" w:history="1">
            <w:r w:rsidR="00062E1E" w:rsidRPr="001A6EB3">
              <w:rPr>
                <w:rStyle w:val="Hyperlink"/>
                <w:noProof/>
              </w:rPr>
              <w:t>Strategic Growth Choices for SMEs</w:t>
            </w:r>
            <w:r w:rsidR="00062E1E">
              <w:rPr>
                <w:noProof/>
                <w:webHidden/>
              </w:rPr>
              <w:tab/>
            </w:r>
            <w:r w:rsidR="00062E1E">
              <w:rPr>
                <w:noProof/>
                <w:webHidden/>
              </w:rPr>
              <w:fldChar w:fldCharType="begin"/>
            </w:r>
            <w:r w:rsidR="00062E1E">
              <w:rPr>
                <w:noProof/>
                <w:webHidden/>
              </w:rPr>
              <w:instrText xml:space="preserve"> PAGEREF _Toc160579136 \h </w:instrText>
            </w:r>
            <w:r w:rsidR="00062E1E">
              <w:rPr>
                <w:noProof/>
                <w:webHidden/>
              </w:rPr>
            </w:r>
            <w:r w:rsidR="00062E1E">
              <w:rPr>
                <w:noProof/>
                <w:webHidden/>
              </w:rPr>
              <w:fldChar w:fldCharType="separate"/>
            </w:r>
            <w:r w:rsidR="000E3295">
              <w:rPr>
                <w:noProof/>
                <w:webHidden/>
              </w:rPr>
              <w:t>18</w:t>
            </w:r>
            <w:r w:rsidR="00062E1E">
              <w:rPr>
                <w:noProof/>
                <w:webHidden/>
              </w:rPr>
              <w:fldChar w:fldCharType="end"/>
            </w:r>
          </w:hyperlink>
        </w:p>
        <w:p w14:paraId="575807A4" w14:textId="2879CF4C"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7" w:history="1">
            <w:r w:rsidR="00062E1E" w:rsidRPr="001A6EB3">
              <w:rPr>
                <w:rStyle w:val="Hyperlink"/>
                <w:noProof/>
              </w:rPr>
              <w:t>Proposed Strategy</w:t>
            </w:r>
            <w:r w:rsidR="00062E1E">
              <w:rPr>
                <w:noProof/>
                <w:webHidden/>
              </w:rPr>
              <w:tab/>
            </w:r>
            <w:r w:rsidR="00062E1E">
              <w:rPr>
                <w:noProof/>
                <w:webHidden/>
              </w:rPr>
              <w:fldChar w:fldCharType="begin"/>
            </w:r>
            <w:r w:rsidR="00062E1E">
              <w:rPr>
                <w:noProof/>
                <w:webHidden/>
              </w:rPr>
              <w:instrText xml:space="preserve"> PAGEREF _Toc160579137 \h </w:instrText>
            </w:r>
            <w:r w:rsidR="00062E1E">
              <w:rPr>
                <w:noProof/>
                <w:webHidden/>
              </w:rPr>
            </w:r>
            <w:r w:rsidR="00062E1E">
              <w:rPr>
                <w:noProof/>
                <w:webHidden/>
              </w:rPr>
              <w:fldChar w:fldCharType="separate"/>
            </w:r>
            <w:r w:rsidR="000E3295">
              <w:rPr>
                <w:noProof/>
                <w:webHidden/>
              </w:rPr>
              <w:t>18</w:t>
            </w:r>
            <w:r w:rsidR="00062E1E">
              <w:rPr>
                <w:noProof/>
                <w:webHidden/>
              </w:rPr>
              <w:fldChar w:fldCharType="end"/>
            </w:r>
          </w:hyperlink>
        </w:p>
        <w:p w14:paraId="672A0EA2" w14:textId="4582B72C"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8" w:history="1">
            <w:r w:rsidR="00062E1E" w:rsidRPr="001A6EB3">
              <w:rPr>
                <w:rStyle w:val="Hyperlink"/>
                <w:noProof/>
              </w:rPr>
              <w:t>Implementation Challenges</w:t>
            </w:r>
            <w:r w:rsidR="00062E1E">
              <w:rPr>
                <w:noProof/>
                <w:webHidden/>
              </w:rPr>
              <w:tab/>
            </w:r>
            <w:r w:rsidR="00062E1E">
              <w:rPr>
                <w:noProof/>
                <w:webHidden/>
              </w:rPr>
              <w:fldChar w:fldCharType="begin"/>
            </w:r>
            <w:r w:rsidR="00062E1E">
              <w:rPr>
                <w:noProof/>
                <w:webHidden/>
              </w:rPr>
              <w:instrText xml:space="preserve"> PAGEREF _Toc160579138 \h </w:instrText>
            </w:r>
            <w:r w:rsidR="00062E1E">
              <w:rPr>
                <w:noProof/>
                <w:webHidden/>
              </w:rPr>
            </w:r>
            <w:r w:rsidR="00062E1E">
              <w:rPr>
                <w:noProof/>
                <w:webHidden/>
              </w:rPr>
              <w:fldChar w:fldCharType="separate"/>
            </w:r>
            <w:r w:rsidR="000E3295">
              <w:rPr>
                <w:noProof/>
                <w:webHidden/>
              </w:rPr>
              <w:t>19</w:t>
            </w:r>
            <w:r w:rsidR="00062E1E">
              <w:rPr>
                <w:noProof/>
                <w:webHidden/>
              </w:rPr>
              <w:fldChar w:fldCharType="end"/>
            </w:r>
          </w:hyperlink>
        </w:p>
        <w:p w14:paraId="53803C29" w14:textId="20E4CDC1"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39" w:history="1">
            <w:r w:rsidR="00062E1E" w:rsidRPr="001A6EB3">
              <w:rPr>
                <w:rStyle w:val="Hyperlink"/>
                <w:noProof/>
              </w:rPr>
              <w:t>Key Recommendations for Implementation</w:t>
            </w:r>
            <w:r w:rsidR="00062E1E">
              <w:rPr>
                <w:noProof/>
                <w:webHidden/>
              </w:rPr>
              <w:tab/>
            </w:r>
            <w:r w:rsidR="00062E1E">
              <w:rPr>
                <w:noProof/>
                <w:webHidden/>
              </w:rPr>
              <w:fldChar w:fldCharType="begin"/>
            </w:r>
            <w:r w:rsidR="00062E1E">
              <w:rPr>
                <w:noProof/>
                <w:webHidden/>
              </w:rPr>
              <w:instrText xml:space="preserve"> PAGEREF _Toc160579139 \h </w:instrText>
            </w:r>
            <w:r w:rsidR="00062E1E">
              <w:rPr>
                <w:noProof/>
                <w:webHidden/>
              </w:rPr>
            </w:r>
            <w:r w:rsidR="00062E1E">
              <w:rPr>
                <w:noProof/>
                <w:webHidden/>
              </w:rPr>
              <w:fldChar w:fldCharType="separate"/>
            </w:r>
            <w:r w:rsidR="000E3295">
              <w:rPr>
                <w:noProof/>
                <w:webHidden/>
              </w:rPr>
              <w:t>20</w:t>
            </w:r>
            <w:r w:rsidR="00062E1E">
              <w:rPr>
                <w:noProof/>
                <w:webHidden/>
              </w:rPr>
              <w:fldChar w:fldCharType="end"/>
            </w:r>
          </w:hyperlink>
        </w:p>
        <w:p w14:paraId="7990CC87" w14:textId="79895571" w:rsidR="00062E1E"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60579140" w:history="1">
            <w:r w:rsidR="00062E1E" w:rsidRPr="001A6EB3">
              <w:rPr>
                <w:rStyle w:val="Hyperlink"/>
                <w:noProof/>
              </w:rPr>
              <w:t>Conclusion</w:t>
            </w:r>
            <w:r w:rsidR="00062E1E">
              <w:rPr>
                <w:noProof/>
                <w:webHidden/>
              </w:rPr>
              <w:tab/>
            </w:r>
            <w:r w:rsidR="00062E1E">
              <w:rPr>
                <w:noProof/>
                <w:webHidden/>
              </w:rPr>
              <w:fldChar w:fldCharType="begin"/>
            </w:r>
            <w:r w:rsidR="00062E1E">
              <w:rPr>
                <w:noProof/>
                <w:webHidden/>
              </w:rPr>
              <w:instrText xml:space="preserve"> PAGEREF _Toc160579140 \h </w:instrText>
            </w:r>
            <w:r w:rsidR="00062E1E">
              <w:rPr>
                <w:noProof/>
                <w:webHidden/>
              </w:rPr>
            </w:r>
            <w:r w:rsidR="00062E1E">
              <w:rPr>
                <w:noProof/>
                <w:webHidden/>
              </w:rPr>
              <w:fldChar w:fldCharType="separate"/>
            </w:r>
            <w:r w:rsidR="000E3295">
              <w:rPr>
                <w:noProof/>
                <w:webHidden/>
              </w:rPr>
              <w:t>20</w:t>
            </w:r>
            <w:r w:rsidR="00062E1E">
              <w:rPr>
                <w:noProof/>
                <w:webHidden/>
              </w:rPr>
              <w:fldChar w:fldCharType="end"/>
            </w:r>
          </w:hyperlink>
        </w:p>
        <w:p w14:paraId="43035CDD" w14:textId="4F522C11" w:rsidR="00062E1E"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60579141" w:history="1">
            <w:r w:rsidR="00062E1E" w:rsidRPr="001A6EB3">
              <w:rPr>
                <w:rStyle w:val="Hyperlink"/>
                <w:noProof/>
              </w:rPr>
              <w:t>References</w:t>
            </w:r>
            <w:r w:rsidR="00062E1E">
              <w:rPr>
                <w:noProof/>
                <w:webHidden/>
              </w:rPr>
              <w:tab/>
            </w:r>
            <w:r w:rsidR="00062E1E">
              <w:rPr>
                <w:noProof/>
                <w:webHidden/>
              </w:rPr>
              <w:fldChar w:fldCharType="begin"/>
            </w:r>
            <w:r w:rsidR="00062E1E">
              <w:rPr>
                <w:noProof/>
                <w:webHidden/>
              </w:rPr>
              <w:instrText xml:space="preserve"> PAGEREF _Toc160579141 \h </w:instrText>
            </w:r>
            <w:r w:rsidR="00062E1E">
              <w:rPr>
                <w:noProof/>
                <w:webHidden/>
              </w:rPr>
            </w:r>
            <w:r w:rsidR="00062E1E">
              <w:rPr>
                <w:noProof/>
                <w:webHidden/>
              </w:rPr>
              <w:fldChar w:fldCharType="separate"/>
            </w:r>
            <w:r w:rsidR="000E3295">
              <w:rPr>
                <w:noProof/>
                <w:webHidden/>
              </w:rPr>
              <w:t>21</w:t>
            </w:r>
            <w:r w:rsidR="00062E1E">
              <w:rPr>
                <w:noProof/>
                <w:webHidden/>
              </w:rPr>
              <w:fldChar w:fldCharType="end"/>
            </w:r>
          </w:hyperlink>
        </w:p>
        <w:p w14:paraId="41B268A4" w14:textId="730E7402" w:rsidR="00184E90" w:rsidRDefault="003C2720">
          <w:r>
            <w:rPr>
              <w:b/>
              <w:bCs/>
              <w:noProof/>
            </w:rPr>
            <w:fldChar w:fldCharType="end"/>
          </w:r>
        </w:p>
      </w:sdtContent>
    </w:sdt>
    <w:p w14:paraId="74653364" w14:textId="77777777" w:rsidR="003A3889" w:rsidRPr="002635BF" w:rsidRDefault="003A3889" w:rsidP="003A3889">
      <w:pPr>
        <w:jc w:val="center"/>
        <w:rPr>
          <w:rFonts w:cs="Times New Roman"/>
          <w:b/>
          <w:sz w:val="40"/>
          <w:szCs w:val="24"/>
          <w:lang w:eastAsia="en-GB"/>
        </w:rPr>
      </w:pPr>
    </w:p>
    <w:p w14:paraId="69717F08" w14:textId="77777777" w:rsidR="003A3889" w:rsidRDefault="003A3889">
      <w:pPr>
        <w:spacing w:line="276" w:lineRule="auto"/>
        <w:jc w:val="left"/>
        <w:rPr>
          <w:rFonts w:ascii="Arial" w:eastAsia="Times New Roman" w:hAnsi="Arial" w:cs="Arial"/>
          <w:color w:val="000000"/>
          <w:sz w:val="22"/>
          <w:lang w:eastAsia="en-GB"/>
        </w:rPr>
      </w:pPr>
      <w:r>
        <w:rPr>
          <w:rFonts w:ascii="Arial" w:eastAsia="Times New Roman" w:hAnsi="Arial" w:cs="Arial"/>
          <w:color w:val="000000"/>
          <w:sz w:val="22"/>
          <w:lang w:eastAsia="en-GB"/>
        </w:rPr>
        <w:br w:type="page"/>
      </w:r>
    </w:p>
    <w:p w14:paraId="422351EA" w14:textId="77777777" w:rsidR="003A3889" w:rsidRPr="003A3889" w:rsidRDefault="003A3889" w:rsidP="00047813">
      <w:pPr>
        <w:pStyle w:val="Heading1"/>
        <w:rPr>
          <w:rFonts w:cs="Times New Roman"/>
          <w:lang w:eastAsia="en-GB"/>
        </w:rPr>
      </w:pPr>
      <w:bookmarkStart w:id="0" w:name="_Toc160579124"/>
      <w:r w:rsidRPr="003A3889">
        <w:rPr>
          <w:lang w:eastAsia="en-GB"/>
        </w:rPr>
        <w:lastRenderedPageBreak/>
        <w:t>Task 1:</w:t>
      </w:r>
      <w:bookmarkEnd w:id="0"/>
    </w:p>
    <w:p w14:paraId="600A4916" w14:textId="77777777" w:rsidR="003A3889" w:rsidRPr="003A3889" w:rsidRDefault="003A3889" w:rsidP="003A3889">
      <w:pPr>
        <w:pStyle w:val="Heading2"/>
        <w:rPr>
          <w:rFonts w:cs="Times New Roman"/>
          <w:szCs w:val="24"/>
        </w:rPr>
      </w:pPr>
      <w:bookmarkStart w:id="1" w:name="_Toc160579125"/>
      <w:r w:rsidRPr="003A3889">
        <w:t xml:space="preserve">1. </w:t>
      </w:r>
      <w:r w:rsidR="00C600F6">
        <w:t>Introduction</w:t>
      </w:r>
      <w:bookmarkEnd w:id="1"/>
    </w:p>
    <w:p w14:paraId="05A2AAFC" w14:textId="4B8AC1B7" w:rsidR="003A3889" w:rsidRPr="00047813" w:rsidRDefault="00334E1C" w:rsidP="00047813">
      <w:pPr>
        <w:spacing w:line="360" w:lineRule="auto"/>
        <w:rPr>
          <w:rFonts w:ascii="Arial" w:hAnsi="Arial" w:cs="Arial"/>
          <w:szCs w:val="24"/>
          <w:lang w:eastAsia="en-GB"/>
        </w:rPr>
      </w:pPr>
      <w:r w:rsidRPr="00047813">
        <w:rPr>
          <w:rFonts w:ascii="Arial" w:hAnsi="Arial" w:cs="Arial"/>
          <w:lang w:eastAsia="en-GB"/>
        </w:rPr>
        <w:t>This report</w:t>
      </w:r>
      <w:r w:rsidR="003A3889" w:rsidRPr="00047813">
        <w:rPr>
          <w:rFonts w:ascii="Arial" w:hAnsi="Arial" w:cs="Arial"/>
          <w:lang w:eastAsia="en-GB"/>
        </w:rPr>
        <w:t xml:space="preserve"> will focus on the strategic orientation and the growth prospects of Miltown</w:t>
      </w:r>
      <w:r w:rsidRPr="00047813">
        <w:rPr>
          <w:rFonts w:ascii="Arial" w:hAnsi="Arial" w:cs="Arial"/>
          <w:lang w:eastAsia="en-GB"/>
        </w:rPr>
        <w:t xml:space="preserve"> Sand</w:t>
      </w:r>
      <w:r w:rsidR="003A3889" w:rsidRPr="00047813">
        <w:rPr>
          <w:rFonts w:ascii="Arial" w:hAnsi="Arial" w:cs="Arial"/>
          <w:lang w:eastAsia="en-GB"/>
        </w:rPr>
        <w:t>ford Wines Limited, a small or medium-sized enterprise (SME) that is found in the wine industry. The researcher will explore the various obstacles that SMEs may encounter when they want to set the strategic direction of the company and propose strategic recommendations which are tailored to SMEs of this kind.</w:t>
      </w:r>
      <w:r w:rsidR="004B0468" w:rsidRPr="00047813">
        <w:rPr>
          <w:rFonts w:ascii="Arial" w:hAnsi="Arial" w:cs="Arial"/>
          <w:lang w:eastAsia="en-GB"/>
        </w:rPr>
        <w:t xml:space="preserve"> </w:t>
      </w:r>
      <w:r w:rsidR="003A3889" w:rsidRPr="00047813">
        <w:rPr>
          <w:rFonts w:ascii="Arial" w:hAnsi="Arial" w:cs="Arial"/>
          <w:lang w:eastAsia="en-GB"/>
        </w:rPr>
        <w:t xml:space="preserve">The structure of </w:t>
      </w:r>
      <w:r w:rsidR="00DF239E" w:rsidRPr="00047813">
        <w:rPr>
          <w:rFonts w:ascii="Arial" w:hAnsi="Arial" w:cs="Arial"/>
          <w:lang w:eastAsia="en-GB"/>
        </w:rPr>
        <w:t>the case study will be two-fold</w:t>
      </w:r>
      <w:r w:rsidR="003A3889" w:rsidRPr="00047813">
        <w:rPr>
          <w:rFonts w:ascii="Arial" w:hAnsi="Arial" w:cs="Arial"/>
          <w:lang w:eastAsia="en-GB"/>
        </w:rPr>
        <w:t xml:space="preserve"> an elaborated presentation of the current conditions of the </w:t>
      </w:r>
      <w:r w:rsidR="003D4822" w:rsidRPr="00047813">
        <w:rPr>
          <w:rFonts w:ascii="Arial" w:hAnsi="Arial" w:cs="Arial"/>
          <w:lang w:eastAsia="en-GB"/>
        </w:rPr>
        <w:t>organis</w:t>
      </w:r>
      <w:r w:rsidR="003A3889" w:rsidRPr="00047813">
        <w:rPr>
          <w:rFonts w:ascii="Arial" w:hAnsi="Arial" w:cs="Arial"/>
          <w:lang w:eastAsia="en-GB"/>
        </w:rPr>
        <w:t>ation in the context of the analysis of the market and competitors. This will be followed by the strategic growth options for small to medium firms in the wine industry will be discussed. It should be underlined that each type of business is constrained by the same problems and chances in every industry, including this one. It will be important to address specific ones of Milton Sandford Wines Ltd. The study will then present a new strategy, justify its sustainability for long-term growth, and point out</w:t>
      </w:r>
      <w:r w:rsidR="007D1213" w:rsidRPr="00047813">
        <w:rPr>
          <w:rFonts w:ascii="Arial" w:hAnsi="Arial" w:cs="Arial"/>
          <w:lang w:eastAsia="en-GB"/>
        </w:rPr>
        <w:t xml:space="preserve">. </w:t>
      </w:r>
      <w:r w:rsidR="003A3889" w:rsidRPr="00047813">
        <w:rPr>
          <w:rFonts w:ascii="Arial" w:hAnsi="Arial" w:cs="Arial"/>
          <w:lang w:eastAsia="en-GB"/>
        </w:rPr>
        <w:t>The case study will finalize with a summary of findings and what Miltown</w:t>
      </w:r>
      <w:r w:rsidRPr="00047813">
        <w:rPr>
          <w:rFonts w:ascii="Arial" w:hAnsi="Arial" w:cs="Arial"/>
          <w:lang w:eastAsia="en-GB"/>
        </w:rPr>
        <w:t xml:space="preserve"> Sand</w:t>
      </w:r>
      <w:r w:rsidR="003A3889" w:rsidRPr="00047813">
        <w:rPr>
          <w:rFonts w:ascii="Arial" w:hAnsi="Arial" w:cs="Arial"/>
          <w:lang w:eastAsia="en-GB"/>
        </w:rPr>
        <w:t>ford Wines Limited must focus on to capitalize on its future success.</w:t>
      </w:r>
    </w:p>
    <w:p w14:paraId="4C863ECB" w14:textId="590C2B12" w:rsidR="003A3889" w:rsidRPr="003A3889" w:rsidRDefault="003A3889" w:rsidP="003A3889">
      <w:pPr>
        <w:pStyle w:val="Heading2"/>
        <w:rPr>
          <w:rFonts w:cs="Times New Roman"/>
          <w:szCs w:val="24"/>
        </w:rPr>
      </w:pPr>
      <w:bookmarkStart w:id="2" w:name="_Toc160579126"/>
      <w:r w:rsidRPr="003A3889">
        <w:t xml:space="preserve">2. Critically appraise the </w:t>
      </w:r>
      <w:r w:rsidR="003D4822">
        <w:t>organis</w:t>
      </w:r>
      <w:r w:rsidRPr="003A3889">
        <w:t>ation’s current strategic direction.</w:t>
      </w:r>
      <w:bookmarkEnd w:id="2"/>
    </w:p>
    <w:p w14:paraId="5523C2E4" w14:textId="1F6B95B8" w:rsidR="003A3889" w:rsidRPr="00047813" w:rsidRDefault="003A3889" w:rsidP="00047813">
      <w:pPr>
        <w:spacing w:line="360" w:lineRule="auto"/>
        <w:rPr>
          <w:rFonts w:ascii="Arial" w:hAnsi="Arial" w:cs="Arial"/>
          <w:szCs w:val="24"/>
          <w:lang w:eastAsia="en-GB"/>
        </w:rPr>
      </w:pPr>
      <w:r w:rsidRPr="00047813">
        <w:rPr>
          <w:rFonts w:ascii="Arial" w:hAnsi="Arial" w:cs="Arial"/>
          <w:lang w:eastAsia="en-GB"/>
        </w:rPr>
        <w:t>The strategic direction of Milton Sandford Ltd. of Wines is becoming the most decisive. Since the firm operates in a constantl</w:t>
      </w:r>
      <w:r w:rsidR="005117B1" w:rsidRPr="00047813">
        <w:rPr>
          <w:rFonts w:ascii="Arial" w:hAnsi="Arial" w:cs="Arial"/>
          <w:lang w:eastAsia="en-GB"/>
        </w:rPr>
        <w:t>y changing wine industry, analys</w:t>
      </w:r>
      <w:r w:rsidRPr="00047813">
        <w:rPr>
          <w:rFonts w:ascii="Arial" w:hAnsi="Arial" w:cs="Arial"/>
          <w:lang w:eastAsia="en-GB"/>
        </w:rPr>
        <w:t xml:space="preserve">ing the effectiveness of its strategy becomes an inevitable step for maintaining the </w:t>
      </w:r>
      <w:r w:rsidR="003D4822" w:rsidRPr="00047813">
        <w:rPr>
          <w:rFonts w:ascii="Arial" w:hAnsi="Arial" w:cs="Arial"/>
          <w:lang w:eastAsia="en-GB"/>
        </w:rPr>
        <w:t>organis</w:t>
      </w:r>
      <w:r w:rsidRPr="00047813">
        <w:rPr>
          <w:rFonts w:ascii="Arial" w:hAnsi="Arial" w:cs="Arial"/>
          <w:lang w:eastAsia="en-GB"/>
        </w:rPr>
        <w:t>ation's sustainability and profitability.</w:t>
      </w:r>
    </w:p>
    <w:p w14:paraId="57F89A2A" w14:textId="77777777" w:rsidR="003A3889" w:rsidRPr="00DF239E" w:rsidRDefault="003A3889" w:rsidP="003A3889">
      <w:pPr>
        <w:rPr>
          <w:rFonts w:cs="Times New Roman"/>
          <w:b/>
          <w:szCs w:val="24"/>
          <w:lang w:eastAsia="en-GB"/>
        </w:rPr>
      </w:pPr>
      <w:r w:rsidRPr="00DF239E">
        <w:rPr>
          <w:b/>
          <w:lang w:eastAsia="en-GB"/>
        </w:rPr>
        <w:t>Market Position and Competitive Analysis:</w:t>
      </w:r>
    </w:p>
    <w:p w14:paraId="773F2854" w14:textId="45F1EC49" w:rsidR="003A3889" w:rsidRPr="00047813" w:rsidRDefault="003A3889" w:rsidP="00047813">
      <w:pPr>
        <w:spacing w:line="360" w:lineRule="auto"/>
        <w:rPr>
          <w:rFonts w:ascii="Arial" w:hAnsi="Arial" w:cs="Arial"/>
          <w:szCs w:val="24"/>
          <w:lang w:eastAsia="en-GB"/>
        </w:rPr>
      </w:pPr>
      <w:r w:rsidRPr="00047813">
        <w:rPr>
          <w:rFonts w:ascii="Arial" w:hAnsi="Arial" w:cs="Arial"/>
          <w:lang w:eastAsia="en-GB"/>
        </w:rPr>
        <w:t xml:space="preserve">Milton Sandford Wines Ltd. operates a market so competitive that its client's demand variations and regulations keep climbing and competition keeps emerging. To retain its leading position, the company is required to constantly compare its competitive environment with the strategies that they have, and then make necessary </w:t>
      </w:r>
      <w:r w:rsidR="00047813" w:rsidRPr="00047813">
        <w:rPr>
          <w:rFonts w:ascii="Arial" w:hAnsi="Arial" w:cs="Arial"/>
          <w:lang w:eastAsia="en-GB"/>
        </w:rPr>
        <w:t>adjustments</w:t>
      </w:r>
      <w:r w:rsidR="00047813" w:rsidRPr="00047813">
        <w:rPr>
          <w:rFonts w:ascii="Arial" w:hAnsi="Arial" w:cs="Arial"/>
          <w:shd w:val="clear" w:color="auto" w:fill="FFFFFF"/>
        </w:rPr>
        <w:t xml:space="preserve"> (</w:t>
      </w:r>
      <w:r w:rsidR="00C600F6" w:rsidRPr="00047813">
        <w:rPr>
          <w:rFonts w:ascii="Arial" w:hAnsi="Arial" w:cs="Arial"/>
          <w:shd w:val="clear" w:color="auto" w:fill="FFFFFF"/>
        </w:rPr>
        <w:t>Beauchamp, et. al., 2021)</w:t>
      </w:r>
      <w:r w:rsidRPr="00047813">
        <w:rPr>
          <w:rFonts w:ascii="Arial" w:hAnsi="Arial" w:cs="Arial"/>
          <w:lang w:eastAsia="en-GB"/>
        </w:rPr>
        <w:t>. Conducting a competitor analysis to uncover both their strengths and weaknesses, in addition to defining market trends, will help Milton Sandford Ltd. develop and refine its strategic-focused plans to leverage growth opportunities.</w:t>
      </w:r>
    </w:p>
    <w:p w14:paraId="4CFB0E02" w14:textId="77777777" w:rsidR="003A3889" w:rsidRPr="00DF239E" w:rsidRDefault="003A3889" w:rsidP="003A3889">
      <w:pPr>
        <w:rPr>
          <w:rFonts w:cs="Times New Roman"/>
          <w:b/>
          <w:szCs w:val="24"/>
          <w:lang w:eastAsia="en-GB"/>
        </w:rPr>
      </w:pPr>
      <w:r w:rsidRPr="00DF239E">
        <w:rPr>
          <w:b/>
          <w:lang w:eastAsia="en-GB"/>
        </w:rPr>
        <w:lastRenderedPageBreak/>
        <w:t>Product Portfolio and Innovation:</w:t>
      </w:r>
    </w:p>
    <w:p w14:paraId="5655475B" w14:textId="77777777" w:rsidR="003A3889" w:rsidRPr="00047813" w:rsidRDefault="003A3889" w:rsidP="00047813">
      <w:pPr>
        <w:spacing w:line="360" w:lineRule="auto"/>
        <w:rPr>
          <w:rFonts w:ascii="Arial" w:hAnsi="Arial" w:cs="Arial"/>
          <w:szCs w:val="24"/>
          <w:lang w:eastAsia="en-GB"/>
        </w:rPr>
      </w:pPr>
      <w:r w:rsidRPr="00047813">
        <w:rPr>
          <w:rFonts w:ascii="Arial" w:hAnsi="Arial" w:cs="Arial"/>
          <w:lang w:eastAsia="en-GB"/>
        </w:rPr>
        <w:t>Innovation acts as a key trigger to enhance growth and distinguish the wine industry as an alternative. Mi</w:t>
      </w:r>
      <w:r w:rsidR="00A66DC6" w:rsidRPr="00047813">
        <w:rPr>
          <w:rFonts w:ascii="Arial" w:hAnsi="Arial" w:cs="Arial"/>
          <w:lang w:eastAsia="en-GB"/>
        </w:rPr>
        <w:t>lton Aindow would need to analys</w:t>
      </w:r>
      <w:r w:rsidRPr="00047813">
        <w:rPr>
          <w:rFonts w:ascii="Arial" w:hAnsi="Arial" w:cs="Arial"/>
          <w:lang w:eastAsia="en-GB"/>
        </w:rPr>
        <w:t xml:space="preserve">e its existing product lineup to discover zones for development and inventing. These measures could comprise such actions as launching new varieties, packages and sustainable materials, which will reflect the latest tastes of consumers and at the same </w:t>
      </w:r>
      <w:r w:rsidR="00A66DC6" w:rsidRPr="00047813">
        <w:rPr>
          <w:rFonts w:ascii="Arial" w:hAnsi="Arial" w:cs="Arial"/>
          <w:lang w:eastAsia="en-GB"/>
        </w:rPr>
        <w:t>time,</w:t>
      </w:r>
      <w:r w:rsidRPr="00047813">
        <w:rPr>
          <w:rFonts w:ascii="Arial" w:hAnsi="Arial" w:cs="Arial"/>
          <w:lang w:eastAsia="en-GB"/>
        </w:rPr>
        <w:t xml:space="preserve"> stand out in a highly competitive market. Through funding of research and development, the enterprise will be able to ensure that the products remain current and interesting to consumers in a competitive industry where the companies compete against each other.</w:t>
      </w:r>
    </w:p>
    <w:p w14:paraId="209F45BA" w14:textId="77777777" w:rsidR="003A3889" w:rsidRPr="00DF239E" w:rsidRDefault="003A3889" w:rsidP="003A3889">
      <w:pPr>
        <w:rPr>
          <w:rFonts w:cs="Times New Roman"/>
          <w:b/>
          <w:szCs w:val="24"/>
          <w:lang w:eastAsia="en-GB"/>
        </w:rPr>
      </w:pPr>
      <w:r w:rsidRPr="00DF239E">
        <w:rPr>
          <w:b/>
          <w:lang w:eastAsia="en-GB"/>
        </w:rPr>
        <w:t>Distribution and Market Expansion:</w:t>
      </w:r>
    </w:p>
    <w:p w14:paraId="1942B7FB" w14:textId="7FE30557" w:rsidR="003A3889" w:rsidRPr="00047813" w:rsidRDefault="003A3889" w:rsidP="00047813">
      <w:pPr>
        <w:spacing w:line="360" w:lineRule="auto"/>
        <w:rPr>
          <w:rFonts w:ascii="Arial" w:hAnsi="Arial" w:cs="Arial"/>
          <w:szCs w:val="24"/>
          <w:lang w:eastAsia="en-GB"/>
        </w:rPr>
      </w:pPr>
      <w:r w:rsidRPr="00047813">
        <w:rPr>
          <w:rFonts w:ascii="Arial" w:hAnsi="Arial" w:cs="Arial"/>
          <w:lang w:eastAsia="en-GB"/>
        </w:rPr>
        <w:t xml:space="preserve">Distinctive distribution channels are key to bringing the product to market successfully and to the target customer, respectively. Milton Sandford Wines Ltd needs looking into its current distribution model to sort out the issues which are causing the limited market penetration. Discussing chances for growth to additional markets or sales channel distribution such as online retail or direct sales to </w:t>
      </w:r>
      <w:r w:rsidR="00A66DC6" w:rsidRPr="00047813">
        <w:rPr>
          <w:rFonts w:ascii="Arial" w:hAnsi="Arial" w:cs="Arial"/>
          <w:lang w:eastAsia="en-GB"/>
        </w:rPr>
        <w:t>consumers</w:t>
      </w:r>
      <w:r w:rsidRPr="00047813">
        <w:rPr>
          <w:rFonts w:ascii="Arial" w:hAnsi="Arial" w:cs="Arial"/>
          <w:lang w:eastAsia="en-GB"/>
        </w:rPr>
        <w:t xml:space="preserve"> can help the company to widen the customer base and penetrate deeply the market</w:t>
      </w:r>
      <w:r w:rsidR="004B0468" w:rsidRPr="00047813">
        <w:rPr>
          <w:rFonts w:ascii="Arial" w:hAnsi="Arial" w:cs="Arial"/>
          <w:lang w:eastAsia="en-GB"/>
        </w:rPr>
        <w:t xml:space="preserve"> </w:t>
      </w:r>
      <w:r w:rsidR="00A66DC6" w:rsidRPr="00047813">
        <w:rPr>
          <w:rFonts w:ascii="Arial" w:hAnsi="Arial" w:cs="Arial"/>
          <w:shd w:val="clear" w:color="auto" w:fill="FFFFFF"/>
        </w:rPr>
        <w:t>(Bush, 2020)</w:t>
      </w:r>
      <w:r w:rsidRPr="00047813">
        <w:rPr>
          <w:rFonts w:ascii="Arial" w:hAnsi="Arial" w:cs="Arial"/>
          <w:lang w:eastAsia="en-GB"/>
        </w:rPr>
        <w:t>. Alongside, the establishment of partnerships with the distributors or buyers could contribute to expansion into the rural markets and improve brand recognition.</w:t>
      </w:r>
    </w:p>
    <w:p w14:paraId="2F98CFA2" w14:textId="77777777" w:rsidR="003A3889" w:rsidRPr="004A605C" w:rsidRDefault="003A3889" w:rsidP="003A3889">
      <w:pPr>
        <w:rPr>
          <w:rFonts w:cs="Times New Roman"/>
          <w:b/>
          <w:szCs w:val="24"/>
          <w:lang w:eastAsia="en-GB"/>
        </w:rPr>
      </w:pPr>
      <w:r w:rsidRPr="004A605C">
        <w:rPr>
          <w:b/>
          <w:lang w:eastAsia="en-GB"/>
        </w:rPr>
        <w:t>Brand Image and Marketing Strategy:</w:t>
      </w:r>
    </w:p>
    <w:p w14:paraId="14623D37" w14:textId="77777777" w:rsidR="00A44BB8" w:rsidRPr="00831EC0" w:rsidRDefault="003A3889" w:rsidP="00831EC0">
      <w:pPr>
        <w:spacing w:line="360" w:lineRule="auto"/>
        <w:rPr>
          <w:rFonts w:ascii="Arial" w:hAnsi="Arial" w:cs="Arial"/>
          <w:lang w:eastAsia="en-GB"/>
        </w:rPr>
      </w:pPr>
      <w:r w:rsidRPr="00831EC0">
        <w:rPr>
          <w:rFonts w:ascii="Arial" w:hAnsi="Arial" w:cs="Arial"/>
          <w:lang w:eastAsia="en-GB"/>
        </w:rPr>
        <w:t xml:space="preserve">A strong brand image is essential in developing customer loyalty and selling. Milton Sandford Wines Ltd. should appraise its current brand positioning and marketing strategy with regard to what is crucial for targeting its markets and meeting its business objectives. </w:t>
      </w:r>
      <w:r w:rsidR="00A44BB8" w:rsidRPr="00831EC0">
        <w:rPr>
          <w:rFonts w:ascii="Arial" w:hAnsi="Arial" w:cs="Arial"/>
          <w:lang w:eastAsia="en-GB"/>
        </w:rPr>
        <w:t xml:space="preserve">Besides that, it might contribute to the positive brand image and the responses of the consumers by carrying out product promotion activities, social media management, and experience events. </w:t>
      </w:r>
      <w:r w:rsidR="00820FD4" w:rsidRPr="00831EC0">
        <w:rPr>
          <w:rFonts w:ascii="Arial" w:hAnsi="Arial" w:cs="Arial"/>
          <w:lang w:eastAsia="en-GB"/>
        </w:rPr>
        <w:t>Another</w:t>
      </w:r>
      <w:r w:rsidR="00A44BB8" w:rsidRPr="00831EC0">
        <w:rPr>
          <w:rFonts w:ascii="Arial" w:hAnsi="Arial" w:cs="Arial"/>
          <w:lang w:eastAsia="en-GB"/>
        </w:rPr>
        <w:t xml:space="preserve"> vital element to be considered is the need for Milton Sandford Wines Ltd to bring their competitive attributes into focus. Examples may be quality, sustainability and heritage as compared to their competitors and woo their consumers.</w:t>
      </w:r>
    </w:p>
    <w:p w14:paraId="17D325C6" w14:textId="77777777" w:rsidR="00D52AB0" w:rsidRPr="004A605C" w:rsidRDefault="00A44BB8" w:rsidP="00A44BB8">
      <w:pPr>
        <w:rPr>
          <w:b/>
          <w:lang w:eastAsia="en-GB"/>
        </w:rPr>
      </w:pPr>
      <w:r w:rsidRPr="004A605C">
        <w:rPr>
          <w:b/>
          <w:lang w:eastAsia="en-GB"/>
        </w:rPr>
        <w:t>Financial Performance and Resource Allocation:</w:t>
      </w:r>
    </w:p>
    <w:p w14:paraId="1A5CD8A6" w14:textId="77777777" w:rsidR="00A44BB8" w:rsidRPr="00831EC0" w:rsidRDefault="00A44BB8" w:rsidP="00831EC0">
      <w:pPr>
        <w:spacing w:line="360" w:lineRule="auto"/>
        <w:rPr>
          <w:rFonts w:ascii="Arial" w:hAnsi="Arial" w:cs="Arial"/>
          <w:lang w:eastAsia="en-GB"/>
        </w:rPr>
      </w:pPr>
      <w:r w:rsidRPr="00831EC0">
        <w:rPr>
          <w:rFonts w:ascii="Arial" w:hAnsi="Arial" w:cs="Arial"/>
          <w:lang w:eastAsia="en-GB"/>
        </w:rPr>
        <w:lastRenderedPageBreak/>
        <w:t>It is resource allocation that drives a phenomenon of business expansion and profit increasing. Milton-Sandford Wines Ltd. should carry out an evaluation of the current financial performance and the priorities in this context and this is the reason why the resources optimization and the return’s maximization should be given the top priority when it comes to their implementation. Regarding this, one should look at opportunities to spend more on projects with a high probability to be successful, for example product innovation and market penetration, and saving on streamlining costs and operational efficiencies in other areas.</w:t>
      </w:r>
    </w:p>
    <w:p w14:paraId="76F02939" w14:textId="77777777" w:rsidR="00A44BB8" w:rsidRPr="00831EC0" w:rsidRDefault="00A44BB8" w:rsidP="00831EC0">
      <w:pPr>
        <w:spacing w:line="360" w:lineRule="auto"/>
        <w:rPr>
          <w:rFonts w:ascii="Arial" w:hAnsi="Arial" w:cs="Arial"/>
          <w:lang w:eastAsia="en-GB"/>
        </w:rPr>
      </w:pPr>
      <w:r w:rsidRPr="00831EC0">
        <w:rPr>
          <w:rFonts w:ascii="Arial" w:hAnsi="Arial" w:cs="Arial"/>
          <w:lang w:eastAsia="en-GB"/>
        </w:rPr>
        <w:t>In this way, it is not going to be enough for Milton Sandford Wines Ltd. to act on its gut feelings only as the strategic direction must be rationally evaluated. Thorough identification of market position, product range, distribution channels, brand Image and financial performance with the facilitation of a strategy towards improvement or action of taking on gained opportunities</w:t>
      </w:r>
      <w:r w:rsidR="00334E1C" w:rsidRPr="00831EC0">
        <w:rPr>
          <w:rFonts w:ascii="Arial" w:hAnsi="Arial" w:cs="Arial"/>
          <w:lang w:eastAsia="en-GB"/>
        </w:rPr>
        <w:t xml:space="preserve"> </w:t>
      </w:r>
      <w:r w:rsidR="00820FD4" w:rsidRPr="00831EC0">
        <w:rPr>
          <w:rFonts w:ascii="Arial" w:hAnsi="Arial" w:cs="Arial"/>
          <w:shd w:val="clear" w:color="auto" w:fill="FFFFFF"/>
        </w:rPr>
        <w:t>(Dickson, et. al., 2022).</w:t>
      </w:r>
      <w:r w:rsidRPr="00831EC0">
        <w:rPr>
          <w:rFonts w:ascii="Arial" w:hAnsi="Arial" w:cs="Arial"/>
          <w:lang w:eastAsia="en-GB"/>
        </w:rPr>
        <w:t xml:space="preserve"> While these figures provide evidence that this business would be in a relevant location, it would help the company achieve long-term success and toward achieving competitiveness in a dynamic wine industry.</w:t>
      </w:r>
    </w:p>
    <w:p w14:paraId="766A7680" w14:textId="77777777" w:rsidR="003A3889" w:rsidRPr="003A3889" w:rsidRDefault="003A3889" w:rsidP="00184E90">
      <w:pPr>
        <w:pStyle w:val="Heading2"/>
      </w:pPr>
      <w:bookmarkStart w:id="3" w:name="_Toc160579127"/>
      <w:r w:rsidRPr="003A3889">
        <w:t xml:space="preserve">3. </w:t>
      </w:r>
      <w:r>
        <w:t xml:space="preserve">Factors effecting </w:t>
      </w:r>
      <w:r w:rsidRPr="003A3889">
        <w:t>external and internal environment</w:t>
      </w:r>
      <w:bookmarkEnd w:id="3"/>
    </w:p>
    <w:p w14:paraId="6D510402" w14:textId="77777777" w:rsidR="003A3889" w:rsidRPr="003A3889" w:rsidRDefault="003A3889" w:rsidP="003A3889">
      <w:pPr>
        <w:spacing w:after="0" w:line="240" w:lineRule="auto"/>
        <w:jc w:val="left"/>
        <w:rPr>
          <w:rFonts w:eastAsia="Times New Roman" w:cs="Times New Roman"/>
          <w:szCs w:val="24"/>
          <w:lang w:eastAsia="en-GB"/>
        </w:rPr>
      </w:pPr>
    </w:p>
    <w:p w14:paraId="5813B623" w14:textId="77777777" w:rsidR="003A3889" w:rsidRPr="003A3889" w:rsidRDefault="003A3889" w:rsidP="003A3889">
      <w:pPr>
        <w:jc w:val="left"/>
        <w:rPr>
          <w:rFonts w:cs="Times New Roman"/>
          <w:b/>
          <w:szCs w:val="24"/>
          <w:u w:val="single"/>
          <w:lang w:eastAsia="en-GB"/>
        </w:rPr>
      </w:pPr>
      <w:r w:rsidRPr="003A3889">
        <w:rPr>
          <w:b/>
          <w:u w:val="single"/>
          <w:lang w:eastAsia="en-GB"/>
        </w:rPr>
        <w:t>PESTLE analysis for Milton Sandford Wines Ltd.</w:t>
      </w:r>
    </w:p>
    <w:tbl>
      <w:tblPr>
        <w:tblW w:w="9360" w:type="dxa"/>
        <w:tblCellMar>
          <w:top w:w="15" w:type="dxa"/>
          <w:left w:w="15" w:type="dxa"/>
          <w:bottom w:w="15" w:type="dxa"/>
          <w:right w:w="15" w:type="dxa"/>
        </w:tblCellMar>
        <w:tblLook w:val="04A0" w:firstRow="1" w:lastRow="0" w:firstColumn="1" w:lastColumn="0" w:noHBand="0" w:noVBand="1"/>
      </w:tblPr>
      <w:tblGrid>
        <w:gridCol w:w="1747"/>
        <w:gridCol w:w="2528"/>
        <w:gridCol w:w="5085"/>
      </w:tblGrid>
      <w:tr w:rsidR="003A3889" w:rsidRPr="003A3889" w14:paraId="28A7BE12" w14:textId="77777777" w:rsidTr="000E7AE5">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bottom"/>
            <w:hideMark/>
          </w:tcPr>
          <w:p w14:paraId="073F4ED6" w14:textId="77777777" w:rsidR="003A3889" w:rsidRPr="003A3889" w:rsidRDefault="003A3889" w:rsidP="003A3889">
            <w:pPr>
              <w:rPr>
                <w:rFonts w:cs="Times New Roman"/>
                <w:b/>
                <w:szCs w:val="24"/>
                <w:lang w:eastAsia="en-GB"/>
              </w:rPr>
            </w:pPr>
            <w:r w:rsidRPr="003A3889">
              <w:rPr>
                <w:b/>
                <w:lang w:eastAsia="en-GB"/>
              </w:rPr>
              <w:t>Factor</w:t>
            </w:r>
          </w:p>
        </w:tc>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bottom"/>
            <w:hideMark/>
          </w:tcPr>
          <w:p w14:paraId="22C00D5C" w14:textId="77777777" w:rsidR="003A3889" w:rsidRPr="003A3889" w:rsidRDefault="003A3889" w:rsidP="003A3889">
            <w:pPr>
              <w:rPr>
                <w:rFonts w:cs="Times New Roman"/>
                <w:b/>
                <w:szCs w:val="24"/>
                <w:lang w:eastAsia="en-GB"/>
              </w:rPr>
            </w:pPr>
            <w:r w:rsidRPr="003A3889">
              <w:rPr>
                <w:b/>
                <w:lang w:eastAsia="en-GB"/>
              </w:rPr>
              <w:t>Description</w:t>
            </w:r>
          </w:p>
        </w:tc>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bottom"/>
            <w:hideMark/>
          </w:tcPr>
          <w:p w14:paraId="3CCD3CF1" w14:textId="77777777" w:rsidR="003A3889" w:rsidRPr="003A3889" w:rsidRDefault="003A3889" w:rsidP="003A3889">
            <w:pPr>
              <w:rPr>
                <w:rFonts w:cs="Times New Roman"/>
                <w:b/>
                <w:szCs w:val="24"/>
                <w:lang w:eastAsia="en-GB"/>
              </w:rPr>
            </w:pPr>
            <w:r w:rsidRPr="003A3889">
              <w:rPr>
                <w:b/>
                <w:lang w:eastAsia="en-GB"/>
              </w:rPr>
              <w:t>Impact on Milton Sandford Wines Ltd.</w:t>
            </w:r>
          </w:p>
        </w:tc>
      </w:tr>
      <w:tr w:rsidR="003A3889" w:rsidRPr="003A3889" w14:paraId="78CC5423"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6338E2F" w14:textId="77777777" w:rsidR="003A3889" w:rsidRPr="003A3889" w:rsidRDefault="003A3889" w:rsidP="003A3889">
            <w:pPr>
              <w:rPr>
                <w:rFonts w:cs="Times New Roman"/>
                <w:b/>
                <w:szCs w:val="24"/>
                <w:lang w:eastAsia="en-GB"/>
              </w:rPr>
            </w:pPr>
            <w:r w:rsidRPr="003A3889">
              <w:rPr>
                <w:b/>
                <w:lang w:eastAsia="en-GB"/>
              </w:rPr>
              <w:t>Political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2E26C27" w14:textId="77777777" w:rsidR="003A3889" w:rsidRPr="003A3889" w:rsidRDefault="003A3889" w:rsidP="003A3889">
            <w:pPr>
              <w:rPr>
                <w:rFonts w:cs="Times New Roman"/>
                <w:szCs w:val="24"/>
                <w:lang w:eastAsia="en-GB"/>
              </w:rPr>
            </w:pPr>
            <w:r w:rsidRPr="003A3889">
              <w:rPr>
                <w:lang w:eastAsia="en-GB"/>
              </w:rPr>
              <w:t>Government regulations, trade policies, taxation, and political stability</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5BEE29" w14:textId="77777777" w:rsidR="003A3889" w:rsidRPr="003A3889" w:rsidRDefault="003A3889" w:rsidP="003A3889">
            <w:pPr>
              <w:rPr>
                <w:rFonts w:cs="Times New Roman"/>
                <w:szCs w:val="24"/>
                <w:lang w:eastAsia="en-GB"/>
              </w:rPr>
            </w:pPr>
            <w:r w:rsidRPr="003A3889">
              <w:rPr>
                <w:lang w:eastAsia="en-GB"/>
              </w:rPr>
              <w:t>Changes in taxation rates or trade agreements may impact production costs and international sales. Political stability is essential for smooth operations and expansion into new markets.</w:t>
            </w:r>
          </w:p>
        </w:tc>
      </w:tr>
      <w:tr w:rsidR="003A3889" w:rsidRPr="003A3889" w14:paraId="42AFB490"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1C4BA3A" w14:textId="77777777" w:rsidR="003A3889" w:rsidRPr="003A3889" w:rsidRDefault="003A3889" w:rsidP="003A3889">
            <w:pPr>
              <w:rPr>
                <w:rFonts w:cs="Times New Roman"/>
                <w:b/>
                <w:szCs w:val="24"/>
                <w:lang w:eastAsia="en-GB"/>
              </w:rPr>
            </w:pPr>
            <w:r w:rsidRPr="003A3889">
              <w:rPr>
                <w:b/>
                <w:lang w:eastAsia="en-GB"/>
              </w:rPr>
              <w:t>Economic</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3291220" w14:textId="77777777" w:rsidR="003A3889" w:rsidRPr="003A3889" w:rsidRDefault="003A3889" w:rsidP="003A3889">
            <w:pPr>
              <w:rPr>
                <w:rFonts w:cs="Times New Roman"/>
                <w:szCs w:val="24"/>
                <w:lang w:eastAsia="en-GB"/>
              </w:rPr>
            </w:pPr>
            <w:r w:rsidRPr="003A3889">
              <w:rPr>
                <w:lang w:eastAsia="en-GB"/>
              </w:rPr>
              <w:t xml:space="preserve">indicators, inflation rates, exchange rates, </w:t>
            </w:r>
            <w:r w:rsidRPr="003A3889">
              <w:rPr>
                <w:lang w:eastAsia="en-GB"/>
              </w:rPr>
              <w:lastRenderedPageBreak/>
              <w:t>and consumer spending patterns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9A8FAF0" w14:textId="4350E659" w:rsidR="003A3889" w:rsidRPr="003A3889" w:rsidRDefault="003A3889" w:rsidP="005A1E4D">
            <w:pPr>
              <w:rPr>
                <w:rFonts w:cs="Times New Roman"/>
                <w:szCs w:val="24"/>
                <w:lang w:eastAsia="en-GB"/>
              </w:rPr>
            </w:pPr>
            <w:r w:rsidRPr="003A3889">
              <w:rPr>
                <w:lang w:eastAsia="en-GB"/>
              </w:rPr>
              <w:lastRenderedPageBreak/>
              <w:t xml:space="preserve">Economic downturns may lead to decreased consumer spending on luxury items like wine. </w:t>
            </w:r>
            <w:r w:rsidRPr="003A3889">
              <w:rPr>
                <w:lang w:eastAsia="en-GB"/>
              </w:rPr>
              <w:lastRenderedPageBreak/>
              <w:t>Fluctuations in exchange rates can affect import/export costs</w:t>
            </w:r>
            <w:r w:rsidR="004B0468">
              <w:rPr>
                <w:lang w:eastAsia="en-GB"/>
              </w:rPr>
              <w:t xml:space="preserve"> </w:t>
            </w:r>
            <w:r w:rsidR="005A1E4D">
              <w:rPr>
                <w:shd w:val="clear" w:color="auto" w:fill="FFFFFF"/>
              </w:rPr>
              <w:t>(</w:t>
            </w:r>
            <w:r w:rsidR="005A1E4D" w:rsidRPr="004F2CCC">
              <w:rPr>
                <w:shd w:val="clear" w:color="auto" w:fill="FFFFFF"/>
              </w:rPr>
              <w:t xml:space="preserve">Oluwafemi, </w:t>
            </w:r>
            <w:r w:rsidR="005A1E4D">
              <w:rPr>
                <w:shd w:val="clear" w:color="auto" w:fill="FFFFFF"/>
              </w:rPr>
              <w:t xml:space="preserve">et. al., </w:t>
            </w:r>
            <w:r w:rsidR="005A1E4D" w:rsidRPr="004F2CCC">
              <w:rPr>
                <w:shd w:val="clear" w:color="auto" w:fill="FFFFFF"/>
              </w:rPr>
              <w:t>2020</w:t>
            </w:r>
            <w:r w:rsidR="005A1E4D">
              <w:rPr>
                <w:shd w:val="clear" w:color="auto" w:fill="FFFFFF"/>
              </w:rPr>
              <w:t>)</w:t>
            </w:r>
            <w:r w:rsidRPr="003A3889">
              <w:rPr>
                <w:lang w:eastAsia="en-GB"/>
              </w:rPr>
              <w:t>. Economic growth in emerging markets presents opportunities for market expansion.</w:t>
            </w:r>
          </w:p>
        </w:tc>
      </w:tr>
      <w:tr w:rsidR="003A3889" w:rsidRPr="003A3889" w14:paraId="4C394315"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9AECDF4" w14:textId="77777777" w:rsidR="003A3889" w:rsidRPr="003A3889" w:rsidRDefault="003A3889" w:rsidP="003A3889">
            <w:pPr>
              <w:rPr>
                <w:rFonts w:cs="Times New Roman"/>
                <w:b/>
                <w:szCs w:val="24"/>
                <w:lang w:eastAsia="en-GB"/>
              </w:rPr>
            </w:pPr>
            <w:r w:rsidRPr="003A3889">
              <w:rPr>
                <w:b/>
                <w:lang w:eastAsia="en-GB"/>
              </w:rPr>
              <w:lastRenderedPageBreak/>
              <w:t>Social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21FFB14" w14:textId="77777777" w:rsidR="003A3889" w:rsidRPr="003A3889" w:rsidRDefault="003A3889" w:rsidP="003A3889">
            <w:pPr>
              <w:rPr>
                <w:rFonts w:cs="Times New Roman"/>
                <w:szCs w:val="24"/>
                <w:lang w:eastAsia="en-GB"/>
              </w:rPr>
            </w:pPr>
            <w:r w:rsidRPr="003A3889">
              <w:rPr>
                <w:lang w:eastAsia="en-GB"/>
              </w:rPr>
              <w:t>Demographic trends, cultural norms, lifestyle changes, and consumer preferences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FF02E9E" w14:textId="77777777" w:rsidR="003A3889" w:rsidRPr="003A3889" w:rsidRDefault="003A3889" w:rsidP="003A3889">
            <w:pPr>
              <w:rPr>
                <w:rFonts w:cs="Times New Roman"/>
                <w:szCs w:val="24"/>
                <w:lang w:eastAsia="en-GB"/>
              </w:rPr>
            </w:pPr>
            <w:r w:rsidRPr="003A3889">
              <w:rPr>
                <w:lang w:eastAsia="en-GB"/>
              </w:rPr>
              <w:t>Shifts in consumer preferences towards healthier lifestyles or sustainable products may influence product development and marketing strategies. Aging populations in certain regions may increase demand for premium wines. Social media trends and cultural events impact brand visibility and engagement.</w:t>
            </w:r>
          </w:p>
        </w:tc>
      </w:tr>
      <w:tr w:rsidR="003A3889" w:rsidRPr="003A3889" w14:paraId="65D4776E"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BCF54BF" w14:textId="77777777" w:rsidR="003A3889" w:rsidRPr="003A3889" w:rsidRDefault="003A3889" w:rsidP="003A3889">
            <w:pPr>
              <w:rPr>
                <w:rFonts w:cs="Times New Roman"/>
                <w:b/>
                <w:szCs w:val="24"/>
                <w:lang w:eastAsia="en-GB"/>
              </w:rPr>
            </w:pPr>
            <w:r w:rsidRPr="003A3889">
              <w:rPr>
                <w:b/>
                <w:lang w:eastAsia="en-GB"/>
              </w:rPr>
              <w:t>Technological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BF2EE3D" w14:textId="77777777" w:rsidR="003A3889" w:rsidRPr="003A3889" w:rsidRDefault="003A3889" w:rsidP="003A3889">
            <w:pPr>
              <w:rPr>
                <w:rFonts w:cs="Times New Roman"/>
                <w:szCs w:val="24"/>
                <w:lang w:eastAsia="en-GB"/>
              </w:rPr>
            </w:pPr>
            <w:r w:rsidRPr="003A3889">
              <w:rPr>
                <w:lang w:eastAsia="en-GB"/>
              </w:rPr>
              <w:t>Advancements in production technologies, automation, and digital marketing</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1AA859B" w14:textId="46CE19B9" w:rsidR="003A3889" w:rsidRPr="003A3889" w:rsidRDefault="003A3889" w:rsidP="000D70B9">
            <w:pPr>
              <w:rPr>
                <w:rFonts w:cs="Times New Roman"/>
                <w:szCs w:val="24"/>
                <w:lang w:eastAsia="en-GB"/>
              </w:rPr>
            </w:pPr>
            <w:r w:rsidRPr="003A3889">
              <w:rPr>
                <w:lang w:eastAsia="en-GB"/>
              </w:rPr>
              <w:t>Investment in technology can improve production efficiency and quality control. Digital marketing strategies are essential for reaching and engaging with target consumers</w:t>
            </w:r>
            <w:r w:rsidR="004B0468">
              <w:rPr>
                <w:lang w:eastAsia="en-GB"/>
              </w:rPr>
              <w:t xml:space="preserve"> </w:t>
            </w:r>
            <w:r w:rsidR="000D70B9">
              <w:rPr>
                <w:shd w:val="clear" w:color="auto" w:fill="FFFFFF"/>
              </w:rPr>
              <w:t>(</w:t>
            </w:r>
            <w:r w:rsidR="000D70B9" w:rsidRPr="004F2CCC">
              <w:rPr>
                <w:shd w:val="clear" w:color="auto" w:fill="FFFFFF"/>
              </w:rPr>
              <w:t>Seaford</w:t>
            </w:r>
            <w:r w:rsidR="004B0468">
              <w:rPr>
                <w:shd w:val="clear" w:color="auto" w:fill="FFFFFF"/>
              </w:rPr>
              <w:t xml:space="preserve"> </w:t>
            </w:r>
            <w:r w:rsidR="000D70B9" w:rsidRPr="004F2CCC">
              <w:rPr>
                <w:shd w:val="clear" w:color="auto" w:fill="FFFFFF"/>
              </w:rPr>
              <w:t>and Allinson, 2022</w:t>
            </w:r>
            <w:r w:rsidR="000D70B9">
              <w:rPr>
                <w:shd w:val="clear" w:color="auto" w:fill="FFFFFF"/>
              </w:rPr>
              <w:t>)</w:t>
            </w:r>
            <w:r w:rsidR="000D70B9" w:rsidRPr="004F2CCC">
              <w:rPr>
                <w:shd w:val="clear" w:color="auto" w:fill="FFFFFF"/>
              </w:rPr>
              <w:t>.</w:t>
            </w:r>
            <w:r w:rsidRPr="003A3889">
              <w:rPr>
                <w:lang w:eastAsia="en-GB"/>
              </w:rPr>
              <w:t xml:space="preserve"> E-commerce platforms provide opportunities for direct-to-consumer sales.</w:t>
            </w:r>
          </w:p>
        </w:tc>
      </w:tr>
      <w:tr w:rsidR="003A3889" w:rsidRPr="003A3889" w14:paraId="507A72C1"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2F694EC" w14:textId="77777777" w:rsidR="003A3889" w:rsidRPr="003A3889" w:rsidRDefault="003A3889" w:rsidP="003A3889">
            <w:pPr>
              <w:rPr>
                <w:rFonts w:cs="Times New Roman"/>
                <w:b/>
                <w:szCs w:val="24"/>
                <w:lang w:eastAsia="en-GB"/>
              </w:rPr>
            </w:pPr>
            <w:r w:rsidRPr="003A3889">
              <w:rPr>
                <w:b/>
                <w:lang w:eastAsia="en-GB"/>
              </w:rPr>
              <w:t>Legal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8BBF308" w14:textId="77777777" w:rsidR="003A3889" w:rsidRPr="003A3889" w:rsidRDefault="003A3889" w:rsidP="003A3889">
            <w:pPr>
              <w:rPr>
                <w:rFonts w:cs="Times New Roman"/>
                <w:szCs w:val="24"/>
                <w:lang w:eastAsia="en-GB"/>
              </w:rPr>
            </w:pPr>
            <w:r w:rsidRPr="003A3889">
              <w:rPr>
                <w:lang w:eastAsia="en-GB"/>
              </w:rPr>
              <w:t>Legislation related to alcohol sales, labelling requirements, and intellectual property rights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D6756D2" w14:textId="77777777" w:rsidR="003A3889" w:rsidRPr="003A3889" w:rsidRDefault="003A3889" w:rsidP="003A3889">
            <w:pPr>
              <w:rPr>
                <w:rFonts w:cs="Times New Roman"/>
                <w:szCs w:val="24"/>
                <w:lang w:eastAsia="en-GB"/>
              </w:rPr>
            </w:pPr>
            <w:r w:rsidRPr="003A3889">
              <w:rPr>
                <w:lang w:eastAsia="en-GB"/>
              </w:rPr>
              <w:t xml:space="preserve">Compliance with legal requirements is critical to avoid fines or penalties. Changes in alcohol regulations may impact distribution channels or marketing strategies. Protection of intellectual </w:t>
            </w:r>
            <w:r w:rsidRPr="003A3889">
              <w:rPr>
                <w:lang w:eastAsia="en-GB"/>
              </w:rPr>
              <w:lastRenderedPageBreak/>
              <w:t>property rights is essential for safeguarding brand reputation.</w:t>
            </w:r>
          </w:p>
        </w:tc>
      </w:tr>
      <w:tr w:rsidR="003A3889" w:rsidRPr="003A3889" w14:paraId="2AB777FF"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491465C" w14:textId="77777777" w:rsidR="003A3889" w:rsidRPr="003A3889" w:rsidRDefault="003A3889" w:rsidP="003A3889">
            <w:pPr>
              <w:rPr>
                <w:rFonts w:cs="Times New Roman"/>
                <w:b/>
                <w:szCs w:val="24"/>
                <w:lang w:eastAsia="en-GB"/>
              </w:rPr>
            </w:pPr>
            <w:r w:rsidRPr="003A3889">
              <w:rPr>
                <w:b/>
                <w:lang w:eastAsia="en-GB"/>
              </w:rPr>
              <w:lastRenderedPageBreak/>
              <w:t>Environmental</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444EEA5" w14:textId="77777777" w:rsidR="003A3889" w:rsidRPr="003A3889" w:rsidRDefault="003A3889" w:rsidP="003A3889">
            <w:pPr>
              <w:rPr>
                <w:rFonts w:cs="Times New Roman"/>
                <w:szCs w:val="24"/>
                <w:lang w:eastAsia="en-GB"/>
              </w:rPr>
            </w:pPr>
            <w:r w:rsidRPr="003A3889">
              <w:rPr>
                <w:lang w:eastAsia="en-GB"/>
              </w:rPr>
              <w:t>regulations, climate change, sustainability initiatives, and natural disasters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38404C2" w14:textId="6BBDA19A" w:rsidR="003A3889" w:rsidRPr="003A3889" w:rsidRDefault="003A3889" w:rsidP="00257A9A">
            <w:pPr>
              <w:rPr>
                <w:rFonts w:cs="Times New Roman"/>
                <w:szCs w:val="24"/>
                <w:lang w:eastAsia="en-GB"/>
              </w:rPr>
            </w:pPr>
            <w:r w:rsidRPr="003A3889">
              <w:rPr>
                <w:lang w:eastAsia="en-GB"/>
              </w:rPr>
              <w:t>Sustainable practices in vineyard management and production processes are increasingly important to consumers and regulators. Climate change may affect grape cultivation and wine quality</w:t>
            </w:r>
            <w:r w:rsidR="004B0468">
              <w:rPr>
                <w:lang w:eastAsia="en-GB"/>
              </w:rPr>
              <w:t xml:space="preserve"> </w:t>
            </w:r>
            <w:r w:rsidR="00257A9A">
              <w:rPr>
                <w:shd w:val="clear" w:color="auto" w:fill="FFFFFF"/>
              </w:rPr>
              <w:t>(</w:t>
            </w:r>
            <w:r w:rsidR="00257A9A" w:rsidRPr="00257A9A">
              <w:rPr>
                <w:shd w:val="clear" w:color="auto" w:fill="FFFFFF"/>
              </w:rPr>
              <w:t xml:space="preserve">Woods, </w:t>
            </w:r>
            <w:r w:rsidR="00257A9A">
              <w:rPr>
                <w:shd w:val="clear" w:color="auto" w:fill="FFFFFF"/>
              </w:rPr>
              <w:t xml:space="preserve">et. al., </w:t>
            </w:r>
            <w:r w:rsidR="00257A9A" w:rsidRPr="00257A9A">
              <w:rPr>
                <w:shd w:val="clear" w:color="auto" w:fill="FFFFFF"/>
              </w:rPr>
              <w:t>2022)</w:t>
            </w:r>
            <w:r w:rsidRPr="003A3889">
              <w:rPr>
                <w:lang w:eastAsia="en-GB"/>
              </w:rPr>
              <w:t>. Environmental stewardship enhances brand reputation and consumer trust.</w:t>
            </w:r>
          </w:p>
        </w:tc>
      </w:tr>
    </w:tbl>
    <w:p w14:paraId="5B832C4E" w14:textId="77777777" w:rsidR="003A3889" w:rsidRPr="003A3889" w:rsidRDefault="003A3889" w:rsidP="003A3889">
      <w:pPr>
        <w:spacing w:after="240" w:line="240" w:lineRule="auto"/>
        <w:jc w:val="left"/>
        <w:rPr>
          <w:rFonts w:eastAsia="Times New Roman" w:cs="Times New Roman"/>
          <w:szCs w:val="24"/>
          <w:lang w:eastAsia="en-GB"/>
        </w:rPr>
      </w:pPr>
    </w:p>
    <w:p w14:paraId="52478ECA" w14:textId="77777777" w:rsidR="00D52AB0" w:rsidRPr="00831EC0" w:rsidRDefault="00D52AB0" w:rsidP="00831EC0">
      <w:pPr>
        <w:spacing w:line="360" w:lineRule="auto"/>
        <w:rPr>
          <w:rFonts w:ascii="Arial" w:hAnsi="Arial" w:cs="Arial"/>
          <w:lang w:eastAsia="en-GB"/>
        </w:rPr>
      </w:pPr>
      <w:r w:rsidRPr="00831EC0">
        <w:rPr>
          <w:rFonts w:ascii="Arial" w:hAnsi="Arial" w:cs="Arial"/>
          <w:lang w:eastAsia="en-GB"/>
        </w:rPr>
        <w:t>This PESTLE analysis throws light on the supreme external factors which may be the point of influence in Milton Sandford Wines Ltd's strategic decision making and business operations. When there is a better picture of these factors, the wine company may have the tool to proactively push the boundaries while trying innovations to reduce risks and grab every gut-wrenching opportunity.</w:t>
      </w:r>
    </w:p>
    <w:p w14:paraId="1E3DCF26" w14:textId="77777777" w:rsidR="003A3889" w:rsidRPr="003A3889" w:rsidRDefault="003A3889" w:rsidP="003A3889">
      <w:pPr>
        <w:rPr>
          <w:rFonts w:cs="Times New Roman"/>
          <w:b/>
          <w:szCs w:val="24"/>
          <w:u w:val="single"/>
          <w:lang w:eastAsia="en-GB"/>
        </w:rPr>
      </w:pPr>
      <w:r w:rsidRPr="003A3889">
        <w:rPr>
          <w:b/>
          <w:u w:val="single"/>
          <w:lang w:eastAsia="en-GB"/>
        </w:rPr>
        <w:t>SWOT analysis for Milton Sandford Wines Ltd.</w:t>
      </w:r>
    </w:p>
    <w:p w14:paraId="4440B0A2" w14:textId="77777777" w:rsidR="003A3889" w:rsidRPr="003A3889" w:rsidRDefault="003A3889" w:rsidP="003A3889">
      <w:pPr>
        <w:spacing w:after="0" w:line="240" w:lineRule="auto"/>
        <w:jc w:val="left"/>
        <w:rPr>
          <w:rFonts w:eastAsia="Times New Roman" w:cs="Times New Roman"/>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4675"/>
        <w:gridCol w:w="4685"/>
      </w:tblGrid>
      <w:tr w:rsidR="003A3889" w:rsidRPr="003A3889" w14:paraId="35A246E8" w14:textId="77777777" w:rsidTr="000E7AE5">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bottom"/>
            <w:hideMark/>
          </w:tcPr>
          <w:p w14:paraId="00C509CD" w14:textId="77777777" w:rsidR="003A3889" w:rsidRPr="003A3889" w:rsidRDefault="003A3889" w:rsidP="003A3889">
            <w:pPr>
              <w:jc w:val="center"/>
              <w:rPr>
                <w:rFonts w:cs="Times New Roman"/>
                <w:b/>
                <w:szCs w:val="24"/>
                <w:lang w:eastAsia="en-GB"/>
              </w:rPr>
            </w:pPr>
            <w:r w:rsidRPr="003A3889">
              <w:rPr>
                <w:b/>
                <w:lang w:eastAsia="en-GB"/>
              </w:rPr>
              <w:t>Strengths</w:t>
            </w:r>
          </w:p>
        </w:tc>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00" w:type="dxa"/>
              <w:left w:w="100" w:type="dxa"/>
              <w:bottom w:w="100" w:type="dxa"/>
              <w:right w:w="100" w:type="dxa"/>
            </w:tcMar>
            <w:vAlign w:val="bottom"/>
            <w:hideMark/>
          </w:tcPr>
          <w:p w14:paraId="2215B3DF" w14:textId="77777777" w:rsidR="003A3889" w:rsidRPr="003A3889" w:rsidRDefault="003A3889" w:rsidP="003A3889">
            <w:pPr>
              <w:jc w:val="center"/>
              <w:rPr>
                <w:rFonts w:cs="Times New Roman"/>
                <w:b/>
                <w:szCs w:val="24"/>
                <w:lang w:eastAsia="en-GB"/>
              </w:rPr>
            </w:pPr>
            <w:r w:rsidRPr="003A3889">
              <w:rPr>
                <w:b/>
                <w:lang w:eastAsia="en-GB"/>
              </w:rPr>
              <w:t>Weaknesses</w:t>
            </w:r>
          </w:p>
        </w:tc>
      </w:tr>
      <w:tr w:rsidR="003A3889" w:rsidRPr="003A3889" w14:paraId="2FD367C2"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D870FE8" w14:textId="77777777" w:rsidR="003A3889" w:rsidRPr="003A3889" w:rsidRDefault="003A3889" w:rsidP="003A3889">
            <w:pPr>
              <w:rPr>
                <w:rFonts w:cs="Times New Roman"/>
                <w:szCs w:val="24"/>
                <w:lang w:eastAsia="en-GB"/>
              </w:rPr>
            </w:pPr>
            <w:r w:rsidRPr="003A3889">
              <w:rPr>
                <w:lang w:eastAsia="en-GB"/>
              </w:rPr>
              <w:t>Established brand reputation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3179FC5E" w14:textId="77777777" w:rsidR="003A3889" w:rsidRPr="003A3889" w:rsidRDefault="003A3889" w:rsidP="003A3889">
            <w:pPr>
              <w:rPr>
                <w:rFonts w:cs="Times New Roman"/>
                <w:szCs w:val="24"/>
                <w:lang w:eastAsia="en-GB"/>
              </w:rPr>
            </w:pPr>
            <w:r w:rsidRPr="003A3889">
              <w:rPr>
                <w:lang w:eastAsia="en-GB"/>
              </w:rPr>
              <w:t>Limited product diversification</w:t>
            </w:r>
          </w:p>
        </w:tc>
      </w:tr>
      <w:tr w:rsidR="003A3889" w:rsidRPr="003A3889" w14:paraId="1136B8CC"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C404D80" w14:textId="77777777" w:rsidR="003A3889" w:rsidRPr="003A3889" w:rsidRDefault="003A3889" w:rsidP="003A3889">
            <w:pPr>
              <w:rPr>
                <w:rFonts w:cs="Times New Roman"/>
                <w:szCs w:val="24"/>
                <w:lang w:eastAsia="en-GB"/>
              </w:rPr>
            </w:pPr>
            <w:r w:rsidRPr="003A3889">
              <w:rPr>
                <w:lang w:eastAsia="en-GB"/>
              </w:rPr>
              <w:t>High-quality wine offerings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9EA010A" w14:textId="77777777" w:rsidR="003A3889" w:rsidRPr="003A3889" w:rsidRDefault="003A3889" w:rsidP="003A3889">
            <w:pPr>
              <w:rPr>
                <w:rFonts w:cs="Times New Roman"/>
                <w:szCs w:val="24"/>
                <w:lang w:eastAsia="en-GB"/>
              </w:rPr>
            </w:pPr>
            <w:r w:rsidRPr="003A3889">
              <w:rPr>
                <w:lang w:eastAsia="en-GB"/>
              </w:rPr>
              <w:t>Dependence on traditional distribution channels</w:t>
            </w:r>
          </w:p>
        </w:tc>
      </w:tr>
      <w:tr w:rsidR="003A3889" w:rsidRPr="003A3889" w14:paraId="62C60A3F"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B5C2D9E" w14:textId="77777777" w:rsidR="003A3889" w:rsidRPr="003A3889" w:rsidRDefault="003A3889" w:rsidP="003A3889">
            <w:pPr>
              <w:rPr>
                <w:rFonts w:cs="Times New Roman"/>
                <w:szCs w:val="24"/>
                <w:lang w:eastAsia="en-GB"/>
              </w:rPr>
            </w:pPr>
            <w:r w:rsidRPr="003A3889">
              <w:rPr>
                <w:lang w:eastAsia="en-GB"/>
              </w:rPr>
              <w:lastRenderedPageBreak/>
              <w:t>Strong distribution network</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A4EF97E" w14:textId="64ED7127" w:rsidR="003A3889" w:rsidRPr="003A3889" w:rsidRDefault="003A3889" w:rsidP="00D82FEA">
            <w:pPr>
              <w:rPr>
                <w:rFonts w:cs="Times New Roman"/>
                <w:szCs w:val="24"/>
                <w:lang w:eastAsia="en-GB"/>
              </w:rPr>
            </w:pPr>
            <w:r w:rsidRPr="003A3889">
              <w:rPr>
                <w:lang w:eastAsia="en-GB"/>
              </w:rPr>
              <w:t>Reliance on external suppliers</w:t>
            </w:r>
            <w:r w:rsidR="004B0468">
              <w:rPr>
                <w:lang w:eastAsia="en-GB"/>
              </w:rPr>
              <w:t xml:space="preserve"> </w:t>
            </w:r>
            <w:r w:rsidR="00D82FEA">
              <w:rPr>
                <w:shd w:val="clear" w:color="auto" w:fill="FFFFFF"/>
              </w:rPr>
              <w:t>(</w:t>
            </w:r>
            <w:r w:rsidR="00D82FEA" w:rsidRPr="00257A9A">
              <w:rPr>
                <w:shd w:val="clear" w:color="auto" w:fill="FFFFFF"/>
              </w:rPr>
              <w:t xml:space="preserve">Centobelli, </w:t>
            </w:r>
            <w:r w:rsidR="00D82FEA">
              <w:rPr>
                <w:shd w:val="clear" w:color="auto" w:fill="FFFFFF"/>
              </w:rPr>
              <w:t xml:space="preserve">et. al., </w:t>
            </w:r>
            <w:r w:rsidR="00D82FEA" w:rsidRPr="00257A9A">
              <w:rPr>
                <w:shd w:val="clear" w:color="auto" w:fill="FFFFFF"/>
              </w:rPr>
              <w:t>2020).</w:t>
            </w:r>
          </w:p>
        </w:tc>
      </w:tr>
      <w:tr w:rsidR="003A3889" w:rsidRPr="003A3889" w14:paraId="6ECD6ED9"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62840AEC" w14:textId="77777777" w:rsidR="003A3889" w:rsidRPr="003A3889" w:rsidRDefault="003A3889" w:rsidP="003A3889">
            <w:pPr>
              <w:rPr>
                <w:rFonts w:cs="Times New Roman"/>
                <w:szCs w:val="24"/>
                <w:lang w:eastAsia="en-GB"/>
              </w:rPr>
            </w:pPr>
            <w:r w:rsidRPr="003A3889">
              <w:rPr>
                <w:lang w:eastAsia="en-GB"/>
              </w:rPr>
              <w:t>Commitment to sustainability</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EA3D91F" w14:textId="77777777" w:rsidR="003A3889" w:rsidRPr="003A3889" w:rsidRDefault="003A3889" w:rsidP="003A3889">
            <w:pPr>
              <w:rPr>
                <w:rFonts w:cs="Times New Roman"/>
                <w:szCs w:val="24"/>
                <w:lang w:eastAsia="en-GB"/>
              </w:rPr>
            </w:pPr>
            <w:r w:rsidRPr="003A3889">
              <w:rPr>
                <w:lang w:eastAsia="en-GB"/>
              </w:rPr>
              <w:t>Vulnerability to fluctuations in grape supply</w:t>
            </w:r>
          </w:p>
        </w:tc>
      </w:tr>
      <w:tr w:rsidR="003A3889" w:rsidRPr="003A3889" w14:paraId="0CC0E85F"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A226CF2" w14:textId="77777777" w:rsidR="003A3889" w:rsidRPr="003A3889" w:rsidRDefault="003A3889" w:rsidP="003A3889">
            <w:pPr>
              <w:rPr>
                <w:rFonts w:cs="Times New Roman"/>
                <w:szCs w:val="24"/>
                <w:lang w:eastAsia="en-GB"/>
              </w:rPr>
            </w:pPr>
            <w:r w:rsidRPr="003A3889">
              <w:rPr>
                <w:lang w:eastAsia="en-GB"/>
              </w:rPr>
              <w:t>Experienced management team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5BA7254" w14:textId="77777777" w:rsidR="003A3889" w:rsidRPr="003A3889" w:rsidRDefault="003A3889" w:rsidP="003A3889">
            <w:pPr>
              <w:rPr>
                <w:rFonts w:cs="Times New Roman"/>
                <w:szCs w:val="24"/>
                <w:lang w:eastAsia="en-GB"/>
              </w:rPr>
            </w:pPr>
            <w:r w:rsidRPr="003A3889">
              <w:rPr>
                <w:lang w:eastAsia="en-GB"/>
              </w:rPr>
              <w:t>Limited market presence in emerging economies</w:t>
            </w:r>
          </w:p>
        </w:tc>
      </w:tr>
      <w:tr w:rsidR="003A3889" w:rsidRPr="003A3889" w14:paraId="42D50114"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5F9F2EB2" w14:textId="77777777" w:rsidR="003A3889" w:rsidRPr="003A3889" w:rsidRDefault="003A3889" w:rsidP="003A3889">
            <w:pPr>
              <w:jc w:val="center"/>
              <w:rPr>
                <w:rFonts w:cs="Times New Roman"/>
                <w:b/>
                <w:szCs w:val="24"/>
                <w:lang w:eastAsia="en-GB"/>
              </w:rPr>
            </w:pPr>
            <w:r w:rsidRPr="003A3889">
              <w:rPr>
                <w:b/>
                <w:lang w:eastAsia="en-GB"/>
              </w:rPr>
              <w:t>Opportunities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bottom"/>
            <w:hideMark/>
          </w:tcPr>
          <w:p w14:paraId="78CF469E" w14:textId="77777777" w:rsidR="003A3889" w:rsidRPr="003A3889" w:rsidRDefault="003A3889" w:rsidP="003A3889">
            <w:pPr>
              <w:jc w:val="center"/>
              <w:rPr>
                <w:rFonts w:cs="Times New Roman"/>
                <w:b/>
                <w:szCs w:val="24"/>
                <w:lang w:eastAsia="en-GB"/>
              </w:rPr>
            </w:pPr>
            <w:r w:rsidRPr="003A3889">
              <w:rPr>
                <w:b/>
                <w:lang w:eastAsia="en-GB"/>
              </w:rPr>
              <w:t>Threats</w:t>
            </w:r>
          </w:p>
        </w:tc>
      </w:tr>
      <w:tr w:rsidR="003A3889" w:rsidRPr="003A3889" w14:paraId="789497B8"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097227A" w14:textId="77777777" w:rsidR="003A3889" w:rsidRPr="003A3889" w:rsidRDefault="003A3889" w:rsidP="003A3889">
            <w:pPr>
              <w:rPr>
                <w:rFonts w:cs="Times New Roman"/>
                <w:szCs w:val="24"/>
                <w:lang w:eastAsia="en-GB"/>
              </w:rPr>
            </w:pPr>
            <w:r w:rsidRPr="003A3889">
              <w:rPr>
                <w:lang w:eastAsia="en-GB"/>
              </w:rPr>
              <w:t>Expansion into new geographic markets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41125D5D" w14:textId="77777777" w:rsidR="003A3889" w:rsidRPr="003A3889" w:rsidRDefault="003A3889" w:rsidP="003A3889">
            <w:pPr>
              <w:rPr>
                <w:rFonts w:cs="Times New Roman"/>
                <w:szCs w:val="24"/>
                <w:lang w:eastAsia="en-GB"/>
              </w:rPr>
            </w:pPr>
            <w:r w:rsidRPr="003A3889">
              <w:rPr>
                <w:lang w:eastAsia="en-GB"/>
              </w:rPr>
              <w:t>Intense competition from established wineries</w:t>
            </w:r>
          </w:p>
        </w:tc>
      </w:tr>
      <w:tr w:rsidR="003A3889" w:rsidRPr="003A3889" w14:paraId="65DE8FBA"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778D5877" w14:textId="77777777" w:rsidR="003A3889" w:rsidRPr="003A3889" w:rsidRDefault="003A3889" w:rsidP="003A3889">
            <w:pPr>
              <w:rPr>
                <w:rFonts w:cs="Times New Roman"/>
                <w:szCs w:val="24"/>
                <w:lang w:eastAsia="en-GB"/>
              </w:rPr>
            </w:pPr>
            <w:r w:rsidRPr="003A3889">
              <w:rPr>
                <w:lang w:eastAsia="en-GB"/>
              </w:rPr>
              <w:t>Growth in online retail sales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487B95B" w14:textId="77777777" w:rsidR="003A3889" w:rsidRPr="003A3889" w:rsidRDefault="003A3889" w:rsidP="003A3889">
            <w:pPr>
              <w:rPr>
                <w:rFonts w:cs="Times New Roman"/>
                <w:szCs w:val="24"/>
                <w:lang w:eastAsia="en-GB"/>
              </w:rPr>
            </w:pPr>
            <w:r w:rsidRPr="003A3889">
              <w:rPr>
                <w:lang w:eastAsia="en-GB"/>
              </w:rPr>
              <w:t>Changing consumer preferences towards alternative beverages</w:t>
            </w:r>
          </w:p>
        </w:tc>
      </w:tr>
      <w:tr w:rsidR="003A3889" w:rsidRPr="003A3889" w14:paraId="572588A1"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263CD133" w14:textId="041AC7B4" w:rsidR="003A3889" w:rsidRPr="003A3889" w:rsidRDefault="003A3889" w:rsidP="00490AB8">
            <w:pPr>
              <w:rPr>
                <w:rFonts w:cs="Times New Roman"/>
                <w:szCs w:val="24"/>
                <w:lang w:eastAsia="en-GB"/>
              </w:rPr>
            </w:pPr>
            <w:r w:rsidRPr="003A3889">
              <w:rPr>
                <w:lang w:eastAsia="en-GB"/>
              </w:rPr>
              <w:t>Increasing demand for premium wines</w:t>
            </w:r>
            <w:r w:rsidR="004B0468">
              <w:rPr>
                <w:lang w:eastAsia="en-GB"/>
              </w:rPr>
              <w:t xml:space="preserve"> </w:t>
            </w:r>
            <w:r w:rsidR="00490AB8">
              <w:rPr>
                <w:shd w:val="clear" w:color="auto" w:fill="FFFFFF"/>
              </w:rPr>
              <w:t>(</w:t>
            </w:r>
            <w:r w:rsidR="00490AB8" w:rsidRPr="00257A9A">
              <w:rPr>
                <w:shd w:val="clear" w:color="auto" w:fill="FFFFFF"/>
              </w:rPr>
              <w:t xml:space="preserve">Donkor, </w:t>
            </w:r>
            <w:r w:rsidR="00490AB8">
              <w:rPr>
                <w:shd w:val="clear" w:color="auto" w:fill="FFFFFF"/>
              </w:rPr>
              <w:t xml:space="preserve">et. al., </w:t>
            </w:r>
            <w:r w:rsidR="00490AB8" w:rsidRPr="00257A9A">
              <w:rPr>
                <w:shd w:val="clear" w:color="auto" w:fill="FFFFFF"/>
              </w:rPr>
              <w:t>2021).</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06326A52" w14:textId="77777777" w:rsidR="003A3889" w:rsidRPr="003A3889" w:rsidRDefault="003A3889" w:rsidP="003A3889">
            <w:pPr>
              <w:rPr>
                <w:rFonts w:cs="Times New Roman"/>
                <w:szCs w:val="24"/>
                <w:lang w:eastAsia="en-GB"/>
              </w:rPr>
            </w:pPr>
            <w:r w:rsidRPr="003A3889">
              <w:rPr>
                <w:lang w:eastAsia="en-GB"/>
              </w:rPr>
              <w:t>Regulatory changes impacting alcohol sales</w:t>
            </w:r>
          </w:p>
        </w:tc>
      </w:tr>
      <w:tr w:rsidR="003A3889" w:rsidRPr="003A3889" w14:paraId="06A50147" w14:textId="77777777" w:rsidTr="003A3889">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55F77535" w14:textId="77777777" w:rsidR="003A3889" w:rsidRPr="003A3889" w:rsidRDefault="003A3889" w:rsidP="003A3889">
            <w:pPr>
              <w:rPr>
                <w:rFonts w:cs="Times New Roman"/>
                <w:szCs w:val="24"/>
                <w:lang w:eastAsia="en-GB"/>
              </w:rPr>
            </w:pPr>
            <w:r w:rsidRPr="003A3889">
              <w:rPr>
                <w:lang w:eastAsia="en-GB"/>
              </w:rPr>
              <w:t>Emphasis on sustainability and eco-friendly products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hideMark/>
          </w:tcPr>
          <w:p w14:paraId="1158619A" w14:textId="77777777" w:rsidR="003A3889" w:rsidRPr="003A3889" w:rsidRDefault="003A3889" w:rsidP="003A3889">
            <w:pPr>
              <w:rPr>
                <w:rFonts w:cs="Times New Roman"/>
                <w:szCs w:val="24"/>
                <w:lang w:eastAsia="en-GB"/>
              </w:rPr>
            </w:pPr>
            <w:r w:rsidRPr="003A3889">
              <w:rPr>
                <w:lang w:eastAsia="en-GB"/>
              </w:rPr>
              <w:t>Climate change affecting grape cultivation</w:t>
            </w:r>
          </w:p>
        </w:tc>
      </w:tr>
    </w:tbl>
    <w:p w14:paraId="032EBA58" w14:textId="77777777" w:rsidR="00D52AB0" w:rsidRDefault="00D52AB0" w:rsidP="00D52AB0">
      <w:pPr>
        <w:rPr>
          <w:lang w:eastAsia="en-GB"/>
        </w:rPr>
      </w:pPr>
    </w:p>
    <w:p w14:paraId="32AF6244" w14:textId="77777777" w:rsidR="00D52AB0" w:rsidRDefault="00D52AB0" w:rsidP="00831EC0">
      <w:pPr>
        <w:spacing w:line="360" w:lineRule="auto"/>
        <w:rPr>
          <w:b/>
          <w:bCs/>
          <w:lang w:eastAsia="en-GB"/>
        </w:rPr>
      </w:pPr>
      <w:r w:rsidRPr="00831EC0">
        <w:rPr>
          <w:rFonts w:ascii="Arial" w:hAnsi="Arial" w:cs="Arial"/>
          <w:lang w:eastAsia="en-GB"/>
        </w:rPr>
        <w:t>SWOT analysis done stood gains earmarked along with shortcomings of Milton Sandord Wines Ltd. and factors in the environment such as opportunities and threats. By making effective use of its assets, such as consistency in sales and marketing campaigns and a wide distribution network, the company has a great chance of capturing its growth and expansion opportunities</w:t>
      </w:r>
      <w:r w:rsidR="008153D9" w:rsidRPr="00831EC0">
        <w:rPr>
          <w:rFonts w:ascii="Arial" w:hAnsi="Arial" w:cs="Arial"/>
          <w:shd w:val="clear" w:color="auto" w:fill="FFFFFF"/>
        </w:rPr>
        <w:t>(Hayward, et. al., 2020)</w:t>
      </w:r>
      <w:r w:rsidRPr="00831EC0">
        <w:rPr>
          <w:rFonts w:ascii="Arial" w:hAnsi="Arial" w:cs="Arial"/>
          <w:lang w:eastAsia="en-GB"/>
        </w:rPr>
        <w:t xml:space="preserve">. Conclusively, it needs to rise up to the barriers such as limited diversification and </w:t>
      </w:r>
      <w:r w:rsidRPr="00831EC0">
        <w:rPr>
          <w:rFonts w:ascii="Arial" w:hAnsi="Arial" w:cs="Arial"/>
          <w:lang w:eastAsia="en-GB"/>
        </w:rPr>
        <w:lastRenderedPageBreak/>
        <w:t>shake off traditional distribution channels in order to win strifes like intensive competition and changing market preferences leading to its demise. Sifting these SWOT elements through a fine-tooth comb, Milton Sandford Ltd. will be able to design viable business strategies that ultimately will lead to business sustainability</w:t>
      </w:r>
      <w:r w:rsidRPr="00D52AB0">
        <w:rPr>
          <w:lang w:eastAsia="en-GB"/>
        </w:rPr>
        <w:t>.</w:t>
      </w:r>
    </w:p>
    <w:p w14:paraId="0D598933" w14:textId="126BF266" w:rsidR="003A3889" w:rsidRPr="003A3889" w:rsidRDefault="003A3889" w:rsidP="00184E90">
      <w:pPr>
        <w:pStyle w:val="Heading2"/>
        <w:rPr>
          <w:rFonts w:cs="Times New Roman"/>
        </w:rPr>
      </w:pPr>
      <w:bookmarkStart w:id="4" w:name="_Toc160579128"/>
      <w:r w:rsidRPr="003A3889">
        <w:t>4. Conduct a stakeholder analysis and critically evaluate the expectations of the</w:t>
      </w:r>
      <w:r w:rsidR="004B0468">
        <w:t xml:space="preserve"> </w:t>
      </w:r>
      <w:r w:rsidRPr="003A3889">
        <w:t>different stakeholders and their relative power.</w:t>
      </w:r>
      <w:bookmarkEnd w:id="4"/>
    </w:p>
    <w:p w14:paraId="3EF12060" w14:textId="3AB0B742" w:rsidR="003A3889" w:rsidRPr="00831EC0" w:rsidRDefault="003A3889" w:rsidP="00831EC0">
      <w:pPr>
        <w:spacing w:line="360" w:lineRule="auto"/>
        <w:rPr>
          <w:rFonts w:ascii="Arial" w:hAnsi="Arial" w:cs="Arial"/>
          <w:szCs w:val="24"/>
          <w:lang w:eastAsia="en-GB"/>
        </w:rPr>
      </w:pPr>
      <w:r w:rsidRPr="00831EC0">
        <w:rPr>
          <w:rFonts w:ascii="Arial" w:hAnsi="Arial" w:cs="Arial"/>
          <w:lang w:eastAsia="en-GB"/>
        </w:rPr>
        <w:t xml:space="preserve">Stakeholder analysis is very important in terms of who has the interest, what is undertaken by them and what value the stakeholders have in the operations and strategy of the </w:t>
      </w:r>
      <w:r w:rsidR="003D4822" w:rsidRPr="00831EC0">
        <w:rPr>
          <w:rFonts w:ascii="Arial" w:hAnsi="Arial" w:cs="Arial"/>
          <w:lang w:eastAsia="en-GB"/>
        </w:rPr>
        <w:t>organis</w:t>
      </w:r>
      <w:r w:rsidRPr="00831EC0">
        <w:rPr>
          <w:rFonts w:ascii="Arial" w:hAnsi="Arial" w:cs="Arial"/>
          <w:lang w:eastAsia="en-GB"/>
        </w:rPr>
        <w:t>ation. For instance, Milton Sandford Wines Ltd. conducting a stakeholder analysis offers an analysis that provides for the breadth of stakeholder involvement in the wine industry and the nature of their expectations as well as the wielding of power by different parties.</w:t>
      </w:r>
    </w:p>
    <w:p w14:paraId="4373DB37" w14:textId="77777777" w:rsidR="003A3889" w:rsidRPr="004A605C" w:rsidRDefault="003A3889" w:rsidP="003A3889">
      <w:pPr>
        <w:rPr>
          <w:rFonts w:cs="Times New Roman"/>
          <w:b/>
          <w:szCs w:val="24"/>
          <w:u w:val="single"/>
          <w:lang w:eastAsia="en-GB"/>
        </w:rPr>
      </w:pPr>
      <w:r w:rsidRPr="004A605C">
        <w:rPr>
          <w:b/>
          <w:u w:val="single"/>
          <w:lang w:eastAsia="en-GB"/>
        </w:rPr>
        <w:t>Stakeholder Analysis:</w:t>
      </w:r>
    </w:p>
    <w:p w14:paraId="4EADACBD" w14:textId="77777777" w:rsidR="003A3889" w:rsidRPr="004A605C" w:rsidRDefault="003A3889" w:rsidP="003A3889">
      <w:pPr>
        <w:rPr>
          <w:rFonts w:cs="Times New Roman"/>
          <w:b/>
          <w:szCs w:val="24"/>
          <w:lang w:eastAsia="en-GB"/>
        </w:rPr>
      </w:pPr>
      <w:r w:rsidRPr="004A605C">
        <w:rPr>
          <w:b/>
          <w:lang w:eastAsia="en-GB"/>
        </w:rPr>
        <w:t>1. Shareholders:</w:t>
      </w:r>
    </w:p>
    <w:p w14:paraId="77C8ADBE" w14:textId="77777777" w:rsidR="003A3889" w:rsidRPr="003A3889" w:rsidRDefault="003A3889" w:rsidP="00831EC0">
      <w:pPr>
        <w:spacing w:line="360" w:lineRule="auto"/>
        <w:rPr>
          <w:rFonts w:cs="Times New Roman"/>
          <w:szCs w:val="24"/>
          <w:lang w:eastAsia="en-GB"/>
        </w:rPr>
      </w:pPr>
      <w:r w:rsidRPr="004A605C">
        <w:rPr>
          <w:b/>
          <w:lang w:eastAsia="en-GB"/>
        </w:rPr>
        <w:t>Expectations:</w:t>
      </w:r>
      <w:r w:rsidRPr="003A3889">
        <w:rPr>
          <w:lang w:eastAsia="en-GB"/>
        </w:rPr>
        <w:t xml:space="preserve"> </w:t>
      </w:r>
      <w:r w:rsidRPr="00831EC0">
        <w:rPr>
          <w:rFonts w:ascii="Arial" w:hAnsi="Arial" w:cs="Arial"/>
          <w:lang w:eastAsia="en-GB"/>
        </w:rPr>
        <w:t>Milton Sandford Wines' shareholders require either periodic dividend payments or price increases to realize a return on their investment. They belong to the category of owners who strive for profit and growth in their investment capital.</w:t>
      </w:r>
    </w:p>
    <w:p w14:paraId="68BE3F1E" w14:textId="523EFAC3" w:rsidR="003A3889" w:rsidRPr="003A3889" w:rsidRDefault="003A3889" w:rsidP="00831EC0">
      <w:pPr>
        <w:spacing w:line="360" w:lineRule="auto"/>
        <w:rPr>
          <w:rFonts w:cs="Times New Roman"/>
          <w:szCs w:val="24"/>
          <w:lang w:eastAsia="en-GB"/>
        </w:rPr>
      </w:pPr>
      <w:r w:rsidRPr="004A605C">
        <w:rPr>
          <w:b/>
          <w:lang w:eastAsia="en-GB"/>
        </w:rPr>
        <w:t>Power:</w:t>
      </w:r>
      <w:r w:rsidRPr="003A3889">
        <w:rPr>
          <w:lang w:eastAsia="en-GB"/>
        </w:rPr>
        <w:t xml:space="preserve"> </w:t>
      </w:r>
      <w:r w:rsidRPr="00831EC0">
        <w:rPr>
          <w:rFonts w:ascii="Arial" w:hAnsi="Arial" w:cs="Arial"/>
          <w:lang w:eastAsia="en-GB"/>
        </w:rPr>
        <w:t>Shareholders possess massive greeting power as the owners of the company, mainly if they are large institutional investors or control large shareholdings</w:t>
      </w:r>
      <w:r w:rsidR="004B0468" w:rsidRPr="00831EC0">
        <w:rPr>
          <w:rFonts w:ascii="Arial" w:hAnsi="Arial" w:cs="Arial"/>
          <w:lang w:eastAsia="en-GB"/>
        </w:rPr>
        <w:t xml:space="preserve"> </w:t>
      </w:r>
      <w:r w:rsidR="00CB52BC" w:rsidRPr="00831EC0">
        <w:rPr>
          <w:rFonts w:ascii="Arial" w:hAnsi="Arial" w:cs="Arial"/>
          <w:shd w:val="clear" w:color="auto" w:fill="FFFFFF"/>
        </w:rPr>
        <w:t>(Raeand Robinson, 2020)</w:t>
      </w:r>
      <w:r w:rsidRPr="00831EC0">
        <w:rPr>
          <w:rFonts w:ascii="Arial" w:hAnsi="Arial" w:cs="Arial"/>
          <w:lang w:eastAsia="en-GB"/>
        </w:rPr>
        <w:t>. They can influence the strategic system class by including Shareholders rights to vote and the management can be pressurized to achieve Maximum Shareholder's value.</w:t>
      </w:r>
    </w:p>
    <w:p w14:paraId="65884DB8" w14:textId="77777777" w:rsidR="003A3889" w:rsidRPr="004A605C" w:rsidRDefault="003A3889" w:rsidP="003A3889">
      <w:pPr>
        <w:rPr>
          <w:rFonts w:cs="Times New Roman"/>
          <w:b/>
          <w:szCs w:val="24"/>
          <w:lang w:eastAsia="en-GB"/>
        </w:rPr>
      </w:pPr>
      <w:r w:rsidRPr="004A605C">
        <w:rPr>
          <w:b/>
          <w:lang w:eastAsia="en-GB"/>
        </w:rPr>
        <w:t>2. Customers:</w:t>
      </w:r>
    </w:p>
    <w:p w14:paraId="391A744B" w14:textId="77777777" w:rsidR="003A3889" w:rsidRPr="003A3889" w:rsidRDefault="003A3889" w:rsidP="00831EC0">
      <w:pPr>
        <w:spacing w:line="360" w:lineRule="auto"/>
        <w:rPr>
          <w:rFonts w:cs="Times New Roman"/>
          <w:szCs w:val="24"/>
          <w:lang w:eastAsia="en-GB"/>
        </w:rPr>
      </w:pPr>
      <w:r w:rsidRPr="004A605C">
        <w:rPr>
          <w:b/>
          <w:lang w:eastAsia="en-GB"/>
        </w:rPr>
        <w:t xml:space="preserve">Expectations: </w:t>
      </w:r>
      <w:r w:rsidRPr="00831EC0">
        <w:rPr>
          <w:rFonts w:ascii="Arial" w:hAnsi="Arial" w:cs="Arial"/>
          <w:lang w:eastAsia="en-GB"/>
        </w:rPr>
        <w:t>Milton Sandford Wines Ltd. commit to serving the tastes and preferences of their customers. In that case, the products they sell will have to be of good quality. Moreover, the companies have to provide the necessary price. This is why they expect delicious food, outstanding service, and full transparency in the wines they drink.</w:t>
      </w:r>
    </w:p>
    <w:p w14:paraId="46EC4307" w14:textId="77777777" w:rsidR="003A3889" w:rsidRPr="003A3889" w:rsidRDefault="003A3889" w:rsidP="00831EC0">
      <w:pPr>
        <w:spacing w:line="360" w:lineRule="auto"/>
        <w:rPr>
          <w:rFonts w:cs="Times New Roman"/>
          <w:szCs w:val="24"/>
          <w:lang w:eastAsia="en-GB"/>
        </w:rPr>
      </w:pPr>
      <w:r w:rsidRPr="004A605C">
        <w:rPr>
          <w:b/>
          <w:lang w:eastAsia="en-GB"/>
        </w:rPr>
        <w:lastRenderedPageBreak/>
        <w:t>Power:</w:t>
      </w:r>
      <w:r w:rsidRPr="003A3889">
        <w:rPr>
          <w:lang w:eastAsia="en-GB"/>
        </w:rPr>
        <w:t xml:space="preserve"> </w:t>
      </w:r>
      <w:r w:rsidRPr="00831EC0">
        <w:rPr>
          <w:rFonts w:ascii="Arial" w:hAnsi="Arial" w:cs="Arial"/>
          <w:lang w:eastAsia="en-GB"/>
        </w:rPr>
        <w:t>The clients are a powerful entity because their need for the goods is the main factor which directs the firm's profits. The users of these products have a big role in sales and revenue because what they buy has a greater impact in terms of sales and revenue. Customers who are not well served can opt for other alternatives leading to failures in the market share and brand reputation.</w:t>
      </w:r>
    </w:p>
    <w:p w14:paraId="70D43EF4" w14:textId="77777777" w:rsidR="003A3889" w:rsidRPr="004A605C" w:rsidRDefault="003A3889" w:rsidP="003A3889">
      <w:pPr>
        <w:rPr>
          <w:rFonts w:cs="Times New Roman"/>
          <w:b/>
          <w:szCs w:val="24"/>
          <w:lang w:eastAsia="en-GB"/>
        </w:rPr>
      </w:pPr>
      <w:r w:rsidRPr="004A605C">
        <w:rPr>
          <w:b/>
          <w:lang w:eastAsia="en-GB"/>
        </w:rPr>
        <w:t>3. Suppliers:</w:t>
      </w:r>
    </w:p>
    <w:p w14:paraId="1980078F" w14:textId="5526DE29" w:rsidR="003A3889" w:rsidRPr="003A3889" w:rsidRDefault="003A3889" w:rsidP="00831EC0">
      <w:pPr>
        <w:spacing w:line="360" w:lineRule="auto"/>
        <w:rPr>
          <w:rFonts w:cs="Times New Roman"/>
          <w:szCs w:val="24"/>
          <w:lang w:eastAsia="en-GB"/>
        </w:rPr>
      </w:pPr>
      <w:r w:rsidRPr="004A605C">
        <w:rPr>
          <w:b/>
          <w:lang w:eastAsia="en-GB"/>
        </w:rPr>
        <w:t>Expectations:</w:t>
      </w:r>
      <w:r w:rsidRPr="003A3889">
        <w:rPr>
          <w:lang w:eastAsia="en-GB"/>
        </w:rPr>
        <w:t xml:space="preserve"> </w:t>
      </w:r>
      <w:r w:rsidRPr="00831EC0">
        <w:rPr>
          <w:rFonts w:ascii="Arial" w:hAnsi="Arial" w:cs="Arial"/>
          <w:lang w:eastAsia="en-GB"/>
        </w:rPr>
        <w:t>Suppliers of raw materials, packages or other inputs must receive payments on time, and respectful and long-term cooperation. They would also perhaps compare themselves to Milton Sandford Wines Ltd.'s strict ethical and sourcing procedures and commercial sustainability</w:t>
      </w:r>
      <w:r w:rsidR="004B0468">
        <w:rPr>
          <w:lang w:eastAsia="en-GB"/>
        </w:rPr>
        <w:t xml:space="preserve"> </w:t>
      </w:r>
      <w:r w:rsidR="00C544E4">
        <w:rPr>
          <w:shd w:val="clear" w:color="auto" w:fill="FFFFFF"/>
        </w:rPr>
        <w:t>(</w:t>
      </w:r>
      <w:r w:rsidR="00C544E4" w:rsidRPr="00257A9A">
        <w:rPr>
          <w:shd w:val="clear" w:color="auto" w:fill="FFFFFF"/>
        </w:rPr>
        <w:t xml:space="preserve">Ashmore, </w:t>
      </w:r>
      <w:r w:rsidR="00C544E4">
        <w:rPr>
          <w:shd w:val="clear" w:color="auto" w:fill="FFFFFF"/>
        </w:rPr>
        <w:t xml:space="preserve">et. al., </w:t>
      </w:r>
      <w:r w:rsidR="00C544E4" w:rsidRPr="00257A9A">
        <w:rPr>
          <w:shd w:val="clear" w:color="auto" w:fill="FFFFFF"/>
        </w:rPr>
        <w:t>2021).</w:t>
      </w:r>
    </w:p>
    <w:p w14:paraId="5FAEC899" w14:textId="77777777" w:rsidR="003A3889" w:rsidRPr="003A3889" w:rsidRDefault="003A3889" w:rsidP="00831EC0">
      <w:pPr>
        <w:spacing w:line="360" w:lineRule="auto"/>
        <w:rPr>
          <w:rFonts w:cs="Times New Roman"/>
          <w:szCs w:val="24"/>
          <w:lang w:eastAsia="en-GB"/>
        </w:rPr>
      </w:pPr>
      <w:r w:rsidRPr="004A605C">
        <w:rPr>
          <w:b/>
          <w:lang w:eastAsia="en-GB"/>
        </w:rPr>
        <w:t xml:space="preserve">Power: </w:t>
      </w:r>
      <w:r w:rsidRPr="00831EC0">
        <w:rPr>
          <w:rFonts w:ascii="Arial" w:hAnsi="Arial" w:cs="Arial"/>
          <w:lang w:eastAsia="en-GB"/>
        </w:rPr>
        <w:t>Such suppliers hold fair power, if there is only one or major source of important inputs of the company. They can either complicate project schedules or promote project quality. Despite the assertion of supplier power, Milton Sandford Wines Ltd. would be leveraged through alternative suppliers or contract negotiation process.</w:t>
      </w:r>
    </w:p>
    <w:p w14:paraId="4F5272A4" w14:textId="77777777" w:rsidR="003A3889" w:rsidRPr="004A605C" w:rsidRDefault="003A3889" w:rsidP="003A3889">
      <w:pPr>
        <w:rPr>
          <w:rFonts w:cs="Times New Roman"/>
          <w:b/>
          <w:szCs w:val="24"/>
          <w:lang w:eastAsia="en-GB"/>
        </w:rPr>
      </w:pPr>
      <w:r w:rsidRPr="004A605C">
        <w:rPr>
          <w:b/>
          <w:lang w:eastAsia="en-GB"/>
        </w:rPr>
        <w:t>4. Employees:</w:t>
      </w:r>
    </w:p>
    <w:p w14:paraId="2904EE59" w14:textId="77777777" w:rsidR="003A3889" w:rsidRPr="003A3889" w:rsidRDefault="003A3889" w:rsidP="00831EC0">
      <w:pPr>
        <w:spacing w:line="360" w:lineRule="auto"/>
        <w:rPr>
          <w:rFonts w:cs="Times New Roman"/>
          <w:szCs w:val="24"/>
          <w:lang w:eastAsia="en-GB"/>
        </w:rPr>
      </w:pPr>
      <w:r w:rsidRPr="004A605C">
        <w:rPr>
          <w:b/>
          <w:lang w:eastAsia="en-GB"/>
        </w:rPr>
        <w:t>Expectations:</w:t>
      </w:r>
      <w:r w:rsidRPr="003A3889">
        <w:rPr>
          <w:lang w:eastAsia="en-GB"/>
        </w:rPr>
        <w:t xml:space="preserve"> </w:t>
      </w:r>
      <w:r w:rsidRPr="00831EC0">
        <w:rPr>
          <w:rFonts w:ascii="Arial" w:hAnsi="Arial" w:cs="Arial"/>
          <w:lang w:eastAsia="en-GB"/>
        </w:rPr>
        <w:t>Employees expect to be paid the right wages, provided job security, provided new development opportunities, and covered a safe and comfortable working environment. The call for recognition of their contributions and engagement in the whole decision-making process is one more luck of the NGOs.</w:t>
      </w:r>
    </w:p>
    <w:p w14:paraId="3D388DF8" w14:textId="41287086" w:rsidR="003A3889" w:rsidRPr="003A3889" w:rsidRDefault="003A3889" w:rsidP="00831EC0">
      <w:pPr>
        <w:spacing w:line="360" w:lineRule="auto"/>
        <w:rPr>
          <w:rFonts w:cs="Times New Roman"/>
          <w:szCs w:val="24"/>
          <w:lang w:eastAsia="en-GB"/>
        </w:rPr>
      </w:pPr>
      <w:r w:rsidRPr="004A605C">
        <w:rPr>
          <w:b/>
          <w:lang w:eastAsia="en-GB"/>
        </w:rPr>
        <w:t>Power:</w:t>
      </w:r>
      <w:r w:rsidRPr="003A3889">
        <w:rPr>
          <w:lang w:eastAsia="en-GB"/>
        </w:rPr>
        <w:t xml:space="preserve"> </w:t>
      </w:r>
      <w:r w:rsidRPr="00831EC0">
        <w:rPr>
          <w:rFonts w:ascii="Arial" w:hAnsi="Arial" w:cs="Arial"/>
          <w:lang w:eastAsia="en-GB"/>
        </w:rPr>
        <w:t>The worker is a powerful entity, and is especially mighty when he is unionized or has skills that are in high demand</w:t>
      </w:r>
      <w:r w:rsidR="00CB52BC" w:rsidRPr="00831EC0">
        <w:rPr>
          <w:rFonts w:ascii="Arial" w:hAnsi="Arial" w:cs="Arial"/>
          <w:lang w:eastAsia="en-GB"/>
        </w:rPr>
        <w:t>.</w:t>
      </w:r>
      <w:r w:rsidRPr="00831EC0">
        <w:rPr>
          <w:rFonts w:ascii="Arial" w:hAnsi="Arial" w:cs="Arial"/>
          <w:lang w:eastAsia="en-GB"/>
        </w:rPr>
        <w:t xml:space="preserve"> It is a time of rapid changes in all </w:t>
      </w:r>
      <w:r w:rsidR="00831EC0" w:rsidRPr="00831EC0">
        <w:rPr>
          <w:rFonts w:ascii="Arial" w:hAnsi="Arial" w:cs="Arial"/>
          <w:lang w:eastAsia="en-GB"/>
        </w:rPr>
        <w:t>domains</w:t>
      </w:r>
      <w:r w:rsidR="00831EC0" w:rsidRPr="00831EC0">
        <w:rPr>
          <w:rFonts w:ascii="Arial" w:hAnsi="Arial" w:cs="Arial"/>
          <w:shd w:val="clear" w:color="auto" w:fill="FFFFFF"/>
        </w:rPr>
        <w:t xml:space="preserve"> (</w:t>
      </w:r>
      <w:r w:rsidR="00C90A9D" w:rsidRPr="00831EC0">
        <w:rPr>
          <w:rFonts w:ascii="Arial" w:hAnsi="Arial" w:cs="Arial"/>
          <w:shd w:val="clear" w:color="auto" w:fill="FFFFFF"/>
        </w:rPr>
        <w:t>Penketh, 2022)</w:t>
      </w:r>
      <w:r w:rsidRPr="00831EC0">
        <w:rPr>
          <w:rFonts w:ascii="Arial" w:hAnsi="Arial" w:cs="Arial"/>
          <w:lang w:eastAsia="en-GB"/>
        </w:rPr>
        <w:t xml:space="preserve">. They can negotiate the terms and conditions which support </w:t>
      </w:r>
      <w:r w:rsidR="000D70B9" w:rsidRPr="00831EC0">
        <w:rPr>
          <w:rFonts w:ascii="Arial" w:hAnsi="Arial" w:cs="Arial"/>
          <w:lang w:eastAsia="en-GB"/>
        </w:rPr>
        <w:t>employment;</w:t>
      </w:r>
      <w:r w:rsidRPr="00831EC0">
        <w:rPr>
          <w:rFonts w:ascii="Arial" w:hAnsi="Arial" w:cs="Arial"/>
          <w:lang w:eastAsia="en-GB"/>
        </w:rPr>
        <w:t xml:space="preserve"> these are for instance wages, benefits and working schedules.</w:t>
      </w:r>
    </w:p>
    <w:p w14:paraId="3DAB416E" w14:textId="77777777" w:rsidR="003A3889" w:rsidRPr="004A605C" w:rsidRDefault="003A3889" w:rsidP="003A3889">
      <w:pPr>
        <w:rPr>
          <w:rFonts w:cs="Times New Roman"/>
          <w:b/>
          <w:szCs w:val="24"/>
          <w:lang w:eastAsia="en-GB"/>
        </w:rPr>
      </w:pPr>
      <w:r w:rsidRPr="004A605C">
        <w:rPr>
          <w:b/>
          <w:lang w:eastAsia="en-GB"/>
        </w:rPr>
        <w:t>5. Government and Regulatory Authorities:</w:t>
      </w:r>
    </w:p>
    <w:p w14:paraId="6DF9E6BC" w14:textId="77777777" w:rsidR="003A3889" w:rsidRPr="003A3889" w:rsidRDefault="003A3889" w:rsidP="00831EC0">
      <w:pPr>
        <w:spacing w:line="360" w:lineRule="auto"/>
        <w:rPr>
          <w:rFonts w:cs="Times New Roman"/>
          <w:szCs w:val="24"/>
          <w:lang w:eastAsia="en-GB"/>
        </w:rPr>
      </w:pPr>
      <w:r w:rsidRPr="004A605C">
        <w:rPr>
          <w:b/>
          <w:lang w:eastAsia="en-GB"/>
        </w:rPr>
        <w:t>Expectations:</w:t>
      </w:r>
      <w:r w:rsidRPr="003A3889">
        <w:rPr>
          <w:lang w:eastAsia="en-GB"/>
        </w:rPr>
        <w:t xml:space="preserve"> </w:t>
      </w:r>
      <w:r w:rsidRPr="00831EC0">
        <w:rPr>
          <w:rFonts w:ascii="Arial" w:hAnsi="Arial" w:cs="Arial"/>
          <w:lang w:eastAsia="en-GB"/>
        </w:rPr>
        <w:t>It is a prerequisite that Milton Sandford Wines Ltd follows the principles of the authorities in charge and those presented in relevant legal acts, including alcohol production, labelling the products, taxation and the relationship with the environment.</w:t>
      </w:r>
    </w:p>
    <w:p w14:paraId="2715A8F8" w14:textId="66158A15" w:rsidR="003A3889" w:rsidRPr="003A3889" w:rsidRDefault="003A3889" w:rsidP="00831EC0">
      <w:pPr>
        <w:spacing w:line="360" w:lineRule="auto"/>
        <w:rPr>
          <w:rFonts w:cs="Times New Roman"/>
          <w:szCs w:val="24"/>
          <w:lang w:eastAsia="en-GB"/>
        </w:rPr>
      </w:pPr>
      <w:r w:rsidRPr="004A605C">
        <w:rPr>
          <w:b/>
          <w:lang w:eastAsia="en-GB"/>
        </w:rPr>
        <w:lastRenderedPageBreak/>
        <w:t>Power:</w:t>
      </w:r>
      <w:r w:rsidRPr="003A3889">
        <w:rPr>
          <w:lang w:eastAsia="en-GB"/>
        </w:rPr>
        <w:t xml:space="preserve"> </w:t>
      </w:r>
      <w:r w:rsidRPr="00831EC0">
        <w:rPr>
          <w:rFonts w:ascii="Arial" w:hAnsi="Arial" w:cs="Arial"/>
          <w:lang w:eastAsia="en-GB"/>
        </w:rPr>
        <w:t xml:space="preserve">Governments and regulators seemingly have a high degree of power to implement fines, penalties or legal bands for misconduct. Other considerations along the lines of rules and policies can affect the </w:t>
      </w:r>
      <w:r w:rsidR="003D4822" w:rsidRPr="00831EC0">
        <w:rPr>
          <w:rFonts w:ascii="Arial" w:hAnsi="Arial" w:cs="Arial"/>
          <w:lang w:eastAsia="en-GB"/>
        </w:rPr>
        <w:t>organis</w:t>
      </w:r>
      <w:r w:rsidRPr="00831EC0">
        <w:rPr>
          <w:rFonts w:ascii="Arial" w:hAnsi="Arial" w:cs="Arial"/>
          <w:lang w:eastAsia="en-GB"/>
        </w:rPr>
        <w:t>ation through its activities as well as the competition dynamics.</w:t>
      </w:r>
    </w:p>
    <w:p w14:paraId="04FFF083" w14:textId="77777777" w:rsidR="003A3889" w:rsidRPr="004A605C" w:rsidRDefault="003A3889" w:rsidP="003A3889">
      <w:pPr>
        <w:rPr>
          <w:rFonts w:cs="Times New Roman"/>
          <w:b/>
          <w:szCs w:val="24"/>
          <w:lang w:eastAsia="en-GB"/>
        </w:rPr>
      </w:pPr>
      <w:r w:rsidRPr="004A605C">
        <w:rPr>
          <w:b/>
          <w:lang w:eastAsia="en-GB"/>
        </w:rPr>
        <w:t>6. Local Communities:</w:t>
      </w:r>
    </w:p>
    <w:p w14:paraId="69BA90D4" w14:textId="77777777" w:rsidR="003A3889" w:rsidRPr="003A3889" w:rsidRDefault="003A3889" w:rsidP="00831EC0">
      <w:pPr>
        <w:spacing w:line="360" w:lineRule="auto"/>
        <w:rPr>
          <w:rFonts w:cs="Times New Roman"/>
          <w:szCs w:val="24"/>
          <w:lang w:eastAsia="en-GB"/>
        </w:rPr>
      </w:pPr>
      <w:r w:rsidRPr="004A605C">
        <w:rPr>
          <w:b/>
          <w:lang w:eastAsia="en-GB"/>
        </w:rPr>
        <w:t>Expectations:</w:t>
      </w:r>
      <w:r w:rsidRPr="003A3889">
        <w:rPr>
          <w:lang w:eastAsia="en-GB"/>
        </w:rPr>
        <w:t xml:space="preserve"> </w:t>
      </w:r>
      <w:r w:rsidRPr="00831EC0">
        <w:rPr>
          <w:rFonts w:ascii="Arial" w:hAnsi="Arial" w:cs="Arial"/>
          <w:lang w:eastAsia="en-GB"/>
        </w:rPr>
        <w:t>The areas where Milton Sandford Wines undertake their business expect them to be the corporates who are citizens of the particular community and at the same time show positive impacts on them</w:t>
      </w:r>
      <w:r w:rsidR="00452FBB" w:rsidRPr="00831EC0">
        <w:rPr>
          <w:rFonts w:ascii="Arial" w:hAnsi="Arial" w:cs="Arial"/>
          <w:shd w:val="clear" w:color="auto" w:fill="FFFFFF"/>
        </w:rPr>
        <w:t>(Kasu, et. al., 2021)</w:t>
      </w:r>
      <w:r w:rsidRPr="00831EC0">
        <w:rPr>
          <w:rFonts w:ascii="Arial" w:hAnsi="Arial" w:cs="Arial"/>
          <w:lang w:eastAsia="en-GB"/>
        </w:rPr>
        <w:t>. So, they usually refer to providing the job, the environmental protection, and the involvement of local initiatives.</w:t>
      </w:r>
    </w:p>
    <w:p w14:paraId="3552FA8B" w14:textId="77777777" w:rsidR="003A3889" w:rsidRPr="003A3889" w:rsidRDefault="003A3889" w:rsidP="00831EC0">
      <w:pPr>
        <w:spacing w:line="360" w:lineRule="auto"/>
        <w:rPr>
          <w:rFonts w:cs="Times New Roman"/>
          <w:szCs w:val="24"/>
          <w:lang w:eastAsia="en-GB"/>
        </w:rPr>
      </w:pPr>
      <w:r w:rsidRPr="004A605C">
        <w:rPr>
          <w:b/>
          <w:lang w:eastAsia="en-GB"/>
        </w:rPr>
        <w:t>Power:</w:t>
      </w:r>
      <w:r w:rsidRPr="003A3889">
        <w:rPr>
          <w:lang w:eastAsia="en-GB"/>
        </w:rPr>
        <w:t xml:space="preserve"> </w:t>
      </w:r>
      <w:r w:rsidRPr="00831EC0">
        <w:rPr>
          <w:rFonts w:ascii="Arial" w:hAnsi="Arial" w:cs="Arial"/>
          <w:lang w:eastAsia="en-GB"/>
        </w:rPr>
        <w:t xml:space="preserve">Although the municipality may not have a direct command over the decisions of the company, they can head public </w:t>
      </w:r>
      <w:r w:rsidR="00CB52BC" w:rsidRPr="00831EC0">
        <w:rPr>
          <w:rFonts w:ascii="Arial" w:hAnsi="Arial" w:cs="Arial"/>
          <w:lang w:eastAsia="en-GB"/>
        </w:rPr>
        <w:t>awareness</w:t>
      </w:r>
      <w:r w:rsidRPr="00831EC0">
        <w:rPr>
          <w:rFonts w:ascii="Arial" w:hAnsi="Arial" w:cs="Arial"/>
          <w:lang w:eastAsia="en-GB"/>
        </w:rPr>
        <w:t xml:space="preserve"> and activism and also enlist the support of the local authorities. The reverse effect of the communities on the company's reputation and the social license to operate might occur as a result.</w:t>
      </w:r>
    </w:p>
    <w:p w14:paraId="4B62850E" w14:textId="77777777" w:rsidR="003A3889" w:rsidRPr="00831EC0" w:rsidRDefault="003A3889" w:rsidP="00831EC0">
      <w:pPr>
        <w:spacing w:line="360" w:lineRule="auto"/>
        <w:rPr>
          <w:rFonts w:ascii="Arial" w:hAnsi="Arial" w:cs="Arial"/>
          <w:szCs w:val="24"/>
          <w:lang w:eastAsia="en-GB"/>
        </w:rPr>
      </w:pPr>
      <w:r w:rsidRPr="00831EC0">
        <w:rPr>
          <w:rFonts w:ascii="Arial" w:hAnsi="Arial" w:cs="Arial"/>
          <w:lang w:eastAsia="en-GB"/>
        </w:rPr>
        <w:t xml:space="preserve">In conclusion, a stakeholder analysis of Milton Sandford Wines Ltd. can be highlighted as a complex process of interaction between internal and external players and the establishment of power and accountability patterns. By recognizing and interacting with these business partners, the company can enhance </w:t>
      </w:r>
      <w:r w:rsidR="00452FBB" w:rsidRPr="00831EC0">
        <w:rPr>
          <w:rFonts w:ascii="Arial" w:hAnsi="Arial" w:cs="Arial"/>
          <w:lang w:eastAsia="en-GB"/>
        </w:rPr>
        <w:t>trust;</w:t>
      </w:r>
      <w:r w:rsidRPr="00831EC0">
        <w:rPr>
          <w:rFonts w:ascii="Arial" w:hAnsi="Arial" w:cs="Arial"/>
          <w:lang w:eastAsia="en-GB"/>
        </w:rPr>
        <w:t xml:space="preserve"> strengthen relationships, and solely the long-term performance and sustainability in the wine industry.</w:t>
      </w:r>
    </w:p>
    <w:p w14:paraId="1D974CC5" w14:textId="77777777" w:rsidR="003A3889" w:rsidRPr="003A3889" w:rsidRDefault="003A3889" w:rsidP="003A3889">
      <w:pPr>
        <w:pStyle w:val="Heading2"/>
        <w:rPr>
          <w:rFonts w:cs="Times New Roman"/>
          <w:szCs w:val="24"/>
        </w:rPr>
      </w:pPr>
      <w:bookmarkStart w:id="5" w:name="_Toc160579129"/>
      <w:r w:rsidRPr="003A3889">
        <w:t>5. Discuss available strategic growth choices for SMEs in markets propose a new</w:t>
      </w:r>
      <w:bookmarkEnd w:id="5"/>
    </w:p>
    <w:p w14:paraId="5068DD82" w14:textId="53B088F9" w:rsidR="003A3889" w:rsidRPr="003A3889" w:rsidRDefault="00C544E4" w:rsidP="003A3889">
      <w:pPr>
        <w:pStyle w:val="Heading2"/>
        <w:rPr>
          <w:rFonts w:cs="Times New Roman"/>
          <w:szCs w:val="24"/>
        </w:rPr>
      </w:pPr>
      <w:bookmarkStart w:id="6" w:name="_Toc160579130"/>
      <w:r w:rsidRPr="003A3889">
        <w:t>Strategy</w:t>
      </w:r>
      <w:r w:rsidR="003A3889" w:rsidRPr="003A3889">
        <w:t xml:space="preserve"> and justify why you think it is a sustainable strategy for the long-term future of the </w:t>
      </w:r>
      <w:r w:rsidR="003D4822">
        <w:t>Organis</w:t>
      </w:r>
      <w:r w:rsidR="003A3889" w:rsidRPr="003A3889">
        <w:t>ation.</w:t>
      </w:r>
      <w:bookmarkEnd w:id="6"/>
    </w:p>
    <w:p w14:paraId="6206AA0D" w14:textId="4107C4F7" w:rsidR="003A3889" w:rsidRPr="00831EC0" w:rsidRDefault="003A3889" w:rsidP="00831EC0">
      <w:pPr>
        <w:spacing w:line="360" w:lineRule="auto"/>
        <w:rPr>
          <w:rFonts w:ascii="Arial" w:hAnsi="Arial" w:cs="Arial"/>
          <w:szCs w:val="24"/>
          <w:lang w:eastAsia="en-GB"/>
        </w:rPr>
      </w:pPr>
      <w:r w:rsidRPr="00831EC0">
        <w:rPr>
          <w:rFonts w:ascii="Arial" w:hAnsi="Arial" w:cs="Arial"/>
          <w:lang w:eastAsia="en-GB"/>
        </w:rPr>
        <w:t>Milton Sandford Wines Ltd. is a small to medium-sized enterprise (SME) in the competitive wine industry. Sustainable long-term growth and competitiveness necessitate careful reflection on strategic growth choices that would need to be considered</w:t>
      </w:r>
      <w:r w:rsidR="00452FBB" w:rsidRPr="00831EC0">
        <w:rPr>
          <w:rFonts w:ascii="Arial" w:hAnsi="Arial" w:cs="Arial"/>
          <w:shd w:val="clear" w:color="auto" w:fill="FFFFFF"/>
        </w:rPr>
        <w:t>(Goworek, et. al., 2020)</w:t>
      </w:r>
      <w:r w:rsidRPr="00831EC0">
        <w:rPr>
          <w:rFonts w:ascii="Arial" w:hAnsi="Arial" w:cs="Arial"/>
          <w:lang w:eastAsia="en-GB"/>
        </w:rPr>
        <w:t xml:space="preserve">. This analysis will outline potential strategic growth avenues for SMEs in the wine market, to suggest a new strategy for Milton Sandford Wines Ltd., warranting its continuity for the future of the </w:t>
      </w:r>
      <w:r w:rsidR="003D4822" w:rsidRPr="00831EC0">
        <w:rPr>
          <w:rFonts w:ascii="Arial" w:hAnsi="Arial" w:cs="Arial"/>
          <w:lang w:eastAsia="en-GB"/>
        </w:rPr>
        <w:t>organis</w:t>
      </w:r>
      <w:r w:rsidRPr="00831EC0">
        <w:rPr>
          <w:rFonts w:ascii="Arial" w:hAnsi="Arial" w:cs="Arial"/>
          <w:lang w:eastAsia="en-GB"/>
        </w:rPr>
        <w:t>ation.</w:t>
      </w:r>
    </w:p>
    <w:p w14:paraId="34B6AF28" w14:textId="77777777" w:rsidR="003A3889" w:rsidRPr="004A605C" w:rsidRDefault="003A3889" w:rsidP="003A3889">
      <w:pPr>
        <w:rPr>
          <w:rFonts w:cs="Times New Roman"/>
          <w:b/>
          <w:szCs w:val="24"/>
          <w:u w:val="single"/>
          <w:lang w:eastAsia="en-GB"/>
        </w:rPr>
      </w:pPr>
      <w:r w:rsidRPr="004A605C">
        <w:rPr>
          <w:b/>
          <w:u w:val="single"/>
          <w:lang w:eastAsia="en-GB"/>
        </w:rPr>
        <w:lastRenderedPageBreak/>
        <w:t>Available Strategic Growth Choices for SMEs in Markets:</w:t>
      </w:r>
    </w:p>
    <w:p w14:paraId="5F6A63BA" w14:textId="77777777" w:rsidR="003A3889" w:rsidRPr="003A3889" w:rsidRDefault="003A3889" w:rsidP="00831EC0">
      <w:pPr>
        <w:spacing w:line="360" w:lineRule="auto"/>
        <w:rPr>
          <w:rFonts w:cs="Times New Roman"/>
          <w:szCs w:val="24"/>
          <w:lang w:eastAsia="en-GB"/>
        </w:rPr>
      </w:pPr>
      <w:r w:rsidRPr="004A605C">
        <w:rPr>
          <w:b/>
          <w:lang w:eastAsia="en-GB"/>
        </w:rPr>
        <w:t>1. Market Penetration:</w:t>
      </w:r>
      <w:r w:rsidRPr="003A3889">
        <w:rPr>
          <w:lang w:eastAsia="en-GB"/>
        </w:rPr>
        <w:t xml:space="preserve"> </w:t>
      </w:r>
      <w:r w:rsidRPr="00831EC0">
        <w:rPr>
          <w:rFonts w:ascii="Arial" w:hAnsi="Arial" w:cs="Arial"/>
          <w:lang w:eastAsia="en-GB"/>
        </w:rPr>
        <w:t>This strategy makes use of growing a market share in already existing markets via advertising campaigns, pricing strategies, and the promotions of products. Generally speaking, for Milton Sandford Wines Ltd., this could include intensified promotion to lure more customers as well as create a larger customer base within the existing market segments.</w:t>
      </w:r>
    </w:p>
    <w:p w14:paraId="0F80BA61" w14:textId="4F25A422" w:rsidR="003A3889" w:rsidRPr="003A3889" w:rsidRDefault="003A3889" w:rsidP="000E3295">
      <w:pPr>
        <w:spacing w:line="360" w:lineRule="auto"/>
        <w:rPr>
          <w:rFonts w:cs="Times New Roman"/>
          <w:szCs w:val="24"/>
          <w:lang w:eastAsia="en-GB"/>
        </w:rPr>
      </w:pPr>
      <w:r w:rsidRPr="004A605C">
        <w:rPr>
          <w:b/>
          <w:lang w:eastAsia="en-GB"/>
        </w:rPr>
        <w:t>2. Product Development:</w:t>
      </w:r>
      <w:r w:rsidRPr="003A3889">
        <w:rPr>
          <w:lang w:eastAsia="en-GB"/>
        </w:rPr>
        <w:t xml:space="preserve"> </w:t>
      </w:r>
      <w:r w:rsidRPr="000E3295">
        <w:rPr>
          <w:rFonts w:ascii="Arial" w:hAnsi="Arial" w:cs="Arial"/>
          <w:lang w:eastAsia="en-GB"/>
        </w:rPr>
        <w:t>According to this growth option, the creation of new wine products and adaptations of existing ones is a way to align with varied customer tastes</w:t>
      </w:r>
      <w:r w:rsidR="004B0468" w:rsidRPr="000E3295">
        <w:rPr>
          <w:rFonts w:ascii="Arial" w:hAnsi="Arial" w:cs="Arial"/>
          <w:lang w:eastAsia="en-GB"/>
        </w:rPr>
        <w:t xml:space="preserve"> </w:t>
      </w:r>
      <w:r w:rsidR="00EC5285" w:rsidRPr="000E3295">
        <w:rPr>
          <w:rFonts w:ascii="Arial" w:hAnsi="Arial" w:cs="Arial"/>
          <w:shd w:val="clear" w:color="auto" w:fill="FFFFFF"/>
        </w:rPr>
        <w:t>(Filimonau, et. al., 2020)</w:t>
      </w:r>
      <w:r w:rsidRPr="000E3295">
        <w:rPr>
          <w:rFonts w:ascii="Arial" w:hAnsi="Arial" w:cs="Arial"/>
          <w:lang w:eastAsia="en-GB"/>
        </w:rPr>
        <w:t>. The Milton Sandford Wines Ltd. could break through by producing new wine products not only varietals but blends or packaging forms to meet the changing market trends and tastes of their customers.</w:t>
      </w:r>
    </w:p>
    <w:p w14:paraId="587ACC9D" w14:textId="77777777" w:rsidR="003A3889" w:rsidRPr="004A605C" w:rsidRDefault="003A3889" w:rsidP="003A3889">
      <w:pPr>
        <w:rPr>
          <w:rFonts w:cs="Times New Roman"/>
          <w:b/>
          <w:szCs w:val="24"/>
          <w:u w:val="single"/>
          <w:lang w:eastAsia="en-GB"/>
        </w:rPr>
      </w:pPr>
      <w:r w:rsidRPr="004A605C">
        <w:rPr>
          <w:b/>
          <w:u w:val="single"/>
          <w:lang w:eastAsia="en-GB"/>
        </w:rPr>
        <w:t>Proposed Strategy: Vertical Integration</w:t>
      </w:r>
    </w:p>
    <w:p w14:paraId="7A0897C5"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 xml:space="preserve">This implies the implementation of a system by which extended supervision over the periods of vineyards, distribution, and even retailing is carried out. As for Milton Sandford Wines Ltd., contracting would mean acquiring ownership over vineyards, wineries, and distribution channels. </w:t>
      </w:r>
    </w:p>
    <w:p w14:paraId="36B3609F" w14:textId="6712615B" w:rsidR="003A3889" w:rsidRPr="003A3889" w:rsidRDefault="003A3889" w:rsidP="000E3295">
      <w:pPr>
        <w:spacing w:line="360" w:lineRule="auto"/>
        <w:rPr>
          <w:rFonts w:cs="Times New Roman"/>
          <w:szCs w:val="24"/>
          <w:lang w:eastAsia="en-GB"/>
        </w:rPr>
      </w:pPr>
      <w:r w:rsidRPr="004A605C">
        <w:rPr>
          <w:b/>
          <w:lang w:eastAsia="en-GB"/>
        </w:rPr>
        <w:t>1. Quality Control:</w:t>
      </w:r>
      <w:r w:rsidRPr="003A3889">
        <w:rPr>
          <w:lang w:eastAsia="en-GB"/>
        </w:rPr>
        <w:t xml:space="preserve"> </w:t>
      </w:r>
      <w:r w:rsidRPr="000E3295">
        <w:rPr>
          <w:rFonts w:ascii="Arial" w:hAnsi="Arial" w:cs="Arial"/>
          <w:lang w:eastAsia="en-GB"/>
        </w:rPr>
        <w:t xml:space="preserve">Besides, Milton Sandford Wines Ltd. can practice better supervision over the grape quality and yield by owning a vineyard and an individual production. This guarantees an </w:t>
      </w:r>
      <w:r w:rsidR="004B0468" w:rsidRPr="000E3295">
        <w:rPr>
          <w:rFonts w:ascii="Arial" w:hAnsi="Arial" w:cs="Arial"/>
          <w:lang w:eastAsia="en-GB"/>
        </w:rPr>
        <w:t>approvable</w:t>
      </w:r>
      <w:r w:rsidRPr="000E3295">
        <w:rPr>
          <w:rFonts w:ascii="Arial" w:hAnsi="Arial" w:cs="Arial"/>
          <w:lang w:eastAsia="en-GB"/>
        </w:rPr>
        <w:t xml:space="preserve"> and well-rounded wine service that brings a good name to the brand and makes customers stay.</w:t>
      </w:r>
    </w:p>
    <w:p w14:paraId="1A8E7793" w14:textId="45D79F26" w:rsidR="003A3889" w:rsidRPr="003A3889" w:rsidRDefault="003A3889" w:rsidP="000E3295">
      <w:pPr>
        <w:spacing w:line="360" w:lineRule="auto"/>
        <w:rPr>
          <w:rFonts w:cs="Times New Roman"/>
          <w:szCs w:val="24"/>
          <w:lang w:eastAsia="en-GB"/>
        </w:rPr>
      </w:pPr>
      <w:r w:rsidRPr="004A605C">
        <w:rPr>
          <w:b/>
          <w:lang w:eastAsia="en-GB"/>
        </w:rPr>
        <w:t>2. Cost Efficiency:</w:t>
      </w:r>
      <w:r w:rsidRPr="003A3889">
        <w:rPr>
          <w:lang w:eastAsia="en-GB"/>
        </w:rPr>
        <w:t xml:space="preserve"> </w:t>
      </w:r>
      <w:r w:rsidRPr="000E3295">
        <w:rPr>
          <w:rFonts w:ascii="Arial" w:hAnsi="Arial" w:cs="Arial"/>
          <w:lang w:eastAsia="en-GB"/>
        </w:rPr>
        <w:t xml:space="preserve">The immediate benefit of vertical integration is the drop in costs because it will eliminate middlemen and use fewer external </w:t>
      </w:r>
      <w:r w:rsidR="000E3295" w:rsidRPr="000E3295">
        <w:rPr>
          <w:rFonts w:ascii="Arial" w:hAnsi="Arial" w:cs="Arial"/>
          <w:lang w:eastAsia="en-GB"/>
        </w:rPr>
        <w:t>suppliers</w:t>
      </w:r>
      <w:r w:rsidR="000E3295" w:rsidRPr="000E3295">
        <w:rPr>
          <w:rFonts w:ascii="Arial" w:hAnsi="Arial" w:cs="Arial"/>
          <w:shd w:val="clear" w:color="auto" w:fill="FFFFFF"/>
        </w:rPr>
        <w:t xml:space="preserve"> (</w:t>
      </w:r>
      <w:r w:rsidR="00EC5285" w:rsidRPr="000E3295">
        <w:rPr>
          <w:rFonts w:ascii="Arial" w:hAnsi="Arial" w:cs="Arial"/>
          <w:shd w:val="clear" w:color="auto" w:fill="FFFFFF"/>
        </w:rPr>
        <w:t>Erickson, et. al. 2021)</w:t>
      </w:r>
      <w:r w:rsidRPr="000E3295">
        <w:rPr>
          <w:rFonts w:ascii="Arial" w:hAnsi="Arial" w:cs="Arial"/>
          <w:lang w:eastAsia="en-GB"/>
        </w:rPr>
        <w:t>. Sandford Wine Company Limited can narrow down operations and gain additional bargaining power with suppliers thus increasing their profitability.</w:t>
      </w:r>
    </w:p>
    <w:p w14:paraId="668E04A3" w14:textId="77777777" w:rsidR="003A3889" w:rsidRPr="004A605C" w:rsidRDefault="003A3889" w:rsidP="003A3889">
      <w:pPr>
        <w:rPr>
          <w:rFonts w:cs="Times New Roman"/>
          <w:b/>
          <w:szCs w:val="24"/>
          <w:u w:val="single"/>
          <w:lang w:eastAsia="en-GB"/>
        </w:rPr>
      </w:pPr>
      <w:r w:rsidRPr="004A605C">
        <w:rPr>
          <w:b/>
          <w:u w:val="single"/>
          <w:lang w:eastAsia="en-GB"/>
        </w:rPr>
        <w:t>Justification for Sustainability:</w:t>
      </w:r>
    </w:p>
    <w:p w14:paraId="7154D0EE"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Vertical integration offers Milton Sandford Wines Ltd. a sustainable long-term strategy for several reasons: Vertical integration offers Milton Sandford Wines Ltd. a sustainable long-term strategy for several reasons:</w:t>
      </w:r>
    </w:p>
    <w:p w14:paraId="5DE033FE" w14:textId="59D0562B" w:rsidR="003A3889" w:rsidRPr="003A3889" w:rsidRDefault="003A3889" w:rsidP="000E3295">
      <w:pPr>
        <w:spacing w:line="360" w:lineRule="auto"/>
        <w:rPr>
          <w:rFonts w:cs="Times New Roman"/>
          <w:szCs w:val="24"/>
          <w:lang w:eastAsia="en-GB"/>
        </w:rPr>
      </w:pPr>
      <w:r w:rsidRPr="004A605C">
        <w:rPr>
          <w:b/>
          <w:lang w:eastAsia="en-GB"/>
        </w:rPr>
        <w:lastRenderedPageBreak/>
        <w:t>1. Control over Supply Chain:</w:t>
      </w:r>
      <w:r w:rsidRPr="003A3889">
        <w:rPr>
          <w:lang w:eastAsia="en-GB"/>
        </w:rPr>
        <w:t xml:space="preserve"> </w:t>
      </w:r>
      <w:r w:rsidRPr="000E3295">
        <w:rPr>
          <w:rFonts w:ascii="Arial" w:hAnsi="Arial" w:cs="Arial"/>
          <w:lang w:eastAsia="en-GB"/>
        </w:rPr>
        <w:t>The Company manages to cut down on their external risks by vertically integrating, taking into account factors such as cost instability due to fluctuating grape prices or partner unreliability</w:t>
      </w:r>
      <w:r w:rsidR="004B0468" w:rsidRPr="000E3295">
        <w:rPr>
          <w:rFonts w:ascii="Arial" w:hAnsi="Arial" w:cs="Arial"/>
          <w:lang w:eastAsia="en-GB"/>
        </w:rPr>
        <w:t xml:space="preserve"> </w:t>
      </w:r>
      <w:r w:rsidR="006E5445" w:rsidRPr="000E3295">
        <w:rPr>
          <w:rFonts w:ascii="Arial" w:hAnsi="Arial" w:cs="Arial"/>
          <w:shd w:val="clear" w:color="auto" w:fill="FFFFFF"/>
        </w:rPr>
        <w:t>(</w:t>
      </w:r>
      <w:r w:rsidR="007D1213" w:rsidRPr="000E3295">
        <w:rPr>
          <w:rFonts w:ascii="Arial" w:hAnsi="Arial" w:cs="Arial"/>
          <w:shd w:val="clear" w:color="auto" w:fill="FFFFFF"/>
        </w:rPr>
        <w:t>Mason</w:t>
      </w:r>
      <w:r w:rsidR="006E5445" w:rsidRPr="000E3295">
        <w:rPr>
          <w:rFonts w:ascii="Arial" w:hAnsi="Arial" w:cs="Arial"/>
          <w:shd w:val="clear" w:color="auto" w:fill="FFFFFF"/>
        </w:rPr>
        <w:t>, 2020)</w:t>
      </w:r>
      <w:r w:rsidRPr="000E3295">
        <w:rPr>
          <w:rFonts w:ascii="Arial" w:hAnsi="Arial" w:cs="Arial"/>
          <w:lang w:eastAsia="en-GB"/>
        </w:rPr>
        <w:t>. This situation ensures the smooth running of operations and therefore, the people subject to this don't encounter operational disruptions and supply chain risks.</w:t>
      </w:r>
    </w:p>
    <w:p w14:paraId="7D378916" w14:textId="77777777" w:rsidR="003A3889" w:rsidRPr="000E3295" w:rsidRDefault="003A3889" w:rsidP="000E3295">
      <w:pPr>
        <w:spacing w:line="360" w:lineRule="auto"/>
        <w:rPr>
          <w:rFonts w:ascii="Arial" w:hAnsi="Arial" w:cs="Arial"/>
          <w:szCs w:val="24"/>
          <w:lang w:eastAsia="en-GB"/>
        </w:rPr>
      </w:pPr>
      <w:r w:rsidRPr="004A605C">
        <w:rPr>
          <w:b/>
          <w:lang w:eastAsia="en-GB"/>
        </w:rPr>
        <w:t>2. Brand Differentiation and Loyalty:</w:t>
      </w:r>
      <w:r w:rsidRPr="003A3889">
        <w:rPr>
          <w:lang w:eastAsia="en-GB"/>
        </w:rPr>
        <w:t xml:space="preserve"> </w:t>
      </w:r>
      <w:r w:rsidRPr="000E3295">
        <w:rPr>
          <w:rFonts w:ascii="Arial" w:hAnsi="Arial" w:cs="Arial"/>
          <w:lang w:eastAsia="en-GB"/>
        </w:rPr>
        <w:t>Adopting the vertical orientation model will put a big stamp on Milton Sandford Wines Ltd. by way of creating a brand with quality, authenticity and control over the process of production at its core. This imparts customer loyalty and also shields the companies from price response.</w:t>
      </w:r>
    </w:p>
    <w:p w14:paraId="56930DD2" w14:textId="43D3951A" w:rsidR="003A3889" w:rsidRPr="003A3889" w:rsidRDefault="003A3889" w:rsidP="000E3295">
      <w:pPr>
        <w:spacing w:line="360" w:lineRule="auto"/>
        <w:rPr>
          <w:rFonts w:cs="Times New Roman"/>
          <w:szCs w:val="24"/>
          <w:lang w:eastAsia="en-GB"/>
        </w:rPr>
      </w:pPr>
      <w:r w:rsidRPr="000E3295">
        <w:rPr>
          <w:rFonts w:ascii="Arial" w:hAnsi="Arial" w:cs="Arial"/>
          <w:lang w:eastAsia="en-GB"/>
        </w:rPr>
        <w:t>Conclusively, vertical integration turns out to be a fairly viable strategic decision for Milton Sandford Wines Ltd. This approach ensures control over quality, efficiency, market distinction, and imminent long-term prospects, preparatory to the future in which the wine industry will be a battlefield for companies</w:t>
      </w:r>
      <w:r w:rsidR="004B0468" w:rsidRPr="000E3295">
        <w:rPr>
          <w:rFonts w:ascii="Arial" w:hAnsi="Arial" w:cs="Arial"/>
          <w:lang w:eastAsia="en-GB"/>
        </w:rPr>
        <w:t xml:space="preserve"> </w:t>
      </w:r>
      <w:r w:rsidR="00C523C9">
        <w:rPr>
          <w:shd w:val="clear" w:color="auto" w:fill="FFFFFF"/>
        </w:rPr>
        <w:t>(</w:t>
      </w:r>
      <w:r w:rsidR="00C523C9" w:rsidRPr="00257A9A">
        <w:rPr>
          <w:shd w:val="clear" w:color="auto" w:fill="FFFFFF"/>
        </w:rPr>
        <w:t xml:space="preserve">Arquero, </w:t>
      </w:r>
      <w:r w:rsidR="00C523C9">
        <w:rPr>
          <w:shd w:val="clear" w:color="auto" w:fill="FFFFFF"/>
        </w:rPr>
        <w:t xml:space="preserve">et. al., </w:t>
      </w:r>
      <w:r w:rsidR="00C523C9" w:rsidRPr="00257A9A">
        <w:rPr>
          <w:shd w:val="clear" w:color="auto" w:fill="FFFFFF"/>
        </w:rPr>
        <w:t>2022)</w:t>
      </w:r>
      <w:r w:rsidRPr="003A3889">
        <w:rPr>
          <w:lang w:eastAsia="en-GB"/>
        </w:rPr>
        <w:t>.</w:t>
      </w:r>
    </w:p>
    <w:p w14:paraId="628622CE" w14:textId="77777777" w:rsidR="003A3889" w:rsidRPr="003A3889" w:rsidRDefault="003A3889" w:rsidP="003A3889">
      <w:pPr>
        <w:pStyle w:val="Heading2"/>
        <w:rPr>
          <w:rFonts w:cs="Times New Roman"/>
          <w:szCs w:val="24"/>
        </w:rPr>
      </w:pPr>
      <w:bookmarkStart w:id="7" w:name="_Toc160579131"/>
      <w:r w:rsidRPr="003A3889">
        <w:t xml:space="preserve">6. </w:t>
      </w:r>
      <w:r w:rsidR="000E7AE5">
        <w:t>S</w:t>
      </w:r>
      <w:r w:rsidRPr="003A3889">
        <w:t>trategic recommendations for the organisation for future developments and implementation, considering the challenges SMEs encounter in implementing strategic Direction.</w:t>
      </w:r>
      <w:bookmarkEnd w:id="7"/>
    </w:p>
    <w:p w14:paraId="4EF219CB"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As an SME (small to medium-sized enterprise), Milton Sandford Wines Ltd. is exposed to distinct strategic imperatives, especially in terms of implementations. It is vital to formulate a strategic plan including recommendations that will make developing growth easier.</w:t>
      </w:r>
    </w:p>
    <w:p w14:paraId="38D45C3C" w14:textId="77777777" w:rsidR="003A3889" w:rsidRPr="004A605C" w:rsidRDefault="003A3889" w:rsidP="003A3889">
      <w:pPr>
        <w:rPr>
          <w:rFonts w:cs="Times New Roman"/>
          <w:b/>
          <w:szCs w:val="24"/>
          <w:u w:val="single"/>
          <w:lang w:eastAsia="en-GB"/>
        </w:rPr>
      </w:pPr>
      <w:r w:rsidRPr="004A605C">
        <w:rPr>
          <w:b/>
          <w:u w:val="single"/>
          <w:lang w:eastAsia="en-GB"/>
        </w:rPr>
        <w:t>Key Strategic Recommendations:</w:t>
      </w:r>
    </w:p>
    <w:p w14:paraId="45E33B52" w14:textId="77777777" w:rsidR="003A3889" w:rsidRPr="004A605C" w:rsidRDefault="003A3889" w:rsidP="003A3889">
      <w:pPr>
        <w:rPr>
          <w:rFonts w:cs="Times New Roman"/>
          <w:b/>
          <w:szCs w:val="24"/>
          <w:lang w:eastAsia="en-GB"/>
        </w:rPr>
      </w:pPr>
      <w:r w:rsidRPr="004A605C">
        <w:rPr>
          <w:b/>
          <w:lang w:eastAsia="en-GB"/>
        </w:rPr>
        <w:t>1. Investment in Technology:</w:t>
      </w:r>
    </w:p>
    <w:p w14:paraId="3967843E"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Technology input can bring operational and competitive advantages to the bottling industry of Milton Sandford Wines LTD with the help of ERP system implementation that makes inventory management, production scheduling and customer management more straightforward and optimized. Also, implementing data analytics tools will contribute to increasing an enterprise's knowledge about consumers' preferences and market tendencies as well as making strategic decisions based on the gained information.</w:t>
      </w:r>
    </w:p>
    <w:p w14:paraId="534914FD" w14:textId="77777777" w:rsidR="003A3889" w:rsidRPr="004A605C" w:rsidRDefault="003A3889" w:rsidP="003A3889">
      <w:pPr>
        <w:rPr>
          <w:rFonts w:cs="Times New Roman"/>
          <w:b/>
          <w:szCs w:val="24"/>
          <w:lang w:eastAsia="en-GB"/>
        </w:rPr>
      </w:pPr>
      <w:r w:rsidRPr="004A605C">
        <w:rPr>
          <w:b/>
          <w:lang w:eastAsia="en-GB"/>
        </w:rPr>
        <w:lastRenderedPageBreak/>
        <w:t>2. Focus on Innovation:</w:t>
      </w:r>
    </w:p>
    <w:p w14:paraId="35B71F47" w14:textId="270BD9B1"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Innovation is the key to remaining in the lead in this cut-throat wine sector of the industry. Milton Sandford Wines Ltd. ought to put a lot of emphasis on the improvement of its products and distinguish itself from its competitors through R&amp;D efforts</w:t>
      </w:r>
      <w:r w:rsidR="004B0468" w:rsidRPr="000E3295">
        <w:rPr>
          <w:rFonts w:ascii="Arial" w:hAnsi="Arial" w:cs="Arial"/>
          <w:lang w:eastAsia="en-GB"/>
        </w:rPr>
        <w:t xml:space="preserve"> </w:t>
      </w:r>
      <w:r w:rsidR="002961A5" w:rsidRPr="000E3295">
        <w:rPr>
          <w:rFonts w:ascii="Arial" w:hAnsi="Arial" w:cs="Arial"/>
          <w:shd w:val="clear" w:color="auto" w:fill="FFFFFF"/>
        </w:rPr>
        <w:t>(Sedya, et. al., 2022)</w:t>
      </w:r>
      <w:r w:rsidRPr="000E3295">
        <w:rPr>
          <w:rFonts w:ascii="Arial" w:hAnsi="Arial" w:cs="Arial"/>
          <w:lang w:eastAsia="en-GB"/>
        </w:rPr>
        <w:t>. This can be in the form of exploring new grape varietals, bottle designs, as well as environmentally sustainable production techniques to match changing consumer tastes.</w:t>
      </w:r>
    </w:p>
    <w:p w14:paraId="4D37B9D0" w14:textId="77777777" w:rsidR="003A3889" w:rsidRPr="004A605C" w:rsidRDefault="003A3889" w:rsidP="003A3889">
      <w:pPr>
        <w:rPr>
          <w:rFonts w:cs="Times New Roman"/>
          <w:b/>
          <w:szCs w:val="24"/>
          <w:lang w:eastAsia="en-GB"/>
        </w:rPr>
      </w:pPr>
      <w:r w:rsidRPr="004A605C">
        <w:rPr>
          <w:b/>
          <w:lang w:eastAsia="en-GB"/>
        </w:rPr>
        <w:t>3. Strategic Partnerships:</w:t>
      </w:r>
    </w:p>
    <w:p w14:paraId="6DE0444A" w14:textId="77777777" w:rsidR="007250D1" w:rsidRPr="000E3295" w:rsidRDefault="007250D1" w:rsidP="000E3295">
      <w:pPr>
        <w:spacing w:line="360" w:lineRule="auto"/>
        <w:rPr>
          <w:rFonts w:ascii="Arial" w:hAnsi="Arial" w:cs="Arial"/>
          <w:lang w:eastAsia="en-GB"/>
        </w:rPr>
      </w:pPr>
      <w:r w:rsidRPr="000E3295">
        <w:rPr>
          <w:rFonts w:ascii="Arial" w:hAnsi="Arial" w:cs="Arial"/>
          <w:lang w:eastAsia="en-GB"/>
        </w:rPr>
        <w:t>Brand partnering is one of the most effective ways to realize obtainability of resources, expertise, and available market opportunities. The business can tie-up with established vine for grape sourcing and transport firms for market expansion in a quick time. It surely acts as a quick development tool and mitigates the risk of limited business resources and limited knowledge.</w:t>
      </w:r>
    </w:p>
    <w:p w14:paraId="4FA8C205" w14:textId="77777777" w:rsidR="003A3889" w:rsidRPr="004A605C" w:rsidRDefault="003A3889" w:rsidP="003A3889">
      <w:pPr>
        <w:rPr>
          <w:rFonts w:cs="Times New Roman"/>
          <w:b/>
          <w:szCs w:val="24"/>
          <w:u w:val="single"/>
          <w:lang w:eastAsia="en-GB"/>
        </w:rPr>
      </w:pPr>
      <w:r w:rsidRPr="004A605C">
        <w:rPr>
          <w:b/>
          <w:u w:val="single"/>
          <w:lang w:eastAsia="en-GB"/>
        </w:rPr>
        <w:t>Challenges in Implementing Strategic Direction for SMEs:</w:t>
      </w:r>
    </w:p>
    <w:p w14:paraId="18280C77" w14:textId="77777777" w:rsidR="003A3889" w:rsidRPr="004A605C" w:rsidRDefault="003A3889" w:rsidP="003A3889">
      <w:pPr>
        <w:rPr>
          <w:rFonts w:cs="Times New Roman"/>
          <w:b/>
          <w:szCs w:val="24"/>
          <w:lang w:eastAsia="en-GB"/>
        </w:rPr>
      </w:pPr>
      <w:r w:rsidRPr="004A605C">
        <w:rPr>
          <w:b/>
          <w:lang w:eastAsia="en-GB"/>
        </w:rPr>
        <w:t>1. Resource Constraints:</w:t>
      </w:r>
    </w:p>
    <w:p w14:paraId="5372F21E" w14:textId="06911330" w:rsidR="007250D1" w:rsidRPr="000E3295" w:rsidRDefault="007250D1" w:rsidP="000E3295">
      <w:pPr>
        <w:spacing w:line="360" w:lineRule="auto"/>
        <w:rPr>
          <w:rFonts w:ascii="Arial" w:hAnsi="Arial" w:cs="Arial"/>
          <w:lang w:eastAsia="en-GB"/>
        </w:rPr>
      </w:pPr>
      <w:r w:rsidRPr="000E3295">
        <w:rPr>
          <w:rFonts w:ascii="Arial" w:hAnsi="Arial" w:cs="Arial"/>
          <w:lang w:eastAsia="en-GB"/>
        </w:rPr>
        <w:t xml:space="preserve">Milton Sandford wines Ltd. as a regular SME, regularly encounters limited financial and personal resources, lack of funds to invest in the IT-systems, innovation and strategy. To overcome resource constraints, creative methods comprising of selecting priorities &amp; allocating them with the limited resources; asking for extra funds or collaborating with other </w:t>
      </w:r>
      <w:r w:rsidR="003D4822" w:rsidRPr="000E3295">
        <w:rPr>
          <w:rFonts w:ascii="Arial" w:hAnsi="Arial" w:cs="Arial"/>
          <w:lang w:eastAsia="en-GB"/>
        </w:rPr>
        <w:t>organis</w:t>
      </w:r>
      <w:r w:rsidRPr="000E3295">
        <w:rPr>
          <w:rFonts w:ascii="Arial" w:hAnsi="Arial" w:cs="Arial"/>
          <w:lang w:eastAsia="en-GB"/>
        </w:rPr>
        <w:t>ations for further resource; also, utili</w:t>
      </w:r>
      <w:r w:rsidR="004B0468" w:rsidRPr="000E3295">
        <w:rPr>
          <w:rFonts w:ascii="Arial" w:hAnsi="Arial" w:cs="Arial"/>
          <w:lang w:eastAsia="en-GB"/>
        </w:rPr>
        <w:t>s</w:t>
      </w:r>
      <w:r w:rsidRPr="000E3295">
        <w:rPr>
          <w:rFonts w:ascii="Arial" w:hAnsi="Arial" w:cs="Arial"/>
          <w:lang w:eastAsia="en-GB"/>
        </w:rPr>
        <w:t>ation of the existing resources by optimizing use them should be taken into consideration.</w:t>
      </w:r>
    </w:p>
    <w:p w14:paraId="7BBF4E46" w14:textId="77777777" w:rsidR="003A3889" w:rsidRPr="004A605C" w:rsidRDefault="003A3889" w:rsidP="003A3889">
      <w:pPr>
        <w:rPr>
          <w:rFonts w:cs="Times New Roman"/>
          <w:b/>
          <w:szCs w:val="24"/>
          <w:lang w:eastAsia="en-GB"/>
        </w:rPr>
      </w:pPr>
      <w:r w:rsidRPr="004A605C">
        <w:rPr>
          <w:b/>
          <w:lang w:eastAsia="en-GB"/>
        </w:rPr>
        <w:t>2. Risk Aversion:</w:t>
      </w:r>
    </w:p>
    <w:p w14:paraId="752ACA6A" w14:textId="0CAB2D93" w:rsidR="00C73978" w:rsidRDefault="007250D1" w:rsidP="000E3295">
      <w:pPr>
        <w:spacing w:line="360" w:lineRule="auto"/>
        <w:rPr>
          <w:lang w:eastAsia="en-GB"/>
        </w:rPr>
      </w:pPr>
      <w:r w:rsidRPr="000E3295">
        <w:rPr>
          <w:rFonts w:ascii="Arial" w:hAnsi="Arial" w:cs="Arial"/>
          <w:lang w:eastAsia="en-GB"/>
        </w:rPr>
        <w:t xml:space="preserve">SMEs could simply due to risk aversion take up a more cautious approach in occasions that they want to fend off the consequences of wrong strategic decisions. The establishment of an innovation hassling culture, which will embrace testing and learning from mistakes, can be useful to counter argument this obstacle. Milton Sandford Wines Ltd. should create an atmosphere where people are encouraged to </w:t>
      </w:r>
      <w:r w:rsidRPr="000E3295">
        <w:rPr>
          <w:rFonts w:ascii="Arial" w:hAnsi="Arial" w:cs="Arial"/>
          <w:lang w:eastAsia="en-GB"/>
        </w:rPr>
        <w:lastRenderedPageBreak/>
        <w:t>take smart risks and not to treat failure as the only way of discovering areas of the process that need to be improved and changed</w:t>
      </w:r>
      <w:r w:rsidR="004B0468">
        <w:rPr>
          <w:lang w:eastAsia="en-GB"/>
        </w:rPr>
        <w:t xml:space="preserve"> </w:t>
      </w:r>
      <w:r w:rsidR="00852FC7">
        <w:rPr>
          <w:shd w:val="clear" w:color="auto" w:fill="FFFFFF"/>
        </w:rPr>
        <w:t>(</w:t>
      </w:r>
      <w:r w:rsidR="00852FC7" w:rsidRPr="00257A9A">
        <w:rPr>
          <w:shd w:val="clear" w:color="auto" w:fill="FFFFFF"/>
        </w:rPr>
        <w:t xml:space="preserve">Li, </w:t>
      </w:r>
      <w:r w:rsidR="00852FC7">
        <w:rPr>
          <w:shd w:val="clear" w:color="auto" w:fill="FFFFFF"/>
        </w:rPr>
        <w:t xml:space="preserve">et. al., </w:t>
      </w:r>
      <w:r w:rsidR="00852FC7" w:rsidRPr="00257A9A">
        <w:rPr>
          <w:shd w:val="clear" w:color="auto" w:fill="FFFFFF"/>
        </w:rPr>
        <w:t>2022)</w:t>
      </w:r>
      <w:r w:rsidRPr="007250D1">
        <w:rPr>
          <w:lang w:eastAsia="en-GB"/>
        </w:rPr>
        <w:t>.</w:t>
      </w:r>
    </w:p>
    <w:p w14:paraId="05A42F6F" w14:textId="77777777" w:rsidR="003A3889" w:rsidRPr="004A605C" w:rsidRDefault="003A3889" w:rsidP="003A3889">
      <w:pPr>
        <w:rPr>
          <w:b/>
          <w:lang w:eastAsia="en-GB"/>
        </w:rPr>
      </w:pPr>
      <w:r w:rsidRPr="004A605C">
        <w:rPr>
          <w:b/>
          <w:lang w:eastAsia="en-GB"/>
        </w:rPr>
        <w:t>3. Market Volatility:</w:t>
      </w:r>
    </w:p>
    <w:p w14:paraId="06BC7099"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The industry is sensitive to market disturbances, changes in regulations, and external factors, like climate. SMEs must be good at adapting and cope with uncertainty well. Regular market analysis, scenario planning, and risk assessments need to be undertaken by Milton Sandford Wines Ltd. so that they can identify probable threats and exploit new business avenues.</w:t>
      </w:r>
    </w:p>
    <w:p w14:paraId="063844B3" w14:textId="538734D2" w:rsidR="003A3889" w:rsidRPr="003A3889" w:rsidRDefault="003A3889" w:rsidP="000E3295">
      <w:pPr>
        <w:spacing w:line="360" w:lineRule="auto"/>
        <w:rPr>
          <w:rFonts w:cs="Times New Roman"/>
          <w:szCs w:val="24"/>
          <w:lang w:eastAsia="en-GB"/>
        </w:rPr>
      </w:pPr>
      <w:r w:rsidRPr="000E3295">
        <w:rPr>
          <w:rFonts w:ascii="Arial" w:hAnsi="Arial" w:cs="Arial"/>
          <w:lang w:eastAsia="en-GB"/>
        </w:rPr>
        <w:t>In sum, strategic direction is a speciality of SMEs such as Milton Sandford Wines Ltd. However, with the proper investment in technology, advancement of innovation, strategic partnership formation, customer focus, and people development and transformation, the company could overcome these challenges to position itself well enough to take off for the future in the dynamic wine market</w:t>
      </w:r>
      <w:r w:rsidR="004B0468">
        <w:rPr>
          <w:lang w:eastAsia="en-GB"/>
        </w:rPr>
        <w:t xml:space="preserve"> </w:t>
      </w:r>
      <w:r w:rsidR="00852FC7">
        <w:rPr>
          <w:shd w:val="clear" w:color="auto" w:fill="FFFFFF"/>
        </w:rPr>
        <w:t>(</w:t>
      </w:r>
      <w:r w:rsidR="00852FC7" w:rsidRPr="00257A9A">
        <w:rPr>
          <w:shd w:val="clear" w:color="auto" w:fill="FFFFFF"/>
        </w:rPr>
        <w:t>Onkangi</w:t>
      </w:r>
      <w:r w:rsidR="004B0468">
        <w:rPr>
          <w:shd w:val="clear" w:color="auto" w:fill="FFFFFF"/>
        </w:rPr>
        <w:t xml:space="preserve"> </w:t>
      </w:r>
      <w:r w:rsidR="00852FC7" w:rsidRPr="00257A9A">
        <w:rPr>
          <w:shd w:val="clear" w:color="auto" w:fill="FFFFFF"/>
        </w:rPr>
        <w:t>and Getugi, 2020).</w:t>
      </w:r>
    </w:p>
    <w:p w14:paraId="37B03376" w14:textId="77777777" w:rsidR="003A3889" w:rsidRPr="003A3889" w:rsidRDefault="00852FC7" w:rsidP="003A3889">
      <w:pPr>
        <w:pStyle w:val="Heading2"/>
        <w:rPr>
          <w:rFonts w:cs="Times New Roman"/>
          <w:szCs w:val="24"/>
        </w:rPr>
      </w:pPr>
      <w:bookmarkStart w:id="8" w:name="_Toc160579132"/>
      <w:r>
        <w:t>7. C</w:t>
      </w:r>
      <w:r w:rsidR="003A3889" w:rsidRPr="003A3889">
        <w:t>onclusion</w:t>
      </w:r>
      <w:bookmarkEnd w:id="8"/>
    </w:p>
    <w:p w14:paraId="7DB304B0" w14:textId="77777777" w:rsidR="003A3889" w:rsidRPr="003A3889" w:rsidRDefault="003A3889" w:rsidP="003A3889">
      <w:pPr>
        <w:spacing w:after="0" w:line="240" w:lineRule="auto"/>
        <w:jc w:val="left"/>
        <w:rPr>
          <w:rFonts w:eastAsia="Times New Roman" w:cs="Times New Roman"/>
          <w:szCs w:val="24"/>
          <w:lang w:eastAsia="en-GB"/>
        </w:rPr>
      </w:pPr>
    </w:p>
    <w:p w14:paraId="57C7D76F"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In</w:t>
      </w:r>
      <w:r w:rsidR="000E7AE5" w:rsidRPr="000E3295">
        <w:rPr>
          <w:rFonts w:ascii="Arial" w:hAnsi="Arial" w:cs="Arial"/>
          <w:lang w:eastAsia="en-GB"/>
        </w:rPr>
        <w:t xml:space="preserve"> </w:t>
      </w:r>
      <w:r w:rsidR="00225EB7" w:rsidRPr="000E3295">
        <w:rPr>
          <w:rFonts w:ascii="Arial" w:hAnsi="Arial" w:cs="Arial"/>
          <w:lang w:eastAsia="en-GB"/>
        </w:rPr>
        <w:t>summary</w:t>
      </w:r>
      <w:r w:rsidRPr="000E3295">
        <w:rPr>
          <w:rFonts w:ascii="Arial" w:hAnsi="Arial" w:cs="Arial"/>
          <w:lang w:eastAsia="en-GB"/>
        </w:rPr>
        <w:t>, Milton Sandford Wines Co. Ltd. faces resolutions in the area of strategic direction of the small patent-type winery but the resolution can be done the right way. Strategies that will be proposed include dedicated investment in technology, shifting focus to innovation, establishing major ties, using the client-centred approach, and employee training. These implemented strategies might help the company to achieve operational efficiency, thus, they can also bring out the company from the market crowd through differentiators and ultimately better customer and partner relationships. Even though Milton Sandford Wines Ltd. may be weakened as a result of a lack of resources and an unstable market, the company can still achieve sustainable growth if it can grasp its strengths and eliminate all its weaknesses. The Company could do so by adhering to the recommendations in question and eventually become a leader in the wine industry whose business succeeds and grows in the dynamic wine industry.</w:t>
      </w:r>
    </w:p>
    <w:p w14:paraId="28A0B523" w14:textId="77777777" w:rsidR="003A3889" w:rsidRDefault="003A3889">
      <w:pPr>
        <w:spacing w:line="276" w:lineRule="auto"/>
        <w:jc w:val="left"/>
        <w:rPr>
          <w:rFonts w:ascii="Arial" w:eastAsia="Times New Roman" w:hAnsi="Arial" w:cs="Arial"/>
          <w:b/>
          <w:bCs/>
          <w:color w:val="000000"/>
          <w:sz w:val="22"/>
          <w:lang w:eastAsia="en-GB"/>
        </w:rPr>
      </w:pPr>
      <w:r>
        <w:rPr>
          <w:rFonts w:ascii="Arial" w:eastAsia="Times New Roman" w:hAnsi="Arial" w:cs="Arial"/>
          <w:b/>
          <w:bCs/>
          <w:color w:val="000000"/>
          <w:sz w:val="22"/>
          <w:lang w:eastAsia="en-GB"/>
        </w:rPr>
        <w:br w:type="page"/>
      </w:r>
    </w:p>
    <w:p w14:paraId="3851C433" w14:textId="77777777" w:rsidR="003A3889" w:rsidRPr="003A3889" w:rsidRDefault="003A3889" w:rsidP="00047813">
      <w:pPr>
        <w:pStyle w:val="Heading1"/>
        <w:rPr>
          <w:rFonts w:cs="Times New Roman"/>
          <w:lang w:eastAsia="en-GB"/>
        </w:rPr>
      </w:pPr>
      <w:bookmarkStart w:id="9" w:name="_Toc160579133"/>
      <w:r w:rsidRPr="003A3889">
        <w:rPr>
          <w:lang w:eastAsia="en-GB"/>
        </w:rPr>
        <w:lastRenderedPageBreak/>
        <w:t>Task 2:</w:t>
      </w:r>
      <w:bookmarkEnd w:id="9"/>
    </w:p>
    <w:p w14:paraId="33E0B31E" w14:textId="113E5816" w:rsidR="003A3889" w:rsidRPr="00002A13" w:rsidRDefault="003A3889" w:rsidP="00002A13">
      <w:pPr>
        <w:pStyle w:val="Heading2"/>
      </w:pPr>
      <w:bookmarkStart w:id="10" w:name="_Toc160579134"/>
      <w:r w:rsidRPr="00002A13">
        <w:t>Introduction</w:t>
      </w:r>
      <w:bookmarkEnd w:id="10"/>
    </w:p>
    <w:p w14:paraId="4E445087" w14:textId="0E55F7B4" w:rsidR="00225EB7" w:rsidRPr="000E3295" w:rsidRDefault="000E7AE5" w:rsidP="000E3295">
      <w:pPr>
        <w:pStyle w:val="ListParagraph"/>
        <w:numPr>
          <w:ilvl w:val="0"/>
          <w:numId w:val="5"/>
        </w:numPr>
        <w:spacing w:line="360" w:lineRule="auto"/>
        <w:rPr>
          <w:rFonts w:ascii="Arial" w:hAnsi="Arial" w:cs="Arial"/>
          <w:lang w:eastAsia="en-GB"/>
        </w:rPr>
      </w:pPr>
      <w:r w:rsidRPr="000E3295">
        <w:rPr>
          <w:rFonts w:ascii="Arial" w:hAnsi="Arial" w:cs="Arial"/>
          <w:lang w:eastAsia="en-GB"/>
        </w:rPr>
        <w:t xml:space="preserve">The objective of this </w:t>
      </w:r>
      <w:r w:rsidR="007E7914" w:rsidRPr="000E3295">
        <w:rPr>
          <w:rFonts w:ascii="Arial" w:hAnsi="Arial" w:cs="Arial"/>
          <w:lang w:eastAsia="en-GB"/>
        </w:rPr>
        <w:t>presentation</w:t>
      </w:r>
      <w:r w:rsidR="003A3889" w:rsidRPr="000E3295">
        <w:rPr>
          <w:rFonts w:ascii="Arial" w:hAnsi="Arial" w:cs="Arial"/>
          <w:lang w:eastAsia="en-GB"/>
        </w:rPr>
        <w:t xml:space="preserve"> is to determine the strategic course &amp; future potential of an imaginary brand called Milton Sandford Wines Ltd. </w:t>
      </w:r>
    </w:p>
    <w:p w14:paraId="2DD22196" w14:textId="56E990D1" w:rsidR="00225EB7" w:rsidRPr="000E3295" w:rsidRDefault="003A3889" w:rsidP="000E3295">
      <w:pPr>
        <w:pStyle w:val="ListParagraph"/>
        <w:numPr>
          <w:ilvl w:val="0"/>
          <w:numId w:val="5"/>
        </w:numPr>
        <w:spacing w:line="360" w:lineRule="auto"/>
        <w:rPr>
          <w:rFonts w:ascii="Arial" w:hAnsi="Arial" w:cs="Arial"/>
          <w:lang w:eastAsia="en-GB"/>
        </w:rPr>
      </w:pPr>
      <w:r w:rsidRPr="000E3295">
        <w:rPr>
          <w:rFonts w:ascii="Arial" w:hAnsi="Arial" w:cs="Arial"/>
          <w:lang w:eastAsia="en-GB"/>
        </w:rPr>
        <w:t xml:space="preserve">The study will look into the current market conditions, gaming industry competitiveness levels, and risks that threaten the </w:t>
      </w:r>
      <w:r w:rsidR="003D4822" w:rsidRPr="000E3295">
        <w:rPr>
          <w:rFonts w:ascii="Arial" w:hAnsi="Arial" w:cs="Arial"/>
          <w:lang w:eastAsia="en-GB"/>
        </w:rPr>
        <w:t>organis</w:t>
      </w:r>
      <w:r w:rsidRPr="000E3295">
        <w:rPr>
          <w:rFonts w:ascii="Arial" w:hAnsi="Arial" w:cs="Arial"/>
          <w:lang w:eastAsia="en-GB"/>
        </w:rPr>
        <w:t xml:space="preserve">ation. </w:t>
      </w:r>
    </w:p>
    <w:p w14:paraId="715F4976" w14:textId="77777777" w:rsidR="00225EB7" w:rsidRPr="00225EB7" w:rsidRDefault="00225EB7" w:rsidP="003A3889">
      <w:pPr>
        <w:rPr>
          <w:b/>
          <w:lang w:eastAsia="en-GB"/>
        </w:rPr>
      </w:pPr>
      <w:r w:rsidRPr="00225EB7">
        <w:rPr>
          <w:b/>
          <w:lang w:eastAsia="en-GB"/>
        </w:rPr>
        <w:t>Speaker notes:</w:t>
      </w:r>
    </w:p>
    <w:p w14:paraId="6F922921" w14:textId="72326C1F"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 xml:space="preserve">This will include initially establishing a strategic direction in line with the business environment, but also offering </w:t>
      </w:r>
      <w:r w:rsidR="004B0468" w:rsidRPr="000E3295">
        <w:rPr>
          <w:rFonts w:ascii="Arial" w:hAnsi="Arial" w:cs="Arial"/>
          <w:lang w:eastAsia="en-GB"/>
        </w:rPr>
        <w:t>customis</w:t>
      </w:r>
      <w:r w:rsidRPr="000E3295">
        <w:rPr>
          <w:rFonts w:ascii="Arial" w:hAnsi="Arial" w:cs="Arial"/>
          <w:lang w:eastAsia="en-GB"/>
        </w:rPr>
        <w:t>ed strategic reminders specific to the situation of Milton Sandford Wines Ltd.</w:t>
      </w:r>
    </w:p>
    <w:p w14:paraId="5540BB2B" w14:textId="1FC5FAEB" w:rsidR="003A3889" w:rsidRPr="003A3889" w:rsidRDefault="003A3889" w:rsidP="00002A13">
      <w:pPr>
        <w:pStyle w:val="Heading2"/>
        <w:rPr>
          <w:rFonts w:cs="Times New Roman"/>
          <w:szCs w:val="24"/>
        </w:rPr>
      </w:pPr>
      <w:bookmarkStart w:id="11" w:name="_Toc160579135"/>
      <w:r w:rsidRPr="003A3889">
        <w:t>Current Situation Analysis</w:t>
      </w:r>
      <w:bookmarkEnd w:id="11"/>
    </w:p>
    <w:p w14:paraId="2F5934EB" w14:textId="77777777" w:rsidR="00AA7095" w:rsidRPr="000E3295" w:rsidRDefault="003A3889" w:rsidP="000E3295">
      <w:pPr>
        <w:pStyle w:val="ListParagraph"/>
        <w:numPr>
          <w:ilvl w:val="0"/>
          <w:numId w:val="6"/>
        </w:numPr>
        <w:spacing w:line="360" w:lineRule="auto"/>
        <w:rPr>
          <w:rFonts w:ascii="Arial" w:hAnsi="Arial" w:cs="Arial"/>
          <w:lang w:eastAsia="en-GB"/>
        </w:rPr>
      </w:pPr>
      <w:r w:rsidRPr="000E3295">
        <w:rPr>
          <w:rFonts w:ascii="Arial" w:hAnsi="Arial" w:cs="Arial"/>
          <w:lang w:eastAsia="en-GB"/>
        </w:rPr>
        <w:t xml:space="preserve">The wine business has the characteristic of dimorph ore consumption, unstable markets, together with severe competition among the manufacturers and distributors. </w:t>
      </w:r>
    </w:p>
    <w:p w14:paraId="0C4FDC1D" w14:textId="77777777" w:rsidR="00AA7095" w:rsidRPr="000E3295" w:rsidRDefault="00AA7095" w:rsidP="000E3295">
      <w:pPr>
        <w:pStyle w:val="ListParagraph"/>
        <w:numPr>
          <w:ilvl w:val="0"/>
          <w:numId w:val="6"/>
        </w:numPr>
        <w:spacing w:line="360" w:lineRule="auto"/>
        <w:rPr>
          <w:rFonts w:ascii="Arial" w:hAnsi="Arial" w:cs="Arial"/>
          <w:szCs w:val="24"/>
          <w:lang w:eastAsia="en-GB"/>
        </w:rPr>
      </w:pPr>
      <w:r w:rsidRPr="000E3295">
        <w:rPr>
          <w:rFonts w:ascii="Arial" w:hAnsi="Arial" w:cs="Arial"/>
          <w:lang w:eastAsia="en-GB"/>
        </w:rPr>
        <w:t>Also efficiently managing distribution channels is another top priority.</w:t>
      </w:r>
    </w:p>
    <w:p w14:paraId="6EBBF59C" w14:textId="77777777" w:rsidR="00AA7095" w:rsidRPr="00AA7095" w:rsidRDefault="00AA7095" w:rsidP="003A3889">
      <w:pPr>
        <w:rPr>
          <w:b/>
          <w:lang w:eastAsia="en-GB"/>
        </w:rPr>
      </w:pPr>
      <w:r w:rsidRPr="00AA7095">
        <w:rPr>
          <w:b/>
          <w:lang w:eastAsia="en-GB"/>
        </w:rPr>
        <w:t>Speaker notes:</w:t>
      </w:r>
    </w:p>
    <w:p w14:paraId="3BCA60E7" w14:textId="5DAA711E"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 xml:space="preserve">From demographic change through </w:t>
      </w:r>
      <w:r w:rsidR="007E1848" w:rsidRPr="000E3295">
        <w:rPr>
          <w:rFonts w:ascii="Arial" w:hAnsi="Arial" w:cs="Arial"/>
          <w:lang w:eastAsia="en-GB"/>
        </w:rPr>
        <w:t>globalis</w:t>
      </w:r>
      <w:r w:rsidRPr="000E3295">
        <w:rPr>
          <w:rFonts w:ascii="Arial" w:hAnsi="Arial" w:cs="Arial"/>
          <w:lang w:eastAsia="en-GB"/>
        </w:rPr>
        <w:t xml:space="preserve">ation and regulations, market logic plays a key role in the business environment. The ability to exhibit the latest inventions to meet the needs of the customers like quality, taste and sustainability is the ultimate strategy. </w:t>
      </w:r>
      <w:r w:rsidR="00180A1C" w:rsidRPr="000E3295">
        <w:rPr>
          <w:rFonts w:ascii="Arial" w:hAnsi="Arial" w:cs="Arial"/>
          <w:lang w:eastAsia="en-GB"/>
        </w:rPr>
        <w:t>Therefore</w:t>
      </w:r>
      <w:r w:rsidRPr="000E3295">
        <w:rPr>
          <w:rFonts w:ascii="Arial" w:hAnsi="Arial" w:cs="Arial"/>
          <w:lang w:eastAsia="en-GB"/>
        </w:rPr>
        <w:t>, new lines of e-commerce and point-of-sale marketing are changing the distribution networks and are producing new opportunities for market expansion.</w:t>
      </w:r>
    </w:p>
    <w:p w14:paraId="5DF441E0" w14:textId="424960E6" w:rsidR="003A3889" w:rsidRPr="003A3889" w:rsidRDefault="003A3889" w:rsidP="000E3295">
      <w:pPr>
        <w:spacing w:line="360" w:lineRule="auto"/>
        <w:rPr>
          <w:rFonts w:cs="Times New Roman"/>
          <w:szCs w:val="24"/>
          <w:lang w:eastAsia="en-GB"/>
        </w:rPr>
      </w:pPr>
      <w:r w:rsidRPr="000E3295">
        <w:rPr>
          <w:rFonts w:ascii="Arial" w:hAnsi="Arial" w:cs="Arial"/>
          <w:lang w:eastAsia="en-GB"/>
        </w:rPr>
        <w:t>Milton Sandford Wines Ltd. is in fierce competition with the wine industry where wine market preference leans more towards the most luxurious and sustainable products</w:t>
      </w:r>
      <w:r w:rsidR="007E1848">
        <w:rPr>
          <w:lang w:eastAsia="en-GB"/>
        </w:rPr>
        <w:t xml:space="preserve"> </w:t>
      </w:r>
      <w:r w:rsidR="00AB459B">
        <w:rPr>
          <w:shd w:val="clear" w:color="auto" w:fill="FFFFFF"/>
        </w:rPr>
        <w:t>(</w:t>
      </w:r>
      <w:r w:rsidR="00180A1C">
        <w:rPr>
          <w:shd w:val="clear" w:color="auto" w:fill="FFFFFF"/>
        </w:rPr>
        <w:t>Baiano</w:t>
      </w:r>
      <w:r w:rsidR="00AB459B" w:rsidRPr="00257A9A">
        <w:rPr>
          <w:shd w:val="clear" w:color="auto" w:fill="FFFFFF"/>
        </w:rPr>
        <w:t>, 202</w:t>
      </w:r>
      <w:r w:rsidR="00180A1C">
        <w:rPr>
          <w:shd w:val="clear" w:color="auto" w:fill="FFFFFF"/>
        </w:rPr>
        <w:t>1</w:t>
      </w:r>
      <w:r w:rsidR="00AB459B" w:rsidRPr="00257A9A">
        <w:rPr>
          <w:shd w:val="clear" w:color="auto" w:fill="FFFFFF"/>
        </w:rPr>
        <w:t>)</w:t>
      </w:r>
      <w:r w:rsidRPr="003A3889">
        <w:rPr>
          <w:lang w:eastAsia="en-GB"/>
        </w:rPr>
        <w:t xml:space="preserve">. </w:t>
      </w:r>
      <w:r w:rsidRPr="000E3295">
        <w:rPr>
          <w:rFonts w:ascii="Arial" w:hAnsi="Arial" w:cs="Arial"/>
          <w:lang w:eastAsia="en-GB"/>
        </w:rPr>
        <w:t xml:space="preserve">The competitors cover the whole spectrum, including the senior and mid-tier wineries being the well-established ones, and the small-scale producers being the emerging players, all trying to survive by differentiating themselves from the crowd through marketing and branding. The obstacles are in the changeable grape prices, </w:t>
      </w:r>
      <w:r w:rsidRPr="000E3295">
        <w:rPr>
          <w:rFonts w:ascii="Arial" w:hAnsi="Arial" w:cs="Arial"/>
          <w:lang w:eastAsia="en-GB"/>
        </w:rPr>
        <w:lastRenderedPageBreak/>
        <w:t>regulations compliance issues, and complex deliveries. Balancing consumer preferences shift, and keeping razor-sharp products line one of the most important priorities for Milton Sandford Wines Ltd.</w:t>
      </w:r>
      <w:r w:rsidRPr="003A3889">
        <w:rPr>
          <w:lang w:eastAsia="en-GB"/>
        </w:rPr>
        <w:t xml:space="preserve"> </w:t>
      </w:r>
    </w:p>
    <w:p w14:paraId="7E9024E8" w14:textId="0937C252" w:rsidR="003A3889" w:rsidRPr="003A3889" w:rsidRDefault="003A3889" w:rsidP="00002A13">
      <w:pPr>
        <w:pStyle w:val="Heading2"/>
        <w:rPr>
          <w:rFonts w:cs="Times New Roman"/>
          <w:szCs w:val="24"/>
        </w:rPr>
      </w:pPr>
      <w:bookmarkStart w:id="12" w:name="_Toc160579136"/>
      <w:r w:rsidRPr="003A3889">
        <w:t>Strategic Growth Choices for SMEs</w:t>
      </w:r>
      <w:bookmarkEnd w:id="12"/>
    </w:p>
    <w:p w14:paraId="7AE4E61E" w14:textId="77777777" w:rsidR="00AA7095" w:rsidRPr="000E3295" w:rsidRDefault="003A3889" w:rsidP="000E3295">
      <w:pPr>
        <w:pStyle w:val="ListParagraph"/>
        <w:numPr>
          <w:ilvl w:val="0"/>
          <w:numId w:val="7"/>
        </w:numPr>
        <w:spacing w:line="360" w:lineRule="auto"/>
        <w:rPr>
          <w:rFonts w:ascii="Arial" w:hAnsi="Arial" w:cs="Arial"/>
          <w:lang w:eastAsia="en-GB"/>
        </w:rPr>
      </w:pPr>
      <w:r w:rsidRPr="000E3295">
        <w:rPr>
          <w:rFonts w:ascii="Arial" w:hAnsi="Arial" w:cs="Arial"/>
          <w:lang w:eastAsia="en-GB"/>
        </w:rPr>
        <w:t xml:space="preserve">Milton Sandford Wine Ltd. can choose from four major strategic growth options: market penetration, product development, market development, and diversification. </w:t>
      </w:r>
    </w:p>
    <w:p w14:paraId="3A5D0742" w14:textId="77777777" w:rsidR="00AA7095" w:rsidRPr="000E3295" w:rsidRDefault="00AA7095" w:rsidP="000E3295">
      <w:pPr>
        <w:pStyle w:val="ListParagraph"/>
        <w:numPr>
          <w:ilvl w:val="0"/>
          <w:numId w:val="7"/>
        </w:numPr>
        <w:spacing w:line="360" w:lineRule="auto"/>
        <w:rPr>
          <w:rFonts w:ascii="Arial" w:hAnsi="Arial" w:cs="Arial"/>
          <w:lang w:eastAsia="en-GB"/>
        </w:rPr>
      </w:pPr>
      <w:r w:rsidRPr="000E3295">
        <w:rPr>
          <w:rFonts w:ascii="Arial" w:hAnsi="Arial" w:cs="Arial"/>
          <w:lang w:eastAsia="en-GB"/>
        </w:rPr>
        <w:t>Market penetration focuses on gaining popularity within existing markets by hard competition mechanisms of advertising and pricing.</w:t>
      </w:r>
    </w:p>
    <w:p w14:paraId="1DEC3A48" w14:textId="77777777" w:rsidR="00AA7095" w:rsidRPr="00AA7095" w:rsidRDefault="00AA7095" w:rsidP="003A3889">
      <w:pPr>
        <w:rPr>
          <w:b/>
          <w:lang w:eastAsia="en-GB"/>
        </w:rPr>
      </w:pPr>
      <w:r w:rsidRPr="00AA7095">
        <w:rPr>
          <w:b/>
          <w:lang w:eastAsia="en-GB"/>
        </w:rPr>
        <w:t>Speaker notes:</w:t>
      </w:r>
    </w:p>
    <w:p w14:paraId="0A84A4B1"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In market development, you try to increase its market share in existing markets, while in product development you focus on creating new wine types or a new way of presenting its wine. Market development encompasses the act of getting new geographic areas or distribution channels into it. The process of diversification goes into businesses that are related or unrelated to mitigate risk and generate new income sources.</w:t>
      </w:r>
    </w:p>
    <w:p w14:paraId="1DAEC72F" w14:textId="5B3C94D8"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The process of product development involves the development of new wine varieties or packaging formats to conform to the dynamically changing customer taste</w:t>
      </w:r>
      <w:r w:rsidR="00180A1C" w:rsidRPr="000E3295">
        <w:rPr>
          <w:rFonts w:ascii="Arial" w:hAnsi="Arial" w:cs="Arial"/>
          <w:lang w:eastAsia="en-GB"/>
        </w:rPr>
        <w:t xml:space="preserve"> </w:t>
      </w:r>
      <w:r w:rsidR="00B82AD9" w:rsidRPr="000E3295">
        <w:rPr>
          <w:rFonts w:ascii="Arial" w:hAnsi="Arial" w:cs="Arial"/>
          <w:shd w:val="clear" w:color="auto" w:fill="FFFFFF"/>
        </w:rPr>
        <w:t>(</w:t>
      </w:r>
      <w:r w:rsidR="00180A1C" w:rsidRPr="000E3295">
        <w:rPr>
          <w:rFonts w:ascii="Arial" w:hAnsi="Arial" w:cs="Arial"/>
          <w:shd w:val="clear" w:color="auto" w:fill="FFFFFF"/>
        </w:rPr>
        <w:t>Jun</w:t>
      </w:r>
      <w:r w:rsidR="00B82AD9" w:rsidRPr="000E3295">
        <w:rPr>
          <w:rFonts w:ascii="Arial" w:hAnsi="Arial" w:cs="Arial"/>
          <w:shd w:val="clear" w:color="auto" w:fill="FFFFFF"/>
        </w:rPr>
        <w:t>, et. al., 202</w:t>
      </w:r>
      <w:r w:rsidR="00180A1C" w:rsidRPr="000E3295">
        <w:rPr>
          <w:rFonts w:ascii="Arial" w:hAnsi="Arial" w:cs="Arial"/>
          <w:shd w:val="clear" w:color="auto" w:fill="FFFFFF"/>
        </w:rPr>
        <w:t>1</w:t>
      </w:r>
      <w:r w:rsidR="00B82AD9" w:rsidRPr="000E3295">
        <w:rPr>
          <w:rFonts w:ascii="Arial" w:hAnsi="Arial" w:cs="Arial"/>
          <w:shd w:val="clear" w:color="auto" w:fill="FFFFFF"/>
        </w:rPr>
        <w:t>)</w:t>
      </w:r>
      <w:r w:rsidRPr="000E3295">
        <w:rPr>
          <w:rFonts w:ascii="Arial" w:hAnsi="Arial" w:cs="Arial"/>
          <w:lang w:eastAsia="en-GB"/>
        </w:rPr>
        <w:t>. Targeting markets means exploring new territories or channels for trade. It has implemented a diversification strategy and entered related or unrelated fields to reduce risk and make new income channels. Through each strategy, there are unique opportunities and challenges for SMEs, such as Milton Sandford Wines Limited.</w:t>
      </w:r>
    </w:p>
    <w:p w14:paraId="551C2858" w14:textId="3B267910" w:rsidR="003A3889" w:rsidRPr="003A3889" w:rsidRDefault="003A3889" w:rsidP="00002A13">
      <w:pPr>
        <w:pStyle w:val="Heading2"/>
        <w:rPr>
          <w:rFonts w:cs="Times New Roman"/>
          <w:szCs w:val="24"/>
        </w:rPr>
      </w:pPr>
      <w:bookmarkStart w:id="13" w:name="_Toc160579137"/>
      <w:r w:rsidRPr="003A3889">
        <w:t>Proposed Strategy</w:t>
      </w:r>
      <w:bookmarkEnd w:id="13"/>
    </w:p>
    <w:p w14:paraId="3444A2BE" w14:textId="77777777" w:rsidR="00AA7095" w:rsidRPr="000E3295" w:rsidRDefault="003A3889" w:rsidP="000E3295">
      <w:pPr>
        <w:pStyle w:val="ListParagraph"/>
        <w:numPr>
          <w:ilvl w:val="0"/>
          <w:numId w:val="8"/>
        </w:numPr>
        <w:spacing w:line="360" w:lineRule="auto"/>
        <w:rPr>
          <w:rFonts w:ascii="Arial" w:hAnsi="Arial" w:cs="Arial"/>
          <w:lang w:eastAsia="en-GB"/>
        </w:rPr>
      </w:pPr>
      <w:r w:rsidRPr="000E3295">
        <w:rPr>
          <w:rFonts w:ascii="Arial" w:hAnsi="Arial" w:cs="Arial"/>
          <w:lang w:eastAsia="en-GB"/>
        </w:rPr>
        <w:t xml:space="preserve">Maintaining the success of Milton Sandford Wines Ltd, needs the strategy of vertical integration, with the vineyard, winery and distribution channels owned by the company. </w:t>
      </w:r>
    </w:p>
    <w:p w14:paraId="482426A5" w14:textId="77777777" w:rsidR="00AA7095" w:rsidRPr="000E3295" w:rsidRDefault="00AA7095" w:rsidP="000E3295">
      <w:pPr>
        <w:pStyle w:val="ListParagraph"/>
        <w:numPr>
          <w:ilvl w:val="0"/>
          <w:numId w:val="8"/>
        </w:numPr>
        <w:spacing w:line="360" w:lineRule="auto"/>
        <w:rPr>
          <w:rFonts w:ascii="Arial" w:hAnsi="Arial" w:cs="Arial"/>
          <w:lang w:eastAsia="en-GB"/>
        </w:rPr>
      </w:pPr>
      <w:r w:rsidRPr="000E3295">
        <w:rPr>
          <w:rFonts w:ascii="Arial" w:hAnsi="Arial" w:cs="Arial"/>
          <w:lang w:eastAsia="en-GB"/>
        </w:rPr>
        <w:t>An integrated vertical farming model is one in which the farmer controls all stages in the supply chain, from grape farming to distribution and storefront retail.</w:t>
      </w:r>
    </w:p>
    <w:p w14:paraId="2DEB56B1" w14:textId="77777777" w:rsidR="00AA7095" w:rsidRPr="00AA7095" w:rsidRDefault="00AA7095" w:rsidP="003A3889">
      <w:pPr>
        <w:rPr>
          <w:b/>
          <w:lang w:eastAsia="en-GB"/>
        </w:rPr>
      </w:pPr>
      <w:r w:rsidRPr="00AA7095">
        <w:rPr>
          <w:b/>
          <w:lang w:eastAsia="en-GB"/>
        </w:rPr>
        <w:lastRenderedPageBreak/>
        <w:t>Speaker notes:</w:t>
      </w:r>
    </w:p>
    <w:p w14:paraId="38699A78" w14:textId="77777777" w:rsidR="003A3889" w:rsidRPr="000E3295" w:rsidRDefault="00AA7095" w:rsidP="000E3295">
      <w:pPr>
        <w:spacing w:line="360" w:lineRule="auto"/>
        <w:rPr>
          <w:rFonts w:ascii="Arial" w:hAnsi="Arial" w:cs="Arial"/>
          <w:szCs w:val="24"/>
          <w:lang w:eastAsia="en-GB"/>
        </w:rPr>
      </w:pPr>
      <w:r w:rsidRPr="000E3295">
        <w:rPr>
          <w:rFonts w:ascii="Arial" w:hAnsi="Arial" w:cs="Arial"/>
          <w:lang w:eastAsia="en-GB"/>
        </w:rPr>
        <w:t>With the</w:t>
      </w:r>
      <w:r w:rsidR="003A3889" w:rsidRPr="000E3295">
        <w:rPr>
          <w:rFonts w:ascii="Arial" w:hAnsi="Arial" w:cs="Arial"/>
          <w:lang w:eastAsia="en-GB"/>
        </w:rPr>
        <w:t xml:space="preserve"> quality reactiveness, cost efficacy and market separateness are improved. Milton Sandford Wines Ltd. owning the most vital parts of the supply chain can be the reason for operational resilience and advantages of economies of scale that would result in ensuring the stable long-term development and competitiveness of the company in the volatile wine industry.</w:t>
      </w:r>
    </w:p>
    <w:p w14:paraId="4657C316" w14:textId="6F528B8C" w:rsidR="003A3889" w:rsidRPr="003A3889" w:rsidRDefault="003A3889" w:rsidP="000E3295">
      <w:pPr>
        <w:spacing w:line="360" w:lineRule="auto"/>
        <w:rPr>
          <w:rFonts w:cs="Times New Roman"/>
          <w:szCs w:val="24"/>
          <w:lang w:eastAsia="en-GB"/>
        </w:rPr>
      </w:pPr>
      <w:r w:rsidRPr="000E3295">
        <w:rPr>
          <w:rFonts w:ascii="Arial" w:hAnsi="Arial" w:cs="Arial"/>
          <w:lang w:eastAsia="en-GB"/>
        </w:rPr>
        <w:t xml:space="preserve">To make Milton Sandford Wines Ltd. better, this strategy has several opportunities, including cost efficiency, and quality control, and is unique in the </w:t>
      </w:r>
      <w:r w:rsidR="000E3295" w:rsidRPr="000E3295">
        <w:rPr>
          <w:rFonts w:ascii="Arial" w:hAnsi="Arial" w:cs="Arial"/>
          <w:lang w:eastAsia="en-GB"/>
        </w:rPr>
        <w:t>market</w:t>
      </w:r>
      <w:r w:rsidR="000E3295">
        <w:rPr>
          <w:shd w:val="clear" w:color="auto" w:fill="FFFFFF"/>
        </w:rPr>
        <w:t xml:space="preserve"> (</w:t>
      </w:r>
      <w:r w:rsidR="00AB459B" w:rsidRPr="00257A9A">
        <w:rPr>
          <w:shd w:val="clear" w:color="auto" w:fill="FFFFFF"/>
        </w:rPr>
        <w:t xml:space="preserve">Adams, </w:t>
      </w:r>
      <w:r w:rsidR="00AB459B">
        <w:rPr>
          <w:shd w:val="clear" w:color="auto" w:fill="FFFFFF"/>
        </w:rPr>
        <w:t xml:space="preserve">et. al., </w:t>
      </w:r>
      <w:r w:rsidR="00AB459B" w:rsidRPr="00257A9A">
        <w:rPr>
          <w:shd w:val="clear" w:color="auto" w:fill="FFFFFF"/>
        </w:rPr>
        <w:t>2020)</w:t>
      </w:r>
      <w:r w:rsidRPr="003A3889">
        <w:rPr>
          <w:lang w:eastAsia="en-GB"/>
        </w:rPr>
        <w:t xml:space="preserve">. </w:t>
      </w:r>
      <w:r w:rsidRPr="000E3295">
        <w:rPr>
          <w:rFonts w:ascii="Arial" w:hAnsi="Arial" w:cs="Arial"/>
          <w:lang w:eastAsia="en-GB"/>
        </w:rPr>
        <w:t xml:space="preserve">Through wineries and vineyards owned, distribution chains and inputs supply </w:t>
      </w:r>
      <w:r w:rsidR="00EC5285" w:rsidRPr="000E3295">
        <w:rPr>
          <w:rFonts w:ascii="Arial" w:hAnsi="Arial" w:cs="Arial"/>
          <w:lang w:eastAsia="en-GB"/>
        </w:rPr>
        <w:t>control;</w:t>
      </w:r>
      <w:r w:rsidRPr="000E3295">
        <w:rPr>
          <w:rFonts w:ascii="Arial" w:hAnsi="Arial" w:cs="Arial"/>
          <w:lang w:eastAsia="en-GB"/>
        </w:rPr>
        <w:t xml:space="preserve"> the company can maintain the standard of the product quality, lessen the dependence on other suppliers as well as strengthen its competitive position in the market for long-term growth.</w:t>
      </w:r>
    </w:p>
    <w:p w14:paraId="2FE40680" w14:textId="4DFF3A45" w:rsidR="003A3889" w:rsidRPr="003A3889" w:rsidRDefault="00644B35" w:rsidP="00002A13">
      <w:pPr>
        <w:pStyle w:val="Heading2"/>
        <w:rPr>
          <w:rFonts w:cs="Times New Roman"/>
          <w:szCs w:val="24"/>
        </w:rPr>
      </w:pPr>
      <w:bookmarkStart w:id="14" w:name="_Toc160579138"/>
      <w:r>
        <w:t>Implementation Challenges</w:t>
      </w:r>
      <w:bookmarkEnd w:id="14"/>
    </w:p>
    <w:p w14:paraId="59DA185E" w14:textId="77777777" w:rsidR="00AA7095" w:rsidRPr="000E3295" w:rsidRDefault="003A3889" w:rsidP="000E3295">
      <w:pPr>
        <w:pStyle w:val="ListParagraph"/>
        <w:numPr>
          <w:ilvl w:val="0"/>
          <w:numId w:val="9"/>
        </w:numPr>
        <w:spacing w:line="360" w:lineRule="auto"/>
        <w:rPr>
          <w:rFonts w:ascii="Arial" w:hAnsi="Arial" w:cs="Arial"/>
          <w:lang w:eastAsia="en-GB"/>
        </w:rPr>
      </w:pPr>
      <w:r w:rsidRPr="000E3295">
        <w:rPr>
          <w:rFonts w:ascii="Arial" w:hAnsi="Arial" w:cs="Arial"/>
          <w:lang w:eastAsia="en-GB"/>
        </w:rPr>
        <w:t xml:space="preserve">Vertical integration for Milton Sandford Wines Ltd. may be faced with several obstacles, such as high initial investment costs, potential resistance from suppliers or distributors, and operational complexities that have to be managed in the entire supply chain. </w:t>
      </w:r>
    </w:p>
    <w:p w14:paraId="1EE5AD03" w14:textId="77777777" w:rsidR="00AA7095" w:rsidRPr="000E3295" w:rsidRDefault="00AA7095" w:rsidP="000E3295">
      <w:pPr>
        <w:pStyle w:val="ListParagraph"/>
        <w:numPr>
          <w:ilvl w:val="0"/>
          <w:numId w:val="9"/>
        </w:numPr>
        <w:spacing w:line="360" w:lineRule="auto"/>
        <w:rPr>
          <w:rFonts w:ascii="Arial" w:hAnsi="Arial" w:cs="Arial"/>
          <w:lang w:eastAsia="en-GB"/>
        </w:rPr>
      </w:pPr>
      <w:r w:rsidRPr="000E3295">
        <w:rPr>
          <w:rFonts w:ascii="Arial" w:hAnsi="Arial" w:cs="Arial"/>
          <w:lang w:eastAsia="en-GB"/>
        </w:rPr>
        <w:t>Financial and human resource constraints in the company may limit its potential for implementing vertical integration.</w:t>
      </w:r>
    </w:p>
    <w:p w14:paraId="6C2AFDEA" w14:textId="77777777" w:rsidR="00AA7095" w:rsidRPr="00AA7095" w:rsidRDefault="00AA7095" w:rsidP="003A3889">
      <w:pPr>
        <w:rPr>
          <w:b/>
          <w:lang w:eastAsia="en-GB"/>
        </w:rPr>
      </w:pPr>
      <w:r w:rsidRPr="00AA7095">
        <w:rPr>
          <w:b/>
          <w:lang w:eastAsia="en-GB"/>
        </w:rPr>
        <w:t>Speaker notes:</w:t>
      </w:r>
    </w:p>
    <w:p w14:paraId="485BF231"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In addition, regulatory hurdles, including licensing and compliance requirements, might present some challenges. Effective communication must be key in addressing the above issues for the successful implementation of the new strategy.</w:t>
      </w:r>
    </w:p>
    <w:p w14:paraId="0A672921" w14:textId="0992A451"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 xml:space="preserve">Managerial risk aversion can dissuade the company from taking bold strategic moves. Volatility and changes in consumer preferences present uncertainty in the market. Multiple responsibilities within management may reduce the availability of time and attention for strategic planning and </w:t>
      </w:r>
      <w:r w:rsidR="000E3295" w:rsidRPr="000E3295">
        <w:rPr>
          <w:rFonts w:ascii="Arial" w:hAnsi="Arial" w:cs="Arial"/>
          <w:lang w:eastAsia="en-GB"/>
        </w:rPr>
        <w:t>execution</w:t>
      </w:r>
      <w:r w:rsidR="000E3295">
        <w:rPr>
          <w:shd w:val="clear" w:color="auto" w:fill="FFFFFF"/>
        </w:rPr>
        <w:t xml:space="preserve"> (</w:t>
      </w:r>
      <w:r w:rsidR="00AB459B" w:rsidRPr="00257A9A">
        <w:rPr>
          <w:shd w:val="clear" w:color="auto" w:fill="FFFFFF"/>
        </w:rPr>
        <w:t xml:space="preserve">Ng, </w:t>
      </w:r>
      <w:r w:rsidR="00AB459B">
        <w:rPr>
          <w:shd w:val="clear" w:color="auto" w:fill="FFFFFF"/>
        </w:rPr>
        <w:t xml:space="preserve">et. al., </w:t>
      </w:r>
      <w:r w:rsidR="00AB459B" w:rsidRPr="00257A9A">
        <w:rPr>
          <w:shd w:val="clear" w:color="auto" w:fill="FFFFFF"/>
        </w:rPr>
        <w:t>2022)</w:t>
      </w:r>
      <w:r w:rsidRPr="003A3889">
        <w:rPr>
          <w:lang w:eastAsia="en-GB"/>
        </w:rPr>
        <w:t xml:space="preserve">. </w:t>
      </w:r>
      <w:r w:rsidRPr="000E3295">
        <w:rPr>
          <w:rFonts w:ascii="Arial" w:hAnsi="Arial" w:cs="Arial"/>
          <w:lang w:eastAsia="en-GB"/>
        </w:rPr>
        <w:t>A resolution to these challenges requires the proper timing of planning, prioritization of activities, and potential external support.</w:t>
      </w:r>
    </w:p>
    <w:p w14:paraId="32A19CF9" w14:textId="536B52A4" w:rsidR="003A3889" w:rsidRPr="003A3889" w:rsidRDefault="003A3889" w:rsidP="00002A13">
      <w:pPr>
        <w:pStyle w:val="Heading2"/>
        <w:rPr>
          <w:rFonts w:cs="Times New Roman"/>
          <w:szCs w:val="24"/>
        </w:rPr>
      </w:pPr>
      <w:bookmarkStart w:id="15" w:name="_Toc160579139"/>
      <w:r w:rsidRPr="003A3889">
        <w:lastRenderedPageBreak/>
        <w:t>Key Recommendations for Implementation</w:t>
      </w:r>
      <w:bookmarkEnd w:id="15"/>
    </w:p>
    <w:p w14:paraId="7D0FC8F5" w14:textId="244CEB42" w:rsidR="00AA7095" w:rsidRPr="000E3295" w:rsidRDefault="003A3889" w:rsidP="000E3295">
      <w:pPr>
        <w:pStyle w:val="ListParagraph"/>
        <w:numPr>
          <w:ilvl w:val="0"/>
          <w:numId w:val="10"/>
        </w:numPr>
        <w:spacing w:line="360" w:lineRule="auto"/>
        <w:rPr>
          <w:rFonts w:ascii="Arial" w:hAnsi="Arial" w:cs="Arial"/>
          <w:lang w:eastAsia="en-GB"/>
        </w:rPr>
      </w:pPr>
      <w:r w:rsidRPr="000E3295">
        <w:rPr>
          <w:rFonts w:ascii="Arial" w:hAnsi="Arial" w:cs="Arial"/>
          <w:lang w:eastAsia="en-GB"/>
        </w:rPr>
        <w:t xml:space="preserve">The </w:t>
      </w:r>
      <w:r w:rsidR="003D4822" w:rsidRPr="000E3295">
        <w:rPr>
          <w:rFonts w:ascii="Arial" w:hAnsi="Arial" w:cs="Arial"/>
          <w:lang w:eastAsia="en-GB"/>
        </w:rPr>
        <w:t>organis</w:t>
      </w:r>
      <w:r w:rsidRPr="000E3295">
        <w:rPr>
          <w:rFonts w:ascii="Arial" w:hAnsi="Arial" w:cs="Arial"/>
          <w:lang w:eastAsia="en-GB"/>
        </w:rPr>
        <w:t xml:space="preserve">ation has to consider various possibilities to solve the financing issues, </w:t>
      </w:r>
      <w:r w:rsidR="000E7AE5" w:rsidRPr="000E3295">
        <w:rPr>
          <w:rFonts w:ascii="Arial" w:hAnsi="Arial" w:cs="Arial"/>
          <w:lang w:eastAsia="en-GB"/>
        </w:rPr>
        <w:t>e.g.</w:t>
      </w:r>
      <w:r w:rsidRPr="000E3295">
        <w:rPr>
          <w:rFonts w:ascii="Arial" w:hAnsi="Arial" w:cs="Arial"/>
          <w:lang w:eastAsia="en-GB"/>
        </w:rPr>
        <w:t xml:space="preserve">, looking for external funding or forming partnerships. </w:t>
      </w:r>
    </w:p>
    <w:p w14:paraId="619D4A4D" w14:textId="77777777" w:rsidR="00AA7095" w:rsidRPr="000E3295" w:rsidRDefault="00AA7095" w:rsidP="000E3295">
      <w:pPr>
        <w:pStyle w:val="ListParagraph"/>
        <w:numPr>
          <w:ilvl w:val="0"/>
          <w:numId w:val="10"/>
        </w:numPr>
        <w:spacing w:line="360" w:lineRule="auto"/>
        <w:rPr>
          <w:rFonts w:ascii="Arial" w:hAnsi="Arial" w:cs="Arial"/>
          <w:lang w:eastAsia="en-GB"/>
        </w:rPr>
      </w:pPr>
      <w:r w:rsidRPr="000E3295">
        <w:rPr>
          <w:rFonts w:ascii="Arial" w:hAnsi="Arial" w:cs="Arial"/>
          <w:lang w:eastAsia="en-GB"/>
        </w:rPr>
        <w:t>Together, with its state-of-art technology implementation, Milton Sandford Wines Ltd. will be able to automate processes and increase its operational efficiency.</w:t>
      </w:r>
    </w:p>
    <w:p w14:paraId="6A384A01" w14:textId="77777777" w:rsidR="00AA7095" w:rsidRPr="00AA7095" w:rsidRDefault="00AA7095" w:rsidP="003A3889">
      <w:pPr>
        <w:rPr>
          <w:b/>
          <w:lang w:eastAsia="en-GB"/>
        </w:rPr>
      </w:pPr>
      <w:r w:rsidRPr="00AA7095">
        <w:rPr>
          <w:b/>
          <w:lang w:eastAsia="en-GB"/>
        </w:rPr>
        <w:t>Speaker notes:</w:t>
      </w:r>
    </w:p>
    <w:p w14:paraId="0C7C06FF" w14:textId="77777777" w:rsidR="003A3889" w:rsidRPr="000E3295" w:rsidRDefault="003A3889" w:rsidP="000E3295">
      <w:pPr>
        <w:spacing w:line="360" w:lineRule="auto"/>
        <w:rPr>
          <w:rFonts w:ascii="Arial" w:hAnsi="Arial" w:cs="Arial"/>
          <w:szCs w:val="24"/>
          <w:lang w:eastAsia="en-GB"/>
        </w:rPr>
      </w:pPr>
      <w:r w:rsidRPr="000E3295">
        <w:rPr>
          <w:rFonts w:ascii="Arial" w:hAnsi="Arial" w:cs="Arial"/>
          <w:lang w:eastAsia="en-GB"/>
        </w:rPr>
        <w:t>Mitigating risk aversion encompasses building a culture of innovation and it requires a willingness to take calculated risks. By risk management through the use of scenario planning and flexible strategies, the market volatility is being combated. Overcoming the limitation emanating from managerial bandwidth requires a delegation of responsibilities and the establishment of efficient channels of communication as well as maybe seeking additional employees or contracting others for some of the job tasks.</w:t>
      </w:r>
    </w:p>
    <w:p w14:paraId="0D251711" w14:textId="574E34CB" w:rsidR="003A3889" w:rsidRPr="003A3889" w:rsidRDefault="003A3889" w:rsidP="000E3295">
      <w:pPr>
        <w:spacing w:line="360" w:lineRule="auto"/>
        <w:rPr>
          <w:rFonts w:cs="Times New Roman"/>
          <w:szCs w:val="24"/>
          <w:lang w:eastAsia="en-GB"/>
        </w:rPr>
      </w:pPr>
      <w:r w:rsidRPr="000E3295">
        <w:rPr>
          <w:rFonts w:ascii="Arial" w:hAnsi="Arial" w:cs="Arial"/>
          <w:lang w:eastAsia="en-GB"/>
        </w:rPr>
        <w:t>The promotion of innovation is the process of developing an atmosphere that stimulates problem-solving and offers space to experiment. One aspect to consider may be to establish alliances through local vineyards and distribution outlets, which would create a broader market outreach and facilitate resource-sharing</w:t>
      </w:r>
      <w:r w:rsidR="00E1303B">
        <w:rPr>
          <w:lang w:eastAsia="en-GB"/>
        </w:rPr>
        <w:t xml:space="preserve"> </w:t>
      </w:r>
      <w:r w:rsidR="00B82AD9">
        <w:rPr>
          <w:shd w:val="clear" w:color="auto" w:fill="FFFFFF"/>
        </w:rPr>
        <w:t>(</w:t>
      </w:r>
      <w:r w:rsidR="00B82AD9" w:rsidRPr="00257A9A">
        <w:rPr>
          <w:shd w:val="clear" w:color="auto" w:fill="FFFFFF"/>
        </w:rPr>
        <w:t xml:space="preserve">Skeete, </w:t>
      </w:r>
      <w:r w:rsidR="00B82AD9">
        <w:rPr>
          <w:shd w:val="clear" w:color="auto" w:fill="FFFFFF"/>
        </w:rPr>
        <w:t xml:space="preserve">et. al., </w:t>
      </w:r>
      <w:r w:rsidR="00B82AD9" w:rsidRPr="00257A9A">
        <w:rPr>
          <w:shd w:val="clear" w:color="auto" w:fill="FFFFFF"/>
        </w:rPr>
        <w:t>2020).</w:t>
      </w:r>
      <w:r w:rsidRPr="003A3889">
        <w:rPr>
          <w:lang w:eastAsia="en-GB"/>
        </w:rPr>
        <w:t xml:space="preserve"> </w:t>
      </w:r>
      <w:r w:rsidRPr="000E3295">
        <w:rPr>
          <w:rFonts w:ascii="Arial" w:hAnsi="Arial" w:cs="Arial"/>
          <w:lang w:eastAsia="en-GB"/>
        </w:rPr>
        <w:t>The company must develop its employees through training programs as well as incentives to enhance morale and productivity ensuring its readiness to strategies of vertical integration.</w:t>
      </w:r>
    </w:p>
    <w:p w14:paraId="62F2A404" w14:textId="6E4C3A11" w:rsidR="003A3889" w:rsidRPr="003A3889" w:rsidRDefault="003A3889" w:rsidP="00002A13">
      <w:pPr>
        <w:pStyle w:val="Heading2"/>
        <w:rPr>
          <w:rFonts w:cs="Times New Roman"/>
          <w:szCs w:val="24"/>
        </w:rPr>
      </w:pPr>
      <w:bookmarkStart w:id="16" w:name="_Toc160579140"/>
      <w:r w:rsidRPr="003A3889">
        <w:t>Conclusion</w:t>
      </w:r>
      <w:bookmarkEnd w:id="16"/>
    </w:p>
    <w:p w14:paraId="118B1A2D" w14:textId="77777777" w:rsidR="007C254F" w:rsidRPr="000E3295" w:rsidRDefault="003A3889" w:rsidP="000E3295">
      <w:pPr>
        <w:pStyle w:val="ListParagraph"/>
        <w:numPr>
          <w:ilvl w:val="0"/>
          <w:numId w:val="11"/>
        </w:numPr>
        <w:spacing w:line="360" w:lineRule="auto"/>
        <w:rPr>
          <w:rFonts w:ascii="Arial" w:hAnsi="Arial" w:cs="Arial"/>
          <w:lang w:eastAsia="en-GB"/>
        </w:rPr>
      </w:pPr>
      <w:r w:rsidRPr="000E3295">
        <w:rPr>
          <w:rFonts w:ascii="Arial" w:hAnsi="Arial" w:cs="Arial"/>
          <w:lang w:eastAsia="en-GB"/>
        </w:rPr>
        <w:t>Milton Sandford Wines Ltd. suffers disadvantages of a vertical integration</w:t>
      </w:r>
      <w:r w:rsidR="000E7AE5" w:rsidRPr="000E3295">
        <w:rPr>
          <w:rFonts w:ascii="Arial" w:hAnsi="Arial" w:cs="Arial"/>
          <w:lang w:eastAsia="en-GB"/>
        </w:rPr>
        <w:t>.</w:t>
      </w:r>
      <w:r w:rsidRPr="000E3295">
        <w:rPr>
          <w:rFonts w:ascii="Arial" w:hAnsi="Arial" w:cs="Arial"/>
          <w:lang w:eastAsia="en-GB"/>
        </w:rPr>
        <w:t xml:space="preserve"> </w:t>
      </w:r>
    </w:p>
    <w:p w14:paraId="2077F954" w14:textId="77777777" w:rsidR="007C254F" w:rsidRPr="000E3295" w:rsidRDefault="007C254F" w:rsidP="000E3295">
      <w:pPr>
        <w:pStyle w:val="ListParagraph"/>
        <w:numPr>
          <w:ilvl w:val="0"/>
          <w:numId w:val="11"/>
        </w:numPr>
        <w:spacing w:line="360" w:lineRule="auto"/>
        <w:rPr>
          <w:rFonts w:ascii="Arial" w:hAnsi="Arial" w:cs="Arial"/>
          <w:lang w:eastAsia="en-GB"/>
        </w:rPr>
      </w:pPr>
      <w:r w:rsidRPr="000E3295">
        <w:rPr>
          <w:rFonts w:ascii="Arial" w:hAnsi="Arial" w:cs="Arial"/>
          <w:lang w:eastAsia="en-GB"/>
        </w:rPr>
        <w:t>S</w:t>
      </w:r>
      <w:r w:rsidR="003A3889" w:rsidRPr="000E3295">
        <w:rPr>
          <w:rFonts w:ascii="Arial" w:hAnsi="Arial" w:cs="Arial"/>
          <w:lang w:eastAsia="en-GB"/>
        </w:rPr>
        <w:t xml:space="preserve">trategy due to small amounts of resources, inertia and turbulence. </w:t>
      </w:r>
    </w:p>
    <w:p w14:paraId="35A4E235" w14:textId="77777777" w:rsidR="007C254F" w:rsidRPr="007C254F" w:rsidRDefault="007C254F" w:rsidP="003A3889">
      <w:pPr>
        <w:rPr>
          <w:b/>
          <w:lang w:eastAsia="en-GB"/>
        </w:rPr>
      </w:pPr>
      <w:r w:rsidRPr="007C254F">
        <w:rPr>
          <w:b/>
          <w:lang w:eastAsia="en-GB"/>
        </w:rPr>
        <w:t>Speaker notes:</w:t>
      </w:r>
    </w:p>
    <w:p w14:paraId="1186EB2A" w14:textId="77777777" w:rsidR="003A3889" w:rsidRPr="000E3295" w:rsidRDefault="007C254F" w:rsidP="000E3295">
      <w:pPr>
        <w:spacing w:line="360" w:lineRule="auto"/>
        <w:rPr>
          <w:rFonts w:ascii="Arial" w:hAnsi="Arial" w:cs="Arial"/>
          <w:szCs w:val="24"/>
          <w:lang w:eastAsia="en-GB"/>
        </w:rPr>
      </w:pPr>
      <w:r w:rsidRPr="000E3295">
        <w:rPr>
          <w:rFonts w:ascii="Arial" w:hAnsi="Arial" w:cs="Arial"/>
          <w:lang w:eastAsia="en-GB"/>
        </w:rPr>
        <w:t>D</w:t>
      </w:r>
      <w:r w:rsidR="003A3889" w:rsidRPr="000E3295">
        <w:rPr>
          <w:rFonts w:ascii="Arial" w:hAnsi="Arial" w:cs="Arial"/>
          <w:lang w:eastAsia="en-GB"/>
        </w:rPr>
        <w:t>espite the bottlenecks related to technology, innovation, strategic partnerships and workforce development, the company can defeat its challenges and thrive.</w:t>
      </w:r>
    </w:p>
    <w:p w14:paraId="7FF870E9" w14:textId="77777777" w:rsidR="00ED6690" w:rsidRDefault="00ED6690">
      <w:pPr>
        <w:spacing w:line="276" w:lineRule="auto"/>
        <w:jc w:val="left"/>
        <w:rPr>
          <w:rFonts w:eastAsiaTheme="majorEastAsia" w:cs="Arial"/>
          <w:b/>
          <w:bCs/>
          <w:color w:val="000000"/>
          <w:sz w:val="28"/>
          <w:szCs w:val="24"/>
          <w:shd w:val="clear" w:color="auto" w:fill="FFFFFF"/>
        </w:rPr>
      </w:pPr>
      <w:r>
        <w:br w:type="page"/>
      </w:r>
    </w:p>
    <w:p w14:paraId="7910A5DC" w14:textId="77777777" w:rsidR="002635BF" w:rsidRDefault="002635BF" w:rsidP="00047813">
      <w:pPr>
        <w:pStyle w:val="Heading1"/>
      </w:pPr>
      <w:bookmarkStart w:id="17" w:name="_Toc160579141"/>
      <w:r>
        <w:lastRenderedPageBreak/>
        <w:t>References</w:t>
      </w:r>
      <w:bookmarkEnd w:id="17"/>
    </w:p>
    <w:p w14:paraId="4EBD7BB9" w14:textId="77777777" w:rsidR="0019018F" w:rsidRPr="00F37DA9" w:rsidRDefault="0019018F" w:rsidP="00F37DA9">
      <w:pPr>
        <w:rPr>
          <w:shd w:val="clear" w:color="auto" w:fill="FFFFFF"/>
        </w:rPr>
      </w:pPr>
      <w:r w:rsidRPr="00F37DA9">
        <w:rPr>
          <w:shd w:val="clear" w:color="auto" w:fill="FFFFFF"/>
        </w:rPr>
        <w:t>Adams, C.A., Druckman, P.B. and Picot, R.C., (2020).</w:t>
      </w:r>
      <w:r>
        <w:rPr>
          <w:shd w:val="clear" w:color="auto" w:fill="FFFFFF"/>
        </w:rPr>
        <w:t xml:space="preserve"> </w:t>
      </w:r>
      <w:r w:rsidRPr="00F37DA9">
        <w:rPr>
          <w:shd w:val="clear" w:color="auto" w:fill="FFFFFF"/>
        </w:rPr>
        <w:t>Sustainable development goals disclosure (SDGD) recommendations. </w:t>
      </w:r>
      <w:r w:rsidRPr="00F37DA9">
        <w:rPr>
          <w:i/>
          <w:iCs/>
          <w:shd w:val="clear" w:color="auto" w:fill="FFFFFF"/>
        </w:rPr>
        <w:t>ACCA: London, UK</w:t>
      </w:r>
      <w:r w:rsidRPr="00F37DA9">
        <w:rPr>
          <w:shd w:val="clear" w:color="auto" w:fill="FFFFFF"/>
        </w:rPr>
        <w:t>.</w:t>
      </w:r>
    </w:p>
    <w:p w14:paraId="56404E2F" w14:textId="77777777" w:rsidR="0019018F" w:rsidRPr="00F37DA9" w:rsidRDefault="0019018F" w:rsidP="00F37DA9">
      <w:pPr>
        <w:rPr>
          <w:shd w:val="clear" w:color="auto" w:fill="FFFFFF"/>
        </w:rPr>
      </w:pPr>
      <w:r w:rsidRPr="00F37DA9">
        <w:rPr>
          <w:shd w:val="clear" w:color="auto" w:fill="FFFFFF"/>
        </w:rPr>
        <w:t>Arquero, J.L., Fernandez-Polvillo, C. and Hassall, T., (2022).</w:t>
      </w:r>
      <w:r>
        <w:rPr>
          <w:shd w:val="clear" w:color="auto" w:fill="FFFFFF"/>
        </w:rPr>
        <w:t xml:space="preserve"> </w:t>
      </w:r>
      <w:r w:rsidRPr="00F37DA9">
        <w:rPr>
          <w:shd w:val="clear" w:color="auto" w:fill="FFFFFF"/>
        </w:rPr>
        <w:t>Non-technical skills and students' overconfidence in management. </w:t>
      </w:r>
      <w:r w:rsidRPr="00F37DA9">
        <w:rPr>
          <w:i/>
          <w:iCs/>
          <w:shd w:val="clear" w:color="auto" w:fill="FFFFFF"/>
        </w:rPr>
        <w:t>Education+ Training</w:t>
      </w:r>
      <w:r w:rsidRPr="00F37DA9">
        <w:rPr>
          <w:shd w:val="clear" w:color="auto" w:fill="FFFFFF"/>
        </w:rPr>
        <w:t>, </w:t>
      </w:r>
      <w:r w:rsidRPr="00F37DA9">
        <w:rPr>
          <w:i/>
          <w:iCs/>
          <w:shd w:val="clear" w:color="auto" w:fill="FFFFFF"/>
        </w:rPr>
        <w:t>64</w:t>
      </w:r>
      <w:r w:rsidRPr="00F37DA9">
        <w:rPr>
          <w:shd w:val="clear" w:color="auto" w:fill="FFFFFF"/>
        </w:rPr>
        <w:t>(5), pp.716-733.</w:t>
      </w:r>
    </w:p>
    <w:p w14:paraId="7C044314" w14:textId="77777777" w:rsidR="0019018F" w:rsidRPr="00F37DA9" w:rsidRDefault="0019018F" w:rsidP="00F37DA9">
      <w:pPr>
        <w:rPr>
          <w:shd w:val="clear" w:color="auto" w:fill="FFFFFF"/>
        </w:rPr>
      </w:pPr>
      <w:r w:rsidRPr="00F37DA9">
        <w:rPr>
          <w:shd w:val="clear" w:color="auto" w:fill="FFFFFF"/>
        </w:rPr>
        <w:t>Ashmore, A.A., Kanga, K., Kaur-Desai, T., Thorman, K. and Archer, N., (2021).</w:t>
      </w:r>
      <w:r>
        <w:rPr>
          <w:shd w:val="clear" w:color="auto" w:fill="FFFFFF"/>
        </w:rPr>
        <w:t xml:space="preserve"> </w:t>
      </w:r>
      <w:r w:rsidRPr="00F37DA9">
        <w:rPr>
          <w:shd w:val="clear" w:color="auto" w:fill="FFFFFF"/>
        </w:rPr>
        <w:t>Building leadership capabilities. </w:t>
      </w:r>
      <w:r w:rsidRPr="00F37DA9">
        <w:rPr>
          <w:i/>
          <w:iCs/>
          <w:shd w:val="clear" w:color="auto" w:fill="FFFFFF"/>
        </w:rPr>
        <w:t>BMJ leader</w:t>
      </w:r>
      <w:r w:rsidRPr="00F37DA9">
        <w:rPr>
          <w:shd w:val="clear" w:color="auto" w:fill="FFFFFF"/>
        </w:rPr>
        <w:t>, pp.</w:t>
      </w:r>
      <w:r>
        <w:rPr>
          <w:shd w:val="clear" w:color="auto" w:fill="FFFFFF"/>
        </w:rPr>
        <w:t xml:space="preserve"> </w:t>
      </w:r>
      <w:r w:rsidRPr="00F37DA9">
        <w:rPr>
          <w:shd w:val="clear" w:color="auto" w:fill="FFFFFF"/>
        </w:rPr>
        <w:t>leader-2021.</w:t>
      </w:r>
    </w:p>
    <w:p w14:paraId="4A8E4695" w14:textId="77777777" w:rsidR="0019018F" w:rsidRPr="00F37DA9" w:rsidRDefault="0019018F" w:rsidP="00180A1C">
      <w:pPr>
        <w:rPr>
          <w:shd w:val="clear" w:color="auto" w:fill="FFFFFF"/>
        </w:rPr>
      </w:pPr>
      <w:r>
        <w:rPr>
          <w:shd w:val="clear" w:color="auto" w:fill="FFFFFF"/>
        </w:rPr>
        <w:t>Baiano, A., (2021). An overview on sustainability in the wine production chain. </w:t>
      </w:r>
      <w:r>
        <w:rPr>
          <w:i/>
          <w:iCs/>
          <w:shd w:val="clear" w:color="auto" w:fill="FFFFFF"/>
        </w:rPr>
        <w:t>Beverages</w:t>
      </w:r>
      <w:r>
        <w:rPr>
          <w:shd w:val="clear" w:color="auto" w:fill="FFFFFF"/>
        </w:rPr>
        <w:t>, </w:t>
      </w:r>
      <w:r>
        <w:rPr>
          <w:i/>
          <w:iCs/>
          <w:shd w:val="clear" w:color="auto" w:fill="FFFFFF"/>
        </w:rPr>
        <w:t>7</w:t>
      </w:r>
      <w:r>
        <w:rPr>
          <w:shd w:val="clear" w:color="auto" w:fill="FFFFFF"/>
        </w:rPr>
        <w:t>(1), p.15.</w:t>
      </w:r>
    </w:p>
    <w:p w14:paraId="4F36A6C2" w14:textId="77777777" w:rsidR="0019018F" w:rsidRPr="00F37DA9" w:rsidRDefault="0019018F" w:rsidP="00F37DA9">
      <w:pPr>
        <w:rPr>
          <w:shd w:val="clear" w:color="auto" w:fill="FFFFFF"/>
        </w:rPr>
      </w:pPr>
      <w:r w:rsidRPr="00F37DA9">
        <w:rPr>
          <w:shd w:val="clear" w:color="auto" w:fill="FFFFFF"/>
        </w:rPr>
        <w:t>Beauchamp, G., Hulme, M., Clarke, L., Hamilton, L. and Harvey, J.A., (2021). ‘People miss people’: A study of school leadership and management in the four nations of the United Kingdom in the early stage of the COVID-19 pandemic. </w:t>
      </w:r>
      <w:r w:rsidRPr="00F37DA9">
        <w:rPr>
          <w:i/>
          <w:iCs/>
          <w:shd w:val="clear" w:color="auto" w:fill="FFFFFF"/>
        </w:rPr>
        <w:t>Educational Management Administration &amp; Leadership</w:t>
      </w:r>
      <w:r w:rsidRPr="00F37DA9">
        <w:rPr>
          <w:shd w:val="clear" w:color="auto" w:fill="FFFFFF"/>
        </w:rPr>
        <w:t>, </w:t>
      </w:r>
      <w:r w:rsidRPr="00F37DA9">
        <w:rPr>
          <w:i/>
          <w:iCs/>
          <w:shd w:val="clear" w:color="auto" w:fill="FFFFFF"/>
        </w:rPr>
        <w:t>49</w:t>
      </w:r>
      <w:r w:rsidRPr="00F37DA9">
        <w:rPr>
          <w:shd w:val="clear" w:color="auto" w:fill="FFFFFF"/>
        </w:rPr>
        <w:t>(3), pp.375-392.</w:t>
      </w:r>
    </w:p>
    <w:p w14:paraId="7EA83824" w14:textId="77777777" w:rsidR="0019018F" w:rsidRPr="00F37DA9" w:rsidRDefault="0019018F" w:rsidP="00F37DA9">
      <w:pPr>
        <w:rPr>
          <w:shd w:val="clear" w:color="auto" w:fill="FFFFFF"/>
        </w:rPr>
      </w:pPr>
      <w:r w:rsidRPr="00F37DA9">
        <w:rPr>
          <w:shd w:val="clear" w:color="auto" w:fill="FFFFFF"/>
        </w:rPr>
        <w:t>Bush, T., (2020).</w:t>
      </w:r>
      <w:r>
        <w:rPr>
          <w:shd w:val="clear" w:color="auto" w:fill="FFFFFF"/>
        </w:rPr>
        <w:t xml:space="preserve"> </w:t>
      </w:r>
      <w:r w:rsidRPr="00F37DA9">
        <w:rPr>
          <w:shd w:val="clear" w:color="auto" w:fill="FFFFFF"/>
        </w:rPr>
        <w:t>Theories of educational leadership and management. </w:t>
      </w:r>
      <w:r w:rsidRPr="00F37DA9">
        <w:rPr>
          <w:i/>
          <w:iCs/>
          <w:shd w:val="clear" w:color="auto" w:fill="FFFFFF"/>
        </w:rPr>
        <w:t>Theories of Educational Leadership and Management</w:t>
      </w:r>
      <w:r w:rsidRPr="00F37DA9">
        <w:rPr>
          <w:shd w:val="clear" w:color="auto" w:fill="FFFFFF"/>
        </w:rPr>
        <w:t>, pp.1-208.</w:t>
      </w:r>
    </w:p>
    <w:p w14:paraId="167EAADA" w14:textId="77777777" w:rsidR="0019018F" w:rsidRPr="00F37DA9" w:rsidRDefault="0019018F" w:rsidP="00F37DA9">
      <w:pPr>
        <w:rPr>
          <w:shd w:val="clear" w:color="auto" w:fill="FFFFFF"/>
        </w:rPr>
      </w:pPr>
      <w:r w:rsidRPr="00F37DA9">
        <w:rPr>
          <w:shd w:val="clear" w:color="auto" w:fill="FFFFFF"/>
        </w:rPr>
        <w:t>Centobelli, P., Cerchione, R. and Esposito, E., (2020). Pursuing supply chain sustainable development goals through the adoption of green practices and enabling technologies: A cross-country analysis of LSPs. </w:t>
      </w:r>
      <w:r w:rsidRPr="00F37DA9">
        <w:rPr>
          <w:i/>
          <w:iCs/>
          <w:shd w:val="clear" w:color="auto" w:fill="FFFFFF"/>
        </w:rPr>
        <w:t>Technological Forecasting and Social Change</w:t>
      </w:r>
      <w:r w:rsidRPr="00F37DA9">
        <w:rPr>
          <w:shd w:val="clear" w:color="auto" w:fill="FFFFFF"/>
        </w:rPr>
        <w:t>, </w:t>
      </w:r>
      <w:r w:rsidRPr="00F37DA9">
        <w:rPr>
          <w:i/>
          <w:iCs/>
          <w:shd w:val="clear" w:color="auto" w:fill="FFFFFF"/>
        </w:rPr>
        <w:t>153</w:t>
      </w:r>
      <w:r w:rsidRPr="00F37DA9">
        <w:rPr>
          <w:shd w:val="clear" w:color="auto" w:fill="FFFFFF"/>
        </w:rPr>
        <w:t>, p.119920.</w:t>
      </w:r>
    </w:p>
    <w:p w14:paraId="146D24B8" w14:textId="77777777" w:rsidR="0019018F" w:rsidRDefault="0019018F" w:rsidP="00F37DA9">
      <w:r w:rsidRPr="00F37DA9">
        <w:rPr>
          <w:shd w:val="clear" w:color="auto" w:fill="FFFFFF"/>
        </w:rPr>
        <w:t>Dickson, C.A., Davies, C., McCormack, B., Westcott, L., Merrell, J., Mcilfatrick, S. and Dewing, J., (2022). UK leaders experiences of leadership practices during the COVID</w:t>
      </w:r>
      <w:r w:rsidRPr="00F37DA9">
        <w:rPr>
          <w:rFonts w:ascii="Cambria Math" w:hAnsi="Cambria Math" w:cs="Cambria Math"/>
          <w:shd w:val="clear" w:color="auto" w:fill="FFFFFF"/>
        </w:rPr>
        <w:t>‐</w:t>
      </w:r>
      <w:r w:rsidRPr="00F37DA9">
        <w:rPr>
          <w:shd w:val="clear" w:color="auto" w:fill="FFFFFF"/>
        </w:rPr>
        <w:t>19 pandemic: A rapid realist review. </w:t>
      </w:r>
      <w:r w:rsidRPr="00F37DA9">
        <w:rPr>
          <w:i/>
          <w:iCs/>
          <w:shd w:val="clear" w:color="auto" w:fill="FFFFFF"/>
        </w:rPr>
        <w:t>Journal of Management</w:t>
      </w:r>
      <w:r w:rsidRPr="00F37DA9">
        <w:rPr>
          <w:shd w:val="clear" w:color="auto" w:fill="FFFFFF"/>
        </w:rPr>
        <w:t>, </w:t>
      </w:r>
      <w:r w:rsidRPr="00F37DA9">
        <w:rPr>
          <w:i/>
          <w:iCs/>
          <w:shd w:val="clear" w:color="auto" w:fill="FFFFFF"/>
        </w:rPr>
        <w:t>30</w:t>
      </w:r>
      <w:r w:rsidRPr="00F37DA9">
        <w:rPr>
          <w:shd w:val="clear" w:color="auto" w:fill="FFFFFF"/>
        </w:rPr>
        <w:t>(8), pp.3942-3957.</w:t>
      </w:r>
    </w:p>
    <w:p w14:paraId="3A26712C" w14:textId="77777777" w:rsidR="0019018F" w:rsidRPr="00F37DA9" w:rsidRDefault="0019018F" w:rsidP="00F37DA9">
      <w:pPr>
        <w:rPr>
          <w:shd w:val="clear" w:color="auto" w:fill="FFFFFF"/>
        </w:rPr>
      </w:pPr>
      <w:r w:rsidRPr="00F37DA9">
        <w:rPr>
          <w:shd w:val="clear" w:color="auto" w:fill="FFFFFF"/>
        </w:rPr>
        <w:t xml:space="preserve">Donkor, F., Papadopoulos, T. and Spiegler, V., (2021). The supply chain integration–Supply chain sustainability relationship in the UK industry: A stakeholder and contingency </w:t>
      </w:r>
      <w:r w:rsidRPr="00F37DA9">
        <w:rPr>
          <w:shd w:val="clear" w:color="auto" w:fill="FFFFFF"/>
        </w:rPr>
        <w:lastRenderedPageBreak/>
        <w:t>perspective. </w:t>
      </w:r>
      <w:r w:rsidRPr="00F37DA9">
        <w:rPr>
          <w:i/>
          <w:iCs/>
          <w:shd w:val="clear" w:color="auto" w:fill="FFFFFF"/>
        </w:rPr>
        <w:t>Transportation Research Part E: Logistics and Transportation Review</w:t>
      </w:r>
      <w:r w:rsidRPr="00F37DA9">
        <w:rPr>
          <w:shd w:val="clear" w:color="auto" w:fill="FFFFFF"/>
        </w:rPr>
        <w:t>, </w:t>
      </w:r>
      <w:r w:rsidRPr="00F37DA9">
        <w:rPr>
          <w:i/>
          <w:iCs/>
          <w:shd w:val="clear" w:color="auto" w:fill="FFFFFF"/>
        </w:rPr>
        <w:t>155</w:t>
      </w:r>
      <w:r w:rsidRPr="00F37DA9">
        <w:rPr>
          <w:shd w:val="clear" w:color="auto" w:fill="FFFFFF"/>
        </w:rPr>
        <w:t>, p.102477.</w:t>
      </w:r>
    </w:p>
    <w:p w14:paraId="6FD08604" w14:textId="77777777" w:rsidR="0019018F" w:rsidRPr="00F37DA9" w:rsidRDefault="0019018F" w:rsidP="00F37DA9">
      <w:pPr>
        <w:rPr>
          <w:shd w:val="clear" w:color="auto" w:fill="FFFFFF"/>
        </w:rPr>
      </w:pPr>
      <w:r w:rsidRPr="00F37DA9">
        <w:rPr>
          <w:shd w:val="clear" w:color="auto" w:fill="FFFFFF"/>
        </w:rPr>
        <w:t>Erickson, M., Hanna, P. and Walker, C., (2021). The UK higher education management: a statactivist response to managerialist governance. </w:t>
      </w:r>
      <w:r w:rsidRPr="00F37DA9">
        <w:rPr>
          <w:i/>
          <w:iCs/>
          <w:shd w:val="clear" w:color="auto" w:fill="FFFFFF"/>
        </w:rPr>
        <w:t>Studies in Higher Education</w:t>
      </w:r>
      <w:r w:rsidRPr="00F37DA9">
        <w:rPr>
          <w:shd w:val="clear" w:color="auto" w:fill="FFFFFF"/>
        </w:rPr>
        <w:t>, </w:t>
      </w:r>
      <w:r w:rsidRPr="00F37DA9">
        <w:rPr>
          <w:i/>
          <w:iCs/>
          <w:shd w:val="clear" w:color="auto" w:fill="FFFFFF"/>
        </w:rPr>
        <w:t>46</w:t>
      </w:r>
      <w:r w:rsidRPr="00F37DA9">
        <w:rPr>
          <w:shd w:val="clear" w:color="auto" w:fill="FFFFFF"/>
        </w:rPr>
        <w:t>(11), pp.2134-2151.</w:t>
      </w:r>
    </w:p>
    <w:p w14:paraId="2DB229E9" w14:textId="77777777" w:rsidR="0019018F" w:rsidRPr="00F37DA9" w:rsidRDefault="0019018F" w:rsidP="00F37DA9">
      <w:pPr>
        <w:rPr>
          <w:shd w:val="clear" w:color="auto" w:fill="FFFFFF"/>
        </w:rPr>
      </w:pPr>
      <w:r w:rsidRPr="00F37DA9">
        <w:rPr>
          <w:shd w:val="clear" w:color="auto" w:fill="FFFFFF"/>
        </w:rPr>
        <w:t>Filimonau, V., Todorova, E., Mzembe, A., Sauer, L. and Yankholmes, A., (2020).A comparative study of management in full service of the United Kingdom. </w:t>
      </w:r>
      <w:r w:rsidRPr="00F37DA9">
        <w:rPr>
          <w:i/>
          <w:iCs/>
          <w:shd w:val="clear" w:color="auto" w:fill="FFFFFF"/>
        </w:rPr>
        <w:t>Journal of Cleaner Production</w:t>
      </w:r>
      <w:r w:rsidRPr="00F37DA9">
        <w:rPr>
          <w:shd w:val="clear" w:color="auto" w:fill="FFFFFF"/>
        </w:rPr>
        <w:t>, </w:t>
      </w:r>
      <w:r w:rsidRPr="00F37DA9">
        <w:rPr>
          <w:i/>
          <w:iCs/>
          <w:shd w:val="clear" w:color="auto" w:fill="FFFFFF"/>
        </w:rPr>
        <w:t>258</w:t>
      </w:r>
      <w:r w:rsidRPr="00F37DA9">
        <w:rPr>
          <w:shd w:val="clear" w:color="auto" w:fill="FFFFFF"/>
        </w:rPr>
        <w:t>, p.120775.</w:t>
      </w:r>
    </w:p>
    <w:p w14:paraId="26FE9D32" w14:textId="77777777" w:rsidR="0019018F" w:rsidRPr="00F37DA9" w:rsidRDefault="0019018F" w:rsidP="00F37DA9">
      <w:pPr>
        <w:rPr>
          <w:shd w:val="clear" w:color="auto" w:fill="FFFFFF"/>
        </w:rPr>
      </w:pPr>
      <w:r w:rsidRPr="00F37DA9">
        <w:rPr>
          <w:shd w:val="clear" w:color="auto" w:fill="FFFFFF"/>
        </w:rPr>
        <w:t>Goworek, H., Oxborrow, L., Claxton, S., McLaren, A., Cooper, T. and Hill, H., (2020). Managing sustainability in the business: Challenges in product development for bevarages longevity in the UK. </w:t>
      </w:r>
      <w:r w:rsidRPr="00F37DA9">
        <w:rPr>
          <w:i/>
          <w:iCs/>
          <w:shd w:val="clear" w:color="auto" w:fill="FFFFFF"/>
        </w:rPr>
        <w:t>Journal of Business Research</w:t>
      </w:r>
      <w:r w:rsidRPr="00F37DA9">
        <w:rPr>
          <w:shd w:val="clear" w:color="auto" w:fill="FFFFFF"/>
        </w:rPr>
        <w:t>, </w:t>
      </w:r>
      <w:r w:rsidRPr="00F37DA9">
        <w:rPr>
          <w:i/>
          <w:iCs/>
          <w:shd w:val="clear" w:color="auto" w:fill="FFFFFF"/>
        </w:rPr>
        <w:t>117</w:t>
      </w:r>
      <w:r w:rsidRPr="00F37DA9">
        <w:rPr>
          <w:shd w:val="clear" w:color="auto" w:fill="FFFFFF"/>
        </w:rPr>
        <w:t>, pp.629-641.</w:t>
      </w:r>
    </w:p>
    <w:p w14:paraId="10E160EE" w14:textId="77777777" w:rsidR="0019018F" w:rsidRPr="00F37DA9" w:rsidRDefault="0019018F" w:rsidP="00F37DA9">
      <w:pPr>
        <w:rPr>
          <w:shd w:val="clear" w:color="auto" w:fill="FFFFFF"/>
        </w:rPr>
      </w:pPr>
      <w:r w:rsidRPr="00F37DA9">
        <w:rPr>
          <w:shd w:val="clear" w:color="auto" w:fill="FFFFFF"/>
        </w:rPr>
        <w:t>Hayward, S., McGlade, S., Cockburn, S., Ballisat, B., Smith-Jack, F., Fleming, C., Everleigh, M. and Thurlow, J., (2020).South West England leadership training survey (2019). </w:t>
      </w:r>
      <w:r w:rsidRPr="00F37DA9">
        <w:rPr>
          <w:i/>
          <w:iCs/>
          <w:shd w:val="clear" w:color="auto" w:fill="FFFFFF"/>
        </w:rPr>
        <w:t>BMJ Leader</w:t>
      </w:r>
      <w:r w:rsidRPr="00F37DA9">
        <w:rPr>
          <w:shd w:val="clear" w:color="auto" w:fill="FFFFFF"/>
        </w:rPr>
        <w:t>, pp.leader-2020.</w:t>
      </w:r>
    </w:p>
    <w:p w14:paraId="3150552A" w14:textId="77777777" w:rsidR="0019018F" w:rsidRPr="00F37DA9" w:rsidRDefault="0019018F" w:rsidP="00180A1C">
      <w:pPr>
        <w:rPr>
          <w:shd w:val="clear" w:color="auto" w:fill="FFFFFF"/>
        </w:rPr>
      </w:pPr>
      <w:r>
        <w:rPr>
          <w:shd w:val="clear" w:color="auto" w:fill="FFFFFF"/>
        </w:rPr>
        <w:t>Jun, J., Lee, T. and Park, C., (2021). The mediating role of innovativeness and the moderating effects of strategic choice on SME performance. </w:t>
      </w:r>
      <w:r>
        <w:rPr>
          <w:i/>
          <w:iCs/>
          <w:shd w:val="clear" w:color="auto" w:fill="FFFFFF"/>
        </w:rPr>
        <w:t>Journal of Small Business Management</w:t>
      </w:r>
      <w:r>
        <w:rPr>
          <w:shd w:val="clear" w:color="auto" w:fill="FFFFFF"/>
        </w:rPr>
        <w:t>, </w:t>
      </w:r>
      <w:r>
        <w:rPr>
          <w:i/>
          <w:iCs/>
          <w:shd w:val="clear" w:color="auto" w:fill="FFFFFF"/>
        </w:rPr>
        <w:t>59</w:t>
      </w:r>
      <w:r>
        <w:rPr>
          <w:shd w:val="clear" w:color="auto" w:fill="FFFFFF"/>
        </w:rPr>
        <w:t>(4), pp.627-647.</w:t>
      </w:r>
    </w:p>
    <w:p w14:paraId="71E009C4" w14:textId="77777777" w:rsidR="0019018F" w:rsidRPr="00F37DA9" w:rsidRDefault="0019018F" w:rsidP="00F37DA9">
      <w:pPr>
        <w:rPr>
          <w:shd w:val="clear" w:color="auto" w:fill="FFFFFF"/>
        </w:rPr>
      </w:pPr>
      <w:r w:rsidRPr="00F37DA9">
        <w:rPr>
          <w:shd w:val="clear" w:color="auto" w:fill="FFFFFF"/>
        </w:rPr>
        <w:t>Karunasena, G.G., Ananda, J. and Pearson, D., (2021). Generational differences in food management skills and their impact on food waste in households. </w:t>
      </w:r>
      <w:r w:rsidRPr="00F37DA9">
        <w:rPr>
          <w:i/>
          <w:iCs/>
          <w:shd w:val="clear" w:color="auto" w:fill="FFFFFF"/>
        </w:rPr>
        <w:t>Resources, Conservation and Recycling</w:t>
      </w:r>
      <w:r w:rsidRPr="00F37DA9">
        <w:rPr>
          <w:shd w:val="clear" w:color="auto" w:fill="FFFFFF"/>
        </w:rPr>
        <w:t>, </w:t>
      </w:r>
      <w:r w:rsidRPr="00F37DA9">
        <w:rPr>
          <w:i/>
          <w:iCs/>
          <w:shd w:val="clear" w:color="auto" w:fill="FFFFFF"/>
        </w:rPr>
        <w:t>175</w:t>
      </w:r>
      <w:r w:rsidRPr="00F37DA9">
        <w:rPr>
          <w:shd w:val="clear" w:color="auto" w:fill="FFFFFF"/>
        </w:rPr>
        <w:t>, p.105890.</w:t>
      </w:r>
    </w:p>
    <w:p w14:paraId="3AE3986B" w14:textId="77777777" w:rsidR="0019018F" w:rsidRPr="00F37DA9" w:rsidRDefault="0019018F" w:rsidP="00F37DA9">
      <w:pPr>
        <w:rPr>
          <w:shd w:val="clear" w:color="auto" w:fill="FFFFFF"/>
        </w:rPr>
      </w:pPr>
      <w:r w:rsidRPr="00F37DA9">
        <w:rPr>
          <w:shd w:val="clear" w:color="auto" w:fill="FFFFFF"/>
        </w:rPr>
        <w:t xml:space="preserve">Kasu, T.I., Mungure, S., Menelik, G. and Mharakurwa, S., (2021). A review of the interactions of organisational leadership with its environment, and subsequent practice and policy-making </w:t>
      </w:r>
      <w:r w:rsidRPr="00F37DA9">
        <w:rPr>
          <w:shd w:val="clear" w:color="auto" w:fill="FFFFFF"/>
        </w:rPr>
        <w:lastRenderedPageBreak/>
        <w:t>responses. </w:t>
      </w:r>
      <w:r w:rsidRPr="00F37DA9">
        <w:rPr>
          <w:i/>
          <w:iCs/>
          <w:shd w:val="clear" w:color="auto" w:fill="FFFFFF"/>
        </w:rPr>
        <w:t>UK Journal of Public Health incorporating Strengthening Health Systems</w:t>
      </w:r>
      <w:r w:rsidRPr="00F37DA9">
        <w:rPr>
          <w:shd w:val="clear" w:color="auto" w:fill="FFFFFF"/>
        </w:rPr>
        <w:t>, </w:t>
      </w:r>
      <w:r w:rsidRPr="00F37DA9">
        <w:rPr>
          <w:i/>
          <w:iCs/>
          <w:shd w:val="clear" w:color="auto" w:fill="FFFFFF"/>
        </w:rPr>
        <w:t>5</w:t>
      </w:r>
      <w:r w:rsidRPr="00F37DA9">
        <w:rPr>
          <w:shd w:val="clear" w:color="auto" w:fill="FFFFFF"/>
        </w:rPr>
        <w:t>(1), pp.24-27.</w:t>
      </w:r>
    </w:p>
    <w:p w14:paraId="485B1038" w14:textId="77777777" w:rsidR="0019018F" w:rsidRPr="00F37DA9" w:rsidRDefault="0019018F" w:rsidP="00F37DA9">
      <w:pPr>
        <w:rPr>
          <w:shd w:val="clear" w:color="auto" w:fill="FFFFFF"/>
        </w:rPr>
      </w:pPr>
      <w:r w:rsidRPr="00F37DA9">
        <w:rPr>
          <w:shd w:val="clear" w:color="auto" w:fill="FFFFFF"/>
        </w:rPr>
        <w:t>Li, L., Wu, F., Cao, Y., Cheng, F., Wang, D., Li, H., Yu, Z. and You, J., (2022).Sustainable development index in UK. </w:t>
      </w:r>
      <w:r w:rsidRPr="00F37DA9">
        <w:rPr>
          <w:i/>
          <w:iCs/>
          <w:shd w:val="clear" w:color="auto" w:fill="FFFFFF"/>
        </w:rPr>
        <w:t>Environmental Science and Ecotechnology</w:t>
      </w:r>
      <w:r w:rsidRPr="00F37DA9">
        <w:rPr>
          <w:shd w:val="clear" w:color="auto" w:fill="FFFFFF"/>
        </w:rPr>
        <w:t>, p.100202.</w:t>
      </w:r>
    </w:p>
    <w:p w14:paraId="688A1BE4" w14:textId="77777777" w:rsidR="0019018F" w:rsidRPr="00F37DA9" w:rsidRDefault="0019018F" w:rsidP="007D1213">
      <w:pPr>
        <w:rPr>
          <w:shd w:val="clear" w:color="auto" w:fill="FFFFFF"/>
        </w:rPr>
      </w:pPr>
      <w:r>
        <w:rPr>
          <w:shd w:val="clear" w:color="auto" w:fill="FFFFFF"/>
        </w:rPr>
        <w:t>Mason, M., (2020). Transparency, accountability and empowerment in sustainability governance: a conceptual review. </w:t>
      </w:r>
      <w:r>
        <w:rPr>
          <w:i/>
          <w:iCs/>
          <w:shd w:val="clear" w:color="auto" w:fill="FFFFFF"/>
        </w:rPr>
        <w:t>Journal of Environmental Policy &amp; Planning</w:t>
      </w:r>
      <w:r>
        <w:rPr>
          <w:shd w:val="clear" w:color="auto" w:fill="FFFFFF"/>
        </w:rPr>
        <w:t>, </w:t>
      </w:r>
      <w:r>
        <w:rPr>
          <w:i/>
          <w:iCs/>
          <w:shd w:val="clear" w:color="auto" w:fill="FFFFFF"/>
        </w:rPr>
        <w:t>22</w:t>
      </w:r>
      <w:r>
        <w:rPr>
          <w:shd w:val="clear" w:color="auto" w:fill="FFFFFF"/>
        </w:rPr>
        <w:t>(1), pp.98-111.</w:t>
      </w:r>
    </w:p>
    <w:p w14:paraId="155CFB15" w14:textId="77777777" w:rsidR="0019018F" w:rsidRPr="00F37DA9" w:rsidRDefault="0019018F" w:rsidP="00F37DA9">
      <w:pPr>
        <w:rPr>
          <w:shd w:val="clear" w:color="auto" w:fill="FFFFFF"/>
        </w:rPr>
      </w:pPr>
      <w:r w:rsidRPr="00F37DA9">
        <w:rPr>
          <w:shd w:val="clear" w:color="auto" w:fill="FFFFFF"/>
        </w:rPr>
        <w:t>Ng, M.K., Koksal, C., Wong, C. and Tang, Y., (2022). Smart and sustainable development from a spatial planning perspective: The case of Greater Manchester. </w:t>
      </w:r>
      <w:r w:rsidRPr="00F37DA9">
        <w:rPr>
          <w:i/>
          <w:iCs/>
          <w:shd w:val="clear" w:color="auto" w:fill="FFFFFF"/>
        </w:rPr>
        <w:t>Sustainability</w:t>
      </w:r>
      <w:r w:rsidRPr="00F37DA9">
        <w:rPr>
          <w:shd w:val="clear" w:color="auto" w:fill="FFFFFF"/>
        </w:rPr>
        <w:t>, </w:t>
      </w:r>
      <w:r w:rsidRPr="00F37DA9">
        <w:rPr>
          <w:i/>
          <w:iCs/>
          <w:shd w:val="clear" w:color="auto" w:fill="FFFFFF"/>
        </w:rPr>
        <w:t>14</w:t>
      </w:r>
      <w:r w:rsidRPr="00F37DA9">
        <w:rPr>
          <w:shd w:val="clear" w:color="auto" w:fill="FFFFFF"/>
        </w:rPr>
        <w:t>(6), p.3509.</w:t>
      </w:r>
    </w:p>
    <w:p w14:paraId="2B1914C5" w14:textId="77777777" w:rsidR="0019018F" w:rsidRPr="00F37DA9" w:rsidRDefault="0019018F" w:rsidP="00F37DA9">
      <w:pPr>
        <w:rPr>
          <w:shd w:val="clear" w:color="auto" w:fill="FFFFFF"/>
        </w:rPr>
      </w:pPr>
      <w:r w:rsidRPr="00F37DA9">
        <w:rPr>
          <w:shd w:val="clear" w:color="auto" w:fill="FFFFFF"/>
        </w:rPr>
        <w:t>Oluwafemi, T.B., Mitchelmore, S. and Nikolopoulos, K., (2020). Leading innovation: Empirical evidence for ambidextrous leadership from UK high-tech SMEs. </w:t>
      </w:r>
      <w:r w:rsidRPr="00F37DA9">
        <w:rPr>
          <w:i/>
          <w:iCs/>
          <w:shd w:val="clear" w:color="auto" w:fill="FFFFFF"/>
        </w:rPr>
        <w:t>Journal of Business Research</w:t>
      </w:r>
      <w:r w:rsidRPr="00F37DA9">
        <w:rPr>
          <w:shd w:val="clear" w:color="auto" w:fill="FFFFFF"/>
        </w:rPr>
        <w:t>, </w:t>
      </w:r>
      <w:r w:rsidRPr="00F37DA9">
        <w:rPr>
          <w:i/>
          <w:iCs/>
          <w:shd w:val="clear" w:color="auto" w:fill="FFFFFF"/>
        </w:rPr>
        <w:t>119</w:t>
      </w:r>
      <w:r w:rsidRPr="00F37DA9">
        <w:rPr>
          <w:shd w:val="clear" w:color="auto" w:fill="FFFFFF"/>
        </w:rPr>
        <w:t>, pp.195-208.</w:t>
      </w:r>
    </w:p>
    <w:p w14:paraId="7C3E8F9F" w14:textId="77777777" w:rsidR="0019018F" w:rsidRPr="00F37DA9" w:rsidRDefault="0019018F" w:rsidP="00F37DA9">
      <w:pPr>
        <w:rPr>
          <w:shd w:val="clear" w:color="auto" w:fill="FFFFFF"/>
        </w:rPr>
      </w:pPr>
      <w:r w:rsidRPr="00F37DA9">
        <w:rPr>
          <w:shd w:val="clear" w:color="auto" w:fill="FFFFFF"/>
        </w:rPr>
        <w:t>Onkangi, R. and Getugi, Y., (2020). Integrating sustainability in framework for a sustainable in UK: Towards a global approach. </w:t>
      </w:r>
      <w:r w:rsidRPr="00F37DA9">
        <w:rPr>
          <w:i/>
          <w:iCs/>
          <w:shd w:val="clear" w:color="auto" w:fill="FFFFFF"/>
        </w:rPr>
        <w:t>Sustainability General and Specific Aspects</w:t>
      </w:r>
      <w:r w:rsidRPr="00F37DA9">
        <w:rPr>
          <w:shd w:val="clear" w:color="auto" w:fill="FFFFFF"/>
        </w:rPr>
        <w:t>, pp.559-583.</w:t>
      </w:r>
    </w:p>
    <w:p w14:paraId="0718C099" w14:textId="77777777" w:rsidR="0019018F" w:rsidRPr="00F37DA9" w:rsidRDefault="0019018F" w:rsidP="00F37DA9">
      <w:pPr>
        <w:rPr>
          <w:shd w:val="clear" w:color="auto" w:fill="FFFFFF"/>
        </w:rPr>
      </w:pPr>
      <w:r w:rsidRPr="00F37DA9">
        <w:rPr>
          <w:shd w:val="clear" w:color="auto" w:fill="FFFFFF"/>
        </w:rPr>
        <w:t>Penketh, C., (2022). UK Takes Leadership on Data Science Standards. </w:t>
      </w:r>
      <w:r w:rsidRPr="00F37DA9">
        <w:rPr>
          <w:i/>
          <w:iCs/>
          <w:shd w:val="clear" w:color="auto" w:fill="FFFFFF"/>
        </w:rPr>
        <w:t>ITNOW</w:t>
      </w:r>
      <w:r w:rsidRPr="00F37DA9">
        <w:rPr>
          <w:shd w:val="clear" w:color="auto" w:fill="FFFFFF"/>
        </w:rPr>
        <w:t>, </w:t>
      </w:r>
      <w:r w:rsidRPr="00F37DA9">
        <w:rPr>
          <w:i/>
          <w:iCs/>
          <w:shd w:val="clear" w:color="auto" w:fill="FFFFFF"/>
        </w:rPr>
        <w:t>64</w:t>
      </w:r>
      <w:r w:rsidRPr="00F37DA9">
        <w:rPr>
          <w:shd w:val="clear" w:color="auto" w:fill="FFFFFF"/>
        </w:rPr>
        <w:t>(3), pp.32-33.</w:t>
      </w:r>
    </w:p>
    <w:p w14:paraId="5BA16E8B" w14:textId="77777777" w:rsidR="0019018F" w:rsidRPr="00F37DA9" w:rsidRDefault="0019018F" w:rsidP="00F37DA9">
      <w:pPr>
        <w:rPr>
          <w:shd w:val="clear" w:color="auto" w:fill="FFFFFF"/>
        </w:rPr>
      </w:pPr>
      <w:r w:rsidRPr="00F37DA9">
        <w:rPr>
          <w:shd w:val="clear" w:color="auto" w:fill="FFFFFF"/>
        </w:rPr>
        <w:t>Rae, A. and Robinson, S., (2020). The current leadership development opportunities provided for student paramedics by Higher Education Institutions: a literature review. </w:t>
      </w:r>
      <w:r w:rsidRPr="00F37DA9">
        <w:rPr>
          <w:i/>
          <w:iCs/>
          <w:shd w:val="clear" w:color="auto" w:fill="FFFFFF"/>
        </w:rPr>
        <w:t>British Journal</w:t>
      </w:r>
      <w:r w:rsidRPr="00F37DA9">
        <w:rPr>
          <w:shd w:val="clear" w:color="auto" w:fill="FFFFFF"/>
        </w:rPr>
        <w:t>, </w:t>
      </w:r>
      <w:r w:rsidRPr="00F37DA9">
        <w:rPr>
          <w:i/>
          <w:iCs/>
          <w:shd w:val="clear" w:color="auto" w:fill="FFFFFF"/>
        </w:rPr>
        <w:t>5</w:t>
      </w:r>
      <w:r w:rsidRPr="00F37DA9">
        <w:rPr>
          <w:shd w:val="clear" w:color="auto" w:fill="FFFFFF"/>
        </w:rPr>
        <w:t>(2), pp.26-33.</w:t>
      </w:r>
    </w:p>
    <w:p w14:paraId="5B1AB6D7" w14:textId="77777777" w:rsidR="0019018F" w:rsidRPr="00F37DA9" w:rsidRDefault="0019018F" w:rsidP="00F37DA9">
      <w:pPr>
        <w:rPr>
          <w:shd w:val="clear" w:color="auto" w:fill="FFFFFF"/>
        </w:rPr>
      </w:pPr>
      <w:r w:rsidRPr="00F37DA9">
        <w:rPr>
          <w:shd w:val="clear" w:color="auto" w:fill="FFFFFF"/>
        </w:rPr>
        <w:lastRenderedPageBreak/>
        <w:t>Seaford, M. and Allinson, M.D., (2022).</w:t>
      </w:r>
      <w:r>
        <w:rPr>
          <w:shd w:val="clear" w:color="auto" w:fill="FFFFFF"/>
        </w:rPr>
        <w:t xml:space="preserve"> </w:t>
      </w:r>
      <w:r w:rsidRPr="00F37DA9">
        <w:rPr>
          <w:shd w:val="clear" w:color="auto" w:fill="FFFFFF"/>
        </w:rPr>
        <w:t>Exploring pre-registration tutors’ views on professionalism and leadership skills. </w:t>
      </w:r>
      <w:r w:rsidRPr="00F37DA9">
        <w:rPr>
          <w:i/>
          <w:iCs/>
          <w:shd w:val="clear" w:color="auto" w:fill="FFFFFF"/>
        </w:rPr>
        <w:t>International Journal of Pharmacy Practice</w:t>
      </w:r>
      <w:r w:rsidRPr="00F37DA9">
        <w:rPr>
          <w:shd w:val="clear" w:color="auto" w:fill="FFFFFF"/>
        </w:rPr>
        <w:t>, </w:t>
      </w:r>
      <w:r w:rsidRPr="00F37DA9">
        <w:rPr>
          <w:i/>
          <w:iCs/>
          <w:shd w:val="clear" w:color="auto" w:fill="FFFFFF"/>
        </w:rPr>
        <w:t>30</w:t>
      </w:r>
      <w:r w:rsidRPr="00F37DA9">
        <w:rPr>
          <w:shd w:val="clear" w:color="auto" w:fill="FFFFFF"/>
        </w:rPr>
        <w:t>(Supplement_1), pp.i32-i32.</w:t>
      </w:r>
    </w:p>
    <w:p w14:paraId="2AE548F9" w14:textId="77777777" w:rsidR="0019018F" w:rsidRPr="00F37DA9" w:rsidRDefault="0019018F" w:rsidP="00F37DA9">
      <w:pPr>
        <w:rPr>
          <w:shd w:val="clear" w:color="auto" w:fill="FFFFFF"/>
        </w:rPr>
      </w:pPr>
      <w:r w:rsidRPr="00F37DA9">
        <w:rPr>
          <w:shd w:val="clear" w:color="auto" w:fill="FFFFFF"/>
        </w:rPr>
        <w:t>Sedya, R.D., Young, B., Ayinla, K. and Amoah-Korsah, A., (2022), November. Investigating skill shortages in the UK: A study on job-specific management skills. In </w:t>
      </w:r>
      <w:r w:rsidRPr="00F37DA9">
        <w:rPr>
          <w:i/>
          <w:iCs/>
          <w:shd w:val="clear" w:color="auto" w:fill="FFFFFF"/>
        </w:rPr>
        <w:t>International Conference on the Leadership and Management of Projects in the digital age (IC: LAMP 2022)</w:t>
      </w:r>
      <w:r w:rsidRPr="00F37DA9">
        <w:rPr>
          <w:shd w:val="clear" w:color="auto" w:fill="FFFFFF"/>
        </w:rPr>
        <w:t>.</w:t>
      </w:r>
    </w:p>
    <w:p w14:paraId="392D3D64" w14:textId="77777777" w:rsidR="0019018F" w:rsidRPr="00F37DA9" w:rsidRDefault="0019018F" w:rsidP="00F37DA9">
      <w:pPr>
        <w:rPr>
          <w:shd w:val="clear" w:color="auto" w:fill="FFFFFF"/>
        </w:rPr>
      </w:pPr>
      <w:r w:rsidRPr="00F37DA9">
        <w:rPr>
          <w:shd w:val="clear" w:color="auto" w:fill="FFFFFF"/>
        </w:rPr>
        <w:t>Skeete, J.P., Wells, P., Dong, X., Heidrich, O. and Harper, G., (2020). Beyond the E</w:t>
      </w:r>
      <w:r>
        <w:rPr>
          <w:shd w:val="clear" w:color="auto" w:fill="FFFFFF"/>
        </w:rPr>
        <w:t>v</w:t>
      </w:r>
      <w:r w:rsidRPr="00F37DA9">
        <w:rPr>
          <w:shd w:val="clear" w:color="auto" w:fill="FFFFFF"/>
        </w:rPr>
        <w:t>ent horizon: sustainability in the United Kingdom. </w:t>
      </w:r>
      <w:r w:rsidRPr="00F37DA9">
        <w:rPr>
          <w:i/>
          <w:iCs/>
          <w:shd w:val="clear" w:color="auto" w:fill="FFFFFF"/>
        </w:rPr>
        <w:t xml:space="preserve"> Research &amp; Social Science</w:t>
      </w:r>
      <w:r w:rsidRPr="00F37DA9">
        <w:rPr>
          <w:shd w:val="clear" w:color="auto" w:fill="FFFFFF"/>
        </w:rPr>
        <w:t>, </w:t>
      </w:r>
      <w:r w:rsidRPr="00F37DA9">
        <w:rPr>
          <w:i/>
          <w:iCs/>
          <w:shd w:val="clear" w:color="auto" w:fill="FFFFFF"/>
        </w:rPr>
        <w:t>69</w:t>
      </w:r>
      <w:r w:rsidRPr="00F37DA9">
        <w:rPr>
          <w:shd w:val="clear" w:color="auto" w:fill="FFFFFF"/>
        </w:rPr>
        <w:t>, p.101581.</w:t>
      </w:r>
    </w:p>
    <w:p w14:paraId="1799035E" w14:textId="77777777" w:rsidR="0019018F" w:rsidRPr="00F37DA9" w:rsidRDefault="0019018F" w:rsidP="00F37DA9">
      <w:pPr>
        <w:rPr>
          <w:shd w:val="clear" w:color="auto" w:fill="FFFFFF"/>
        </w:rPr>
      </w:pPr>
      <w:r w:rsidRPr="00F37DA9">
        <w:rPr>
          <w:shd w:val="clear" w:color="auto" w:fill="FFFFFF"/>
        </w:rPr>
        <w:t>Woods, D., Gbakinro, F. and Tracey, A., (2022). Major incident simulation: on teamwork, leadership skills, and risk management. </w:t>
      </w:r>
      <w:r w:rsidRPr="00F37DA9">
        <w:rPr>
          <w:i/>
          <w:iCs/>
          <w:shd w:val="clear" w:color="auto" w:fill="FFFFFF"/>
        </w:rPr>
        <w:t>International Journal of Simulation</w:t>
      </w:r>
      <w:r w:rsidRPr="00F37DA9">
        <w:rPr>
          <w:shd w:val="clear" w:color="auto" w:fill="FFFFFF"/>
        </w:rPr>
        <w:t>, </w:t>
      </w:r>
      <w:r w:rsidRPr="00F37DA9">
        <w:rPr>
          <w:i/>
          <w:iCs/>
          <w:shd w:val="clear" w:color="auto" w:fill="FFFFFF"/>
        </w:rPr>
        <w:t>2</w:t>
      </w:r>
      <w:r w:rsidRPr="00F37DA9">
        <w:rPr>
          <w:shd w:val="clear" w:color="auto" w:fill="FFFFFF"/>
        </w:rPr>
        <w:t>(null), pp.A64-A65.</w:t>
      </w:r>
    </w:p>
    <w:p w14:paraId="7B2A9741" w14:textId="77777777" w:rsidR="004F2CCC" w:rsidRDefault="004F2CCC" w:rsidP="004F2CCC">
      <w:pPr>
        <w:rPr>
          <w:shd w:val="clear" w:color="auto" w:fill="FFFFFF"/>
        </w:rPr>
      </w:pPr>
    </w:p>
    <w:p w14:paraId="2BF9A28F" w14:textId="77777777" w:rsidR="00DF239E" w:rsidRDefault="00DF239E" w:rsidP="00DF239E">
      <w:pPr>
        <w:rPr>
          <w:shd w:val="clear" w:color="auto" w:fill="FFFFFF"/>
        </w:rPr>
      </w:pPr>
    </w:p>
    <w:p w14:paraId="22DE0ADD" w14:textId="77777777" w:rsidR="00DF239E" w:rsidRPr="00803382" w:rsidRDefault="00DF239E" w:rsidP="00803382">
      <w:pPr>
        <w:rPr>
          <w:shd w:val="clear" w:color="auto" w:fill="FFFFFF"/>
        </w:rPr>
      </w:pPr>
    </w:p>
    <w:p w14:paraId="3B537BA1" w14:textId="77777777" w:rsidR="00803382" w:rsidRDefault="00803382" w:rsidP="00803382">
      <w:pPr>
        <w:rPr>
          <w:shd w:val="clear" w:color="auto" w:fill="FFFFFF"/>
        </w:rPr>
      </w:pPr>
    </w:p>
    <w:p w14:paraId="0CBAA3F0" w14:textId="77777777" w:rsidR="00803382" w:rsidRDefault="00803382" w:rsidP="00803382">
      <w:pPr>
        <w:rPr>
          <w:shd w:val="clear" w:color="auto" w:fill="FFFFFF"/>
        </w:rPr>
      </w:pPr>
    </w:p>
    <w:p w14:paraId="6F2FD67F" w14:textId="77777777" w:rsidR="00803382" w:rsidRDefault="00803382" w:rsidP="00803382"/>
    <w:sectPr w:rsidR="00803382" w:rsidSect="00D447CC">
      <w:headerReference w:type="default" r:id="rId8"/>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691F1" w14:textId="77777777" w:rsidR="00D447CC" w:rsidRDefault="00D447CC" w:rsidP="006B104A">
      <w:pPr>
        <w:spacing w:after="0" w:line="240" w:lineRule="auto"/>
      </w:pPr>
      <w:r>
        <w:separator/>
      </w:r>
    </w:p>
  </w:endnote>
  <w:endnote w:type="continuationSeparator" w:id="0">
    <w:p w14:paraId="396BC6CA" w14:textId="77777777" w:rsidR="00D447CC" w:rsidRDefault="00D447CC" w:rsidP="006B10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80165"/>
      <w:docPartObj>
        <w:docPartGallery w:val="Page Numbers (Bottom of Page)"/>
        <w:docPartUnique/>
      </w:docPartObj>
    </w:sdtPr>
    <w:sdtContent>
      <w:sdt>
        <w:sdtPr>
          <w:id w:val="860082579"/>
          <w:docPartObj>
            <w:docPartGallery w:val="Page Numbers (Top of Page)"/>
            <w:docPartUnique/>
          </w:docPartObj>
        </w:sdtPr>
        <w:sdtContent>
          <w:p w14:paraId="39C1C26B" w14:textId="77777777" w:rsidR="006B104A" w:rsidRDefault="006B104A">
            <w:pPr>
              <w:pStyle w:val="Footer"/>
              <w:jc w:val="right"/>
            </w:pPr>
            <w:r>
              <w:t xml:space="preserve">Page </w:t>
            </w:r>
            <w:r w:rsidR="003C2720">
              <w:rPr>
                <w:b/>
                <w:bCs/>
                <w:szCs w:val="24"/>
              </w:rPr>
              <w:fldChar w:fldCharType="begin"/>
            </w:r>
            <w:r>
              <w:rPr>
                <w:b/>
                <w:bCs/>
              </w:rPr>
              <w:instrText xml:space="preserve"> PAGE </w:instrText>
            </w:r>
            <w:r w:rsidR="003C2720">
              <w:rPr>
                <w:b/>
                <w:bCs/>
                <w:szCs w:val="24"/>
              </w:rPr>
              <w:fldChar w:fldCharType="separate"/>
            </w:r>
            <w:r w:rsidR="00F37DA9">
              <w:rPr>
                <w:b/>
                <w:bCs/>
                <w:noProof/>
              </w:rPr>
              <w:t>22</w:t>
            </w:r>
            <w:r w:rsidR="003C2720">
              <w:rPr>
                <w:b/>
                <w:bCs/>
                <w:szCs w:val="24"/>
              </w:rPr>
              <w:fldChar w:fldCharType="end"/>
            </w:r>
            <w:r>
              <w:t xml:space="preserve"> of </w:t>
            </w:r>
            <w:r w:rsidR="003C2720">
              <w:rPr>
                <w:b/>
                <w:bCs/>
                <w:szCs w:val="24"/>
              </w:rPr>
              <w:fldChar w:fldCharType="begin"/>
            </w:r>
            <w:r>
              <w:rPr>
                <w:b/>
                <w:bCs/>
              </w:rPr>
              <w:instrText xml:space="preserve"> NUMPAGES  </w:instrText>
            </w:r>
            <w:r w:rsidR="003C2720">
              <w:rPr>
                <w:b/>
                <w:bCs/>
                <w:szCs w:val="24"/>
              </w:rPr>
              <w:fldChar w:fldCharType="separate"/>
            </w:r>
            <w:r w:rsidR="00F37DA9">
              <w:rPr>
                <w:b/>
                <w:bCs/>
                <w:noProof/>
              </w:rPr>
              <w:t>27</w:t>
            </w:r>
            <w:r w:rsidR="003C2720">
              <w:rPr>
                <w:b/>
                <w:bCs/>
                <w:szCs w:val="24"/>
              </w:rPr>
              <w:fldChar w:fldCharType="end"/>
            </w:r>
          </w:p>
        </w:sdtContent>
      </w:sdt>
    </w:sdtContent>
  </w:sdt>
  <w:p w14:paraId="594C44F5" w14:textId="77777777" w:rsidR="006B104A" w:rsidRDefault="006B1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5A8FE" w14:textId="77777777" w:rsidR="00D447CC" w:rsidRDefault="00D447CC" w:rsidP="006B104A">
      <w:pPr>
        <w:spacing w:after="0" w:line="240" w:lineRule="auto"/>
      </w:pPr>
      <w:r>
        <w:separator/>
      </w:r>
    </w:p>
  </w:footnote>
  <w:footnote w:type="continuationSeparator" w:id="0">
    <w:p w14:paraId="664F5A9D" w14:textId="77777777" w:rsidR="00D447CC" w:rsidRDefault="00D447CC" w:rsidP="006B10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8EDE0" w14:textId="77E30AE1" w:rsidR="006B104A" w:rsidRPr="006B104A" w:rsidRDefault="006B104A" w:rsidP="006B104A">
    <w:pPr>
      <w:jc w:val="right"/>
      <w:rPr>
        <w:rFonts w:cs="Times New Roman"/>
        <w:b/>
        <w:szCs w:val="24"/>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241D6"/>
    <w:multiLevelType w:val="hybridMultilevel"/>
    <w:tmpl w:val="BB52F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A2AB4"/>
    <w:multiLevelType w:val="hybridMultilevel"/>
    <w:tmpl w:val="F3F49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545335"/>
    <w:multiLevelType w:val="hybridMultilevel"/>
    <w:tmpl w:val="D8D88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B550A9"/>
    <w:multiLevelType w:val="hybridMultilevel"/>
    <w:tmpl w:val="3732C52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91EF4"/>
    <w:multiLevelType w:val="hybridMultilevel"/>
    <w:tmpl w:val="51A0E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9B5E11"/>
    <w:multiLevelType w:val="hybridMultilevel"/>
    <w:tmpl w:val="EB02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34B2E"/>
    <w:multiLevelType w:val="hybridMultilevel"/>
    <w:tmpl w:val="C6C86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9D69B5"/>
    <w:multiLevelType w:val="hybridMultilevel"/>
    <w:tmpl w:val="450AF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116B3"/>
    <w:multiLevelType w:val="hybridMultilevel"/>
    <w:tmpl w:val="0AA0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8B3E6B"/>
    <w:multiLevelType w:val="hybridMultilevel"/>
    <w:tmpl w:val="7958A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7224B1"/>
    <w:multiLevelType w:val="hybridMultilevel"/>
    <w:tmpl w:val="B0D2F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6B40F4"/>
    <w:multiLevelType w:val="hybridMultilevel"/>
    <w:tmpl w:val="103A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290A7F"/>
    <w:multiLevelType w:val="hybridMultilevel"/>
    <w:tmpl w:val="B2A26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C35346"/>
    <w:multiLevelType w:val="hybridMultilevel"/>
    <w:tmpl w:val="F86AA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9383561">
    <w:abstractNumId w:val="9"/>
  </w:num>
  <w:num w:numId="2" w16cid:durableId="26639433">
    <w:abstractNumId w:val="4"/>
  </w:num>
  <w:num w:numId="3" w16cid:durableId="1632320591">
    <w:abstractNumId w:val="10"/>
  </w:num>
  <w:num w:numId="4" w16cid:durableId="822545071">
    <w:abstractNumId w:val="13"/>
  </w:num>
  <w:num w:numId="5" w16cid:durableId="2039894718">
    <w:abstractNumId w:val="7"/>
  </w:num>
  <w:num w:numId="6" w16cid:durableId="252858789">
    <w:abstractNumId w:val="5"/>
  </w:num>
  <w:num w:numId="7" w16cid:durableId="506869732">
    <w:abstractNumId w:val="1"/>
  </w:num>
  <w:num w:numId="8" w16cid:durableId="1660693648">
    <w:abstractNumId w:val="8"/>
  </w:num>
  <w:num w:numId="9" w16cid:durableId="142965947">
    <w:abstractNumId w:val="6"/>
  </w:num>
  <w:num w:numId="10" w16cid:durableId="37171471">
    <w:abstractNumId w:val="12"/>
  </w:num>
  <w:num w:numId="11" w16cid:durableId="2052876690">
    <w:abstractNumId w:val="11"/>
  </w:num>
  <w:num w:numId="12" w16cid:durableId="156196255">
    <w:abstractNumId w:val="3"/>
  </w:num>
  <w:num w:numId="13" w16cid:durableId="1291672055">
    <w:abstractNumId w:val="0"/>
  </w:num>
  <w:num w:numId="14" w16cid:durableId="4980387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89"/>
    <w:rsid w:val="00002A13"/>
    <w:rsid w:val="00047813"/>
    <w:rsid w:val="00062E1E"/>
    <w:rsid w:val="000D70B9"/>
    <w:rsid w:val="000E3295"/>
    <w:rsid w:val="000E7AE5"/>
    <w:rsid w:val="000F44C0"/>
    <w:rsid w:val="00180A1C"/>
    <w:rsid w:val="00184E90"/>
    <w:rsid w:val="0019018F"/>
    <w:rsid w:val="001B4492"/>
    <w:rsid w:val="002012BB"/>
    <w:rsid w:val="00225EB7"/>
    <w:rsid w:val="00257A9A"/>
    <w:rsid w:val="002635BF"/>
    <w:rsid w:val="002961A5"/>
    <w:rsid w:val="002B42F8"/>
    <w:rsid w:val="00334E1C"/>
    <w:rsid w:val="00342620"/>
    <w:rsid w:val="00392AA1"/>
    <w:rsid w:val="003A118A"/>
    <w:rsid w:val="003A3889"/>
    <w:rsid w:val="003C2720"/>
    <w:rsid w:val="003D4822"/>
    <w:rsid w:val="00452FBB"/>
    <w:rsid w:val="00490AB8"/>
    <w:rsid w:val="004A605C"/>
    <w:rsid w:val="004B0468"/>
    <w:rsid w:val="004F2CCC"/>
    <w:rsid w:val="005117B1"/>
    <w:rsid w:val="005A1E4D"/>
    <w:rsid w:val="005C77E3"/>
    <w:rsid w:val="00644B35"/>
    <w:rsid w:val="00666D34"/>
    <w:rsid w:val="006B104A"/>
    <w:rsid w:val="006E5445"/>
    <w:rsid w:val="007226DC"/>
    <w:rsid w:val="007250D1"/>
    <w:rsid w:val="00725EB4"/>
    <w:rsid w:val="007656D8"/>
    <w:rsid w:val="00773345"/>
    <w:rsid w:val="007B5730"/>
    <w:rsid w:val="007C254F"/>
    <w:rsid w:val="007D1213"/>
    <w:rsid w:val="007E1848"/>
    <w:rsid w:val="007E7914"/>
    <w:rsid w:val="008016B5"/>
    <w:rsid w:val="00803382"/>
    <w:rsid w:val="008153D9"/>
    <w:rsid w:val="00820FD4"/>
    <w:rsid w:val="00831EC0"/>
    <w:rsid w:val="00852FC7"/>
    <w:rsid w:val="008F591E"/>
    <w:rsid w:val="00981142"/>
    <w:rsid w:val="009832B1"/>
    <w:rsid w:val="00A04EA0"/>
    <w:rsid w:val="00A44BB8"/>
    <w:rsid w:val="00A4582A"/>
    <w:rsid w:val="00A601C3"/>
    <w:rsid w:val="00A66DC6"/>
    <w:rsid w:val="00A74EF1"/>
    <w:rsid w:val="00AA7095"/>
    <w:rsid w:val="00AB459B"/>
    <w:rsid w:val="00B82AD9"/>
    <w:rsid w:val="00B867FA"/>
    <w:rsid w:val="00C523C9"/>
    <w:rsid w:val="00C544E4"/>
    <w:rsid w:val="00C5499D"/>
    <w:rsid w:val="00C600F6"/>
    <w:rsid w:val="00C73978"/>
    <w:rsid w:val="00C90A9D"/>
    <w:rsid w:val="00CB52BC"/>
    <w:rsid w:val="00CC1FBD"/>
    <w:rsid w:val="00D4069D"/>
    <w:rsid w:val="00D447CC"/>
    <w:rsid w:val="00D52AB0"/>
    <w:rsid w:val="00D82FEA"/>
    <w:rsid w:val="00DC7AFC"/>
    <w:rsid w:val="00DF239E"/>
    <w:rsid w:val="00E1303B"/>
    <w:rsid w:val="00E60F9C"/>
    <w:rsid w:val="00EC5285"/>
    <w:rsid w:val="00ED6690"/>
    <w:rsid w:val="00ED69C4"/>
    <w:rsid w:val="00F37DA9"/>
    <w:rsid w:val="00F970E5"/>
    <w:rsid w:val="00FD0607"/>
    <w:rsid w:val="00FD3DC1"/>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9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2B1"/>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047813"/>
    <w:pPr>
      <w:keepNext/>
      <w:keepLines/>
      <w:shd w:val="clear" w:color="auto" w:fill="FFFFFF"/>
      <w:spacing w:after="30" w:line="405" w:lineRule="atLeast"/>
      <w:jc w:val="center"/>
      <w:outlineLvl w:val="0"/>
    </w:pPr>
    <w:rPr>
      <w:rFonts w:eastAsiaTheme="majorEastAsia" w:cs="Arial"/>
      <w:b/>
      <w:bCs/>
      <w:color w:val="000000"/>
      <w:sz w:val="28"/>
      <w:szCs w:val="24"/>
      <w:shd w:val="clear" w:color="auto" w:fill="FFFFFF"/>
    </w:rPr>
  </w:style>
  <w:style w:type="paragraph" w:styleId="Heading2">
    <w:name w:val="heading 2"/>
    <w:basedOn w:val="Normal"/>
    <w:next w:val="Normal"/>
    <w:link w:val="Heading2Char"/>
    <w:autoRedefine/>
    <w:uiPriority w:val="9"/>
    <w:unhideWhenUsed/>
    <w:qFormat/>
    <w:rsid w:val="00002A13"/>
    <w:pPr>
      <w:keepNext/>
      <w:keepLines/>
      <w:spacing w:before="200" w:after="0"/>
      <w:outlineLvl w:val="1"/>
    </w:pPr>
    <w:rPr>
      <w:rFonts w:eastAsia="Times New Roman" w:cstheme="majorBidi"/>
      <w:b/>
      <w:bCs/>
      <w:color w:val="000000" w:themeColor="text1"/>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813"/>
    <w:rPr>
      <w:rFonts w:ascii="Times New Roman" w:eastAsiaTheme="majorEastAsia" w:hAnsi="Times New Roman" w:cs="Arial"/>
      <w:b/>
      <w:bCs/>
      <w:color w:val="000000"/>
      <w:sz w:val="28"/>
      <w:szCs w:val="24"/>
      <w:shd w:val="clear" w:color="auto" w:fill="FFFFFF"/>
    </w:rPr>
  </w:style>
  <w:style w:type="character" w:customStyle="1" w:styleId="Heading2Char">
    <w:name w:val="Heading 2 Char"/>
    <w:basedOn w:val="DefaultParagraphFont"/>
    <w:link w:val="Heading2"/>
    <w:uiPriority w:val="9"/>
    <w:rsid w:val="00002A13"/>
    <w:rPr>
      <w:rFonts w:ascii="Times New Roman" w:eastAsia="Times New Roman" w:hAnsi="Times New Roman" w:cstheme="majorBidi"/>
      <w:b/>
      <w:bCs/>
      <w:color w:val="000000" w:themeColor="text1"/>
      <w:sz w:val="26"/>
      <w:szCs w:val="26"/>
      <w:lang w:eastAsia="en-GB"/>
    </w:rPr>
  </w:style>
  <w:style w:type="paragraph" w:styleId="NormalWeb">
    <w:name w:val="Normal (Web)"/>
    <w:basedOn w:val="Normal"/>
    <w:uiPriority w:val="99"/>
    <w:unhideWhenUsed/>
    <w:rsid w:val="003A3889"/>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803382"/>
    <w:pPr>
      <w:ind w:left="720"/>
      <w:contextualSpacing/>
    </w:pPr>
  </w:style>
  <w:style w:type="paragraph" w:styleId="Header">
    <w:name w:val="header"/>
    <w:basedOn w:val="Normal"/>
    <w:link w:val="HeaderChar"/>
    <w:uiPriority w:val="99"/>
    <w:unhideWhenUsed/>
    <w:rsid w:val="006B10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04A"/>
    <w:rPr>
      <w:rFonts w:ascii="Times New Roman" w:hAnsi="Times New Roman"/>
      <w:sz w:val="24"/>
    </w:rPr>
  </w:style>
  <w:style w:type="paragraph" w:styleId="Footer">
    <w:name w:val="footer"/>
    <w:basedOn w:val="Normal"/>
    <w:link w:val="FooterChar"/>
    <w:uiPriority w:val="99"/>
    <w:unhideWhenUsed/>
    <w:rsid w:val="006B10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04A"/>
    <w:rPr>
      <w:rFonts w:ascii="Times New Roman" w:hAnsi="Times New Roman"/>
      <w:sz w:val="24"/>
    </w:rPr>
  </w:style>
  <w:style w:type="paragraph" w:styleId="TOCHeading">
    <w:name w:val="TOC Heading"/>
    <w:basedOn w:val="Heading1"/>
    <w:next w:val="Normal"/>
    <w:uiPriority w:val="39"/>
    <w:semiHidden/>
    <w:unhideWhenUsed/>
    <w:qFormat/>
    <w:rsid w:val="00184E90"/>
    <w:pPr>
      <w:spacing w:after="0" w:line="276" w:lineRule="auto"/>
      <w:jc w:val="left"/>
      <w:outlineLvl w:val="9"/>
    </w:pPr>
    <w:rPr>
      <w:rFonts w:asciiTheme="majorHAnsi" w:hAnsiTheme="majorHAnsi" w:cstheme="majorBidi"/>
      <w:color w:val="365F91" w:themeColor="accent1" w:themeShade="BF"/>
      <w:szCs w:val="28"/>
      <w:shd w:val="clear" w:color="auto" w:fill="auto"/>
      <w:lang w:val="en-US" w:eastAsia="ja-JP"/>
    </w:rPr>
  </w:style>
  <w:style w:type="paragraph" w:styleId="TOC1">
    <w:name w:val="toc 1"/>
    <w:basedOn w:val="Normal"/>
    <w:next w:val="Normal"/>
    <w:autoRedefine/>
    <w:uiPriority w:val="39"/>
    <w:unhideWhenUsed/>
    <w:rsid w:val="00184E90"/>
    <w:pPr>
      <w:spacing w:after="100"/>
    </w:pPr>
  </w:style>
  <w:style w:type="paragraph" w:styleId="TOC2">
    <w:name w:val="toc 2"/>
    <w:basedOn w:val="Normal"/>
    <w:next w:val="Normal"/>
    <w:autoRedefine/>
    <w:uiPriority w:val="39"/>
    <w:unhideWhenUsed/>
    <w:rsid w:val="00184E90"/>
    <w:pPr>
      <w:spacing w:after="100"/>
      <w:ind w:left="240"/>
    </w:pPr>
  </w:style>
  <w:style w:type="character" w:styleId="Hyperlink">
    <w:name w:val="Hyperlink"/>
    <w:basedOn w:val="DefaultParagraphFont"/>
    <w:uiPriority w:val="99"/>
    <w:unhideWhenUsed/>
    <w:rsid w:val="00184E90"/>
    <w:rPr>
      <w:color w:val="0000FF" w:themeColor="hyperlink"/>
      <w:u w:val="single"/>
    </w:rPr>
  </w:style>
  <w:style w:type="paragraph" w:styleId="BalloonText">
    <w:name w:val="Balloon Text"/>
    <w:basedOn w:val="Normal"/>
    <w:link w:val="BalloonTextChar"/>
    <w:uiPriority w:val="99"/>
    <w:semiHidden/>
    <w:unhideWhenUsed/>
    <w:rsid w:val="00184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E90"/>
    <w:rPr>
      <w:rFonts w:ascii="Tahoma" w:hAnsi="Tahoma" w:cs="Tahoma"/>
      <w:sz w:val="16"/>
      <w:szCs w:val="16"/>
    </w:rPr>
  </w:style>
  <w:style w:type="paragraph" w:customStyle="1" w:styleId="paragraph">
    <w:name w:val="paragraph"/>
    <w:basedOn w:val="Normal"/>
    <w:rsid w:val="00047813"/>
    <w:pPr>
      <w:spacing w:before="100" w:beforeAutospacing="1" w:after="100" w:afterAutospacing="1" w:line="240" w:lineRule="auto"/>
      <w:jc w:val="left"/>
    </w:pPr>
    <w:rPr>
      <w:rFonts w:eastAsia="Times New Roman" w:cs="Times New Roman"/>
      <w:szCs w:val="24"/>
      <w:lang w:eastAsia="zh-CN"/>
    </w:rPr>
  </w:style>
  <w:style w:type="character" w:customStyle="1" w:styleId="normaltextrun">
    <w:name w:val="normaltextrun"/>
    <w:basedOn w:val="DefaultParagraphFont"/>
    <w:rsid w:val="00047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561705">
      <w:bodyDiv w:val="1"/>
      <w:marLeft w:val="0"/>
      <w:marRight w:val="0"/>
      <w:marTop w:val="0"/>
      <w:marBottom w:val="0"/>
      <w:divBdr>
        <w:top w:val="none" w:sz="0" w:space="0" w:color="auto"/>
        <w:left w:val="none" w:sz="0" w:space="0" w:color="auto"/>
        <w:bottom w:val="none" w:sz="0" w:space="0" w:color="auto"/>
        <w:right w:val="none" w:sz="0" w:space="0" w:color="auto"/>
      </w:divBdr>
    </w:div>
    <w:div w:id="1187910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8381D5-5A3A-494F-A133-9B0EF7AE1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5722</Words>
  <Characters>32616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2024-03-05T19:10:00Z</dcterms:created>
  <dcterms:modified xsi:type="dcterms:W3CDTF">2024-03-08T12:17:00Z</dcterms:modified>
</cp:coreProperties>
</file>