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7AC6C" w14:textId="7777B117" w:rsidR="00AE68C6" w:rsidRDefault="00AE68C6">
      <w:proofErr w:type="spellStart"/>
      <w:r>
        <w:t>Sennefri</w:t>
      </w:r>
      <w:proofErr w:type="spellEnd"/>
      <w:r>
        <w:t xml:space="preserve"> or </w:t>
      </w:r>
      <w:proofErr w:type="spellStart"/>
      <w:r>
        <w:t>Sennefer</w:t>
      </w:r>
      <w:proofErr w:type="spellEnd"/>
      <w:r>
        <w:t xml:space="preserve"> was buried in Thebes in tomb T99.</w:t>
      </w:r>
      <w:r>
        <w:fldChar w:fldCharType="begin"/>
      </w:r>
      <w:r>
        <w:instrText xml:space="preserve"> ADDIN ZOTERO_ITEM CSL_CITATION {"citationID":"EafPekTu","properties":{"formattedCitation":"(Strudwick {\\i{}et al.}, 2016)","plainCitation":"(Strudwick et al., 2016)","noteIndex":0},"citationItems":[{"id":631,"uris":["http://zotero.org/users/local/gg1ZQu5V/items/9FQEZ5UR"],"itemData":{"id":631,"type":"book","abstract":"Senneferi was the chancellor of the king in Thebes (modern Luxor) in the reign of Thutmose III (c. 1430 BC). His large but badly damaged tomb lies in the hill of Sheikh Abdel Qurna on the West Bank at Luxor. This first of two volumes focuses on the use of the tomb complex during the New Kingdom, especially the 18th dynasty (c. 1550–1300 BC). It begins with an account of Senneferi himself, looking at his career, his family and other monuments made in his name as far apart as Gebel Silsila in southern Egypt and the Sinai peninsula. The central section deals with the development of the layout of the tomb during this period and its recent exploration, including a detailed reconstruction of its history from 1430 BC to the 20th century AD. The remaining chapters detail the decoration and finds from the excavations, including a painted statue of Senneferi’s son-in-law and a unique set of implements from the Opening of the Mouth ritual, as well as possibly the largest ceramic assemblage yet known in a tomb of this date. This book presents the results of the detailed analysis of what at first sight appear to be unpromising finds and reveals new insights into burial practices at the height of the 18th dynasty.","edition":"1st","ISBN":"978-1-78570-331-7","publisher":"Oxbow Books","source":"JSTOR","title":"The Tomb of Pharaoh’s Chancellor Senneferi at Thebes (TT99)","URL":"https://www.jstor.org/stable/j.ctt1kw2b9v","author":[{"family":"Strudwick","given":"Helen"},{"family":"Emmett","given":"Trevor F."},{"family":"Munro","given":"Irmtraut"},{"family":"Taylor","given":"John H."},{"family":"Rose","given":"Pamela"},{"family":"Bohleke","given":"B."},{"family":"Waldron","given":"Tony"},{"family":"Strudwick","given":"Nigel"},{"family":"Dawson","given":"Julie"},{"family":"Leach","given":"Bridget"}],"collection-editor":[{"family":"Strudwick","given":"Nigel"}],"accessed":{"date-parts":[["2026",3,11]]},"issued":{"date-parts":[["2016"]]}}}],"schema":"https://github.com/citation-style-language/schema/raw/master/csl-citation.json"} </w:instrText>
      </w:r>
      <w:r>
        <w:fldChar w:fldCharType="separate"/>
      </w:r>
      <w:r w:rsidRPr="00AE68C6">
        <w:rPr>
          <w:rFonts w:ascii="Aptos" w:hAnsi="Aptos" w:cs="Times New Roman"/>
          <w:kern w:val="0"/>
        </w:rPr>
        <w:t xml:space="preserve">(Strudwick </w:t>
      </w:r>
      <w:r w:rsidRPr="00AE68C6">
        <w:rPr>
          <w:rFonts w:ascii="Aptos" w:hAnsi="Aptos" w:cs="Times New Roman"/>
          <w:i/>
          <w:iCs/>
          <w:kern w:val="0"/>
        </w:rPr>
        <w:t>et al.</w:t>
      </w:r>
      <w:r w:rsidRPr="00AE68C6">
        <w:rPr>
          <w:rFonts w:ascii="Aptos" w:hAnsi="Aptos" w:cs="Times New Roman"/>
          <w:kern w:val="0"/>
        </w:rPr>
        <w:t>, 2016)</w:t>
      </w:r>
      <w:r>
        <w:fldChar w:fldCharType="end"/>
      </w:r>
      <w:r>
        <w:t xml:space="preserve"> Unlike the Egyptian pharaohs the kings and queen of Egyptian age this is a </w:t>
      </w:r>
      <w:proofErr w:type="spellStart"/>
      <w:r>
        <w:t>noblemans</w:t>
      </w:r>
      <w:proofErr w:type="spellEnd"/>
      <w:r>
        <w:t xml:space="preserve"> burial tomb this gives us an interesting look into the </w:t>
      </w:r>
      <w:r w:rsidR="007D1BF9">
        <w:t>life of the upper class society in the 18</w:t>
      </w:r>
      <w:r w:rsidR="007D1BF9" w:rsidRPr="007D1BF9">
        <w:rPr>
          <w:vertAlign w:val="superscript"/>
        </w:rPr>
        <w:t>th</w:t>
      </w:r>
      <w:r w:rsidR="007D1BF9">
        <w:t xml:space="preserve"> dynasty.</w:t>
      </w:r>
      <w:r w:rsidR="007D1BF9">
        <w:fldChar w:fldCharType="begin"/>
      </w:r>
      <w:r w:rsidR="007D1BF9">
        <w:instrText xml:space="preserve"> ADDIN ZOTERO_ITEM CSL_CITATION {"citationID":"1OueSLCY","properties":{"formattedCitation":"(Filiks and \\uc0\\u379{}uk, 2010)","plainCitation":"(Filiks and Żuk, 2010)","noteIndex":0},"citationItems":[{"id":656,"uris":["http://zotero.org/users/local/gg1ZQu5V/items/MI622MIF"],"itemData":{"id":656,"type":"book","call-number":"2.412.258 A","event-place":"Lublin","ISBN":"978-83-7497-092-1","language":"en","note":"event-title: International Conference on Ion Implantation and other Applications of Ions and Electrons","number-of-pages":"167","publisher":"Lublin University of Technology Press","publisher-place":"Lublin","source":"National Library of Poland ISBN","title":"VIII-th International Conference on Ion Implantation and other Applications of Ions and Electrons, June 14-17, 2010, Kazimierz Dolny, Poland","editor":[{"family":"Filiks","given":"Janusz"},{"family":"Żuk","given":"Jerzy"}],"issued":{"date-parts":[["2010"]]}}}],"schema":"https://github.com/citation-style-language/schema/raw/master/csl-citation.json"} </w:instrText>
      </w:r>
      <w:r w:rsidR="007D1BF9">
        <w:fldChar w:fldCharType="separate"/>
      </w:r>
      <w:r w:rsidR="007D1BF9" w:rsidRPr="007D1BF9">
        <w:rPr>
          <w:rFonts w:ascii="Aptos" w:hAnsi="Aptos" w:cs="Times New Roman"/>
          <w:kern w:val="0"/>
        </w:rPr>
        <w:t>(</w:t>
      </w:r>
      <w:proofErr w:type="spellStart"/>
      <w:r w:rsidR="007D1BF9" w:rsidRPr="007D1BF9">
        <w:rPr>
          <w:rFonts w:ascii="Aptos" w:hAnsi="Aptos" w:cs="Times New Roman"/>
          <w:kern w:val="0"/>
        </w:rPr>
        <w:t>Filiks</w:t>
      </w:r>
      <w:proofErr w:type="spellEnd"/>
      <w:r w:rsidR="007D1BF9" w:rsidRPr="007D1BF9">
        <w:rPr>
          <w:rFonts w:ascii="Aptos" w:hAnsi="Aptos" w:cs="Times New Roman"/>
          <w:kern w:val="0"/>
        </w:rPr>
        <w:t xml:space="preserve"> and </w:t>
      </w:r>
      <w:proofErr w:type="spellStart"/>
      <w:r w:rsidR="007D1BF9" w:rsidRPr="007D1BF9">
        <w:rPr>
          <w:rFonts w:ascii="Aptos" w:hAnsi="Aptos" w:cs="Times New Roman"/>
          <w:kern w:val="0"/>
        </w:rPr>
        <w:t>Żuk</w:t>
      </w:r>
      <w:proofErr w:type="spellEnd"/>
      <w:r w:rsidR="007D1BF9" w:rsidRPr="007D1BF9">
        <w:rPr>
          <w:rFonts w:ascii="Aptos" w:hAnsi="Aptos" w:cs="Times New Roman"/>
          <w:kern w:val="0"/>
        </w:rPr>
        <w:t>, 2010)</w:t>
      </w:r>
      <w:r w:rsidR="007D1BF9">
        <w:fldChar w:fldCharType="end"/>
      </w:r>
      <w:r w:rsidR="007D1BF9">
        <w:t xml:space="preserve"> The tomb of </w:t>
      </w:r>
      <w:proofErr w:type="spellStart"/>
      <w:r w:rsidR="007D1BF9">
        <w:t>Sennefri</w:t>
      </w:r>
      <w:proofErr w:type="spellEnd"/>
      <w:r w:rsidR="007D1BF9">
        <w:t xml:space="preserve"> Also known as T99 is the place where </w:t>
      </w:r>
      <w:proofErr w:type="spellStart"/>
      <w:r w:rsidR="007D1BF9">
        <w:t>Sennefris</w:t>
      </w:r>
      <w:proofErr w:type="spellEnd"/>
      <w:r w:rsidR="007D1BF9">
        <w:t xml:space="preserve"> </w:t>
      </w:r>
      <w:r w:rsidR="00663F54">
        <w:t>mummified</w:t>
      </w:r>
      <w:r w:rsidR="007D1BF9">
        <w:t xml:space="preserve"> body is located in line with </w:t>
      </w:r>
      <w:r w:rsidR="00663F54">
        <w:t>Egyptian</w:t>
      </w:r>
      <w:r w:rsidR="007D1BF9">
        <w:t xml:space="preserve"> burial practices having undergone the process of </w:t>
      </w:r>
      <w:r w:rsidR="00663F54">
        <w:t>mummification</w:t>
      </w:r>
      <w:r w:rsidR="00663F54">
        <w:fldChar w:fldCharType="begin"/>
      </w:r>
      <w:r w:rsidR="00663F54">
        <w:instrText xml:space="preserve"> ADDIN ZOTERO_ITEM CSL_CITATION {"citationID":"ztXsozq7","properties":{"formattedCitation":"(Riggs, 2016)","plainCitation":"(Riggs, 2016)","noteIndex":0},"citationItems":[{"id":150,"uris":["http://zotero.org/users/local/gg1ZQu5V/items/JW2LHUW7"],"itemData":{"id":150,"type":"article-journal","abstract":"This article uses Egyptian burials of the Roman period as an entry point for considering aesthetics in relation to archaeology, ancient art, and human remains. Although some archaeologists and Egyptologists reject or ignore the concept of aesthetics, this article argues that it complements questions of ontology, materiality, and social practice that concern much contemporary archaeological thought. Moreover, engaging with aesthetics in the study of the ancient world requires archaeologists (and others) to reflect critically on the relationship between disciplinary histories and knowledge production, and to recognize the influence that earlier aesthetic models, such as racial science, continue to exert in current aesthetic encounters with ancient Egypt and its dead.","container-title":"The British Journal of Aesthetics","DOI":"10.1093/aesthj/ayw045","ISSN":"0007-0904","issue":"3","journalAbbreviation":"The British Journal of Aesthetics","page":"247-263","source":"Silverchair","title":"Beautiful Burials, Beautiful Skulls: The Aesthetics of the Egyptian Mummy","title-short":"Beautiful Burials, Beautiful Skulls","volume":"56","author":[{"family":"Riggs","given":"Christina"}],"issued":{"date-parts":[["2016",7,1]]}}}],"schema":"https://github.com/citation-style-language/schema/raw/master/csl-citation.json"} </w:instrText>
      </w:r>
      <w:r w:rsidR="00663F54">
        <w:fldChar w:fldCharType="separate"/>
      </w:r>
      <w:r w:rsidR="00663F54" w:rsidRPr="00663F54">
        <w:rPr>
          <w:rFonts w:ascii="Aptos" w:hAnsi="Aptos"/>
        </w:rPr>
        <w:t>(Riggs, 2016)</w:t>
      </w:r>
      <w:r w:rsidR="00663F54">
        <w:fldChar w:fldCharType="end"/>
      </w:r>
      <w:r w:rsidR="00663F54">
        <w:t xml:space="preserve">. In </w:t>
      </w:r>
      <w:proofErr w:type="spellStart"/>
      <w:r w:rsidR="00663F54">
        <w:t>Sennefri’s</w:t>
      </w:r>
      <w:proofErr w:type="spellEnd"/>
      <w:r w:rsidR="00663F54">
        <w:t xml:space="preserve"> life he would have served inter Thutmose the thirds time.</w:t>
      </w:r>
      <w:r w:rsidR="00663F54">
        <w:fldChar w:fldCharType="begin"/>
      </w:r>
      <w:r w:rsidR="00663F54">
        <w:instrText xml:space="preserve"> ADDIN ZOTERO_ITEM CSL_CITATION {"citationID":"3s1zbMfF","properties":{"formattedCitation":"(Strudwick {\\i{}et al.}, 2016)","plainCitation":"(Strudwick et al., 2016)","noteIndex":0},"citationItems":[{"id":631,"uris":["http://zotero.org/users/local/gg1ZQu5V/items/9FQEZ5UR"],"itemData":{"id":631,"type":"book","abstract":"Senneferi was the chancellor of the king in Thebes (modern Luxor) in the reign of Thutmose III (c. 1430 BC). His large but badly damaged tomb lies in the hill of Sheikh Abdel Qurna on the West Bank at Luxor. This first of two volumes focuses on the use of the tomb complex during the New Kingdom, especially the 18th dynasty (c. 1550–1300 BC). It begins with an account of Senneferi himself, looking at his career, his family and other monuments made in his name as far apart as Gebel Silsila in southern Egypt and the Sinai peninsula. The central section deals with the development of the layout of the tomb during this period and its recent exploration, including a detailed reconstruction of its history from 1430 BC to the 20th century AD. The remaining chapters detail the decoration and finds from the excavations, including a painted statue of Senneferi’s son-in-law and a unique set of implements from the Opening of the Mouth ritual, as well as possibly the largest ceramic assemblage yet known in a tomb of this date. This book presents the results of the detailed analysis of what at first sight appear to be unpromising finds and reveals new insights into burial practices at the height of the 18th dynasty.","edition":"1st","ISBN":"978-1-78570-331-7","publisher":"Oxbow Books","source":"JSTOR","title":"The Tomb of Pharaoh’s Chancellor Senneferi at Thebes (TT99)","URL":"https://www.jstor.org/stable/j.ctt1kw2b9v","author":[{"family":"Strudwick","given":"Helen"},{"family":"Emmett","given":"Trevor F."},{"family":"Munro","given":"Irmtraut"},{"family":"Taylor","given":"John H."},{"family":"Rose","given":"Pamela"},{"family":"Bohleke","given":"B."},{"family":"Waldron","given":"Tony"},{"family":"Strudwick","given":"Nigel"},{"family":"Dawson","given":"Julie"},{"family":"Leach","given":"Bridget"}],"collection-editor":[{"family":"Strudwick","given":"Nigel"}],"accessed":{"date-parts":[["2026",3,11]]},"issued":{"date-parts":[["2016"]]}}}],"schema":"https://github.com/citation-style-language/schema/raw/master/csl-citation.json"} </w:instrText>
      </w:r>
      <w:r w:rsidR="00663F54">
        <w:fldChar w:fldCharType="separate"/>
      </w:r>
      <w:r w:rsidR="00663F54" w:rsidRPr="00663F54">
        <w:rPr>
          <w:rFonts w:ascii="Aptos" w:hAnsi="Aptos" w:cs="Times New Roman"/>
          <w:kern w:val="0"/>
        </w:rPr>
        <w:t xml:space="preserve">(Strudwick </w:t>
      </w:r>
      <w:r w:rsidR="00663F54" w:rsidRPr="00663F54">
        <w:rPr>
          <w:rFonts w:ascii="Aptos" w:hAnsi="Aptos" w:cs="Times New Roman"/>
          <w:i/>
          <w:iCs/>
          <w:kern w:val="0"/>
        </w:rPr>
        <w:t>et al.</w:t>
      </w:r>
      <w:r w:rsidR="00663F54" w:rsidRPr="00663F54">
        <w:rPr>
          <w:rFonts w:ascii="Aptos" w:hAnsi="Aptos" w:cs="Times New Roman"/>
          <w:kern w:val="0"/>
        </w:rPr>
        <w:t>, 2016)</w:t>
      </w:r>
      <w:r w:rsidR="00663F54">
        <w:fldChar w:fldCharType="end"/>
      </w:r>
      <w:r w:rsidR="00663F54">
        <w:t xml:space="preserve"> His family consisted of his wife </w:t>
      </w:r>
      <w:proofErr w:type="spellStart"/>
      <w:r w:rsidR="00663F54">
        <w:t>Taiamu</w:t>
      </w:r>
      <w:proofErr w:type="spellEnd"/>
      <w:r w:rsidR="00663F54">
        <w:t xml:space="preserve"> of whom there is no further information other than she is </w:t>
      </w:r>
      <w:proofErr w:type="spellStart"/>
      <w:r w:rsidR="00663F54">
        <w:t>Sennefris</w:t>
      </w:r>
      <w:proofErr w:type="spellEnd"/>
      <w:r w:rsidR="00663F54">
        <w:t xml:space="preserve"> wife</w:t>
      </w:r>
      <w:r w:rsidR="00663F54">
        <w:fldChar w:fldCharType="begin"/>
      </w:r>
      <w:r w:rsidR="002062AC">
        <w:instrText xml:space="preserve"> ADDIN ZOTERO_ITEM CSL_CITATION {"citationID":"2NzQDCMs","properties":{"formattedCitation":"(Strudwick, 2016)","plainCitation":"(Strudwick, 2016)","noteIndex":0},"citationItems":[{"id":659,"uris":["http://zotero.org/users/local/gg1ZQu5V/items/IBF7KGYU"],"itemData":{"id":659,"type":"webpage","title":"Senneferi and his family","URL":"https://tt99.fitz.ms/senneferi.html#family","author":[{"family":"Strudwick","given":""}],"accessed":{"date-parts":[["2026",3,20]]},"issued":{"date-parts":[["2016"]]}}}],"schema":"https://github.com/citation-style-language/schema/raw/master/csl-citation.json"} </w:instrText>
      </w:r>
      <w:r w:rsidR="00663F54">
        <w:fldChar w:fldCharType="separate"/>
      </w:r>
      <w:r w:rsidR="002062AC" w:rsidRPr="002062AC">
        <w:rPr>
          <w:rFonts w:ascii="Aptos" w:hAnsi="Aptos"/>
        </w:rPr>
        <w:t>(Strudwick, 2016)</w:t>
      </w:r>
      <w:r w:rsidR="00663F54">
        <w:fldChar w:fldCharType="end"/>
      </w:r>
      <w:r w:rsidR="00663F54">
        <w:t xml:space="preserve"> </w:t>
      </w:r>
      <w:proofErr w:type="spellStart"/>
      <w:r w:rsidR="00663F54">
        <w:t>Sennefer</w:t>
      </w:r>
      <w:proofErr w:type="spellEnd"/>
      <w:r w:rsidR="00663F54">
        <w:t xml:space="preserve"> also presumably has a daughter known as </w:t>
      </w:r>
      <w:proofErr w:type="spellStart"/>
      <w:r w:rsidR="00663F54">
        <w:t>Renena</w:t>
      </w:r>
      <w:proofErr w:type="spellEnd"/>
      <w:r w:rsidR="00663F54">
        <w:t xml:space="preserve"> his parents are also mentioned several times in texts </w:t>
      </w:r>
      <w:proofErr w:type="spellStart"/>
      <w:r w:rsidR="00663F54" w:rsidRPr="00663F54">
        <w:t>Haydjehuty</w:t>
      </w:r>
      <w:proofErr w:type="spellEnd"/>
      <w:r w:rsidR="00663F54" w:rsidRPr="00663F54">
        <w:t xml:space="preserve"> and </w:t>
      </w:r>
      <w:proofErr w:type="spellStart"/>
      <w:r w:rsidR="00663F54" w:rsidRPr="00663F54">
        <w:t>Zatdjehuty</w:t>
      </w:r>
      <w:proofErr w:type="spellEnd"/>
      <w:r w:rsidR="00663F54">
        <w:t xml:space="preserve"> fath</w:t>
      </w:r>
      <w:r w:rsidR="00365DF5">
        <w:t>er</w:t>
      </w:r>
      <w:r w:rsidR="00663F54">
        <w:t xml:space="preserve"> and mother </w:t>
      </w:r>
      <w:r w:rsidR="00365DF5">
        <w:t>respectively.</w:t>
      </w:r>
      <w:r w:rsidR="00365DF5">
        <w:fldChar w:fldCharType="begin"/>
      </w:r>
      <w:r w:rsidR="002062AC">
        <w:instrText xml:space="preserve"> ADDIN ZOTERO_ITEM CSL_CITATION {"citationID":"KBUvc6Dv","properties":{"formattedCitation":"(Strudwick, 2016)","plainCitation":"(Strudwick, 2016)","noteIndex":0},"citationItems":[{"id":659,"uris":["http://zotero.org/users/local/gg1ZQu5V/items/IBF7KGYU"],"itemData":{"id":659,"type":"webpage","title":"Senneferi and his family","URL":"https://tt99.fitz.ms/senneferi.html#family","author":[{"family":"Strudwick","given":""}],"accessed":{"date-parts":[["2026",3,20]]},"issued":{"date-parts":[["2016"]]}}}],"schema":"https://github.com/citation-style-language/schema/raw/master/csl-citation.json"} </w:instrText>
      </w:r>
      <w:r w:rsidR="00365DF5">
        <w:fldChar w:fldCharType="separate"/>
      </w:r>
      <w:r w:rsidR="002062AC" w:rsidRPr="002062AC">
        <w:rPr>
          <w:rFonts w:ascii="Aptos" w:hAnsi="Aptos"/>
        </w:rPr>
        <w:t>(Strudwick, 2016)</w:t>
      </w:r>
      <w:r w:rsidR="00365DF5">
        <w:fldChar w:fldCharType="end"/>
      </w:r>
      <w:r w:rsidR="00365DF5">
        <w:t xml:space="preserve"> the parents of </w:t>
      </w:r>
      <w:proofErr w:type="spellStart"/>
      <w:r w:rsidR="00365DF5">
        <w:t>Sennefri</w:t>
      </w:r>
      <w:proofErr w:type="spellEnd"/>
      <w:r w:rsidR="00365DF5">
        <w:t xml:space="preserve"> seemed to not be held in high regard in comparison tot heir son so there is reasonable speculation of </w:t>
      </w:r>
      <w:proofErr w:type="spellStart"/>
      <w:r w:rsidR="00365DF5">
        <w:t>sennefri</w:t>
      </w:r>
      <w:proofErr w:type="spellEnd"/>
      <w:r w:rsidR="00365DF5">
        <w:t xml:space="preserve"> attaining his nobleman status through his own means. From what has </w:t>
      </w:r>
      <w:proofErr w:type="gramStart"/>
      <w:r w:rsidR="00365DF5">
        <w:t>been gathered</w:t>
      </w:r>
      <w:proofErr w:type="gramEnd"/>
      <w:r w:rsidR="00365DF5">
        <w:t xml:space="preserve"> </w:t>
      </w:r>
      <w:proofErr w:type="gramStart"/>
      <w:r w:rsidR="00365DF5">
        <w:t xml:space="preserve">it seems that </w:t>
      </w:r>
      <w:proofErr w:type="spellStart"/>
      <w:r w:rsidR="00365DF5">
        <w:t>sennefri</w:t>
      </w:r>
      <w:proofErr w:type="spellEnd"/>
      <w:proofErr w:type="gramEnd"/>
      <w:r w:rsidR="00365DF5">
        <w:t xml:space="preserve"> was a builder of high status or had major parts in construction and </w:t>
      </w:r>
      <w:proofErr w:type="gramStart"/>
      <w:r w:rsidR="00365DF5">
        <w:t>was involved in</w:t>
      </w:r>
      <w:proofErr w:type="gramEnd"/>
      <w:r w:rsidR="00365DF5">
        <w:t xml:space="preserve"> the construction of one of the earliest tombs within Gebel Silsila. The architecture of </w:t>
      </w:r>
      <w:proofErr w:type="spellStart"/>
      <w:r w:rsidR="00365DF5">
        <w:t>Sennefers</w:t>
      </w:r>
      <w:proofErr w:type="spellEnd"/>
      <w:r w:rsidR="00365DF5">
        <w:t xml:space="preserve"> tomb shows a reflection of the society </w:t>
      </w:r>
      <w:proofErr w:type="spellStart"/>
      <w:r w:rsidR="00365DF5">
        <w:t>Sennefri</w:t>
      </w:r>
      <w:proofErr w:type="spellEnd"/>
      <w:r w:rsidR="00365DF5">
        <w:t xml:space="preserve"> moved on from in death.</w:t>
      </w:r>
    </w:p>
    <w:p w14:paraId="1FB0A4CE" w14:textId="25FBA96A" w:rsidR="006B47F6" w:rsidRDefault="006B47F6"/>
    <w:p w14:paraId="59CDFD4E" w14:textId="77777777" w:rsidR="00365DF5" w:rsidRDefault="00365DF5"/>
    <w:p w14:paraId="7511C812" w14:textId="7B71ED0F" w:rsidR="00365DF5" w:rsidRDefault="00F12307">
      <w:r>
        <w:t xml:space="preserve">Theban rock cut tombs, </w:t>
      </w:r>
      <w:proofErr w:type="gramStart"/>
      <w:r>
        <w:t>much</w:t>
      </w:r>
      <w:proofErr w:type="gramEnd"/>
      <w:r>
        <w:t xml:space="preserve"> like any other style of construction, shares traits with those in its grouping this is natural for any culture as style and meaning </w:t>
      </w:r>
      <w:proofErr w:type="gramStart"/>
      <w:r>
        <w:t>is influenced</w:t>
      </w:r>
      <w:proofErr w:type="gramEnd"/>
      <w:r>
        <w:t xml:space="preserve"> by materials and culture in relation to the subject. However this still does not stop Theban tombs from having their own distinct flair and style in each tomb.</w:t>
      </w:r>
      <w:r>
        <w:fldChar w:fldCharType="begin"/>
      </w:r>
      <w:r>
        <w:instrText xml:space="preserve"> ADDIN ZOTERO_ITEM CSL_CITATION {"citationID":"PR1cK9o7","properties":{"formattedCitation":"(Barjamovic and Ryholt, 2016)","plainCitation":"(Barjamovic and Ryholt, 2016)","noteIndex":0},"citationItems":[{"id":627,"uris":["http://zotero.org/users/local/gg1ZQu5V/items/AEDCYRY8"],"itemData":{"id":627,"type":"book","abstract":"The term ‘canonicity’ implies the recognition that the domain of literature and of the library is also a cultural and political one, related to various forms of identity formation, maintenance, and change. Scribes and benefactors ‘create’ canon in as much as they teach, analyze, preserve, prom¬ulgate and change ‘canonical’ texts according to prevailing norms. From early on, texts from the written traditions of ancient Mesopotamia and Egypt were accumulated, codified, and to some extent canonized, as various collections developed mainly in the environment of the temple and the palace. These written traditions represent sets of formal and informal cultures that all speak in their own ways of canonicity, normativity, and other forms of cultural expertise. Some forms of literature were used not only in scholarly contexts, but also in political ones, and they served purposes of identity formation. This volume addresses the interrelations between various forms of ‘canon’ and identity formation in different time periods, genres, regions, and contexts, as well as the application of contemporary conceptions of ‘canon’ to ancient texts.","ISBN":"978-87-635-4372-9","language":"en","note":"Google-Books-ID: jae9DgAAQBAJ","number-of-pages":"359","publisher":"Museum Tusculanum Press","source":"Google Books","title":"Problems of Canonicity and Identity Formation in Ancient Egypt and Mesopotamia","author":[{"family":"Barjamovic","given":"Gojko"},{"family":"Ryholt","given":"Kim"}],"issued":{"date-parts":[["2016",4,24]]}}}],"schema":"https://github.com/citation-style-language/schema/raw/master/csl-citation.json"} </w:instrText>
      </w:r>
      <w:r>
        <w:fldChar w:fldCharType="separate"/>
      </w:r>
      <w:r w:rsidRPr="00F12307">
        <w:rPr>
          <w:rFonts w:ascii="Aptos" w:hAnsi="Aptos"/>
        </w:rPr>
        <w:t>(</w:t>
      </w:r>
      <w:proofErr w:type="spellStart"/>
      <w:r w:rsidRPr="00F12307">
        <w:rPr>
          <w:rFonts w:ascii="Aptos" w:hAnsi="Aptos"/>
        </w:rPr>
        <w:t>Barjamovic</w:t>
      </w:r>
      <w:proofErr w:type="spellEnd"/>
      <w:r w:rsidRPr="00F12307">
        <w:rPr>
          <w:rFonts w:ascii="Aptos" w:hAnsi="Aptos"/>
        </w:rPr>
        <w:t xml:space="preserve"> and Ryholt, 2016)</w:t>
      </w:r>
      <w:r>
        <w:fldChar w:fldCharType="end"/>
      </w:r>
      <w:r>
        <w:t xml:space="preserve"> this can show reflections of not just the person or people who were buried within the tomb but also reflect the era that these people left in order to move on to he next life. generally it is </w:t>
      </w:r>
      <w:r w:rsidR="002A7272">
        <w:t>believed</w:t>
      </w:r>
      <w:r>
        <w:t xml:space="preserve"> that up to three tombs were completed per year </w:t>
      </w:r>
      <w:r>
        <w:t>complemented by the strict traditions and scenes that the builders and artists would adhere to</w:t>
      </w:r>
      <w:r>
        <w:t xml:space="preserve"> which can be seen as a weakness but also shows the steadfast traditions of the Egyptian people.</w:t>
      </w:r>
      <w:r>
        <w:t xml:space="preserve"> </w:t>
      </w:r>
      <w:r>
        <w:fldChar w:fldCharType="begin"/>
      </w:r>
      <w:r>
        <w:instrText xml:space="preserve"> ADDIN ZOTERO_ITEM CSL_CITATION {"citationID":"bzmtAsNA","properties":{"formattedCitation":"(Barjamovic and Ryholt, 2016)","plainCitation":"(Barjamovic and Ryholt, 2016)","noteIndex":0},"citationItems":[{"id":627,"uris":["http://zotero.org/users/local/gg1ZQu5V/items/AEDCYRY8"],"itemData":{"id":627,"type":"book","abstract":"The term ‘canonicity’ implies the recognition that the domain of literature and of the library is also a cultural and political one, related to various forms of identity formation, maintenance, and change. Scribes and benefactors ‘create’ canon in as much as they teach, analyze, preserve, prom¬ulgate and change ‘canonical’ texts according to prevailing norms. From early on, texts from the written traditions of ancient Mesopotamia and Egypt were accumulated, codified, and to some extent canonized, as various collections developed mainly in the environment of the temple and the palace. These written traditions represent sets of formal and informal cultures that all speak in their own ways of canonicity, normativity, and other forms of cultural expertise. Some forms of literature were used not only in scholarly contexts, but also in political ones, and they served purposes of identity formation. This volume addresses the interrelations between various forms of ‘canon’ and identity formation in different time periods, genres, regions, and contexts, as well as the application of contemporary conceptions of ‘canon’ to ancient texts.","ISBN":"978-87-635-4372-9","language":"en","note":"Google-Books-ID: jae9DgAAQBAJ","number-of-pages":"359","publisher":"Museum Tusculanum Press","source":"Google Books","title":"Problems of Canonicity and Identity Formation in Ancient Egypt and Mesopotamia","author":[{"family":"Barjamovic","given":"Gojko"},{"family":"Ryholt","given":"Kim"}],"issued":{"date-parts":[["2016",4,24]]}}}],"schema":"https://github.com/citation-style-language/schema/raw/master/csl-citation.json"} </w:instrText>
      </w:r>
      <w:r>
        <w:fldChar w:fldCharType="separate"/>
      </w:r>
      <w:r w:rsidRPr="00F12307">
        <w:rPr>
          <w:rFonts w:ascii="Aptos" w:hAnsi="Aptos"/>
        </w:rPr>
        <w:t>(</w:t>
      </w:r>
      <w:proofErr w:type="spellStart"/>
      <w:r w:rsidRPr="00F12307">
        <w:rPr>
          <w:rFonts w:ascii="Aptos" w:hAnsi="Aptos"/>
        </w:rPr>
        <w:t>Barjamovic</w:t>
      </w:r>
      <w:proofErr w:type="spellEnd"/>
      <w:r w:rsidRPr="00F12307">
        <w:rPr>
          <w:rFonts w:ascii="Aptos" w:hAnsi="Aptos"/>
        </w:rPr>
        <w:t xml:space="preserve"> and Ryholt, 2016)</w:t>
      </w:r>
      <w:r>
        <w:fldChar w:fldCharType="end"/>
      </w:r>
      <w:r>
        <w:t xml:space="preserve"> </w:t>
      </w:r>
    </w:p>
    <w:p w14:paraId="236BE333" w14:textId="77777777" w:rsidR="002F1BB5" w:rsidRDefault="002F1BB5"/>
    <w:p w14:paraId="0F6D054C" w14:textId="77777777" w:rsidR="002A7272" w:rsidRDefault="002A7272"/>
    <w:p w14:paraId="5A4AFB08" w14:textId="77777777" w:rsidR="002F1BB5" w:rsidRDefault="002F1BB5" w:rsidP="002F1BB5">
      <w:pPr>
        <w:keepNext/>
      </w:pPr>
      <w:r>
        <w:rPr>
          <w:noProof/>
        </w:rPr>
        <w:lastRenderedPageBreak/>
        <w:drawing>
          <wp:inline distT="0" distB="0" distL="0" distR="0" wp14:anchorId="6578EBC2" wp14:editId="4614DDD6">
            <wp:extent cx="4943475" cy="3352800"/>
            <wp:effectExtent l="0" t="0" r="9525" b="0"/>
            <wp:docPr id="14306190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43475" cy="3352800"/>
                    </a:xfrm>
                    <a:prstGeom prst="rect">
                      <a:avLst/>
                    </a:prstGeom>
                    <a:noFill/>
                  </pic:spPr>
                </pic:pic>
              </a:graphicData>
            </a:graphic>
          </wp:inline>
        </w:drawing>
      </w:r>
    </w:p>
    <w:p w14:paraId="4A68640D" w14:textId="4C66DE87" w:rsidR="002F1BB5" w:rsidRDefault="002F1BB5" w:rsidP="002F1BB5">
      <w:pPr>
        <w:pStyle w:val="Caption"/>
      </w:pPr>
      <w:r>
        <w:t xml:space="preserve">figure </w:t>
      </w:r>
      <w:fldSimple w:instr=" SEQ figure \* ARABIC ">
        <w:r w:rsidR="00543B5E">
          <w:rPr>
            <w:noProof/>
          </w:rPr>
          <w:t>1</w:t>
        </w:r>
      </w:fldSimple>
      <w:r>
        <w:t>.</w:t>
      </w:r>
      <w:r w:rsidRPr="009A35F6">
        <w:t>The courtyard, entrance, and facade of TT99 from the south in 199</w:t>
      </w:r>
      <w:r>
        <w:t>.strudwick</w:t>
      </w:r>
    </w:p>
    <w:p w14:paraId="6AA76958" w14:textId="7B29E73E" w:rsidR="006B47F6" w:rsidRDefault="002F1BB5">
      <w:r>
        <w:t>TT99 is a tomb with impressive architecture that has worn the tes</w:t>
      </w:r>
      <w:r w:rsidR="00AE09CE">
        <w:t>t</w:t>
      </w:r>
      <w:r>
        <w:t xml:space="preserve"> of time. As shown in figure one the main entrance of the burial chamber </w:t>
      </w:r>
      <w:proofErr w:type="gramStart"/>
      <w:r>
        <w:t>is constructed</w:t>
      </w:r>
      <w:proofErr w:type="gramEnd"/>
      <w:r>
        <w:t xml:space="preserve"> from rocks of varying </w:t>
      </w:r>
      <w:r w:rsidR="00AE09CE">
        <w:t>size</w:t>
      </w:r>
      <w:r>
        <w:t xml:space="preserve"> and </w:t>
      </w:r>
      <w:proofErr w:type="gramStart"/>
      <w:r>
        <w:t>is bonded</w:t>
      </w:r>
      <w:proofErr w:type="gramEnd"/>
      <w:r>
        <w:t xml:space="preserve"> together with types of mortar. These ancient rocks create a flat rock face which blends in nicely to the surrounding terrain but also </w:t>
      </w:r>
      <w:r w:rsidR="00AE09CE">
        <w:t>delineates</w:t>
      </w:r>
      <w:r>
        <w:t xml:space="preserve"> this place as somewhere of importance. There is a focus on the larger blocks of the build and there is the niche in the centre. This façade shows skill in stone masonry of which the Egyptians are </w:t>
      </w:r>
      <w:r w:rsidR="00AE09CE">
        <w:t>widely</w:t>
      </w:r>
      <w:r>
        <w:t xml:space="preserve"> known for In the modern day from impressive structures like the sphinxes and the pyramids</w:t>
      </w:r>
      <w:r w:rsidR="00AE09CE">
        <w:fldChar w:fldCharType="begin"/>
      </w:r>
      <w:r w:rsidR="00AE09CE">
        <w:instrText xml:space="preserve"> ADDIN ZOTERO_ITEM CSL_CITATION {"citationID":"WBM8DuB9","properties":{"formattedCitation":"(Bourama, L\\uc0\\u232{}fara and Sidiki, 2023)","plainCitation":"(Bourama, Lèfara and Sidiki, 2023)","noteIndex":0},"citationItems":[{"id":668,"uris":["http://zotero.org/users/local/gg1ZQu5V/items/PGF3Y24C"],"itemData":{"id":668,"type":"article-journal","abstract":"This study focuses on precolonial Egypt's impact on Modern Society including culture art, architecture, science, and religion. The problematic of the study is that very few people, especially in postcolonial Africa, are aware of the great impact of Ancient Egyptian civilization on the modern world. The objective of the study is therefore to show the impact of precolonial Egypt on the modern world across different domains. The qualitative research method has been used to collect the data of the study. This method has been used because of its relevance to work of civilization. To ensure a better implementation of the study, the data were analyzed and interpreted in the theoretical contexts of Eurocentrism and Afrocentricity. As a result, the findings have revealed that precolonial Egypt deeply influenced modern society in the areas of art, architecture, science, and religion.","language":"en","source":"Zotero","title":"Reading Precolonial Egypt's Impact on Modern Society with a Focus on Culture, Art, Architecture, Science and Religion.","volume":"1","author":[{"family":"Bourama","given":"MARIKO"},{"family":"Lèfara","given":"SILUE"},{"family":"Sidiki","given":"Coulibaly Aboubacar"}],"issued":{"date-parts":[["2023"]]}}}],"schema":"https://github.com/citation-style-language/schema/raw/master/csl-citation.json"} </w:instrText>
      </w:r>
      <w:r w:rsidR="00AE09CE">
        <w:fldChar w:fldCharType="separate"/>
      </w:r>
      <w:r w:rsidR="00AE09CE" w:rsidRPr="00AE09CE">
        <w:rPr>
          <w:rFonts w:ascii="Aptos" w:hAnsi="Aptos" w:cs="Times New Roman"/>
          <w:kern w:val="0"/>
        </w:rPr>
        <w:t xml:space="preserve">(Bourama, </w:t>
      </w:r>
      <w:proofErr w:type="spellStart"/>
      <w:r w:rsidR="00AE09CE" w:rsidRPr="00AE09CE">
        <w:rPr>
          <w:rFonts w:ascii="Aptos" w:hAnsi="Aptos" w:cs="Times New Roman"/>
          <w:kern w:val="0"/>
        </w:rPr>
        <w:t>Lèfara</w:t>
      </w:r>
      <w:proofErr w:type="spellEnd"/>
      <w:r w:rsidR="00AE09CE" w:rsidRPr="00AE09CE">
        <w:rPr>
          <w:rFonts w:ascii="Aptos" w:hAnsi="Aptos" w:cs="Times New Roman"/>
          <w:kern w:val="0"/>
        </w:rPr>
        <w:t xml:space="preserve"> and Sidiki, 2023)</w:t>
      </w:r>
      <w:r w:rsidR="00AE09CE">
        <w:fldChar w:fldCharType="end"/>
      </w:r>
      <w:r w:rsidR="00AE09CE">
        <w:t xml:space="preserve"> seen in phenomena like Egyptomania as well</w:t>
      </w:r>
      <w:r w:rsidR="00AE09CE">
        <w:fldChar w:fldCharType="begin"/>
      </w:r>
      <w:r w:rsidR="00AE09CE">
        <w:instrText xml:space="preserve"> ADDIN ZOTERO_ITEM CSL_CITATION {"citationID":"azqMZD7S","properties":{"formattedCitation":"(Trafton, 2004)","plainCitation":"(Trafton, 2004)","noteIndex":0},"citationItems":[{"id":670,"uris":["http://zotero.org/users/local/gg1ZQu5V/items/5C2LYNB7"],"itemData":{"id":670,"type":"book","abstract":"Egypt Land is the first comprehensive analysis of the connections between constructions of race and representations of ancient Egypt in nineteenth-century America. Scott Trafton argues that the American mania for Egypt was directly related to anxieties over race and race-based slavery. He shows how the fascination with ancient Egypt among both black and white Americans was manifest in a range of often contradictory ways. Both groups likened the power of the United States to that of the ancient Egyptian empire, yet both also identified with ancient Egypt’s victims. As the land which represented the origins of races and nations, the power and folly of empires, despots holding people in bondage, and the exodus of the saved from the land of slavery, ancient Egypt was a uniquely useful trope for representing America’s own conflicts and anxious aspirations.Drawing on literary and cultural studies, art and architectural history, political history, religious history, and the histories of archaeology and ethnology, Trafton illuminates anxieties related to race in different manifestations of nineteenth-century American Egyptomania, including the development of American Egyptology, the rise of racialized science, the narrative and literary tradition of the imperialist adventure tale, the cultural politics of the architectural Egyptian Revival, and the dynamics of African American Ethiopianism. He demonstrates how debates over what the United States was and what it could become returned again and again to ancient Egypt. From visions of Cleopatra to the tales of Edgar Allan Poe, from the works of Pauline Hopkins to the construction of the Washington Monument, from the measuring of slaves’ skulls to the singing of slave spirituals—claims about and representations of ancient Egypt served as linchpins for discussions about nineteenth-century American racial and national identity.","ISBN":"978-0-8223-3362-3","language":"en","note":"Google-Books-ID: YHgv011kWIAC","number-of-pages":"382","publisher":"Duke University Press","source":"Google Books","title":"Egypt Land: Race and Nineteenth-Century American Egyptomania","title-short":"Egypt Land","author":[{"family":"Trafton","given":"Scott"}],"issued":{"date-parts":[["2004",11,19]]}}}],"schema":"https://github.com/citation-style-language/schema/raw/master/csl-citation.json"} </w:instrText>
      </w:r>
      <w:r w:rsidR="00AE09CE">
        <w:fldChar w:fldCharType="separate"/>
      </w:r>
      <w:r w:rsidR="00AE09CE" w:rsidRPr="00AE09CE">
        <w:rPr>
          <w:rFonts w:ascii="Aptos" w:hAnsi="Aptos"/>
        </w:rPr>
        <w:t>(Trafton, 2004)</w:t>
      </w:r>
      <w:r w:rsidR="00AE09CE">
        <w:fldChar w:fldCharType="end"/>
      </w:r>
      <w:r w:rsidR="00AE09CE">
        <w:t xml:space="preserve"> The entrance to the burial chamber and the grounds in front of the façade are laid flat for both ease of construction and access but the large almost unnatural shapes </w:t>
      </w:r>
      <w:r w:rsidR="002A7272">
        <w:t xml:space="preserve">potentially are there to make the person entering the burial chamber feel the immensity and convey the concept of passing a threshold.  There </w:t>
      </w:r>
      <w:proofErr w:type="gramStart"/>
      <w:r w:rsidR="002A7272">
        <w:t>was has</w:t>
      </w:r>
      <w:proofErr w:type="gramEnd"/>
      <w:r w:rsidR="002A7272">
        <w:t xml:space="preserve"> also been unidentified pieces of paintings or mural found near the façade however it is unknown if it is related or existed on the actual structure but seem to </w:t>
      </w:r>
      <w:proofErr w:type="gramStart"/>
      <w:r w:rsidR="002A7272">
        <w:t>ate</w:t>
      </w:r>
      <w:proofErr w:type="gramEnd"/>
      <w:r w:rsidR="002A7272">
        <w:t xml:space="preserve"> to the same </w:t>
      </w:r>
      <w:proofErr w:type="spellStart"/>
      <w:r w:rsidR="002A7272">
        <w:t>timme</w:t>
      </w:r>
      <w:proofErr w:type="spellEnd"/>
      <w:r w:rsidR="002A7272">
        <w:t xml:space="preserve"> TT99 </w:t>
      </w:r>
      <w:proofErr w:type="gramStart"/>
      <w:r w:rsidR="002A7272">
        <w:t>was constructed</w:t>
      </w:r>
      <w:proofErr w:type="gramEnd"/>
      <w:r w:rsidR="002A7272">
        <w:t>.</w:t>
      </w:r>
    </w:p>
    <w:p w14:paraId="7A16656F" w14:textId="77777777" w:rsidR="002A7272" w:rsidRDefault="002A7272" w:rsidP="002A7272">
      <w:pPr>
        <w:keepNext/>
      </w:pPr>
      <w:r>
        <w:rPr>
          <w:noProof/>
        </w:rPr>
        <w:lastRenderedPageBreak/>
        <w:drawing>
          <wp:inline distT="0" distB="0" distL="0" distR="0" wp14:anchorId="5A742CD1" wp14:editId="49E7BE8D">
            <wp:extent cx="6905625" cy="4505325"/>
            <wp:effectExtent l="0" t="0" r="9525" b="9525"/>
            <wp:docPr id="12882352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905625" cy="4505325"/>
                    </a:xfrm>
                    <a:prstGeom prst="rect">
                      <a:avLst/>
                    </a:prstGeom>
                    <a:noFill/>
                  </pic:spPr>
                </pic:pic>
              </a:graphicData>
            </a:graphic>
          </wp:inline>
        </w:drawing>
      </w:r>
    </w:p>
    <w:p w14:paraId="3EF0E3D5" w14:textId="5431DEA9" w:rsidR="002A7272" w:rsidRDefault="002A7272" w:rsidP="002A7272">
      <w:pPr>
        <w:pStyle w:val="Caption"/>
      </w:pPr>
      <w:r>
        <w:t xml:space="preserve">figure </w:t>
      </w:r>
      <w:fldSimple w:instr=" SEQ figure \* ARABIC ">
        <w:r w:rsidR="00543B5E">
          <w:rPr>
            <w:noProof/>
          </w:rPr>
          <w:t>2</w:t>
        </w:r>
      </w:fldSimple>
      <w:r>
        <w:t>.diagram of TT99 delineated by level. 2016.</w:t>
      </w:r>
    </w:p>
    <w:p w14:paraId="16E38CC8" w14:textId="57BD7C44" w:rsidR="002A7272" w:rsidRDefault="002A7272"/>
    <w:p w14:paraId="105E190F" w14:textId="15B7C3E0" w:rsidR="004E38B3" w:rsidRDefault="002A7272">
      <w:r>
        <w:t xml:space="preserve">Figure 2 shows a full diagram of the burial chamber and its contents. The  structure includes a super structure, chapel, </w:t>
      </w:r>
      <w:proofErr w:type="gramStart"/>
      <w:r>
        <w:t>courtyard</w:t>
      </w:r>
      <w:proofErr w:type="gramEnd"/>
      <w:r>
        <w:t xml:space="preserve"> and burial chambers. It </w:t>
      </w:r>
      <w:proofErr w:type="gramStart"/>
      <w:r>
        <w:t>is also separated</w:t>
      </w:r>
      <w:proofErr w:type="gramEnd"/>
      <w:r>
        <w:t xml:space="preserve"> by levels which hold meaning for the </w:t>
      </w:r>
      <w:r w:rsidR="004E38B3">
        <w:t>Egyptian</w:t>
      </w:r>
      <w:r>
        <w:t xml:space="preserve"> religious practices but can also tell us about </w:t>
      </w:r>
      <w:proofErr w:type="spellStart"/>
      <w:r>
        <w:t>Sennefris</w:t>
      </w:r>
      <w:proofErr w:type="spellEnd"/>
      <w:r>
        <w:t xml:space="preserve"> </w:t>
      </w:r>
      <w:r w:rsidR="00F51812">
        <w:t xml:space="preserve">social status as he was important enough to construct a tomb with multiple rooms and a large </w:t>
      </w:r>
      <w:r w:rsidR="004E38B3">
        <w:t>super</w:t>
      </w:r>
      <w:r w:rsidR="00F51812">
        <w:t>structure up above</w:t>
      </w:r>
      <w:r w:rsidR="004E38B3">
        <w:t xml:space="preserve">. The afore mentioned three levels all represent the passing on of death and the views and beliefs about death that </w:t>
      </w:r>
      <w:proofErr w:type="gramStart"/>
      <w:r w:rsidR="004E38B3">
        <w:t>are held</w:t>
      </w:r>
      <w:proofErr w:type="gramEnd"/>
      <w:r w:rsidR="004E38B3">
        <w:t xml:space="preserve"> with ancient Egypt. The three levels are the upper level representing the realm of the sun god also known as Ra this section comprises the niche and the superstructure. The second level represents the land of the living also known as the realm of the living, our world. The second level is comprised of the offering chapel and</w:t>
      </w:r>
      <w:r w:rsidR="00052981">
        <w:t xml:space="preserve"> is the intermediary between the bottom and top layers as a way to make offerings to the divine.</w:t>
      </w:r>
      <w:r w:rsidR="00052981">
        <w:fldChar w:fldCharType="begin"/>
      </w:r>
      <w:r w:rsidR="00052981">
        <w:instrText xml:space="preserve"> ADDIN ZOTERO_ITEM CSL_CITATION {"citationID":"yv8DxYON","properties":{"formattedCitation":"(Strudwick {\\i{}et al.}, 2016)","plainCitation":"(Strudwick et al., 2016)","noteIndex":0},"citationItems":[{"id":631,"uris":["http://zotero.org/users/local/gg1ZQu5V/items/9FQEZ5UR"],"itemData":{"id":631,"type":"book","abstract":"Senneferi was the chancellor of the king in Thebes (modern Luxor) in the reign of Thutmose III (c. 1430 BC). His large but badly damaged tomb lies in the hill of Sheikh Abdel Qurna on the West Bank at Luxor. This first of two volumes focuses on the use of the tomb complex during the New Kingdom, especially the 18th dynasty (c. 1550–1300 BC). It begins with an account of Senneferi himself, looking at his career, his family and other monuments made in his name as far apart as Gebel Silsila in southern Egypt and the Sinai peninsula. The central section deals with the development of the layout of the tomb during this period and its recent exploration, including a detailed reconstruction of its history from 1430 BC to the 20th century AD. The remaining chapters detail the decoration and finds from the excavations, including a painted statue of Senneferi’s son-in-law and a unique set of implements from the Opening of the Mouth ritual, as well as possibly the largest ceramic assemblage yet known in a tomb of this date. This book presents the results of the detailed analysis of what at first sight appear to be unpromising finds and reveals new insights into burial practices at the height of the 18th dynasty.","edition":"1st","ISBN":"978-1-78570-331-7","publisher":"Oxbow Books","source":"JSTOR","title":"The Tomb of Pharaoh’s Chancellor Senneferi at Thebes (TT99)","URL":"https://www.jstor.org/stable/j.ctt1kw2b9v","author":[{"family":"Strudwick","given":"Helen"},{"family":"Emmett","given":"Trevor F."},{"family":"Munro","given":"Irmtraut"},{"family":"Taylor","given":"John H."},{"family":"Rose","given":"Pamela"},{"family":"Bohleke","given":"B."},{"family":"Waldron","given":"Tony"},{"family":"Strudwick","given":"Nigel"},{"family":"Dawson","given":"Julie"},{"family":"Leach","given":"Bridget"}],"collection-editor":[{"family":"Strudwick","given":"Nigel"}],"accessed":{"date-parts":[["2026",3,11]]},"issued":{"date-parts":[["2016"]]}}}],"schema":"https://github.com/citation-style-language/schema/raw/master/csl-citation.json"} </w:instrText>
      </w:r>
      <w:r w:rsidR="00052981">
        <w:fldChar w:fldCharType="separate"/>
      </w:r>
      <w:r w:rsidR="00052981" w:rsidRPr="00052981">
        <w:rPr>
          <w:rFonts w:ascii="Aptos" w:hAnsi="Aptos" w:cs="Times New Roman"/>
          <w:kern w:val="0"/>
        </w:rPr>
        <w:t xml:space="preserve">(Strudwick </w:t>
      </w:r>
      <w:r w:rsidR="00052981" w:rsidRPr="00052981">
        <w:rPr>
          <w:rFonts w:ascii="Aptos" w:hAnsi="Aptos" w:cs="Times New Roman"/>
          <w:i/>
          <w:iCs/>
          <w:kern w:val="0"/>
        </w:rPr>
        <w:t>et al.</w:t>
      </w:r>
      <w:r w:rsidR="00052981" w:rsidRPr="00052981">
        <w:rPr>
          <w:rFonts w:ascii="Aptos" w:hAnsi="Aptos" w:cs="Times New Roman"/>
          <w:kern w:val="0"/>
        </w:rPr>
        <w:t>, 2016)</w:t>
      </w:r>
      <w:r w:rsidR="00052981">
        <w:fldChar w:fldCharType="end"/>
      </w:r>
      <w:r w:rsidR="00052981">
        <w:t xml:space="preserve">The Bottom level is where the mummified bodies are actually stored within the chamber and represents the land of the dead in which the go Osiris rules over the shafts that </w:t>
      </w:r>
      <w:r w:rsidR="002840F5">
        <w:t>descend</w:t>
      </w:r>
      <w:r w:rsidR="00052981">
        <w:t xml:space="preserve"> into these levels all represent traversing from one realm to another acting as a link between the world left behind and the world that, in this case, </w:t>
      </w:r>
      <w:proofErr w:type="spellStart"/>
      <w:r w:rsidR="00052981">
        <w:t>sennefri</w:t>
      </w:r>
      <w:proofErr w:type="spellEnd"/>
      <w:r w:rsidR="00052981">
        <w:t xml:space="preserve"> is </w:t>
      </w:r>
      <w:r w:rsidR="002840F5">
        <w:t>going</w:t>
      </w:r>
      <w:r w:rsidR="00052981">
        <w:t xml:space="preserve"> to and currently residing in</w:t>
      </w:r>
      <w:r w:rsidR="002840F5">
        <w:t xml:space="preserve">. this structure obviously shows clear planning within the construction of the building but also shows the spirituality that is obviously located within a burial chamber but the fact that this amount of planning effort like building a super structure proves that there is deep </w:t>
      </w:r>
      <w:r w:rsidR="002F7AF6">
        <w:t>significance</w:t>
      </w:r>
      <w:r w:rsidR="002840F5">
        <w:t xml:space="preserve"> to </w:t>
      </w:r>
      <w:proofErr w:type="spellStart"/>
      <w:r w:rsidR="002840F5">
        <w:t>sennefris</w:t>
      </w:r>
      <w:proofErr w:type="spellEnd"/>
      <w:r w:rsidR="002840F5">
        <w:t xml:space="preserve"> death as his monetary value as a nobleman made it necessary to construct and elaborate superstructure to enshrine him in.</w:t>
      </w:r>
      <w:r w:rsidR="002F7AF6">
        <w:t xml:space="preserve"> it is important to keep in mind that this entire structure has a rational to it and the representation of the </w:t>
      </w:r>
      <w:r w:rsidR="002F7AF6">
        <w:lastRenderedPageBreak/>
        <w:t xml:space="preserve">structure in relation to its spirituality is immensely important to the Egyptian people. The base assumption that this entire structure holds meaning is key in analysing </w:t>
      </w:r>
      <w:proofErr w:type="spellStart"/>
      <w:r w:rsidR="002F7AF6">
        <w:t>Sennefris</w:t>
      </w:r>
      <w:proofErr w:type="spellEnd"/>
      <w:r w:rsidR="002F7AF6">
        <w:t xml:space="preserve"> tomb.</w:t>
      </w:r>
    </w:p>
    <w:p w14:paraId="2103D77A" w14:textId="3EB981C0" w:rsidR="008F037D" w:rsidRDefault="008F037D">
      <w:r>
        <w:t>The inside of the tomb was covered wall to wall with high class murals and include scenes that seem to depict bed marking</w:t>
      </w:r>
      <w:r>
        <w:fldChar w:fldCharType="begin"/>
      </w:r>
      <w:r>
        <w:instrText xml:space="preserve"> ADDIN ZOTERO_ITEM CSL_CITATION {"citationID":"rHjsYbhA","properties":{"formattedCitation":"(Hawass and Brock, 2003)","plainCitation":"(Hawass and Brock, 2003)","noteIndex":0},"citationItems":[{"id":676,"uris":["http://zotero.org/users/local/gg1ZQu5V/items/JYNDDA4G"],"itemData":{"id":676,"type":"book","abstract":"This comprehensive three-volume set marks the publication of the proceedings of the Eighth International Congress of Egyptologists, held in Cairo in 2000. This massive and impressive 1693-page work encompasses the research of over 350 of the world's leading Egyptologists--writing in English, French, or German--and contains over 600 illustrations. A dedicated team of editors, proofreaders, and designers worked hard for three years to bring all the disparate elements of this publication--including photographs, tables, graphs, hieroglyphs, hieratic script, and Greek, Arabic, Coptic, and Hebrew fonts--together to create a work that is a benchmark in Egyptological publishing. Organized thematically to reflect the breadth and depth of the material presented at the Congress, these papers provide a survey of current Egyptological research at the dawn of the twenty-first century. The proceedings include the eight 'Millennium Debates' led by esteemed Egyptologists, addressing key issues in the field, as well as nearly every paper presented at the Congress. The 248 papers cover the whole spectrum of Egyptological research, and contain many photographs, maps, and plans, that are published here for the first time. Grouped under the themes of archaeology, history, religion, language, conservation, and museology, these contributions together form the most comprehensive picture of Egyptology today. Contributors include: John Baines, Zahi Hawass, Antonio Loprieno, William J. Murnane, Aly Radwan, Donald Redford, Edna Russmann, Helmut Satzinger, Regine Schulz, W. Kelly Simpson, Hourig Sourouzian, Herman te Velde, Kent Weeks","ISBN":"978-977-424-715-6","language":"en","note":"Google-Books-ID: l4vvg7DRlRYC","number-of-pages":"484","publisher":"American Univ in Cairo Press","source":"Google Books","title":"Egyptology at the Dawn of the Twenty-first Century: Language, conservation, museology","title-short":"Egyptology at the Dawn of the Twenty-first Century","author":[{"family":"Hawass","given":"Zahi A."},{"family":"Brock","given":"Lyla Pinch"}],"issued":{"date-parts":[["2003"]]}}}],"schema":"https://github.com/citation-style-language/schema/raw/master/csl-citation.json"} </w:instrText>
      </w:r>
      <w:r>
        <w:fldChar w:fldCharType="separate"/>
      </w:r>
      <w:r w:rsidRPr="008F037D">
        <w:rPr>
          <w:rFonts w:ascii="Aptos" w:hAnsi="Aptos"/>
        </w:rPr>
        <w:t>(Hawass and Brock, 2003)</w:t>
      </w:r>
      <w:r>
        <w:fldChar w:fldCharType="end"/>
      </w:r>
      <w:r>
        <w:t xml:space="preserve">. The distinctly high-class murals again prove that </w:t>
      </w:r>
      <w:proofErr w:type="spellStart"/>
      <w:r>
        <w:t>Sennefri</w:t>
      </w:r>
      <w:proofErr w:type="spellEnd"/>
      <w:r>
        <w:t xml:space="preserve"> was a man of merit, but it also shows that art </w:t>
      </w:r>
      <w:proofErr w:type="gramStart"/>
      <w:r>
        <w:t>was highly appreciated</w:t>
      </w:r>
      <w:proofErr w:type="gramEnd"/>
      <w:r>
        <w:t xml:space="preserve"> within Egypt and that </w:t>
      </w:r>
      <w:proofErr w:type="spellStart"/>
      <w:r>
        <w:t>sennefri</w:t>
      </w:r>
      <w:proofErr w:type="spellEnd"/>
      <w:r>
        <w:t xml:space="preserve"> himself may have explicitly been someone who appreciated painted murals of high quality. Although it is true that all Egyptian tombs of this size would have murals the tradition and the fact that there is </w:t>
      </w:r>
      <w:r w:rsidR="002F7AF6">
        <w:t>a mural</w:t>
      </w:r>
      <w:r>
        <w:t xml:space="preserve"> of bed setting which is unusual</w:t>
      </w:r>
      <w:r>
        <w:fldChar w:fldCharType="begin"/>
      </w:r>
      <w:r>
        <w:instrText xml:space="preserve"> ADDIN ZOTERO_ITEM CSL_CITATION {"citationID":"mzozg90S","properties":{"formattedCitation":"(Hawass and Brock, 2003)","plainCitation":"(Hawass and Brock, 2003)","noteIndex":0},"citationItems":[{"id":676,"uris":["http://zotero.org/users/local/gg1ZQu5V/items/JYNDDA4G"],"itemData":{"id":676,"type":"book","abstract":"This comprehensive three-volume set marks the publication of the proceedings of the Eighth International Congress of Egyptologists, held in Cairo in 2000. This massive and impressive 1693-page work encompasses the research of over 350 of the world's leading Egyptologists--writing in English, French, or German--and contains over 600 illustrations. A dedicated team of editors, proofreaders, and designers worked hard for three years to bring all the disparate elements of this publication--including photographs, tables, graphs, hieroglyphs, hieratic script, and Greek, Arabic, Coptic, and Hebrew fonts--together to create a work that is a benchmark in Egyptological publishing. Organized thematically to reflect the breadth and depth of the material presented at the Congress, these papers provide a survey of current Egyptological research at the dawn of the twenty-first century. The proceedings include the eight 'Millennium Debates' led by esteemed Egyptologists, addressing key issues in the field, as well as nearly every paper presented at the Congress. The 248 papers cover the whole spectrum of Egyptological research, and contain many photographs, maps, and plans, that are published here for the first time. Grouped under the themes of archaeology, history, religion, language, conservation, and museology, these contributions together form the most comprehensive picture of Egyptology today. Contributors include: John Baines, Zahi Hawass, Antonio Loprieno, William J. Murnane, Aly Radwan, Donald Redford, Edna Russmann, Helmut Satzinger, Regine Schulz, W. Kelly Simpson, Hourig Sourouzian, Herman te Velde, Kent Weeks","ISBN":"978-977-424-715-6","language":"en","note":"Google-Books-ID: l4vvg7DRlRYC","number-of-pages":"484","publisher":"American Univ in Cairo Press","source":"Google Books","title":"Egyptology at the Dawn of the Twenty-first Century: Language, conservation, museology","title-short":"Egyptology at the Dawn of the Twenty-first Century","author":[{"family":"Hawass","given":"Zahi A."},{"family":"Brock","given":"Lyla Pinch"}],"issued":{"date-parts":[["2003"]]}}}],"schema":"https://github.com/citation-style-language/schema/raw/master/csl-citation.json"} </w:instrText>
      </w:r>
      <w:r>
        <w:fldChar w:fldCharType="separate"/>
      </w:r>
      <w:r w:rsidRPr="008F037D">
        <w:rPr>
          <w:rFonts w:ascii="Aptos" w:hAnsi="Aptos"/>
        </w:rPr>
        <w:t>(Hawass and Brock, 2003)</w:t>
      </w:r>
      <w:r>
        <w:fldChar w:fldCharType="end"/>
      </w:r>
      <w:r>
        <w:t>. The</w:t>
      </w:r>
      <w:r w:rsidR="001E543B">
        <w:t xml:space="preserve">re have been a series of funerary cones that have been found within the burial chamber but only two have been identified in the chamber to belong to </w:t>
      </w:r>
      <w:proofErr w:type="spellStart"/>
      <w:r w:rsidR="001E543B">
        <w:t>Sennefri</w:t>
      </w:r>
      <w:proofErr w:type="spellEnd"/>
      <w:r w:rsidR="001E543B">
        <w:t xml:space="preserve"> and </w:t>
      </w:r>
      <w:proofErr w:type="spellStart"/>
      <w:r w:rsidR="001E543B">
        <w:t>further more</w:t>
      </w:r>
      <w:proofErr w:type="spellEnd"/>
      <w:r w:rsidR="001E543B">
        <w:t xml:space="preserve"> one is </w:t>
      </w:r>
      <w:r w:rsidR="002F7AF6">
        <w:t>believed</w:t>
      </w:r>
      <w:r w:rsidR="001E543B">
        <w:t xml:space="preserve"> to have been translated within Strudwick’s book “</w:t>
      </w:r>
      <w:r w:rsidR="001E543B" w:rsidRPr="001E543B">
        <w:t xml:space="preserve">The Tomb of Pharaoh’s Chancellor </w:t>
      </w:r>
      <w:proofErr w:type="spellStart"/>
      <w:r w:rsidR="001E543B" w:rsidRPr="001E543B">
        <w:t>Senneferi</w:t>
      </w:r>
      <w:proofErr w:type="spellEnd"/>
      <w:r w:rsidR="001E543B" w:rsidRPr="001E543B">
        <w:t xml:space="preserve"> at Thebes (TT99)</w:t>
      </w:r>
      <w:r w:rsidR="001E543B">
        <w:t xml:space="preserve">” the quote on the cone is </w:t>
      </w:r>
      <w:r w:rsidR="00F2622E">
        <w:t>believed</w:t>
      </w:r>
      <w:r w:rsidR="001E543B">
        <w:t xml:space="preserve"> to be The </w:t>
      </w:r>
      <w:proofErr w:type="spellStart"/>
      <w:r w:rsidR="001E543B">
        <w:t>iry</w:t>
      </w:r>
      <w:proofErr w:type="spellEnd"/>
      <w:r w:rsidR="001E543B">
        <w:t xml:space="preserve"> pat </w:t>
      </w:r>
      <w:proofErr w:type="spellStart"/>
      <w:r w:rsidR="001E543B">
        <w:t>HAty</w:t>
      </w:r>
      <w:proofErr w:type="spellEnd"/>
      <w:r w:rsidR="001E543B">
        <w:t xml:space="preserve">-a, seal bearer </w:t>
      </w:r>
      <w:r w:rsidR="00F2622E">
        <w:t>o</w:t>
      </w:r>
      <w:r w:rsidR="001E543B">
        <w:t xml:space="preserve">f the </w:t>
      </w:r>
      <w:r w:rsidR="00F2622E">
        <w:t>city</w:t>
      </w:r>
      <w:r w:rsidR="001E543B">
        <w:t>, sole companion the mouth who makes peace in the whole land, overseer of seal-</w:t>
      </w:r>
      <w:r w:rsidR="00CD3A0E">
        <w:t>bearers</w:t>
      </w:r>
      <w:r w:rsidR="001E543B">
        <w:t xml:space="preserve">, </w:t>
      </w:r>
      <w:proofErr w:type="spellStart"/>
      <w:r w:rsidR="001E543B">
        <w:t>sennefer</w:t>
      </w:r>
      <w:proofErr w:type="spellEnd"/>
      <w:r w:rsidR="001E543B">
        <w:t xml:space="preserve">, who repeats </w:t>
      </w:r>
      <w:proofErr w:type="spellStart"/>
      <w:r w:rsidR="001E543B">
        <w:t>life,posseser</w:t>
      </w:r>
      <w:proofErr w:type="spellEnd"/>
      <w:r w:rsidR="001E543B">
        <w:t xml:space="preserve"> of </w:t>
      </w:r>
      <w:proofErr w:type="spellStart"/>
      <w:r w:rsidR="001E543B">
        <w:t>imakh</w:t>
      </w:r>
      <w:proofErr w:type="spellEnd"/>
      <w:r w:rsidR="001E543B">
        <w:t>”</w:t>
      </w:r>
      <w:r w:rsidR="001E543B">
        <w:fldChar w:fldCharType="begin"/>
      </w:r>
      <w:r w:rsidR="001E543B">
        <w:instrText xml:space="preserve"> ADDIN ZOTERO_ITEM CSL_CITATION {"citationID":"zfNAHUBv","properties":{"formattedCitation":"(Strudwick {\\i{}et al.}, 2016)","plainCitation":"(Strudwick et al., 2016)","noteIndex":0},"citationItems":[{"id":631,"uris":["http://zotero.org/users/local/gg1ZQu5V/items/9FQEZ5UR"],"itemData":{"id":631,"type":"book","abstract":"Senneferi was the chancellor of the king in Thebes (modern Luxor) in the reign of Thutmose III (c. 1430 BC). His large but badly damaged tomb lies in the hill of Sheikh Abdel Qurna on the West Bank at Luxor. This first of two volumes focuses on the use of the tomb complex during the New Kingdom, especially the 18th dynasty (c. 1550–1300 BC). It begins with an account of Senneferi himself, looking at his career, his family and other monuments made in his name as far apart as Gebel Silsila in southern Egypt and the Sinai peninsula. The central section deals with the development of the layout of the tomb during this period and its recent exploration, including a detailed reconstruction of its history from 1430 BC to the 20th century AD. The remaining chapters detail the decoration and finds from the excavations, including a painted statue of Senneferi’s son-in-law and a unique set of implements from the Opening of the Mouth ritual, as well as possibly the largest ceramic assemblage yet known in a tomb of this date. This book presents the results of the detailed analysis of what at first sight appear to be unpromising finds and reveals new insights into burial practices at the height of the 18th dynasty.","edition":"1st","ISBN":"978-1-78570-331-7","publisher":"Oxbow Books","source":"JSTOR","title":"The Tomb of Pharaoh’s Chancellor Senneferi at Thebes (TT99)","URL":"https://www.jstor.org/stable/j.ctt1kw2b9v","author":[{"family":"Strudwick","given":"Helen"},{"family":"Emmett","given":"Trevor F."},{"family":"Munro","given":"Irmtraut"},{"family":"Taylor","given":"John H."},{"family":"Rose","given":"Pamela"},{"family":"Bohleke","given":"B."},{"family":"Waldron","given":"Tony"},{"family":"Strudwick","given":"Nigel"},{"family":"Dawson","given":"Julie"},{"family":"Leach","given":"Bridget"}],"collection-editor":[{"family":"Strudwick","given":"Nigel"}],"accessed":{"date-parts":[["2026",3,11]]},"issued":{"date-parts":[["2016"]]}}}],"schema":"https://github.com/citation-style-language/schema/raw/master/csl-citation.json"} </w:instrText>
      </w:r>
      <w:r w:rsidR="001E543B">
        <w:fldChar w:fldCharType="separate"/>
      </w:r>
      <w:r w:rsidR="001E543B" w:rsidRPr="001E543B">
        <w:rPr>
          <w:rFonts w:ascii="Aptos" w:hAnsi="Aptos" w:cs="Times New Roman"/>
          <w:kern w:val="0"/>
        </w:rPr>
        <w:t xml:space="preserve">(Strudwick </w:t>
      </w:r>
      <w:r w:rsidR="001E543B" w:rsidRPr="001E543B">
        <w:rPr>
          <w:rFonts w:ascii="Aptos" w:hAnsi="Aptos" w:cs="Times New Roman"/>
          <w:i/>
          <w:iCs/>
          <w:kern w:val="0"/>
        </w:rPr>
        <w:t>et al.</w:t>
      </w:r>
      <w:r w:rsidR="001E543B" w:rsidRPr="001E543B">
        <w:rPr>
          <w:rFonts w:ascii="Aptos" w:hAnsi="Aptos" w:cs="Times New Roman"/>
          <w:kern w:val="0"/>
        </w:rPr>
        <w:t>, 2016)</w:t>
      </w:r>
      <w:r w:rsidR="001E543B">
        <w:fldChar w:fldCharType="end"/>
      </w:r>
      <w:r w:rsidR="00CD3A0E">
        <w:t xml:space="preserve"> this is a piece of text that venerates </w:t>
      </w:r>
      <w:proofErr w:type="spellStart"/>
      <w:r w:rsidR="00CD3A0E">
        <w:t>Sennefri</w:t>
      </w:r>
      <w:proofErr w:type="spellEnd"/>
      <w:r w:rsidR="00CD3A0E">
        <w:t xml:space="preserve"> quite heavily and although it is flat out unrealistic that there would be texts that slander someone in their own burial chamber but the existence of one in general does show that </w:t>
      </w:r>
      <w:proofErr w:type="spellStart"/>
      <w:r w:rsidR="00CD3A0E">
        <w:t>Sennefri</w:t>
      </w:r>
      <w:proofErr w:type="spellEnd"/>
      <w:r w:rsidR="00CD3A0E">
        <w:t xml:space="preserve"> was liked and revered as an overseer of deals which is </w:t>
      </w:r>
      <w:r w:rsidR="002F7AF6">
        <w:t>believed</w:t>
      </w:r>
      <w:r w:rsidR="00CD3A0E">
        <w:t xml:space="preserve"> to be the administrative role of a treasurer. This again shows the importance and class that </w:t>
      </w:r>
      <w:proofErr w:type="spellStart"/>
      <w:r w:rsidR="00CD3A0E">
        <w:t>sennefri</w:t>
      </w:r>
      <w:proofErr w:type="spellEnd"/>
      <w:r w:rsidR="00CD3A0E">
        <w:t xml:space="preserve"> had but it also shows that he </w:t>
      </w:r>
      <w:proofErr w:type="gramStart"/>
      <w:r w:rsidR="00CD3A0E">
        <w:t>was well liked</w:t>
      </w:r>
      <w:proofErr w:type="gramEnd"/>
      <w:r w:rsidR="00CD3A0E">
        <w:t xml:space="preserve"> and had </w:t>
      </w:r>
      <w:proofErr w:type="gramStart"/>
      <w:r w:rsidR="00CD3A0E">
        <w:t>many</w:t>
      </w:r>
      <w:proofErr w:type="gramEnd"/>
      <w:r w:rsidR="00CD3A0E">
        <w:t xml:space="preserve"> connections and importantly it seems to suggest that </w:t>
      </w:r>
      <w:proofErr w:type="spellStart"/>
      <w:r w:rsidR="00CD3A0E">
        <w:t>Sennefri</w:t>
      </w:r>
      <w:proofErr w:type="spellEnd"/>
      <w:r w:rsidR="00CD3A0E">
        <w:t xml:space="preserve"> was good at his job and </w:t>
      </w:r>
      <w:r w:rsidR="002F7AF6">
        <w:t xml:space="preserve">seems that he </w:t>
      </w:r>
      <w:proofErr w:type="gramStart"/>
      <w:r w:rsidR="002F7AF6">
        <w:t>is well</w:t>
      </w:r>
      <w:r w:rsidR="00CD3A0E">
        <w:t xml:space="preserve"> liked</w:t>
      </w:r>
      <w:proofErr w:type="gramEnd"/>
      <w:r w:rsidR="00CD3A0E">
        <w:t xml:space="preserve"> in life and honoured in death.</w:t>
      </w:r>
    </w:p>
    <w:p w14:paraId="7323679E" w14:textId="77777777" w:rsidR="002F7AF6" w:rsidRDefault="002F7AF6"/>
    <w:p w14:paraId="4B3DE63A" w14:textId="38A412BA" w:rsidR="002F7AF6" w:rsidRDefault="002F7AF6">
      <w:r>
        <w:t xml:space="preserve">The offering Chapel located on the middle section which represents the land of the living  is a T-shaped building which is </w:t>
      </w:r>
      <w:r w:rsidR="002062AC">
        <w:t>relatively</w:t>
      </w:r>
      <w:r>
        <w:t xml:space="preserve"> common for the 18</w:t>
      </w:r>
      <w:r w:rsidRPr="002F7AF6">
        <w:rPr>
          <w:vertAlign w:val="superscript"/>
        </w:rPr>
        <w:t>th</w:t>
      </w:r>
      <w:r>
        <w:t xml:space="preserve"> century</w:t>
      </w:r>
      <w:r>
        <w:fldChar w:fldCharType="begin"/>
      </w:r>
      <w:r w:rsidR="002062AC">
        <w:instrText xml:space="preserve"> ADDIN ZOTERO_ITEM CSL_CITATION {"citationID":"SUnpwqrH","properties":{"formattedCitation":"(Strudwick {\\i{}et al.}, 2016)","plainCitation":"(Strudwick et al., 2016)","noteIndex":0},"citationItems":[{"id":631,"uris":["http://zotero.org/users/local/gg1ZQu5V/items/9FQEZ5UR"],"itemData":{"id":631,"type":"book","abstract":"Senneferi was the chancellor of the king in Thebes (modern Luxor) in the reign of Thutmose III (c. 1430 BC). His large but badly damaged tomb lies in the hill of Sheikh Abdel Qurna on the West Bank at Luxor. This first of two volumes focuses on the use of the tomb complex during the New Kingdom, especially the 18th dynasty (c. 1550–1300 BC). It begins with an account of Senneferi himself, looking at his career, his family and other monuments made in his name as far apart as Gebel Silsila in southern Egypt and the Sinai peninsula. The central section deals with the development of the layout of the tomb during this period and its recent exploration, including a detailed reconstruction of its history from 1430 BC to the 20th century AD. The remaining chapters detail the decoration and finds from the excavations, including a painted statue of Senneferi’s son-in-law and a unique set of implements from the Opening of the Mouth ritual, as well as possibly the largest ceramic assemblage yet known in a tomb of this date. This book presents the results of the detailed analysis of what at first sight appear to be unpromising finds and reveals new insights into burial practices at the height of the 18th dynasty.","edition":"1st","ISBN":"978-1-78570-331-7","publisher":"Oxbow Books","source":"JSTOR","title":"The Tomb of Pharaoh’s Chancellor Senneferi at Thebes (TT99)","URL":"https://www.jstor.org/stable/j.ctt1kw2b9v","author":[{"family":"Strudwick","given":"Helen"},{"family":"Emmett","given":"Trevor F."},{"family":"Munro","given":"Irmtraut"},{"family":"Taylor","given":"John H."},{"family":"Rose","given":"Pamela"},{"family":"Bohleke","given":"B."},{"family":"Waldron","given":"Tony"},{"family":"Strudwick","given":"Nigel"},{"family":"Dawson","given":"Julie"},{"family":"Leach","given":"Bridget"}],"collection-editor":[{"family":"Strudwick","given":"Nigel"}],"accessed":{"date-parts":[["2026",3,11]]},"issued":{"date-parts":[["2016"]]}}}],"schema":"https://github.com/citation-style-language/schema/raw/master/csl-citation.json"} </w:instrText>
      </w:r>
      <w:r>
        <w:fldChar w:fldCharType="separate"/>
      </w:r>
      <w:r w:rsidR="002062AC" w:rsidRPr="002062AC">
        <w:rPr>
          <w:rFonts w:ascii="Aptos" w:hAnsi="Aptos" w:cs="Times New Roman"/>
          <w:kern w:val="0"/>
        </w:rPr>
        <w:t xml:space="preserve">(Strudwick </w:t>
      </w:r>
      <w:r w:rsidR="002062AC" w:rsidRPr="002062AC">
        <w:rPr>
          <w:rFonts w:ascii="Aptos" w:hAnsi="Aptos" w:cs="Times New Roman"/>
          <w:i/>
          <w:iCs/>
          <w:kern w:val="0"/>
        </w:rPr>
        <w:t>et al.</w:t>
      </w:r>
      <w:r w:rsidR="002062AC" w:rsidRPr="002062AC">
        <w:rPr>
          <w:rFonts w:ascii="Aptos" w:hAnsi="Aptos" w:cs="Times New Roman"/>
          <w:kern w:val="0"/>
        </w:rPr>
        <w:t>, 2016)</w:t>
      </w:r>
      <w:r>
        <w:fldChar w:fldCharType="end"/>
      </w:r>
      <w:r w:rsidR="002062AC">
        <w:t xml:space="preserve"> various parts of the chapel are in bad condition due to later usage than the original purpose it was built for this and there is even new parts added to the chapel to its original T-shaped structure. There is also evidence of door jambs which are also typical of 18</w:t>
      </w:r>
      <w:r w:rsidR="002062AC" w:rsidRPr="002062AC">
        <w:rPr>
          <w:vertAlign w:val="superscript"/>
        </w:rPr>
        <w:t>th</w:t>
      </w:r>
      <w:r w:rsidR="002062AC">
        <w:t xml:space="preserve"> century Theban tombs. The walls of the chapel are strewn with various paintings which have been copied and compiled by the British museum</w:t>
      </w:r>
      <w:r w:rsidR="002062AC">
        <w:fldChar w:fldCharType="begin"/>
      </w:r>
      <w:r w:rsidR="002062AC">
        <w:instrText xml:space="preserve"> ADDIN ZOTERO_ITEM CSL_CITATION {"citationID":"Y9pIR3sm","properties":{"formattedCitation":"(Strudwick, 2016; Strudwick {\\i{}et al.}, 2016)","plainCitation":"(Strudwick, 2016; Strudwick et al., 2016)","noteIndex":0},"citationItems":[{"id":659,"uris":["http://zotero.org/users/local/gg1ZQu5V/items/IBF7KGYU"],"itemData":{"id":659,"type":"webpage","title":"Senneferi and his family","URL":"https://tt99.fitz.ms/senneferi.html#family","author":[{"family":"Strudwick","given":""}],"accessed":{"date-parts":[["2026",3,20]]},"issued":{"date-parts":[["2016"]]}}},{"id":631,"uris":["http://zotero.org/users/local/gg1ZQu5V/items/9FQEZ5UR"],"itemData":{"id":631,"type":"book","abstract":"Senneferi was the chancellor of the king in Thebes (modern Luxor) in the reign of Thutmose III (c. 1430 BC). His large but badly damaged tomb lies in the hill of Sheikh Abdel Qurna on the West Bank at Luxor. This first of two volumes focuses on the use of the tomb complex during the New Kingdom, especially the 18th dynasty (c. 1550–1300 BC). It begins with an account of Senneferi himself, looking at his career, his family and other monuments made in his name as far apart as Gebel Silsila in southern Egypt and the Sinai peninsula. The central section deals with the development of the layout of the tomb during this period and its recent exploration, including a detailed reconstruction of its history from 1430 BC to the 20th century AD. The remaining chapters detail the decoration and finds from the excavations, including a painted statue of Senneferi’s son-in-law and a unique set of implements from the Opening of the Mouth ritual, as well as possibly the largest ceramic assemblage yet known in a tomb of this date. This book presents the results of the detailed analysis of what at first sight appear to be unpromising finds and reveals new insights into burial practices at the height of the 18th dynasty.","edition":"1st","ISBN":"978-1-78570-331-7","publisher":"Oxbow Books","source":"JSTOR","title":"The Tomb of Pharaoh’s Chancellor Senneferi at Thebes (TT99)","URL":"https://www.jstor.org/stable/j.ctt1kw2b9v","author":[{"family":"Strudwick","given":"Helen"},{"family":"Emmett","given":"Trevor F."},{"family":"Munro","given":"Irmtraut"},{"family":"Taylor","given":"John H."},{"family":"Rose","given":"Pamela"},{"family":"Bohleke","given":"B."},{"family":"Waldron","given":"Tony"},{"family":"Strudwick","given":"Nigel"},{"family":"Dawson","given":"Julie"},{"family":"Leach","given":"Bridget"}],"collection-editor":[{"family":"Strudwick","given":"Nigel"}],"accessed":{"date-parts":[["2026",3,11]]},"issued":{"date-parts":[["2016"]]}}}],"schema":"https://github.com/citation-style-language/schema/raw/master/csl-citation.json"} </w:instrText>
      </w:r>
      <w:r w:rsidR="002062AC">
        <w:fldChar w:fldCharType="separate"/>
      </w:r>
      <w:r w:rsidR="002062AC" w:rsidRPr="002062AC">
        <w:rPr>
          <w:rFonts w:ascii="Aptos" w:hAnsi="Aptos" w:cs="Times New Roman"/>
          <w:kern w:val="0"/>
        </w:rPr>
        <w:t xml:space="preserve">(Strudwick, 2016; Strudwick </w:t>
      </w:r>
      <w:r w:rsidR="002062AC" w:rsidRPr="002062AC">
        <w:rPr>
          <w:rFonts w:ascii="Aptos" w:hAnsi="Aptos" w:cs="Times New Roman"/>
          <w:i/>
          <w:iCs/>
          <w:kern w:val="0"/>
        </w:rPr>
        <w:t>et al.</w:t>
      </w:r>
      <w:r w:rsidR="002062AC" w:rsidRPr="002062AC">
        <w:rPr>
          <w:rFonts w:ascii="Aptos" w:hAnsi="Aptos" w:cs="Times New Roman"/>
          <w:kern w:val="0"/>
        </w:rPr>
        <w:t>, 2016)</w:t>
      </w:r>
      <w:r w:rsidR="002062AC">
        <w:fldChar w:fldCharType="end"/>
      </w:r>
      <w:r w:rsidR="002062AC">
        <w:t xml:space="preserve">. Much of the things located </w:t>
      </w:r>
      <w:r w:rsidR="00543B5E">
        <w:t>within</w:t>
      </w:r>
      <w:r w:rsidR="002062AC">
        <w:t xml:space="preserve"> </w:t>
      </w:r>
      <w:proofErr w:type="spellStart"/>
      <w:r w:rsidR="002062AC">
        <w:t>Sennefri’s</w:t>
      </w:r>
      <w:proofErr w:type="spellEnd"/>
      <w:r w:rsidR="002062AC">
        <w:t xml:space="preserve"> tomb shows that his death is on the tipping point of both the 18</w:t>
      </w:r>
      <w:r w:rsidR="002062AC" w:rsidRPr="002062AC">
        <w:rPr>
          <w:vertAlign w:val="superscript"/>
        </w:rPr>
        <w:t>th</w:t>
      </w:r>
      <w:r w:rsidR="002062AC">
        <w:t xml:space="preserve"> and 19</w:t>
      </w:r>
      <w:r w:rsidR="002062AC" w:rsidRPr="002062AC">
        <w:rPr>
          <w:vertAlign w:val="superscript"/>
        </w:rPr>
        <w:t>th</w:t>
      </w:r>
      <w:r w:rsidR="002062AC">
        <w:t xml:space="preserve"> dynasty and is a snapshot of time in between these two periods going into full swing</w:t>
      </w:r>
      <w:r w:rsidR="002062AC">
        <w:fldChar w:fldCharType="begin"/>
      </w:r>
      <w:r w:rsidR="008B463E">
        <w:instrText xml:space="preserve"> ADDIN ZOTERO_ITEM CSL_CITATION {"citationID":"hrqIq3Ly","properties":{"formattedCitation":"(Barjamovic and Ryholt, 2016; Strudwick {\\i{}et al.}, 2016)","plainCitation":"(Barjamovic and Ryholt, 2016; Strudwick et al., 2016)","noteIndex":0},"citationItems":[{"id":627,"uris":["http://zotero.org/users/local/gg1ZQu5V/items/AEDCYRY8"],"itemData":{"id":627,"type":"book","abstract":"The term ‘canonicity’ implies the recognition that the domain of literature and of the library is also a cultural and political one, related to various forms of identity formation, maintenance, and change. Scribes and benefactors ‘create’ canon in as much as they teach, analyze, preserve, prom¬ulgate and change ‘canonical’ texts according to prevailing norms. From early on, texts from the written traditions of ancient Mesopotamia and Egypt were accumulated, codified, and to some extent canonized, as various collections developed mainly in the environment of the temple and the palace. These written traditions represent sets of formal and informal cultures that all speak in their own ways of canonicity, normativity, and other forms of cultural expertise. Some forms of literature were used not only in scholarly contexts, but also in political ones, and they served purposes of identity formation. This volume addresses the interrelations between various forms of ‘canon’ and identity formation in different time periods, genres, regions, and contexts, as well as the application of contemporary conceptions of ‘canon’ to ancient texts.","ISBN":"978-87-635-4372-9","language":"en","note":"Google-Books-ID: jae9DgAAQBAJ","number-of-pages":"359","publisher":"Museum Tusculanum Press","source":"Google Books","title":"Problems of Canonicity and Identity Formation in Ancient Egypt and Mesopotamia","author":[{"family":"Barjamovic","given":"Gojko"},{"family":"Ryholt","given":"Kim"}],"issued":{"date-parts":[["2016",4,24]]}}},{"id":631,"uris":["http://zotero.org/users/local/gg1ZQu5V/items/9FQEZ5UR"],"itemData":{"id":631,"type":"book","abstract":"Senneferi was the chancellor of the king in Thebes (modern Luxor) in the reign of Thutmose III (c. 1430 BC). His large but badly damaged tomb lies in the hill of Sheikh Abdel Qurna on the West Bank at Luxor. This first of two volumes focuses on the use of the tomb complex during the New Kingdom, especially the 18th dynasty (c. 1550–1300 BC). It begins with an account of Senneferi himself, looking at his career, his family and other monuments made in his name as far apart as Gebel Silsila in southern Egypt and the Sinai peninsula. The central section deals with the development of the layout of the tomb during this period and its recent exploration, including a detailed reconstruction of its history from 1430 BC to the 20th century AD. The remaining chapters detail the decoration and finds from the excavations, including a painted statue of Senneferi’s son-in-law and a unique set of implements from the Opening of the Mouth ritual, as well as possibly the largest ceramic assemblage yet known in a tomb of this date. This book presents the results of the detailed analysis of what at first sight appear to be unpromising finds and reveals new insights into burial practices at the height of the 18th dynasty.","edition":"1st","ISBN":"978-1-78570-331-7","publisher":"Oxbow Books","source":"JSTOR","title":"The Tomb of Pharaoh’s Chancellor Senneferi at Thebes (TT99)","URL":"https://www.jstor.org/stable/j.ctt1kw2b9v","author":[{"family":"Strudwick","given":"Helen"},{"family":"Emmett","given":"Trevor F."},{"family":"Munro","given":"Irmtraut"},{"family":"Taylor","given":"John H."},{"family":"Rose","given":"Pamela"},{"family":"Bohleke","given":"B."},{"family":"Waldron","given":"Tony"},{"family":"Strudwick","given":"Nigel"},{"family":"Dawson","given":"Julie"},{"family":"Leach","given":"Bridget"}],"collection-editor":[{"family":"Strudwick","given":"Nigel"}],"accessed":{"date-parts":[["2026",3,11]]},"issued":{"date-parts":[["2016"]]}}}],"schema":"https://github.com/citation-style-language/schema/raw/master/csl-citation.json"} </w:instrText>
      </w:r>
      <w:r w:rsidR="002062AC">
        <w:fldChar w:fldCharType="separate"/>
      </w:r>
      <w:r w:rsidR="008B463E" w:rsidRPr="008B463E">
        <w:rPr>
          <w:rFonts w:ascii="Aptos" w:hAnsi="Aptos" w:cs="Times New Roman"/>
          <w:kern w:val="0"/>
        </w:rPr>
        <w:t>(</w:t>
      </w:r>
      <w:proofErr w:type="spellStart"/>
      <w:r w:rsidR="008B463E" w:rsidRPr="008B463E">
        <w:rPr>
          <w:rFonts w:ascii="Aptos" w:hAnsi="Aptos" w:cs="Times New Roman"/>
          <w:kern w:val="0"/>
        </w:rPr>
        <w:t>Barjamovic</w:t>
      </w:r>
      <w:proofErr w:type="spellEnd"/>
      <w:r w:rsidR="008B463E" w:rsidRPr="008B463E">
        <w:rPr>
          <w:rFonts w:ascii="Aptos" w:hAnsi="Aptos" w:cs="Times New Roman"/>
          <w:kern w:val="0"/>
        </w:rPr>
        <w:t xml:space="preserve"> and Ryholt, 2016; Strudwick </w:t>
      </w:r>
      <w:r w:rsidR="008B463E" w:rsidRPr="008B463E">
        <w:rPr>
          <w:rFonts w:ascii="Aptos" w:hAnsi="Aptos" w:cs="Times New Roman"/>
          <w:i/>
          <w:iCs/>
          <w:kern w:val="0"/>
        </w:rPr>
        <w:t>et al.</w:t>
      </w:r>
      <w:r w:rsidR="008B463E" w:rsidRPr="008B463E">
        <w:rPr>
          <w:rFonts w:ascii="Aptos" w:hAnsi="Aptos" w:cs="Times New Roman"/>
          <w:kern w:val="0"/>
        </w:rPr>
        <w:t>, 2016)</w:t>
      </w:r>
      <w:r w:rsidR="002062AC">
        <w:fldChar w:fldCharType="end"/>
      </w:r>
      <w:r w:rsidR="008B463E">
        <w:t xml:space="preserve"> This snap shot in time is indicative of a man who has lived through the rein of multiple pharaohs which when that fact is put in perspective the reverence and seeming respect that </w:t>
      </w:r>
      <w:proofErr w:type="spellStart"/>
      <w:r w:rsidR="008B463E">
        <w:t>strudwick</w:t>
      </w:r>
      <w:proofErr w:type="spellEnd"/>
      <w:r w:rsidR="008B463E">
        <w:t xml:space="preserve"> has as a treasurer reflects a culture that deeply values the</w:t>
      </w:r>
      <w:r w:rsidR="00543B5E">
        <w:t xml:space="preserve"> works of the tangible impacts of its people.</w:t>
      </w:r>
    </w:p>
    <w:p w14:paraId="315535DC" w14:textId="77777777" w:rsidR="00543B5E" w:rsidRDefault="00543B5E" w:rsidP="00543B5E">
      <w:pPr>
        <w:keepNext/>
      </w:pPr>
      <w:r>
        <w:rPr>
          <w:noProof/>
        </w:rPr>
        <w:lastRenderedPageBreak/>
        <w:drawing>
          <wp:inline distT="0" distB="0" distL="0" distR="0" wp14:anchorId="104E73A7" wp14:editId="60F67DCC">
            <wp:extent cx="6848475" cy="5181600"/>
            <wp:effectExtent l="0" t="0" r="9525" b="0"/>
            <wp:docPr id="6200281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48475" cy="5181600"/>
                    </a:xfrm>
                    <a:prstGeom prst="rect">
                      <a:avLst/>
                    </a:prstGeom>
                    <a:noFill/>
                  </pic:spPr>
                </pic:pic>
              </a:graphicData>
            </a:graphic>
          </wp:inline>
        </w:drawing>
      </w:r>
    </w:p>
    <w:p w14:paraId="17FF2D76" w14:textId="14FA1C5B" w:rsidR="00543B5E" w:rsidRDefault="00543B5E" w:rsidP="00543B5E">
      <w:pPr>
        <w:pStyle w:val="Caption"/>
      </w:pPr>
      <w:r>
        <w:t xml:space="preserve">figure </w:t>
      </w:r>
      <w:fldSimple w:instr=" SEQ figure \* ARABIC ">
        <w:r>
          <w:rPr>
            <w:noProof/>
          </w:rPr>
          <w:t>3</w:t>
        </w:r>
      </w:fldSimple>
      <w:r>
        <w:t>.</w:t>
      </w:r>
      <w:proofErr w:type="spellStart"/>
      <w:r>
        <w:t>sennefri</w:t>
      </w:r>
      <w:proofErr w:type="spellEnd"/>
      <w:r>
        <w:t xml:space="preserve"> tt99 linen wrappings </w:t>
      </w:r>
      <w:proofErr w:type="gramStart"/>
      <w:r>
        <w:t>Strudwick</w:t>
      </w:r>
      <w:proofErr w:type="gramEnd"/>
    </w:p>
    <w:p w14:paraId="71C70A08" w14:textId="4ACAC69F" w:rsidR="00543B5E" w:rsidRDefault="00543B5E" w:rsidP="00543B5E">
      <w:r>
        <w:t xml:space="preserve">There are various other finds within in the tomb that </w:t>
      </w:r>
      <w:proofErr w:type="gramStart"/>
      <w:r>
        <w:t>are not connected</w:t>
      </w:r>
      <w:proofErr w:type="gramEnd"/>
      <w:r>
        <w:t xml:space="preserve"> to the actual structure but instead </w:t>
      </w:r>
      <w:proofErr w:type="gramStart"/>
      <w:r>
        <w:t>was placed</w:t>
      </w:r>
      <w:proofErr w:type="gramEnd"/>
      <w:r>
        <w:t xml:space="preserve"> within it. Such as the linen of the wrappings of the mummy found within the tomb.</w:t>
      </w:r>
      <w:r>
        <w:t xml:space="preserve"> Figure 3 displays </w:t>
      </w:r>
      <w:r w:rsidR="00087AB9">
        <w:t>papyrus</w:t>
      </w:r>
      <w:r>
        <w:t xml:space="preserve"> wrapping lined with hieroglyphs that are lines from the book of the dead.</w:t>
      </w:r>
      <w:r w:rsidR="00087AB9">
        <w:fldChar w:fldCharType="begin"/>
      </w:r>
      <w:r w:rsidR="00087AB9">
        <w:instrText xml:space="preserve"> ADDIN ZOTERO_ITEM CSL_CITATION {"citationID":"qIbPGfHT","properties":{"formattedCitation":"(strudwick, 2000)","plainCitation":"(strudwick, 2000)","noteIndex":0},"citationItems":[{"id":680,"uris":["http://zotero.org/users/local/gg1ZQu5V/items/K3E49SWS"],"itemData":{"id":680,"type":"webpage","title":"Mummy shroud","URL":"https://tt99.fitz.ms/finds/shrouds.html","author":[{"family":"strudwick","given":""}],"accessed":{"date-parts":[["2026",3,20]]},"issued":{"date-parts":[["2000"]]}}}],"schema":"https://github.com/citation-style-language/schema/raw/master/csl-citation.json"} </w:instrText>
      </w:r>
      <w:r w:rsidR="00087AB9">
        <w:fldChar w:fldCharType="separate"/>
      </w:r>
      <w:r w:rsidR="00087AB9" w:rsidRPr="00087AB9">
        <w:rPr>
          <w:rFonts w:ascii="Aptos" w:hAnsi="Aptos"/>
        </w:rPr>
        <w:t>(</w:t>
      </w:r>
      <w:proofErr w:type="spellStart"/>
      <w:r w:rsidR="00087AB9" w:rsidRPr="00087AB9">
        <w:rPr>
          <w:rFonts w:ascii="Aptos" w:hAnsi="Aptos"/>
        </w:rPr>
        <w:t>strudwick</w:t>
      </w:r>
      <w:proofErr w:type="spellEnd"/>
      <w:r w:rsidR="00087AB9" w:rsidRPr="00087AB9">
        <w:rPr>
          <w:rFonts w:ascii="Aptos" w:hAnsi="Aptos"/>
        </w:rPr>
        <w:t>, 2000)</w:t>
      </w:r>
      <w:r w:rsidR="00087AB9">
        <w:fldChar w:fldCharType="end"/>
      </w:r>
      <w:r w:rsidR="00087AB9">
        <w:t xml:space="preserve"> despite it being a mummy wrapping which has been used throughout Egypt in burial rituals it being inscribed with book of the dead shows when usually the book of the dead wrappings are not normally used within the burial rights in </w:t>
      </w:r>
      <w:proofErr w:type="spellStart"/>
      <w:r w:rsidR="00087AB9">
        <w:t>thutmoses</w:t>
      </w:r>
      <w:proofErr w:type="spellEnd"/>
      <w:r w:rsidR="00087AB9">
        <w:t xml:space="preserve"> the thirds reign Strudwick posits that th</w:t>
      </w:r>
      <w:r w:rsidR="002E59B0">
        <w:t xml:space="preserve">is shows that this is indicative of a time of change within the </w:t>
      </w:r>
      <w:proofErr w:type="spellStart"/>
      <w:r w:rsidR="002E59B0">
        <w:t>thutmoses</w:t>
      </w:r>
      <w:proofErr w:type="spellEnd"/>
      <w:r w:rsidR="002E59B0">
        <w:t xml:space="preserve"> the thirds reign</w:t>
      </w:r>
      <w:r w:rsidR="002E59B0">
        <w:fldChar w:fldCharType="begin"/>
      </w:r>
      <w:r w:rsidR="002E59B0">
        <w:instrText xml:space="preserve"> ADDIN ZOTERO_ITEM CSL_CITATION {"citationID":"XpQvp9f2","properties":{"formattedCitation":"(strudwick, 2000)","plainCitation":"(strudwick, 2000)","noteIndex":0},"citationItems":[{"id":680,"uris":["http://zotero.org/users/local/gg1ZQu5V/items/K3E49SWS"],"itemData":{"id":680,"type":"webpage","title":"Mummy shroud","URL":"https://tt99.fitz.ms/finds/shrouds.html","author":[{"family":"strudwick","given":""}],"accessed":{"date-parts":[["2026",3,20]]},"issued":{"date-parts":[["2000"]]}}}],"schema":"https://github.com/citation-style-language/schema/raw/master/csl-citation.json"} </w:instrText>
      </w:r>
      <w:r w:rsidR="002E59B0">
        <w:fldChar w:fldCharType="separate"/>
      </w:r>
      <w:r w:rsidR="002E59B0" w:rsidRPr="002E59B0">
        <w:rPr>
          <w:rFonts w:ascii="Aptos" w:hAnsi="Aptos"/>
        </w:rPr>
        <w:t>(</w:t>
      </w:r>
      <w:proofErr w:type="spellStart"/>
      <w:r w:rsidR="002E59B0" w:rsidRPr="002E59B0">
        <w:rPr>
          <w:rFonts w:ascii="Aptos" w:hAnsi="Aptos"/>
        </w:rPr>
        <w:t>strudwick</w:t>
      </w:r>
      <w:proofErr w:type="spellEnd"/>
      <w:r w:rsidR="002E59B0" w:rsidRPr="002E59B0">
        <w:rPr>
          <w:rFonts w:ascii="Aptos" w:hAnsi="Aptos"/>
        </w:rPr>
        <w:t>, 2000)</w:t>
      </w:r>
      <w:r w:rsidR="002E59B0">
        <w:fldChar w:fldCharType="end"/>
      </w:r>
      <w:r w:rsidR="002E59B0">
        <w:t xml:space="preserve"> and may show that this person was holding onto tradition or intentionally chose this and therefore shows how particular </w:t>
      </w:r>
      <w:proofErr w:type="spellStart"/>
      <w:r w:rsidR="002E59B0">
        <w:t>sennefri</w:t>
      </w:r>
      <w:proofErr w:type="spellEnd"/>
      <w:r w:rsidR="002E59B0">
        <w:t xml:space="preserve"> or his family was about his burial</w:t>
      </w:r>
    </w:p>
    <w:p w14:paraId="7D71689B" w14:textId="77777777" w:rsidR="00543B5E" w:rsidRPr="00543B5E" w:rsidRDefault="00543B5E" w:rsidP="00543B5E"/>
    <w:p w14:paraId="04048E2B" w14:textId="77777777" w:rsidR="00543B5E" w:rsidRDefault="00543B5E"/>
    <w:p w14:paraId="7EED615C" w14:textId="1482F255" w:rsidR="006B47F6" w:rsidRDefault="002E59B0" w:rsidP="00AE09CE">
      <w:r>
        <w:t xml:space="preserve">The material culture of TT99 is one of a time a of change and a shifting view in material culture. Due to the consistent theme in the material culture of this tomb it seems that </w:t>
      </w:r>
      <w:proofErr w:type="spellStart"/>
      <w:r>
        <w:t>Sennefri</w:t>
      </w:r>
      <w:proofErr w:type="spellEnd"/>
      <w:r>
        <w:t xml:space="preserve"> was a person whom</w:t>
      </w:r>
      <w:r w:rsidR="00F2622E">
        <w:t xml:space="preserve"> served for many years under multiple Pharaohs throughout the 18</w:t>
      </w:r>
      <w:r w:rsidR="00F2622E" w:rsidRPr="00F2622E">
        <w:rPr>
          <w:vertAlign w:val="superscript"/>
        </w:rPr>
        <w:t>th</w:t>
      </w:r>
      <w:r w:rsidR="00F2622E">
        <w:t xml:space="preserve"> dynasty and into the 19th</w:t>
      </w:r>
      <w:r w:rsidR="00F2622E">
        <w:fldChar w:fldCharType="begin"/>
      </w:r>
      <w:r w:rsidR="00F2622E">
        <w:instrText xml:space="preserve"> ADDIN ZOTERO_ITEM CSL_CITATION {"citationID":"psA4l4PO","properties":{"formattedCitation":"(Strudwick {\\i{}et al.}, 2016)","plainCitation":"(Strudwick et al., 2016)","noteIndex":0},"citationItems":[{"id":631,"uris":["http://zotero.org/users/local/gg1ZQu5V/items/9FQEZ5UR"],"itemData":{"id":631,"type":"book","abstract":"Senneferi was the chancellor of the king in Thebes (modern Luxor) in the reign of Thutmose III (c. 1430 BC). His large but badly damaged tomb lies in the hill of Sheikh Abdel Qurna on the West Bank at Luxor. This first of two volumes focuses on the use of the tomb complex during the New Kingdom, especially the 18th dynasty (c. 1550–1300 BC). It begins with an account of Senneferi himself, looking at his career, his family and other monuments made in his name as far apart as Gebel Silsila in southern Egypt and the Sinai peninsula. The central section deals with the development of the layout of the tomb during this period and its recent exploration, including a detailed reconstruction of its history from 1430 BC to the 20th century AD. The remaining chapters detail the decoration and finds from the excavations, including a painted statue of Senneferi’s son-in-law and a unique set of implements from the Opening of the Mouth ritual, as well as possibly the largest ceramic assemblage yet known in a tomb of this date. This book presents the results of the detailed analysis of what at first sight appear to be unpromising finds and reveals new insights into burial practices at the height of the 18th dynasty.","edition":"1st","ISBN":"978-1-78570-331-7","publisher":"Oxbow Books","source":"JSTOR","title":"The Tomb of Pharaoh’s Chancellor Senneferi at Thebes (TT99)","URL":"https://www.jstor.org/stable/j.ctt1kw2b9v","author":[{"family":"Strudwick","given":"Helen"},{"family":"Emmett","given":"Trevor F."},{"family":"Munro","given":"Irmtraut"},{"family":"Taylor","given":"John H."},{"family":"Rose","given":"Pamela"},{"family":"Bohleke","given":"B."},{"family":"Waldron","given":"Tony"},{"family":"Strudwick","given":"Nigel"},{"family":"Dawson","given":"Julie"},{"family":"Leach","given":"Bridget"}],"collection-editor":[{"family":"Strudwick","given":"Nigel"}],"accessed":{"date-parts":[["2026",3,11]]},"issued":{"date-parts":[["2016"]]}}}],"schema":"https://github.com/citation-style-language/schema/raw/master/csl-citation.json"} </w:instrText>
      </w:r>
      <w:r w:rsidR="00F2622E">
        <w:fldChar w:fldCharType="separate"/>
      </w:r>
      <w:r w:rsidR="00F2622E" w:rsidRPr="00F2622E">
        <w:rPr>
          <w:rFonts w:ascii="Aptos" w:hAnsi="Aptos" w:cs="Times New Roman"/>
          <w:kern w:val="0"/>
        </w:rPr>
        <w:t xml:space="preserve">(Strudwick </w:t>
      </w:r>
      <w:r w:rsidR="00F2622E" w:rsidRPr="00F2622E">
        <w:rPr>
          <w:rFonts w:ascii="Aptos" w:hAnsi="Aptos" w:cs="Times New Roman"/>
          <w:i/>
          <w:iCs/>
          <w:kern w:val="0"/>
        </w:rPr>
        <w:t>et al.</w:t>
      </w:r>
      <w:r w:rsidR="00F2622E" w:rsidRPr="00F2622E">
        <w:rPr>
          <w:rFonts w:ascii="Aptos" w:hAnsi="Aptos" w:cs="Times New Roman"/>
          <w:kern w:val="0"/>
        </w:rPr>
        <w:t>, 2016)</w:t>
      </w:r>
      <w:r w:rsidR="00F2622E">
        <w:fldChar w:fldCharType="end"/>
      </w:r>
      <w:r w:rsidR="00F2622E">
        <w:t xml:space="preserve"> and was a well-respected treasure within the Theban </w:t>
      </w:r>
      <w:r w:rsidR="00F2622E">
        <w:lastRenderedPageBreak/>
        <w:t xml:space="preserve">culture. He </w:t>
      </w:r>
      <w:proofErr w:type="gramStart"/>
      <w:r w:rsidR="00F2622E">
        <w:t>was so respected</w:t>
      </w:r>
      <w:proofErr w:type="gramEnd"/>
      <w:r w:rsidR="00F2622E">
        <w:t xml:space="preserve"> by the people who lived in Thebes that in his funeral cones it made sure to say how good </w:t>
      </w:r>
      <w:proofErr w:type="spellStart"/>
      <w:r w:rsidR="00F2622E">
        <w:t>sennefri</w:t>
      </w:r>
      <w:proofErr w:type="spellEnd"/>
      <w:r w:rsidR="00F2622E">
        <w:t xml:space="preserve"> was at his jobs. This skill allowed him to rise up from low status to someone who could have a three floor complete with a superstructure on top (see figure 2) this structure was then used for hundreds of years after lasting the test of time and is remembered as a through the work of Strudwick and every other Egyptologist has </w:t>
      </w:r>
      <w:r w:rsidR="00E908D1">
        <w:t>preserved</w:t>
      </w:r>
      <w:r w:rsidR="00F2622E">
        <w:t xml:space="preserve"> his tomb which is an example of art and material culture shifting and compensating for those </w:t>
      </w:r>
      <w:r w:rsidR="00E908D1">
        <w:t>who</w:t>
      </w:r>
      <w:r w:rsidR="00F2622E">
        <w:t xml:space="preserve"> was not born in the era they die in. </w:t>
      </w:r>
      <w:proofErr w:type="spellStart"/>
      <w:r w:rsidR="00F2622E">
        <w:t>Sennefri</w:t>
      </w:r>
      <w:proofErr w:type="spellEnd"/>
      <w:r w:rsidR="00F2622E">
        <w:t xml:space="preserve"> TT99 is an excellent example of a tomb </w:t>
      </w:r>
      <w:r w:rsidR="00E908D1">
        <w:t>that shows archaeology and history is not binary,</w:t>
      </w:r>
      <w:r w:rsidR="00F2622E">
        <w:t xml:space="preserve"> and eras </w:t>
      </w:r>
      <w:proofErr w:type="gramStart"/>
      <w:r w:rsidR="00F2622E">
        <w:t>don’t</w:t>
      </w:r>
      <w:proofErr w:type="gramEnd"/>
      <w:r w:rsidR="00F2622E">
        <w:t xml:space="preserve"> flip like a switch but instead they </w:t>
      </w:r>
      <w:r w:rsidR="00E908D1">
        <w:t>gradually shift into what we define their artistic styles to be.</w:t>
      </w:r>
    </w:p>
    <w:p w14:paraId="1226E791" w14:textId="77777777" w:rsidR="00E908D1" w:rsidRDefault="00E908D1" w:rsidP="00AE09CE"/>
    <w:p w14:paraId="7628890F" w14:textId="77777777" w:rsidR="00E908D1" w:rsidRPr="00E908D1" w:rsidRDefault="00E908D1" w:rsidP="00E908D1">
      <w:pPr>
        <w:pStyle w:val="Bibliography"/>
        <w:rPr>
          <w:rFonts w:ascii="Aptos" w:hAnsi="Aptos"/>
        </w:rPr>
      </w:pPr>
      <w:r>
        <w:fldChar w:fldCharType="begin"/>
      </w:r>
      <w:r>
        <w:instrText xml:space="preserve"> ADDIN ZOTERO_BIBL {"uncited":[],"omitted":[],"custom":[]} CSL_BIBLIOGRAPHY </w:instrText>
      </w:r>
      <w:r>
        <w:fldChar w:fldCharType="separate"/>
      </w:r>
      <w:proofErr w:type="spellStart"/>
      <w:r w:rsidRPr="00E908D1">
        <w:rPr>
          <w:rFonts w:ascii="Aptos" w:hAnsi="Aptos"/>
        </w:rPr>
        <w:t>Barjamovic</w:t>
      </w:r>
      <w:proofErr w:type="spellEnd"/>
      <w:r w:rsidRPr="00E908D1">
        <w:rPr>
          <w:rFonts w:ascii="Aptos" w:hAnsi="Aptos"/>
        </w:rPr>
        <w:t xml:space="preserve">, G. and Ryholt, K. (2016) </w:t>
      </w:r>
      <w:r w:rsidRPr="00E908D1">
        <w:rPr>
          <w:rFonts w:ascii="Aptos" w:hAnsi="Aptos"/>
          <w:i/>
          <w:iCs/>
        </w:rPr>
        <w:t>Problems of Canonicity and Identity Formation in Ancient Egypt and Mesopotamia</w:t>
      </w:r>
      <w:r w:rsidRPr="00E908D1">
        <w:rPr>
          <w:rFonts w:ascii="Aptos" w:hAnsi="Aptos"/>
        </w:rPr>
        <w:t xml:space="preserve">. Museum </w:t>
      </w:r>
      <w:proofErr w:type="spellStart"/>
      <w:r w:rsidRPr="00E908D1">
        <w:rPr>
          <w:rFonts w:ascii="Aptos" w:hAnsi="Aptos"/>
        </w:rPr>
        <w:t>Tusculanum</w:t>
      </w:r>
      <w:proofErr w:type="spellEnd"/>
      <w:r w:rsidRPr="00E908D1">
        <w:rPr>
          <w:rFonts w:ascii="Aptos" w:hAnsi="Aptos"/>
        </w:rPr>
        <w:t xml:space="preserve"> Press.</w:t>
      </w:r>
    </w:p>
    <w:p w14:paraId="0C1F0BD9" w14:textId="77777777" w:rsidR="00E908D1" w:rsidRPr="00E908D1" w:rsidRDefault="00E908D1" w:rsidP="00E908D1">
      <w:pPr>
        <w:pStyle w:val="Bibliography"/>
        <w:rPr>
          <w:rFonts w:ascii="Aptos" w:hAnsi="Aptos"/>
        </w:rPr>
      </w:pPr>
      <w:r w:rsidRPr="00E908D1">
        <w:rPr>
          <w:rFonts w:ascii="Aptos" w:hAnsi="Aptos"/>
        </w:rPr>
        <w:t xml:space="preserve">Bourama, M., </w:t>
      </w:r>
      <w:proofErr w:type="spellStart"/>
      <w:r w:rsidRPr="00E908D1">
        <w:rPr>
          <w:rFonts w:ascii="Aptos" w:hAnsi="Aptos"/>
        </w:rPr>
        <w:t>Lèfara</w:t>
      </w:r>
      <w:proofErr w:type="spellEnd"/>
      <w:r w:rsidRPr="00E908D1">
        <w:rPr>
          <w:rFonts w:ascii="Aptos" w:hAnsi="Aptos"/>
        </w:rPr>
        <w:t>, S. and Sidiki, C.A. (2023) ‘Reading Precolonial Egypt’s Impact on Modern Society with a Focus on Culture, Art, Architecture, Science and Religion.’, 1.</w:t>
      </w:r>
    </w:p>
    <w:p w14:paraId="1E164000" w14:textId="77777777" w:rsidR="00E908D1" w:rsidRPr="00E908D1" w:rsidRDefault="00E908D1" w:rsidP="00E908D1">
      <w:pPr>
        <w:pStyle w:val="Bibliography"/>
        <w:rPr>
          <w:rFonts w:ascii="Aptos" w:hAnsi="Aptos"/>
        </w:rPr>
      </w:pPr>
      <w:proofErr w:type="spellStart"/>
      <w:r w:rsidRPr="00E908D1">
        <w:rPr>
          <w:rFonts w:ascii="Aptos" w:hAnsi="Aptos"/>
        </w:rPr>
        <w:t>Filiks</w:t>
      </w:r>
      <w:proofErr w:type="spellEnd"/>
      <w:r w:rsidRPr="00E908D1">
        <w:rPr>
          <w:rFonts w:ascii="Aptos" w:hAnsi="Aptos"/>
        </w:rPr>
        <w:t xml:space="preserve">, J. and </w:t>
      </w:r>
      <w:proofErr w:type="spellStart"/>
      <w:r w:rsidRPr="00E908D1">
        <w:rPr>
          <w:rFonts w:ascii="Aptos" w:hAnsi="Aptos"/>
        </w:rPr>
        <w:t>Żuk</w:t>
      </w:r>
      <w:proofErr w:type="spellEnd"/>
      <w:r w:rsidRPr="00E908D1">
        <w:rPr>
          <w:rFonts w:ascii="Aptos" w:hAnsi="Aptos"/>
        </w:rPr>
        <w:t xml:space="preserve">, J. (eds) (2010) </w:t>
      </w:r>
      <w:r w:rsidRPr="00E908D1">
        <w:rPr>
          <w:rFonts w:ascii="Aptos" w:hAnsi="Aptos"/>
          <w:i/>
          <w:iCs/>
        </w:rPr>
        <w:t>VIII-</w:t>
      </w:r>
      <w:proofErr w:type="spellStart"/>
      <w:r w:rsidRPr="00E908D1">
        <w:rPr>
          <w:rFonts w:ascii="Aptos" w:hAnsi="Aptos"/>
          <w:i/>
          <w:iCs/>
        </w:rPr>
        <w:t>th</w:t>
      </w:r>
      <w:proofErr w:type="spellEnd"/>
      <w:r w:rsidRPr="00E908D1">
        <w:rPr>
          <w:rFonts w:ascii="Aptos" w:hAnsi="Aptos"/>
          <w:i/>
          <w:iCs/>
        </w:rPr>
        <w:t xml:space="preserve"> International Conference on Ion Implantation and other Applications of Ions and Electrons, June 14-17, 2010, Kazimierz Dolny, Poland</w:t>
      </w:r>
      <w:r w:rsidRPr="00E908D1">
        <w:rPr>
          <w:rFonts w:ascii="Aptos" w:hAnsi="Aptos"/>
        </w:rPr>
        <w:t xml:space="preserve">. </w:t>
      </w:r>
      <w:r w:rsidRPr="00E908D1">
        <w:rPr>
          <w:rFonts w:ascii="Aptos" w:hAnsi="Aptos"/>
          <w:i/>
          <w:iCs/>
        </w:rPr>
        <w:t>International Conference on Ion Implantation and other Applications of Ions and Electrons</w:t>
      </w:r>
      <w:r w:rsidRPr="00E908D1">
        <w:rPr>
          <w:rFonts w:ascii="Aptos" w:hAnsi="Aptos"/>
        </w:rPr>
        <w:t>, Lublin: Lublin University of Technology Press.</w:t>
      </w:r>
    </w:p>
    <w:p w14:paraId="56A2145E" w14:textId="77777777" w:rsidR="00E908D1" w:rsidRPr="00E908D1" w:rsidRDefault="00E908D1" w:rsidP="00E908D1">
      <w:pPr>
        <w:pStyle w:val="Bibliography"/>
        <w:rPr>
          <w:rFonts w:ascii="Aptos" w:hAnsi="Aptos"/>
        </w:rPr>
      </w:pPr>
      <w:r w:rsidRPr="00E908D1">
        <w:rPr>
          <w:rFonts w:ascii="Aptos" w:hAnsi="Aptos"/>
        </w:rPr>
        <w:t xml:space="preserve">Hawass, Z.A. and Brock, L.P. (2003) </w:t>
      </w:r>
      <w:r w:rsidRPr="00E908D1">
        <w:rPr>
          <w:rFonts w:ascii="Aptos" w:hAnsi="Aptos"/>
          <w:i/>
          <w:iCs/>
        </w:rPr>
        <w:t>Egyptology at the Dawn of the Twenty-first Century: Language, conservation, museology</w:t>
      </w:r>
      <w:r w:rsidRPr="00E908D1">
        <w:rPr>
          <w:rFonts w:ascii="Aptos" w:hAnsi="Aptos"/>
        </w:rPr>
        <w:t xml:space="preserve">. American </w:t>
      </w:r>
      <w:proofErr w:type="spellStart"/>
      <w:r w:rsidRPr="00E908D1">
        <w:rPr>
          <w:rFonts w:ascii="Aptos" w:hAnsi="Aptos"/>
        </w:rPr>
        <w:t>Univ</w:t>
      </w:r>
      <w:proofErr w:type="spellEnd"/>
      <w:r w:rsidRPr="00E908D1">
        <w:rPr>
          <w:rFonts w:ascii="Aptos" w:hAnsi="Aptos"/>
        </w:rPr>
        <w:t xml:space="preserve"> in Cairo Press.</w:t>
      </w:r>
    </w:p>
    <w:p w14:paraId="22F44838" w14:textId="77777777" w:rsidR="00E908D1" w:rsidRPr="00E908D1" w:rsidRDefault="00E908D1" w:rsidP="00E908D1">
      <w:pPr>
        <w:pStyle w:val="Bibliography"/>
        <w:rPr>
          <w:rFonts w:ascii="Aptos" w:hAnsi="Aptos"/>
        </w:rPr>
      </w:pPr>
      <w:r w:rsidRPr="00E908D1">
        <w:rPr>
          <w:rFonts w:ascii="Aptos" w:hAnsi="Aptos"/>
        </w:rPr>
        <w:t xml:space="preserve">Riggs, C. (2016) ‘Beautiful Burials, Beautiful Skulls: The Aesthetics of the Egyptian Mummy’, </w:t>
      </w:r>
      <w:r w:rsidRPr="00E908D1">
        <w:rPr>
          <w:rFonts w:ascii="Aptos" w:hAnsi="Aptos"/>
          <w:i/>
          <w:iCs/>
        </w:rPr>
        <w:t>The British Journal of Aesthetics</w:t>
      </w:r>
      <w:r w:rsidRPr="00E908D1">
        <w:rPr>
          <w:rFonts w:ascii="Aptos" w:hAnsi="Aptos"/>
        </w:rPr>
        <w:t>, 56(3), pp. 247–263. Available at: https://doi.org/10.1093/aesthj/ayw045.</w:t>
      </w:r>
    </w:p>
    <w:p w14:paraId="10835FAB" w14:textId="77777777" w:rsidR="00E908D1" w:rsidRPr="00E908D1" w:rsidRDefault="00E908D1" w:rsidP="00E908D1">
      <w:pPr>
        <w:pStyle w:val="Bibliography"/>
        <w:rPr>
          <w:rFonts w:ascii="Aptos" w:hAnsi="Aptos"/>
        </w:rPr>
      </w:pPr>
      <w:proofErr w:type="spellStart"/>
      <w:r w:rsidRPr="00E908D1">
        <w:rPr>
          <w:rFonts w:ascii="Aptos" w:hAnsi="Aptos"/>
        </w:rPr>
        <w:t>strudwick</w:t>
      </w:r>
      <w:proofErr w:type="spellEnd"/>
      <w:r w:rsidRPr="00E908D1">
        <w:rPr>
          <w:rFonts w:ascii="Aptos" w:hAnsi="Aptos"/>
        </w:rPr>
        <w:t xml:space="preserve"> (</w:t>
      </w:r>
      <w:proofErr w:type="gramStart"/>
      <w:r w:rsidRPr="00E908D1">
        <w:rPr>
          <w:rFonts w:ascii="Aptos" w:hAnsi="Aptos"/>
        </w:rPr>
        <w:t>2000</w:t>
      </w:r>
      <w:proofErr w:type="gramEnd"/>
      <w:r w:rsidRPr="00E908D1">
        <w:rPr>
          <w:rFonts w:ascii="Aptos" w:hAnsi="Aptos"/>
        </w:rPr>
        <w:t xml:space="preserve">) </w:t>
      </w:r>
      <w:r w:rsidRPr="00E908D1">
        <w:rPr>
          <w:rFonts w:ascii="Aptos" w:hAnsi="Aptos"/>
          <w:i/>
          <w:iCs/>
        </w:rPr>
        <w:t>Mummy shroud</w:t>
      </w:r>
      <w:r w:rsidRPr="00E908D1">
        <w:rPr>
          <w:rFonts w:ascii="Aptos" w:hAnsi="Aptos"/>
        </w:rPr>
        <w:t>. Available at: https://tt99.fitz.ms/finds/shrouds.html (Accessed: 20 March 2026).</w:t>
      </w:r>
    </w:p>
    <w:p w14:paraId="1AF9D600" w14:textId="77777777" w:rsidR="00E908D1" w:rsidRPr="00E908D1" w:rsidRDefault="00E908D1" w:rsidP="00E908D1">
      <w:pPr>
        <w:pStyle w:val="Bibliography"/>
        <w:rPr>
          <w:rFonts w:ascii="Aptos" w:hAnsi="Aptos"/>
        </w:rPr>
      </w:pPr>
      <w:r w:rsidRPr="00E908D1">
        <w:rPr>
          <w:rFonts w:ascii="Aptos" w:hAnsi="Aptos"/>
        </w:rPr>
        <w:t xml:space="preserve">Strudwick (2016) </w:t>
      </w:r>
      <w:proofErr w:type="spellStart"/>
      <w:r w:rsidRPr="00E908D1">
        <w:rPr>
          <w:rFonts w:ascii="Aptos" w:hAnsi="Aptos"/>
          <w:i/>
          <w:iCs/>
        </w:rPr>
        <w:t>Senneferi</w:t>
      </w:r>
      <w:proofErr w:type="spellEnd"/>
      <w:r w:rsidRPr="00E908D1">
        <w:rPr>
          <w:rFonts w:ascii="Aptos" w:hAnsi="Aptos"/>
          <w:i/>
          <w:iCs/>
        </w:rPr>
        <w:t xml:space="preserve"> and his family</w:t>
      </w:r>
      <w:r w:rsidRPr="00E908D1">
        <w:rPr>
          <w:rFonts w:ascii="Aptos" w:hAnsi="Aptos"/>
        </w:rPr>
        <w:t>. Available at: https://tt99.fitz.ms/senneferi.html#family (Accessed: 20 March 2026).</w:t>
      </w:r>
    </w:p>
    <w:p w14:paraId="7D937E49" w14:textId="77777777" w:rsidR="00E908D1" w:rsidRPr="00E908D1" w:rsidRDefault="00E908D1" w:rsidP="00E908D1">
      <w:pPr>
        <w:pStyle w:val="Bibliography"/>
        <w:rPr>
          <w:rFonts w:ascii="Aptos" w:hAnsi="Aptos"/>
        </w:rPr>
      </w:pPr>
      <w:r w:rsidRPr="00E908D1">
        <w:rPr>
          <w:rFonts w:ascii="Aptos" w:hAnsi="Aptos"/>
        </w:rPr>
        <w:t xml:space="preserve">Strudwick, H. </w:t>
      </w:r>
      <w:r w:rsidRPr="00E908D1">
        <w:rPr>
          <w:rFonts w:ascii="Aptos" w:hAnsi="Aptos"/>
          <w:i/>
          <w:iCs/>
        </w:rPr>
        <w:t>et al.</w:t>
      </w:r>
      <w:r w:rsidRPr="00E908D1">
        <w:rPr>
          <w:rFonts w:ascii="Aptos" w:hAnsi="Aptos"/>
        </w:rPr>
        <w:t xml:space="preserve"> (2016) </w:t>
      </w:r>
      <w:r w:rsidRPr="00E908D1">
        <w:rPr>
          <w:rFonts w:ascii="Aptos" w:hAnsi="Aptos"/>
          <w:i/>
          <w:iCs/>
        </w:rPr>
        <w:t xml:space="preserve">The Tomb of Pharaoh’s Chancellor </w:t>
      </w:r>
      <w:proofErr w:type="spellStart"/>
      <w:r w:rsidRPr="00E908D1">
        <w:rPr>
          <w:rFonts w:ascii="Aptos" w:hAnsi="Aptos"/>
          <w:i/>
          <w:iCs/>
        </w:rPr>
        <w:t>Senneferi</w:t>
      </w:r>
      <w:proofErr w:type="spellEnd"/>
      <w:r w:rsidRPr="00E908D1">
        <w:rPr>
          <w:rFonts w:ascii="Aptos" w:hAnsi="Aptos"/>
          <w:i/>
          <w:iCs/>
        </w:rPr>
        <w:t xml:space="preserve"> at Thebes (TT99)</w:t>
      </w:r>
      <w:r w:rsidRPr="00E908D1">
        <w:rPr>
          <w:rFonts w:ascii="Aptos" w:hAnsi="Aptos"/>
        </w:rPr>
        <w:t xml:space="preserve">. 1st </w:t>
      </w:r>
      <w:proofErr w:type="spellStart"/>
      <w:r w:rsidRPr="00E908D1">
        <w:rPr>
          <w:rFonts w:ascii="Aptos" w:hAnsi="Aptos"/>
        </w:rPr>
        <w:t>edn</w:t>
      </w:r>
      <w:proofErr w:type="spellEnd"/>
      <w:r w:rsidRPr="00E908D1">
        <w:rPr>
          <w:rFonts w:ascii="Aptos" w:hAnsi="Aptos"/>
        </w:rPr>
        <w:t>. Oxbow Books. Available at: https://www.jstor.org/stable/j.ctt1kw2b9v (Accessed: 11 March 2026).</w:t>
      </w:r>
    </w:p>
    <w:p w14:paraId="1E60B0E1" w14:textId="77777777" w:rsidR="00E908D1" w:rsidRPr="00E908D1" w:rsidRDefault="00E908D1" w:rsidP="00E908D1">
      <w:pPr>
        <w:pStyle w:val="Bibliography"/>
        <w:rPr>
          <w:rFonts w:ascii="Aptos" w:hAnsi="Aptos"/>
        </w:rPr>
      </w:pPr>
      <w:r w:rsidRPr="00E908D1">
        <w:rPr>
          <w:rFonts w:ascii="Aptos" w:hAnsi="Aptos"/>
        </w:rPr>
        <w:t xml:space="preserve">Trafton, S. (2004) </w:t>
      </w:r>
      <w:r w:rsidRPr="00E908D1">
        <w:rPr>
          <w:rFonts w:ascii="Aptos" w:hAnsi="Aptos"/>
          <w:i/>
          <w:iCs/>
        </w:rPr>
        <w:t>Egypt Land: Race and Nineteenth-Century American Egyptomania</w:t>
      </w:r>
      <w:r w:rsidRPr="00E908D1">
        <w:rPr>
          <w:rFonts w:ascii="Aptos" w:hAnsi="Aptos"/>
        </w:rPr>
        <w:t>. Duke University Press.</w:t>
      </w:r>
    </w:p>
    <w:p w14:paraId="6594781D" w14:textId="30524F4A" w:rsidR="00E908D1" w:rsidRDefault="00E908D1" w:rsidP="00AE09CE">
      <w:r>
        <w:fldChar w:fldCharType="end"/>
      </w:r>
    </w:p>
    <w:p w14:paraId="2E53E415" w14:textId="60DFE2B2" w:rsidR="006B47F6" w:rsidRDefault="006B47F6"/>
    <w:sectPr w:rsidR="006B47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3B0BC8"/>
    <w:multiLevelType w:val="multilevel"/>
    <w:tmpl w:val="4CDE5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BEB30BB"/>
    <w:multiLevelType w:val="multilevel"/>
    <w:tmpl w:val="420C5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3702061">
    <w:abstractNumId w:val="0"/>
  </w:num>
  <w:num w:numId="2" w16cid:durableId="19740943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7F6"/>
    <w:rsid w:val="00052981"/>
    <w:rsid w:val="00087AB9"/>
    <w:rsid w:val="000B4612"/>
    <w:rsid w:val="00137728"/>
    <w:rsid w:val="001E543B"/>
    <w:rsid w:val="002062AC"/>
    <w:rsid w:val="002840F5"/>
    <w:rsid w:val="002A7272"/>
    <w:rsid w:val="002E59B0"/>
    <w:rsid w:val="002F1BB5"/>
    <w:rsid w:val="002F7AF6"/>
    <w:rsid w:val="00365DF5"/>
    <w:rsid w:val="004E38B3"/>
    <w:rsid w:val="00543B5E"/>
    <w:rsid w:val="00574A13"/>
    <w:rsid w:val="00663F54"/>
    <w:rsid w:val="006B47F6"/>
    <w:rsid w:val="006E4326"/>
    <w:rsid w:val="007D1BF9"/>
    <w:rsid w:val="008B463E"/>
    <w:rsid w:val="008F037D"/>
    <w:rsid w:val="00AA419D"/>
    <w:rsid w:val="00AE09CE"/>
    <w:rsid w:val="00AE68C6"/>
    <w:rsid w:val="00CD3A0E"/>
    <w:rsid w:val="00E908D1"/>
    <w:rsid w:val="00E96B2F"/>
    <w:rsid w:val="00EE7333"/>
    <w:rsid w:val="00F12307"/>
    <w:rsid w:val="00F2622E"/>
    <w:rsid w:val="00F51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1505D"/>
  <w15:chartTrackingRefBased/>
  <w15:docId w15:val="{05FC5036-4C53-47E9-97D5-FB02B2843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47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47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47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47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47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47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47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47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47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7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47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47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47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47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47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47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47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47F6"/>
    <w:rPr>
      <w:rFonts w:eastAsiaTheme="majorEastAsia" w:cstheme="majorBidi"/>
      <w:color w:val="272727" w:themeColor="text1" w:themeTint="D8"/>
    </w:rPr>
  </w:style>
  <w:style w:type="paragraph" w:styleId="Title">
    <w:name w:val="Title"/>
    <w:basedOn w:val="Normal"/>
    <w:next w:val="Normal"/>
    <w:link w:val="TitleChar"/>
    <w:uiPriority w:val="10"/>
    <w:qFormat/>
    <w:rsid w:val="006B47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47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47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47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47F6"/>
    <w:pPr>
      <w:spacing w:before="160"/>
      <w:jc w:val="center"/>
    </w:pPr>
    <w:rPr>
      <w:i/>
      <w:iCs/>
      <w:color w:val="404040" w:themeColor="text1" w:themeTint="BF"/>
    </w:rPr>
  </w:style>
  <w:style w:type="character" w:customStyle="1" w:styleId="QuoteChar">
    <w:name w:val="Quote Char"/>
    <w:basedOn w:val="DefaultParagraphFont"/>
    <w:link w:val="Quote"/>
    <w:uiPriority w:val="29"/>
    <w:rsid w:val="006B47F6"/>
    <w:rPr>
      <w:i/>
      <w:iCs/>
      <w:color w:val="404040" w:themeColor="text1" w:themeTint="BF"/>
    </w:rPr>
  </w:style>
  <w:style w:type="paragraph" w:styleId="ListParagraph">
    <w:name w:val="List Paragraph"/>
    <w:basedOn w:val="Normal"/>
    <w:uiPriority w:val="34"/>
    <w:qFormat/>
    <w:rsid w:val="006B47F6"/>
    <w:pPr>
      <w:ind w:left="720"/>
      <w:contextualSpacing/>
    </w:pPr>
  </w:style>
  <w:style w:type="character" w:styleId="IntenseEmphasis">
    <w:name w:val="Intense Emphasis"/>
    <w:basedOn w:val="DefaultParagraphFont"/>
    <w:uiPriority w:val="21"/>
    <w:qFormat/>
    <w:rsid w:val="006B47F6"/>
    <w:rPr>
      <w:i/>
      <w:iCs/>
      <w:color w:val="0F4761" w:themeColor="accent1" w:themeShade="BF"/>
    </w:rPr>
  </w:style>
  <w:style w:type="paragraph" w:styleId="IntenseQuote">
    <w:name w:val="Intense Quote"/>
    <w:basedOn w:val="Normal"/>
    <w:next w:val="Normal"/>
    <w:link w:val="IntenseQuoteChar"/>
    <w:uiPriority w:val="30"/>
    <w:qFormat/>
    <w:rsid w:val="006B47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47F6"/>
    <w:rPr>
      <w:i/>
      <w:iCs/>
      <w:color w:val="0F4761" w:themeColor="accent1" w:themeShade="BF"/>
    </w:rPr>
  </w:style>
  <w:style w:type="character" w:styleId="IntenseReference">
    <w:name w:val="Intense Reference"/>
    <w:basedOn w:val="DefaultParagraphFont"/>
    <w:uiPriority w:val="32"/>
    <w:qFormat/>
    <w:rsid w:val="006B47F6"/>
    <w:rPr>
      <w:b/>
      <w:bCs/>
      <w:smallCaps/>
      <w:color w:val="0F4761" w:themeColor="accent1" w:themeShade="BF"/>
      <w:spacing w:val="5"/>
    </w:rPr>
  </w:style>
  <w:style w:type="paragraph" w:styleId="Caption">
    <w:name w:val="caption"/>
    <w:basedOn w:val="Normal"/>
    <w:next w:val="Normal"/>
    <w:uiPriority w:val="35"/>
    <w:unhideWhenUsed/>
    <w:qFormat/>
    <w:rsid w:val="002F1BB5"/>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E908D1"/>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E09AEC-887A-4BF3-81CF-56032C22E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6</Pages>
  <Words>7708</Words>
  <Characters>43940</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Rees (2305437)</dc:creator>
  <cp:keywords/>
  <dc:description/>
  <cp:lastModifiedBy>Caleb Rees (2305437)</cp:lastModifiedBy>
  <cp:revision>2</cp:revision>
  <dcterms:created xsi:type="dcterms:W3CDTF">2026-03-11T15:15:00Z</dcterms:created>
  <dcterms:modified xsi:type="dcterms:W3CDTF">2026-03-20T21:52:00Z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id="1Gcq3Fzu"/&gt;&lt;style id="http://www.zotero.org/styles/harvard-cite-them-right" locale="en-GB" hasBibliography="1" bibliographyStyleHasBeenSet="1"/&gt;&lt;prefs&gt;&lt;pref name="fieldType" value="Field"/&gt;&lt;/pref</vt:lpwstr>
  </property>
  <property fmtid="{D5CDD505-2E9C-101B-9397-08002B2CF9AE}" pid="3" name="ZOTERO_PREF_2">
    <vt:lpwstr>s&gt;&lt;/data&gt;</vt:lpwstr>
  </property>
</Properties>
</file>