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keepNext w:val="0"/>
        <w:keepLines w:val="0"/>
        <w:spacing w:after="0" w:before="0" w:lineRule="auto"/>
        <w:jc w:val="center"/>
        <w:rPr>
          <w:color w:val="0e101a"/>
          <w:sz w:val="24"/>
          <w:szCs w:val="24"/>
          <w:highlight w:val="white"/>
        </w:rPr>
      </w:pPr>
      <w:bookmarkStart w:colFirst="0" w:colLast="0" w:name="_o3zumsh1h140" w:id="0"/>
      <w:bookmarkEnd w:id="0"/>
      <w:r w:rsidDel="00000000" w:rsidR="00000000" w:rsidRPr="00000000">
        <w:rPr>
          <w:b w:val="1"/>
          <w:color w:val="0e101a"/>
          <w:sz w:val="24"/>
          <w:szCs w:val="24"/>
          <w:highlight w:val="white"/>
          <w:rtl w:val="0"/>
        </w:rPr>
        <w:t xml:space="preserve">Key Issues in Linguistics HPEN7004 Assignment 2:</w:t>
      </w:r>
      <w:r w:rsidDel="00000000" w:rsidR="00000000" w:rsidRPr="00000000">
        <w:rPr>
          <w:color w:val="0e101a"/>
          <w:sz w:val="24"/>
          <w:szCs w:val="24"/>
          <w:highlight w:val="white"/>
          <w:rtl w:val="0"/>
        </w:rPr>
        <w:t xml:space="preserve"> </w:t>
      </w:r>
    </w:p>
    <w:p w:rsidR="00000000" w:rsidDel="00000000" w:rsidP="00000000" w:rsidRDefault="00000000" w:rsidRPr="00000000" w14:paraId="00000002">
      <w:pPr>
        <w:pStyle w:val="Heading1"/>
        <w:keepNext w:val="0"/>
        <w:keepLines w:val="0"/>
        <w:spacing w:after="0" w:before="0" w:lineRule="auto"/>
        <w:jc w:val="center"/>
        <w:rPr>
          <w:b w:val="1"/>
          <w:color w:val="0e101a"/>
          <w:sz w:val="24"/>
          <w:szCs w:val="24"/>
          <w:highlight w:val="white"/>
        </w:rPr>
      </w:pPr>
      <w:bookmarkStart w:colFirst="0" w:colLast="0" w:name="_xe0bv5aanx06" w:id="1"/>
      <w:bookmarkEnd w:id="1"/>
      <w:r w:rsidDel="00000000" w:rsidR="00000000" w:rsidRPr="00000000">
        <w:rPr>
          <w:b w:val="1"/>
          <w:color w:val="0e101a"/>
          <w:sz w:val="24"/>
          <w:szCs w:val="24"/>
          <w:highlight w:val="white"/>
          <w:rtl w:val="0"/>
        </w:rPr>
        <w:t xml:space="preserve"> A critical assessment of a research article</w:t>
      </w:r>
    </w:p>
    <w:p w:rsidR="00000000" w:rsidDel="00000000" w:rsidP="00000000" w:rsidRDefault="00000000" w:rsidRPr="00000000" w14:paraId="00000003">
      <w:pPr>
        <w:jc w:val="center"/>
        <w:rPr>
          <w:color w:val="0e101a"/>
          <w:sz w:val="24"/>
          <w:szCs w:val="24"/>
          <w:highlight w:val="white"/>
        </w:rPr>
      </w:pPr>
      <w:r w:rsidDel="00000000" w:rsidR="00000000" w:rsidRPr="00000000">
        <w:rPr>
          <w:rtl w:val="0"/>
        </w:rPr>
      </w:r>
    </w:p>
    <w:p w:rsidR="00000000" w:rsidDel="00000000" w:rsidP="00000000" w:rsidRDefault="00000000" w:rsidRPr="00000000" w14:paraId="00000004">
      <w:pPr>
        <w:rPr>
          <w:color w:val="0e101a"/>
          <w:sz w:val="24"/>
          <w:szCs w:val="24"/>
          <w:highlight w:val="white"/>
        </w:rPr>
      </w:pPr>
      <w:r w:rsidDel="00000000" w:rsidR="00000000" w:rsidRPr="00000000">
        <w:rPr>
          <w:color w:val="0e101a"/>
          <w:sz w:val="24"/>
          <w:szCs w:val="24"/>
          <w:highlight w:val="white"/>
          <w:rtl w:val="0"/>
        </w:rPr>
        <w:t xml:space="preserve">Within the body of this essay, the author will critically evaluate a research article on code-switching and its impact on identity. The following essay aims to evaluate and review the thesis and methodologies used in the research and offer an appropriate analysis with relevant critique where necessary. The article (Sophocleous, 2011) in question, titled "Switching code and changing social identities in face-to-face interaction", was published in the Sociolinguistic Studies journal on 2/5/2011. The research is conducted by Dr Andry Sophocleous, Lecturer in Applied Linguistics/Sociolinguistics at the University of Nicosia, and hypothesises codeswitching is significant to "express alignment or non-alignment" and that "speakers use code-switching to project their personal identity in moment to moment interaction". Although the researcher has actively tried to ensure the research's authenticity, some questions of methodological weakness are apparent.</w:t>
      </w:r>
    </w:p>
    <w:p w:rsidR="00000000" w:rsidDel="00000000" w:rsidP="00000000" w:rsidRDefault="00000000" w:rsidRPr="00000000" w14:paraId="00000005">
      <w:pPr>
        <w:rPr>
          <w:color w:val="0e101a"/>
          <w:sz w:val="24"/>
          <w:szCs w:val="24"/>
          <w:highlight w:val="white"/>
        </w:rPr>
      </w:pPr>
      <w:r w:rsidDel="00000000" w:rsidR="00000000" w:rsidRPr="00000000">
        <w:rPr>
          <w:color w:val="0e101a"/>
          <w:sz w:val="24"/>
          <w:szCs w:val="24"/>
          <w:highlight w:val="white"/>
          <w:rtl w:val="0"/>
        </w:rPr>
        <w:t xml:space="preserve"> </w:t>
      </w:r>
    </w:p>
    <w:p w:rsidR="00000000" w:rsidDel="00000000" w:rsidP="00000000" w:rsidRDefault="00000000" w:rsidRPr="00000000" w14:paraId="00000006">
      <w:pPr>
        <w:rPr>
          <w:color w:val="0e101a"/>
          <w:sz w:val="24"/>
          <w:szCs w:val="24"/>
          <w:highlight w:val="white"/>
        </w:rPr>
      </w:pPr>
      <w:r w:rsidDel="00000000" w:rsidR="00000000" w:rsidRPr="00000000">
        <w:rPr>
          <w:rtl w:val="0"/>
        </w:rPr>
      </w:r>
    </w:p>
    <w:p w:rsidR="00000000" w:rsidDel="00000000" w:rsidP="00000000" w:rsidRDefault="00000000" w:rsidRPr="00000000" w14:paraId="00000007">
      <w:pPr>
        <w:rPr>
          <w:color w:val="0e101a"/>
          <w:sz w:val="24"/>
          <w:szCs w:val="24"/>
          <w:highlight w:val="white"/>
        </w:rPr>
      </w:pPr>
      <w:r w:rsidDel="00000000" w:rsidR="00000000" w:rsidRPr="00000000">
        <w:rPr>
          <w:color w:val="0e101a"/>
          <w:sz w:val="24"/>
          <w:szCs w:val="24"/>
          <w:highlight w:val="white"/>
          <w:rtl w:val="0"/>
        </w:rPr>
        <w:t xml:space="preserve">The research aims to study the code-switching and identity of Greek Cypriots focusing predominately on the "bidialectal context of Cyprus", that is to say, the two predominant dialects of Greek Cyprus, Standard Modern Greek (SMG) and Greek-Cypriot Dialect (GCD). The study aims to highlight the multifaceted nature of these dialects by analysing how standard dialect is used for expressing alignment/non-alignment and how dialect-shifting is too. The research has a sociolinguistic focus having specific aims to examine code-switching in the context of personal/social identity, audience change and its use in "moment to moment interaction". To test their hypotheses, the researcher (Sophocleous, 2011) has set a tripartite aim:</w:t>
      </w:r>
    </w:p>
    <w:p w:rsidR="00000000" w:rsidDel="00000000" w:rsidP="00000000" w:rsidRDefault="00000000" w:rsidRPr="00000000" w14:paraId="00000008">
      <w:pPr>
        <w:rPr>
          <w:color w:val="0e101a"/>
          <w:sz w:val="24"/>
          <w:szCs w:val="24"/>
          <w:highlight w:val="white"/>
        </w:rPr>
      </w:pPr>
      <w:r w:rsidDel="00000000" w:rsidR="00000000" w:rsidRPr="00000000">
        <w:rPr>
          <w:rtl w:val="0"/>
        </w:rPr>
      </w:r>
    </w:p>
    <w:p w:rsidR="00000000" w:rsidDel="00000000" w:rsidP="00000000" w:rsidRDefault="00000000" w:rsidRPr="00000000" w14:paraId="00000009">
      <w:pPr>
        <w:rPr>
          <w:color w:val="0e101a"/>
          <w:sz w:val="24"/>
          <w:szCs w:val="24"/>
          <w:highlight w:val="white"/>
        </w:rPr>
      </w:pPr>
      <w:r w:rsidDel="00000000" w:rsidR="00000000" w:rsidRPr="00000000">
        <w:rPr>
          <w:color w:val="0e101a"/>
          <w:sz w:val="24"/>
          <w:szCs w:val="24"/>
          <w:highlight w:val="white"/>
          <w:rtl w:val="0"/>
        </w:rPr>
        <w:t xml:space="preserve">"1. investigate how identity is constructed and reconstructed discursively by examining CS into and out of SMG, GCD and style shifting between the various registers of GCD.</w:t>
      </w:r>
    </w:p>
    <w:p w:rsidR="00000000" w:rsidDel="00000000" w:rsidP="00000000" w:rsidRDefault="00000000" w:rsidRPr="00000000" w14:paraId="0000000A">
      <w:pPr>
        <w:rPr>
          <w:color w:val="0e101a"/>
          <w:sz w:val="24"/>
          <w:szCs w:val="24"/>
          <w:highlight w:val="white"/>
        </w:rPr>
      </w:pPr>
      <w:r w:rsidDel="00000000" w:rsidR="00000000" w:rsidRPr="00000000">
        <w:rPr>
          <w:rtl w:val="0"/>
        </w:rPr>
      </w:r>
    </w:p>
    <w:p w:rsidR="00000000" w:rsidDel="00000000" w:rsidP="00000000" w:rsidRDefault="00000000" w:rsidRPr="00000000" w14:paraId="0000000B">
      <w:pPr>
        <w:rPr>
          <w:color w:val="0e101a"/>
          <w:sz w:val="24"/>
          <w:szCs w:val="24"/>
          <w:highlight w:val="white"/>
        </w:rPr>
      </w:pPr>
      <w:r w:rsidDel="00000000" w:rsidR="00000000" w:rsidRPr="00000000">
        <w:rPr>
          <w:color w:val="0e101a"/>
          <w:sz w:val="24"/>
          <w:szCs w:val="24"/>
          <w:highlight w:val="white"/>
          <w:rtl w:val="0"/>
        </w:rPr>
        <w:t xml:space="preserve">2. study how a change in audience/addressee influences CS</w:t>
      </w:r>
    </w:p>
    <w:p w:rsidR="00000000" w:rsidDel="00000000" w:rsidP="00000000" w:rsidRDefault="00000000" w:rsidRPr="00000000" w14:paraId="0000000C">
      <w:pPr>
        <w:rPr>
          <w:color w:val="0e101a"/>
          <w:sz w:val="24"/>
          <w:szCs w:val="24"/>
          <w:highlight w:val="white"/>
        </w:rPr>
      </w:pPr>
      <w:r w:rsidDel="00000000" w:rsidR="00000000" w:rsidRPr="00000000">
        <w:rPr>
          <w:rtl w:val="0"/>
        </w:rPr>
      </w:r>
    </w:p>
    <w:p w:rsidR="00000000" w:rsidDel="00000000" w:rsidP="00000000" w:rsidRDefault="00000000" w:rsidRPr="00000000" w14:paraId="0000000D">
      <w:pPr>
        <w:rPr>
          <w:color w:val="0e101a"/>
          <w:sz w:val="24"/>
          <w:szCs w:val="24"/>
          <w:highlight w:val="white"/>
        </w:rPr>
      </w:pPr>
      <w:r w:rsidDel="00000000" w:rsidR="00000000" w:rsidRPr="00000000">
        <w:rPr>
          <w:color w:val="0e101a"/>
          <w:sz w:val="24"/>
          <w:szCs w:val="24"/>
          <w:highlight w:val="white"/>
          <w:rtl w:val="0"/>
        </w:rPr>
        <w:t xml:space="preserve">3. consider how CS as a naturalistic and interactive phenomenon in casual speech is used to project speakers' identity and their affiliation to their community."</w:t>
      </w:r>
    </w:p>
    <w:p w:rsidR="00000000" w:rsidDel="00000000" w:rsidP="00000000" w:rsidRDefault="00000000" w:rsidRPr="00000000" w14:paraId="0000000E">
      <w:pPr>
        <w:rPr>
          <w:color w:val="0e101a"/>
          <w:sz w:val="24"/>
          <w:szCs w:val="24"/>
          <w:highlight w:val="white"/>
        </w:rPr>
      </w:pPr>
      <w:r w:rsidDel="00000000" w:rsidR="00000000" w:rsidRPr="00000000">
        <w:rPr>
          <w:rtl w:val="0"/>
        </w:rPr>
      </w:r>
    </w:p>
    <w:p w:rsidR="00000000" w:rsidDel="00000000" w:rsidP="00000000" w:rsidRDefault="00000000" w:rsidRPr="00000000" w14:paraId="0000000F">
      <w:pPr>
        <w:rPr>
          <w:color w:val="0e101a"/>
          <w:sz w:val="24"/>
          <w:szCs w:val="24"/>
          <w:highlight w:val="white"/>
        </w:rPr>
      </w:pPr>
      <w:r w:rsidDel="00000000" w:rsidR="00000000" w:rsidRPr="00000000">
        <w:rPr>
          <w:color w:val="0e101a"/>
          <w:sz w:val="24"/>
          <w:szCs w:val="24"/>
          <w:highlight w:val="white"/>
          <w:rtl w:val="0"/>
        </w:rPr>
        <w:t xml:space="preserve">Dr Sophocleous introduces us to the topic area by providing background information highlighting various foreign invaders that have historically impacted the formation of the current Cypriot variety and how people speak today. As stated, two primary language varieties are used in Cyprus: SMG and GCD. GCD is seen as more informal and is the more widely spoken variety used in casual conversation between family and friends in day-to-day conversation, "is not codified and its use is normally limited to oral communication among family and friends" (Sophocleous, 2011), it is the first variety that people are exposed to. Conversely, SMG, the official language of Cyprus, is seen as more formal and is the variety used in formal settings and ceremonies; its the variety used in media, churches and business meetings, and it is the standardised language that is taught at schools. Dr Sophocleous highlights that the varieties differ in "phonology, morphology, lexis and syntax" (Sophocleous, 2011), with GCD being influenced by former occupiers' languages and provides evidence in the appendix (Note 1). Although, there are historical linguistic roots between SMG and GCD through Ancient Greek, they share similar properties in regards to their grammar, pronunciation and lexicon, but code-switching and style shifting between SMG and GCD accentuate how they differ linguistically. The reason why speakers switch usually depends on the interaction they are engaged in, such as "setting, topic of discussion, speakers' relationship, power, education and age". The researcher states that there is not a clear distinction between the "linguistic landscape", and it is not clearly diaglossic as apart from SMG (high) and GCD (low), there are other levels of GCD between them. It is also important to note the definitions of the type of shifts discussed in the research before we discuss the research and methodologies. Dr Sophocleous states that whilst switching can take place between SMG and GCD (code-switching), shifting between styles within GCD is possible (style shifting) and that these terms (code-switching, style-shifting) will be referred to in discourse as such. She highlights that this includes style switching within GCD from acrolectal (closer to SMG) to mesolectal (features of SMG and GCD) or basilectal (Coarse GCD).</w:t>
      </w:r>
    </w:p>
    <w:p w:rsidR="00000000" w:rsidDel="00000000" w:rsidP="00000000" w:rsidRDefault="00000000" w:rsidRPr="00000000" w14:paraId="00000010">
      <w:pPr>
        <w:rPr>
          <w:color w:val="0e101a"/>
          <w:sz w:val="24"/>
          <w:szCs w:val="24"/>
          <w:highlight w:val="white"/>
        </w:rPr>
      </w:pPr>
      <w:r w:rsidDel="00000000" w:rsidR="00000000" w:rsidRPr="00000000">
        <w:rPr>
          <w:rtl w:val="0"/>
        </w:rPr>
      </w:r>
    </w:p>
    <w:p w:rsidR="00000000" w:rsidDel="00000000" w:rsidP="00000000" w:rsidRDefault="00000000" w:rsidRPr="00000000" w14:paraId="00000011">
      <w:pPr>
        <w:rPr>
          <w:color w:val="0e101a"/>
          <w:sz w:val="24"/>
          <w:szCs w:val="24"/>
          <w:highlight w:val="white"/>
        </w:rPr>
      </w:pPr>
      <w:r w:rsidDel="00000000" w:rsidR="00000000" w:rsidRPr="00000000">
        <w:rPr>
          <w:rtl w:val="0"/>
        </w:rPr>
      </w:r>
    </w:p>
    <w:p w:rsidR="00000000" w:rsidDel="00000000" w:rsidP="00000000" w:rsidRDefault="00000000" w:rsidRPr="00000000" w14:paraId="00000012">
      <w:pPr>
        <w:rPr>
          <w:color w:val="0e101a"/>
          <w:sz w:val="24"/>
          <w:szCs w:val="24"/>
          <w:highlight w:val="white"/>
        </w:rPr>
      </w:pPr>
      <w:r w:rsidDel="00000000" w:rsidR="00000000" w:rsidRPr="00000000">
        <w:rPr>
          <w:color w:val="0e101a"/>
          <w:sz w:val="24"/>
          <w:szCs w:val="24"/>
          <w:highlight w:val="white"/>
          <w:rtl w:val="0"/>
        </w:rPr>
        <w:t xml:space="preserve">The study was conducted over six months between (January– June 2010) and the researcher implemented several measures to reduce bias and/or corruption of data from outside sources. The research was conducted in several settings, with different participants, to "allow for the investigation of CS in different contexts (settings) of Greek-Cypriot society and among different speakers involved in dissimilar interactions where diverse social parameters are at play. This rationale justifies the examination of CS among different speakers in different social contexts." (Sophocleous, 2011).</w:t>
      </w:r>
    </w:p>
    <w:p w:rsidR="00000000" w:rsidDel="00000000" w:rsidP="00000000" w:rsidRDefault="00000000" w:rsidRPr="00000000" w14:paraId="00000013">
      <w:pPr>
        <w:rPr>
          <w:color w:val="0e101a"/>
          <w:sz w:val="24"/>
          <w:szCs w:val="24"/>
          <w:highlight w:val="white"/>
        </w:rPr>
      </w:pPr>
      <w:r w:rsidDel="00000000" w:rsidR="00000000" w:rsidRPr="00000000">
        <w:rPr>
          <w:rtl w:val="0"/>
        </w:rPr>
      </w:r>
    </w:p>
    <w:p w:rsidR="00000000" w:rsidDel="00000000" w:rsidP="00000000" w:rsidRDefault="00000000" w:rsidRPr="00000000" w14:paraId="00000014">
      <w:pPr>
        <w:rPr>
          <w:color w:val="0e101a"/>
          <w:sz w:val="24"/>
          <w:szCs w:val="24"/>
          <w:highlight w:val="white"/>
        </w:rPr>
      </w:pPr>
      <w:r w:rsidDel="00000000" w:rsidR="00000000" w:rsidRPr="00000000">
        <w:rPr>
          <w:color w:val="0e101a"/>
          <w:sz w:val="24"/>
          <w:szCs w:val="24"/>
          <w:highlight w:val="white"/>
          <w:rtl w:val="0"/>
        </w:rPr>
        <w:t xml:space="preserve">The investigation was set in both formal and informal settings as "setting was one of the social parameters for investigating intra-speaker CS". The excerpts provided show conversations that took place in a kindergarten and university (formal), car wash and pet shop (informal), and the "semi-formal" setting of a make-up institute, defined as such as a higher degree of formality is not as apparent as can be seen in a university or kindergarten.</w:t>
      </w:r>
    </w:p>
    <w:p w:rsidR="00000000" w:rsidDel="00000000" w:rsidP="00000000" w:rsidRDefault="00000000" w:rsidRPr="00000000" w14:paraId="00000015">
      <w:pPr>
        <w:rPr>
          <w:color w:val="0e101a"/>
          <w:sz w:val="24"/>
          <w:szCs w:val="24"/>
          <w:highlight w:val="white"/>
        </w:rPr>
      </w:pPr>
      <w:r w:rsidDel="00000000" w:rsidR="00000000" w:rsidRPr="00000000">
        <w:rPr>
          <w:rtl w:val="0"/>
        </w:rPr>
      </w:r>
    </w:p>
    <w:p w:rsidR="00000000" w:rsidDel="00000000" w:rsidP="00000000" w:rsidRDefault="00000000" w:rsidRPr="00000000" w14:paraId="00000016">
      <w:pPr>
        <w:rPr>
          <w:color w:val="0e101a"/>
          <w:sz w:val="24"/>
          <w:szCs w:val="24"/>
          <w:highlight w:val="white"/>
        </w:rPr>
      </w:pPr>
      <w:r w:rsidDel="00000000" w:rsidR="00000000" w:rsidRPr="00000000">
        <w:rPr>
          <w:color w:val="0e101a"/>
          <w:sz w:val="24"/>
          <w:szCs w:val="24"/>
          <w:highlight w:val="white"/>
          <w:rtl w:val="0"/>
        </w:rPr>
        <w:t xml:space="preserve">The participant (PP) sample consisted of 30 people (17 females and 13 males) who had different relationships with each other this was important because the researcher wanted to investigate codeswitching "between the two varieties is used as a strategy to reconstruct one's identity and membership affiliation" and "for examining participants with different social relations in the same interaction (e.g. a mother, her daughter and a mother's friend, see excerpt 5) is to be able to study how a change in addressee influences CS" one of the key aims of the study.</w:t>
      </w:r>
    </w:p>
    <w:p w:rsidR="00000000" w:rsidDel="00000000" w:rsidP="00000000" w:rsidRDefault="00000000" w:rsidRPr="00000000" w14:paraId="00000017">
      <w:pPr>
        <w:rPr>
          <w:color w:val="0e101a"/>
          <w:sz w:val="24"/>
          <w:szCs w:val="24"/>
          <w:highlight w:val="white"/>
        </w:rPr>
      </w:pPr>
      <w:r w:rsidDel="00000000" w:rsidR="00000000" w:rsidRPr="00000000">
        <w:rPr>
          <w:rtl w:val="0"/>
        </w:rPr>
      </w:r>
    </w:p>
    <w:p w:rsidR="00000000" w:rsidDel="00000000" w:rsidP="00000000" w:rsidRDefault="00000000" w:rsidRPr="00000000" w14:paraId="00000018">
      <w:pPr>
        <w:rPr>
          <w:color w:val="0e101a"/>
          <w:sz w:val="24"/>
          <w:szCs w:val="24"/>
          <w:highlight w:val="white"/>
        </w:rPr>
      </w:pPr>
      <w:r w:rsidDel="00000000" w:rsidR="00000000" w:rsidRPr="00000000">
        <w:rPr>
          <w:color w:val="0e101a"/>
          <w:sz w:val="24"/>
          <w:szCs w:val="24"/>
          <w:highlight w:val="white"/>
          <w:rtl w:val="0"/>
        </w:rPr>
        <w:t xml:space="preserve">Dr Sophocleous although present in all face-to-face interactions as either an acquaintance, bystander or friend of the PPs, did not directly take part in the dialogue in order to minimise any effect on the language used due to her presence; this is important to limit any systematic errors in the research as (Pannucci &amp; Wilkins, 2010) highlights "systematic error [is] introduced into sampling or testing by selecting or encouraging one outcome or answer over others". Although not directly involved in dialogue, it could be argued that the researcher's relationship with some PPs and/or presence could lead to participant bias (Fowler, 2009) when PPs change how they act to serve the researcher's goals or simply because the researcher is present. </w:t>
      </w:r>
    </w:p>
    <w:p w:rsidR="00000000" w:rsidDel="00000000" w:rsidP="00000000" w:rsidRDefault="00000000" w:rsidRPr="00000000" w14:paraId="00000019">
      <w:pPr>
        <w:rPr>
          <w:color w:val="0e101a"/>
          <w:sz w:val="24"/>
          <w:szCs w:val="24"/>
          <w:highlight w:val="white"/>
        </w:rPr>
      </w:pPr>
      <w:r w:rsidDel="00000000" w:rsidR="00000000" w:rsidRPr="00000000">
        <w:rPr>
          <w:rtl w:val="0"/>
        </w:rPr>
      </w:r>
    </w:p>
    <w:p w:rsidR="00000000" w:rsidDel="00000000" w:rsidP="00000000" w:rsidRDefault="00000000" w:rsidRPr="00000000" w14:paraId="0000001A">
      <w:pPr>
        <w:rPr>
          <w:color w:val="0e101a"/>
          <w:sz w:val="24"/>
          <w:szCs w:val="24"/>
          <w:highlight w:val="white"/>
        </w:rPr>
      </w:pPr>
      <w:r w:rsidDel="00000000" w:rsidR="00000000" w:rsidRPr="00000000">
        <w:rPr>
          <w:color w:val="0e101a"/>
          <w:sz w:val="24"/>
          <w:szCs w:val="24"/>
          <w:highlight w:val="white"/>
          <w:rtl w:val="0"/>
        </w:rPr>
        <w:t xml:space="preserve">The PPs used in the study were aged between five and thirty-seven and were all based in the area of Lefkosia/Nicosia, the capital of Cyprus. Seven of the sample PPs were children, and 23 were adults of different educational backgrounds. The children were all five years old and consisted of three boys and four girls. The adult sample consisted of 16 current or formerly educated university students, of whom ten were female, and six were male. The remainder of the sample (three females and four males) were educated up to secondary level. The selected sample of PPs have a wide range of educational backgrounds; they also belong to different age groups, which allows us to analyse switching from a variety of sociolinguistic backgrounds and ensures the research is not constricted to a specific group; it aims to be representative of the whole population. However, the research was conducted solely in the capital of Cyprus, the author of the research argues that the rationale for this was that "CS or style variation among speakers who come from other parts of the island was not examined to minimise the effect of possible regional differences in their language use", therefore it could be argued the research is not truly representative of other Greek Cypriots.</w:t>
      </w:r>
    </w:p>
    <w:p w:rsidR="00000000" w:rsidDel="00000000" w:rsidP="00000000" w:rsidRDefault="00000000" w:rsidRPr="00000000" w14:paraId="0000001B">
      <w:pPr>
        <w:rPr>
          <w:color w:val="0e101a"/>
          <w:sz w:val="24"/>
          <w:szCs w:val="24"/>
          <w:highlight w:val="white"/>
        </w:rPr>
      </w:pPr>
      <w:r w:rsidDel="00000000" w:rsidR="00000000" w:rsidRPr="00000000">
        <w:rPr>
          <w:rtl w:val="0"/>
        </w:rPr>
      </w:r>
    </w:p>
    <w:p w:rsidR="00000000" w:rsidDel="00000000" w:rsidP="00000000" w:rsidRDefault="00000000" w:rsidRPr="00000000" w14:paraId="0000001C">
      <w:pPr>
        <w:rPr>
          <w:color w:val="0e101a"/>
          <w:sz w:val="24"/>
          <w:szCs w:val="24"/>
          <w:highlight w:val="white"/>
        </w:rPr>
      </w:pPr>
      <w:r w:rsidDel="00000000" w:rsidR="00000000" w:rsidRPr="00000000">
        <w:rPr>
          <w:color w:val="0e101a"/>
          <w:sz w:val="24"/>
          <w:szCs w:val="24"/>
          <w:highlight w:val="white"/>
          <w:rtl w:val="0"/>
        </w:rPr>
        <w:t xml:space="preserve">The five exerts of data presented in the report come from a sample of twenty-five conversations that were voice-recorded and demonstrated style switching within GCD and switching between SMG and GCD. The rationale for selecting these particular excerpts was "These were (1) the participants: cases of CS considered below resulted from different participants; (2) their relationships: participants with different social relations are presented to be able to examine how one (re)constructs his/her group membership during interaction; and (3) the settings of the interactions: CS is examined in both formal and informal social environments where institutional power or solidarity might play a role in speakers' linguistic choices". Although the data selected is relevant to the aims of the study, it could be speculated as to why the researcher chose only those five particular pieces of data to discuss; it is possible that it was purposive sampling (Thomas, 2017) "which involves simply the pursuit of the kind of person in whom the researcher is interested" and "professes no representativeness" but this is not certain and speculative and the particular excerpts may have been selected at random (the sample selection method was not explained clearly).</w:t>
      </w:r>
    </w:p>
    <w:p w:rsidR="00000000" w:rsidDel="00000000" w:rsidP="00000000" w:rsidRDefault="00000000" w:rsidRPr="00000000" w14:paraId="0000001D">
      <w:pPr>
        <w:rPr>
          <w:color w:val="0e101a"/>
          <w:sz w:val="24"/>
          <w:szCs w:val="24"/>
          <w:highlight w:val="white"/>
        </w:rPr>
      </w:pPr>
      <w:r w:rsidDel="00000000" w:rsidR="00000000" w:rsidRPr="00000000">
        <w:rPr>
          <w:rtl w:val="0"/>
        </w:rPr>
      </w:r>
    </w:p>
    <w:p w:rsidR="00000000" w:rsidDel="00000000" w:rsidP="00000000" w:rsidRDefault="00000000" w:rsidRPr="00000000" w14:paraId="0000001E">
      <w:pPr>
        <w:rPr>
          <w:color w:val="0e101a"/>
          <w:sz w:val="24"/>
          <w:szCs w:val="24"/>
          <w:highlight w:val="white"/>
        </w:rPr>
      </w:pPr>
      <w:r w:rsidDel="00000000" w:rsidR="00000000" w:rsidRPr="00000000">
        <w:rPr>
          <w:color w:val="0e101a"/>
          <w:sz w:val="24"/>
          <w:szCs w:val="24"/>
          <w:highlight w:val="white"/>
          <w:rtl w:val="0"/>
        </w:rPr>
        <w:t xml:space="preserve">Qualitative methods were used to collect the data used in this research. This included using bystander observations for visual analysis and note-taking and voice recordings for semantic analysis. In order to minimise the influence of the voice recorder, PPs were recorded regularly two months prior to the research being conducted to become accustomed to its presence, and these recordings were disregarded during data analysis. </w:t>
      </w:r>
    </w:p>
    <w:p w:rsidR="00000000" w:rsidDel="00000000" w:rsidP="00000000" w:rsidRDefault="00000000" w:rsidRPr="00000000" w14:paraId="0000001F">
      <w:pPr>
        <w:rPr>
          <w:color w:val="0e101a"/>
          <w:sz w:val="24"/>
          <w:szCs w:val="24"/>
          <w:highlight w:val="white"/>
        </w:rPr>
      </w:pPr>
      <w:r w:rsidDel="00000000" w:rsidR="00000000" w:rsidRPr="00000000">
        <w:rPr>
          <w:rtl w:val="0"/>
        </w:rPr>
      </w:r>
    </w:p>
    <w:p w:rsidR="00000000" w:rsidDel="00000000" w:rsidP="00000000" w:rsidRDefault="00000000" w:rsidRPr="00000000" w14:paraId="00000020">
      <w:pPr>
        <w:rPr>
          <w:color w:val="0e101a"/>
          <w:sz w:val="24"/>
          <w:szCs w:val="24"/>
          <w:highlight w:val="white"/>
        </w:rPr>
      </w:pPr>
      <w:r w:rsidDel="00000000" w:rsidR="00000000" w:rsidRPr="00000000">
        <w:rPr>
          <w:color w:val="0e101a"/>
          <w:sz w:val="24"/>
          <w:szCs w:val="24"/>
          <w:highlight w:val="white"/>
          <w:rtl w:val="0"/>
        </w:rPr>
        <w:t xml:space="preserve">Where it is evident in the methods used, the researcher has tried to limit any negative impacts on the research, there are limitations, and there is a possibility for bias. In addition, one consideration is that the researcher is assessing face-to-face interactions only and whilst being present also, it could be argued that if the researcher was not present, the results might be more authentic. The researcher could also perform codeswitching and style-switching research in a digital setting, for example, through emails, social media interactions, etc. This can be seen in (Darginavičienė &amp; Ignotaitė, 2020), where codeswitching is researched in computer-mediated communication.</w:t>
      </w:r>
    </w:p>
    <w:p w:rsidR="00000000" w:rsidDel="00000000" w:rsidP="00000000" w:rsidRDefault="00000000" w:rsidRPr="00000000" w14:paraId="00000021">
      <w:pPr>
        <w:rPr>
          <w:color w:val="0e101a"/>
          <w:sz w:val="24"/>
          <w:szCs w:val="24"/>
          <w:highlight w:val="white"/>
        </w:rPr>
      </w:pPr>
      <w:r w:rsidDel="00000000" w:rsidR="00000000" w:rsidRPr="00000000">
        <w:rPr>
          <w:rtl w:val="0"/>
        </w:rPr>
      </w:r>
    </w:p>
    <w:p w:rsidR="00000000" w:rsidDel="00000000" w:rsidP="00000000" w:rsidRDefault="00000000" w:rsidRPr="00000000" w14:paraId="00000022">
      <w:pPr>
        <w:rPr>
          <w:color w:val="0e101a"/>
          <w:sz w:val="24"/>
          <w:szCs w:val="24"/>
          <w:highlight w:val="white"/>
        </w:rPr>
      </w:pPr>
      <w:r w:rsidDel="00000000" w:rsidR="00000000" w:rsidRPr="00000000">
        <w:rPr>
          <w:color w:val="0e101a"/>
          <w:sz w:val="24"/>
          <w:szCs w:val="24"/>
          <w:highlight w:val="white"/>
          <w:rtl w:val="0"/>
        </w:rPr>
        <w:t xml:space="preserve">As previously highlighted, the research conducted by Dr Sophocleous (Sophocleous, 2011) aimed to prove three hypotheses. Regarding the first aim, "investigate how identity is constructed and reconstructed discursively by examining CS into and out of SMG, GCD and style shifting between the various registers of GCD", it was found that GCD is used when "formality and relationship issues are not salient". Excerpt 4 demonstrates that styles of GCD, both formal and informal, are used for different purposes; in this case, interactions between a lecturer and her students were conducted using SMG to demonstrate authority, whereas GCD was used to engage a fellow colleague. Excerpt 1 highlights how SMG is used when conversing with strangers as a form of politeness. Dr Sophocleous (Sophocleous, 2011) argues that "These findings support the view that the exploration of CS from a sociolinguistic perspective can be informative about language on a number of different levels". Socially there is a link between linguistic and social factors that contribute to codeswitching "how language is comprehended and produced by speakers, the associations of each variety with specific settings or contexts of life, social networks and linguistic ideologies." on an individual level as seen in Excerpt 4 CS can be used to demonstrate "power relations between speakers and how they perceive themselves in relation to others". (Papapavlou &amp; Mavromati, 2017) Highlights that GCD is not as revered as SMG and is diminished in comparison. (Sophocleous, 2011) states that "This rationale justifies the use of SMG in interactions with strangers (excerpt 1), when reprimanding students in a class (excerpts 3 and 4) or when expressing outgroup membership (excerpts 2 and 5). Therefore the possible justifications for CS presented in the analysis of the above excerpts complement the findings observed in studies investigating language attitudes towards SMG and GCD and speakers' self-categorisation". It is highlighted that the research shows shifts in GCD are used to express emotions, as seen in excerpt 1 when informal GCD is used to express anger; likewise, in excerpt 3, it is used for enthusiasm and for humour in excerpt 4.</w:t>
      </w:r>
    </w:p>
    <w:p w:rsidR="00000000" w:rsidDel="00000000" w:rsidP="00000000" w:rsidRDefault="00000000" w:rsidRPr="00000000" w14:paraId="00000023">
      <w:pPr>
        <w:rPr>
          <w:color w:val="0e101a"/>
          <w:sz w:val="24"/>
          <w:szCs w:val="24"/>
          <w:highlight w:val="white"/>
        </w:rPr>
      </w:pPr>
      <w:r w:rsidDel="00000000" w:rsidR="00000000" w:rsidRPr="00000000">
        <w:rPr>
          <w:rtl w:val="0"/>
        </w:rPr>
      </w:r>
    </w:p>
    <w:p w:rsidR="00000000" w:rsidDel="00000000" w:rsidP="00000000" w:rsidRDefault="00000000" w:rsidRPr="00000000" w14:paraId="00000024">
      <w:pPr>
        <w:rPr>
          <w:color w:val="0e101a"/>
          <w:sz w:val="24"/>
          <w:szCs w:val="24"/>
          <w:highlight w:val="white"/>
        </w:rPr>
      </w:pPr>
      <w:r w:rsidDel="00000000" w:rsidR="00000000" w:rsidRPr="00000000">
        <w:rPr>
          <w:color w:val="0e101a"/>
          <w:sz w:val="24"/>
          <w:szCs w:val="24"/>
          <w:highlight w:val="white"/>
          <w:rtl w:val="0"/>
        </w:rPr>
        <w:t xml:space="preserve">Regarding aims 2 and 3, the author highlights the importance of the audience stating, "different social parameters are at play in each interaction; hence a speaker's projection of self, attitude to addressee and community/peer affiliation differs from one speech situation to the next (e.g. consider the context of the classroom or standing outside in the corridor – excerpt 4). Similarly, other functional units in the interaction, such as a speech event (talking about tattoos in class, excerpt 3), or a speech act (Marios's declaration of getting a tattoo – turn 04), are in constant rivalry regarding degree of salience." claiming the findings complement "complement pre-existing studies conducted in Cyprus".</w:t>
      </w:r>
    </w:p>
    <w:p w:rsidR="00000000" w:rsidDel="00000000" w:rsidP="00000000" w:rsidRDefault="00000000" w:rsidRPr="00000000" w14:paraId="00000025">
      <w:pPr>
        <w:rPr>
          <w:color w:val="0e101a"/>
          <w:sz w:val="24"/>
          <w:szCs w:val="24"/>
          <w:highlight w:val="white"/>
        </w:rPr>
      </w:pPr>
      <w:r w:rsidDel="00000000" w:rsidR="00000000" w:rsidRPr="00000000">
        <w:rPr>
          <w:rtl w:val="0"/>
        </w:rPr>
      </w:r>
    </w:p>
    <w:p w:rsidR="00000000" w:rsidDel="00000000" w:rsidP="00000000" w:rsidRDefault="00000000" w:rsidRPr="00000000" w14:paraId="00000026">
      <w:pPr>
        <w:rPr>
          <w:color w:val="0e101a"/>
          <w:sz w:val="24"/>
          <w:szCs w:val="24"/>
          <w:highlight w:val="white"/>
        </w:rPr>
      </w:pPr>
      <w:r w:rsidDel="00000000" w:rsidR="00000000" w:rsidRPr="00000000">
        <w:rPr>
          <w:color w:val="0e101a"/>
          <w:sz w:val="24"/>
          <w:szCs w:val="24"/>
          <w:highlight w:val="white"/>
          <w:rtl w:val="0"/>
        </w:rPr>
        <w:t xml:space="preserve">In conclusion, the research conducted supports the aims of the hypotheses; however, further research is needed, and there is relevant evidence to support some theoretical claims made; however, more extensive research is needed in parts. Codeswitching and Styleswitiching are important in an individual's representation of their identity, and they are used in a range of ways depending on the context to convey individualism, power dynamics and formality. The researcher has used several strategies in order to ensure authenticity in their research; however, it has been highlighted that there are some limitations and questions of potential bias. The research provides relevant research to the area of codeswitching and style switching, but it is proposed that methodological changes and further research into cs in different settings could strengthen the research.</w:t>
      </w:r>
    </w:p>
    <w:p w:rsidR="00000000" w:rsidDel="00000000" w:rsidP="00000000" w:rsidRDefault="00000000" w:rsidRPr="00000000" w14:paraId="00000027">
      <w:pPr>
        <w:rPr>
          <w:sz w:val="24"/>
          <w:szCs w:val="24"/>
          <w:highlight w:val="white"/>
        </w:rPr>
      </w:pPr>
      <w:r w:rsidDel="00000000" w:rsidR="00000000" w:rsidRPr="00000000">
        <w:rPr>
          <w:rtl w:val="0"/>
        </w:rPr>
      </w:r>
    </w:p>
    <w:p w:rsidR="00000000" w:rsidDel="00000000" w:rsidP="00000000" w:rsidRDefault="00000000" w:rsidRPr="00000000" w14:paraId="00000028">
      <w:pPr>
        <w:rPr>
          <w:sz w:val="24"/>
          <w:szCs w:val="24"/>
          <w:highlight w:val="white"/>
        </w:rPr>
      </w:pPr>
      <w:r w:rsidDel="00000000" w:rsidR="00000000" w:rsidRPr="00000000">
        <w:rPr>
          <w:rtl w:val="0"/>
        </w:rPr>
      </w:r>
    </w:p>
    <w:p w:rsidR="00000000" w:rsidDel="00000000" w:rsidP="00000000" w:rsidRDefault="00000000" w:rsidRPr="00000000" w14:paraId="00000029">
      <w:pPr>
        <w:rPr>
          <w:sz w:val="24"/>
          <w:szCs w:val="24"/>
          <w:highlight w:val="white"/>
        </w:rPr>
      </w:pPr>
      <w:r w:rsidDel="00000000" w:rsidR="00000000" w:rsidRPr="00000000">
        <w:rPr>
          <w:rtl w:val="0"/>
        </w:rPr>
      </w:r>
    </w:p>
    <w:p w:rsidR="00000000" w:rsidDel="00000000" w:rsidP="00000000" w:rsidRDefault="00000000" w:rsidRPr="00000000" w14:paraId="0000002A">
      <w:pPr>
        <w:rPr>
          <w:sz w:val="24"/>
          <w:szCs w:val="24"/>
          <w:highlight w:val="white"/>
        </w:rPr>
      </w:pPr>
      <w:r w:rsidDel="00000000" w:rsidR="00000000" w:rsidRPr="00000000">
        <w:rPr>
          <w:rtl w:val="0"/>
        </w:rPr>
      </w:r>
    </w:p>
    <w:p w:rsidR="00000000" w:rsidDel="00000000" w:rsidP="00000000" w:rsidRDefault="00000000" w:rsidRPr="00000000" w14:paraId="0000002B">
      <w:pPr>
        <w:rPr>
          <w:sz w:val="24"/>
          <w:szCs w:val="24"/>
          <w:highlight w:val="white"/>
        </w:rPr>
      </w:pPr>
      <w:r w:rsidDel="00000000" w:rsidR="00000000" w:rsidRPr="00000000">
        <w:rPr>
          <w:rtl w:val="0"/>
        </w:rPr>
      </w:r>
    </w:p>
    <w:p w:rsidR="00000000" w:rsidDel="00000000" w:rsidP="00000000" w:rsidRDefault="00000000" w:rsidRPr="00000000" w14:paraId="0000002C">
      <w:pPr>
        <w:rPr>
          <w:sz w:val="24"/>
          <w:szCs w:val="24"/>
          <w:highlight w:val="white"/>
        </w:rPr>
      </w:pPr>
      <w:r w:rsidDel="00000000" w:rsidR="00000000" w:rsidRPr="00000000">
        <w:rPr>
          <w:rtl w:val="0"/>
        </w:rPr>
      </w:r>
    </w:p>
    <w:p w:rsidR="00000000" w:rsidDel="00000000" w:rsidP="00000000" w:rsidRDefault="00000000" w:rsidRPr="00000000" w14:paraId="0000002D">
      <w:pPr>
        <w:rPr>
          <w:sz w:val="24"/>
          <w:szCs w:val="24"/>
          <w:highlight w:val="white"/>
        </w:rPr>
      </w:pPr>
      <w:r w:rsidDel="00000000" w:rsidR="00000000" w:rsidRPr="00000000">
        <w:rPr>
          <w:rtl w:val="0"/>
        </w:rPr>
      </w:r>
    </w:p>
    <w:p w:rsidR="00000000" w:rsidDel="00000000" w:rsidP="00000000" w:rsidRDefault="00000000" w:rsidRPr="00000000" w14:paraId="0000002E">
      <w:pPr>
        <w:rPr>
          <w:sz w:val="24"/>
          <w:szCs w:val="24"/>
          <w:highlight w:val="white"/>
        </w:rPr>
      </w:pPr>
      <w:r w:rsidDel="00000000" w:rsidR="00000000" w:rsidRPr="00000000">
        <w:rPr>
          <w:rtl w:val="0"/>
        </w:rPr>
      </w:r>
    </w:p>
    <w:p w:rsidR="00000000" w:rsidDel="00000000" w:rsidP="00000000" w:rsidRDefault="00000000" w:rsidRPr="00000000" w14:paraId="0000002F">
      <w:pPr>
        <w:rPr>
          <w:sz w:val="24"/>
          <w:szCs w:val="24"/>
          <w:highlight w:val="white"/>
        </w:rPr>
      </w:pPr>
      <w:r w:rsidDel="00000000" w:rsidR="00000000" w:rsidRPr="00000000">
        <w:rPr>
          <w:rtl w:val="0"/>
        </w:rPr>
      </w:r>
    </w:p>
    <w:p w:rsidR="00000000" w:rsidDel="00000000" w:rsidP="00000000" w:rsidRDefault="00000000" w:rsidRPr="00000000" w14:paraId="00000030">
      <w:pPr>
        <w:rPr>
          <w:sz w:val="24"/>
          <w:szCs w:val="24"/>
          <w:highlight w:val="white"/>
        </w:rPr>
      </w:pPr>
      <w:r w:rsidDel="00000000" w:rsidR="00000000" w:rsidRPr="00000000">
        <w:rPr>
          <w:rtl w:val="0"/>
        </w:rPr>
      </w:r>
    </w:p>
    <w:p w:rsidR="00000000" w:rsidDel="00000000" w:rsidP="00000000" w:rsidRDefault="00000000" w:rsidRPr="00000000" w14:paraId="00000031">
      <w:pPr>
        <w:rPr>
          <w:sz w:val="24"/>
          <w:szCs w:val="24"/>
          <w:highlight w:val="white"/>
        </w:rPr>
      </w:pPr>
      <w:r w:rsidDel="00000000" w:rsidR="00000000" w:rsidRPr="00000000">
        <w:rPr>
          <w:rtl w:val="0"/>
        </w:rPr>
      </w:r>
    </w:p>
    <w:p w:rsidR="00000000" w:rsidDel="00000000" w:rsidP="00000000" w:rsidRDefault="00000000" w:rsidRPr="00000000" w14:paraId="00000032">
      <w:pPr>
        <w:rPr>
          <w:sz w:val="24"/>
          <w:szCs w:val="24"/>
          <w:highlight w:val="white"/>
        </w:rPr>
      </w:pPr>
      <w:r w:rsidDel="00000000" w:rsidR="00000000" w:rsidRPr="00000000">
        <w:rPr>
          <w:rtl w:val="0"/>
        </w:rPr>
      </w:r>
    </w:p>
    <w:p w:rsidR="00000000" w:rsidDel="00000000" w:rsidP="00000000" w:rsidRDefault="00000000" w:rsidRPr="00000000" w14:paraId="00000033">
      <w:pPr>
        <w:rPr>
          <w:sz w:val="24"/>
          <w:szCs w:val="24"/>
          <w:highlight w:val="white"/>
        </w:rPr>
      </w:pPr>
      <w:r w:rsidDel="00000000" w:rsidR="00000000" w:rsidRPr="00000000">
        <w:rPr>
          <w:sz w:val="24"/>
          <w:szCs w:val="24"/>
          <w:highlight w:val="white"/>
          <w:rtl w:val="0"/>
        </w:rPr>
        <w:t xml:space="preserve">References</w:t>
      </w:r>
    </w:p>
    <w:p w:rsidR="00000000" w:rsidDel="00000000" w:rsidP="00000000" w:rsidRDefault="00000000" w:rsidRPr="00000000" w14:paraId="00000034">
      <w:pPr>
        <w:rPr>
          <w:sz w:val="24"/>
          <w:szCs w:val="24"/>
          <w:highlight w:val="white"/>
        </w:rPr>
      </w:pPr>
      <w:r w:rsidDel="00000000" w:rsidR="00000000" w:rsidRPr="00000000">
        <w:rPr>
          <w:rtl w:val="0"/>
        </w:rPr>
      </w:r>
    </w:p>
    <w:p w:rsidR="00000000" w:rsidDel="00000000" w:rsidP="00000000" w:rsidRDefault="00000000" w:rsidRPr="00000000" w14:paraId="00000035">
      <w:pPr>
        <w:spacing w:after="240" w:before="240" w:lineRule="auto"/>
        <w:ind w:left="560" w:firstLine="0"/>
        <w:rPr>
          <w:sz w:val="24"/>
          <w:szCs w:val="24"/>
          <w:highlight w:val="white"/>
        </w:rPr>
      </w:pPr>
      <w:r w:rsidDel="00000000" w:rsidR="00000000" w:rsidRPr="00000000">
        <w:rPr>
          <w:sz w:val="24"/>
          <w:szCs w:val="24"/>
          <w:highlight w:val="white"/>
          <w:rtl w:val="0"/>
        </w:rPr>
        <w:t xml:space="preserve">Darginavičienė, I. and Ignotaitė, I. (2020) “Code-switching in the computer-mediated communication,” </w:t>
      </w:r>
      <w:r w:rsidDel="00000000" w:rsidR="00000000" w:rsidRPr="00000000">
        <w:rPr>
          <w:i w:val="1"/>
          <w:sz w:val="24"/>
          <w:szCs w:val="24"/>
          <w:highlight w:val="white"/>
          <w:rtl w:val="0"/>
        </w:rPr>
        <w:t xml:space="preserve">RUDN Journal of Sociology</w:t>
      </w:r>
      <w:r w:rsidDel="00000000" w:rsidR="00000000" w:rsidRPr="00000000">
        <w:rPr>
          <w:sz w:val="24"/>
          <w:szCs w:val="24"/>
          <w:highlight w:val="white"/>
          <w:rtl w:val="0"/>
        </w:rPr>
        <w:t xml:space="preserve">, 20(2), pp. 405–415. Available at: https://doi.org/10.22363/2313-2272-2020-20-2-405-415. </w:t>
      </w:r>
    </w:p>
    <w:p w:rsidR="00000000" w:rsidDel="00000000" w:rsidP="00000000" w:rsidRDefault="00000000" w:rsidRPr="00000000" w14:paraId="00000036">
      <w:pPr>
        <w:spacing w:after="240" w:before="240" w:lineRule="auto"/>
        <w:ind w:left="560" w:firstLine="0"/>
        <w:rPr>
          <w:sz w:val="24"/>
          <w:szCs w:val="24"/>
          <w:highlight w:val="white"/>
        </w:rPr>
      </w:pPr>
      <w:r w:rsidDel="00000000" w:rsidR="00000000" w:rsidRPr="00000000">
        <w:rPr>
          <w:sz w:val="24"/>
          <w:szCs w:val="24"/>
          <w:highlight w:val="white"/>
          <w:rtl w:val="0"/>
        </w:rPr>
        <w:t xml:space="preserve">Fowler, F. (2009) “Survey research methods (4th ed.).” Available at: https://doi.org/10.4135/9781452230184. </w:t>
      </w:r>
    </w:p>
    <w:p w:rsidR="00000000" w:rsidDel="00000000" w:rsidP="00000000" w:rsidRDefault="00000000" w:rsidRPr="00000000" w14:paraId="00000037">
      <w:pPr>
        <w:spacing w:after="240" w:before="240" w:lineRule="auto"/>
        <w:ind w:left="560" w:firstLine="0"/>
        <w:rPr>
          <w:sz w:val="24"/>
          <w:szCs w:val="24"/>
          <w:highlight w:val="white"/>
        </w:rPr>
      </w:pPr>
      <w:r w:rsidDel="00000000" w:rsidR="00000000" w:rsidRPr="00000000">
        <w:rPr>
          <w:sz w:val="24"/>
          <w:szCs w:val="24"/>
          <w:highlight w:val="white"/>
          <w:rtl w:val="0"/>
        </w:rPr>
        <w:t xml:space="preserve">Pannucci, C.J. and Wilkins, E.G. (2010) “Identifying and avoiding bias in research,” </w:t>
      </w:r>
      <w:r w:rsidDel="00000000" w:rsidR="00000000" w:rsidRPr="00000000">
        <w:rPr>
          <w:i w:val="1"/>
          <w:sz w:val="24"/>
          <w:szCs w:val="24"/>
          <w:highlight w:val="white"/>
          <w:rtl w:val="0"/>
        </w:rPr>
        <w:t xml:space="preserve">Plastic and Reconstructive Surgery</w:t>
      </w:r>
      <w:r w:rsidDel="00000000" w:rsidR="00000000" w:rsidRPr="00000000">
        <w:rPr>
          <w:sz w:val="24"/>
          <w:szCs w:val="24"/>
          <w:highlight w:val="white"/>
          <w:rtl w:val="0"/>
        </w:rPr>
        <w:t xml:space="preserve">, 126(2), pp. 619–625. Available at: https://doi.org/10.1097/prs.0b013e3181de24bc. </w:t>
      </w:r>
    </w:p>
    <w:p w:rsidR="00000000" w:rsidDel="00000000" w:rsidP="00000000" w:rsidRDefault="00000000" w:rsidRPr="00000000" w14:paraId="00000038">
      <w:pPr>
        <w:spacing w:after="240" w:before="240" w:lineRule="auto"/>
        <w:ind w:left="560" w:firstLine="0"/>
        <w:rPr>
          <w:sz w:val="24"/>
          <w:szCs w:val="24"/>
          <w:highlight w:val="white"/>
        </w:rPr>
      </w:pPr>
      <w:r w:rsidDel="00000000" w:rsidR="00000000" w:rsidRPr="00000000">
        <w:rPr>
          <w:sz w:val="24"/>
          <w:szCs w:val="24"/>
          <w:highlight w:val="white"/>
          <w:rtl w:val="0"/>
        </w:rPr>
        <w:t xml:space="preserve">Papapavlou, A. and Mavromati, A. (2017) “Bridging language attitudes with perceived language notions,” </w:t>
      </w:r>
      <w:r w:rsidDel="00000000" w:rsidR="00000000" w:rsidRPr="00000000">
        <w:rPr>
          <w:i w:val="1"/>
          <w:sz w:val="24"/>
          <w:szCs w:val="24"/>
          <w:highlight w:val="white"/>
          <w:rtl w:val="0"/>
        </w:rPr>
        <w:t xml:space="preserve">Open Journal of Modern Linguistics</w:t>
      </w:r>
      <w:r w:rsidDel="00000000" w:rsidR="00000000" w:rsidRPr="00000000">
        <w:rPr>
          <w:sz w:val="24"/>
          <w:szCs w:val="24"/>
          <w:highlight w:val="white"/>
          <w:rtl w:val="0"/>
        </w:rPr>
        <w:t xml:space="preserve">, 07(02), pp. 167–183. Available at: https://doi.org/10.4236/ojml.2017.72013. </w:t>
      </w:r>
    </w:p>
    <w:p w:rsidR="00000000" w:rsidDel="00000000" w:rsidP="00000000" w:rsidRDefault="00000000" w:rsidRPr="00000000" w14:paraId="00000039">
      <w:pPr>
        <w:spacing w:after="240" w:before="240" w:lineRule="auto"/>
        <w:ind w:left="560" w:firstLine="0"/>
        <w:rPr>
          <w:sz w:val="24"/>
          <w:szCs w:val="24"/>
          <w:highlight w:val="white"/>
        </w:rPr>
      </w:pPr>
      <w:r w:rsidDel="00000000" w:rsidR="00000000" w:rsidRPr="00000000">
        <w:rPr>
          <w:sz w:val="24"/>
          <w:szCs w:val="24"/>
          <w:highlight w:val="white"/>
          <w:rtl w:val="0"/>
        </w:rPr>
        <w:t xml:space="preserve">Sophocleous, A. (2011) “Switching code and changing social identities in face-to-face interaction,” </w:t>
      </w:r>
      <w:r w:rsidDel="00000000" w:rsidR="00000000" w:rsidRPr="00000000">
        <w:rPr>
          <w:i w:val="1"/>
          <w:sz w:val="24"/>
          <w:szCs w:val="24"/>
          <w:highlight w:val="white"/>
          <w:rtl w:val="0"/>
        </w:rPr>
        <w:t xml:space="preserve">Sociolinguistic Studies</w:t>
      </w:r>
      <w:r w:rsidDel="00000000" w:rsidR="00000000" w:rsidRPr="00000000">
        <w:rPr>
          <w:sz w:val="24"/>
          <w:szCs w:val="24"/>
          <w:highlight w:val="white"/>
          <w:rtl w:val="0"/>
        </w:rPr>
        <w:t xml:space="preserve">, 5(2), pp. 201–233. Available at: https://doi.org/10.1558/sols.v5i2.201. </w:t>
      </w:r>
    </w:p>
    <w:p w:rsidR="00000000" w:rsidDel="00000000" w:rsidP="00000000" w:rsidRDefault="00000000" w:rsidRPr="00000000" w14:paraId="0000003A">
      <w:pPr>
        <w:spacing w:after="240" w:before="240" w:lineRule="auto"/>
        <w:ind w:left="560" w:firstLine="0"/>
        <w:rPr>
          <w:sz w:val="24"/>
          <w:szCs w:val="24"/>
          <w:highlight w:val="white"/>
        </w:rPr>
      </w:pPr>
      <w:r w:rsidDel="00000000" w:rsidR="00000000" w:rsidRPr="00000000">
        <w:rPr>
          <w:sz w:val="24"/>
          <w:szCs w:val="24"/>
          <w:highlight w:val="white"/>
          <w:rtl w:val="0"/>
        </w:rPr>
        <w:t xml:space="preserve">Thomas, G. (2017) </w:t>
      </w:r>
      <w:r w:rsidDel="00000000" w:rsidR="00000000" w:rsidRPr="00000000">
        <w:rPr>
          <w:i w:val="1"/>
          <w:sz w:val="24"/>
          <w:szCs w:val="24"/>
          <w:highlight w:val="white"/>
          <w:rtl w:val="0"/>
        </w:rPr>
        <w:t xml:space="preserve">How to do your research project: A guide for students</w:t>
      </w:r>
      <w:r w:rsidDel="00000000" w:rsidR="00000000" w:rsidRPr="00000000">
        <w:rPr>
          <w:sz w:val="24"/>
          <w:szCs w:val="24"/>
          <w:highlight w:val="white"/>
          <w:rtl w:val="0"/>
        </w:rPr>
        <w:t xml:space="preserve">. London: SAGE. </w:t>
      </w:r>
    </w:p>
    <w:p w:rsidR="00000000" w:rsidDel="00000000" w:rsidP="00000000" w:rsidRDefault="00000000" w:rsidRPr="00000000" w14:paraId="0000003B">
      <w:pPr>
        <w:rPr>
          <w:sz w:val="24"/>
          <w:szCs w:val="24"/>
          <w:highlight w:val="white"/>
        </w:rPr>
      </w:pPr>
      <w:r w:rsidDel="00000000" w:rsidR="00000000" w:rsidRPr="00000000">
        <w:rPr>
          <w:rtl w:val="0"/>
        </w:rPr>
      </w:r>
    </w:p>
    <w:p w:rsidR="00000000" w:rsidDel="00000000" w:rsidP="00000000" w:rsidRDefault="00000000" w:rsidRPr="00000000" w14:paraId="0000003C">
      <w:pPr>
        <w:rPr>
          <w:sz w:val="24"/>
          <w:szCs w:val="24"/>
          <w:highlight w:val="white"/>
        </w:rPr>
      </w:pPr>
      <w:r w:rsidDel="00000000" w:rsidR="00000000" w:rsidRPr="00000000">
        <w:rPr>
          <w:rtl w:val="0"/>
        </w:rPr>
      </w:r>
    </w:p>
    <w:p w:rsidR="00000000" w:rsidDel="00000000" w:rsidP="00000000" w:rsidRDefault="00000000" w:rsidRPr="00000000" w14:paraId="0000003D">
      <w:pPr>
        <w:rPr>
          <w:sz w:val="24"/>
          <w:szCs w:val="24"/>
          <w:highlight w:val="white"/>
        </w:rPr>
      </w:pPr>
      <w:r w:rsidDel="00000000" w:rsidR="00000000" w:rsidRPr="00000000">
        <w:rPr>
          <w:rtl w:val="0"/>
        </w:rPr>
      </w:r>
    </w:p>
    <w:sectPr>
      <w:headerReference r:id="rId6" w:type="default"/>
      <w:foot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F">
    <w:pPr>
      <w:jc w:val="right"/>
      <w:rPr/>
    </w:pPr>
    <w:r w:rsidDel="00000000" w:rsidR="00000000" w:rsidRPr="00000000">
      <w:rPr>
        <w:rtl w:val="0"/>
      </w:rPr>
      <w:t xml:space="preserve">Nathan Davies</w:t>
    </w:r>
  </w:p>
  <w:p w:rsidR="00000000" w:rsidDel="00000000" w:rsidP="00000000" w:rsidRDefault="00000000" w:rsidRPr="00000000" w14:paraId="00000040">
    <w:pPr>
      <w:jc w:val="right"/>
      <w:rPr/>
    </w:pPr>
    <w:r w:rsidDel="00000000" w:rsidR="00000000" w:rsidRPr="00000000">
      <w:rPr>
        <w:rtl w:val="0"/>
      </w:rPr>
      <w:t xml:space="preserve">University of Wales Trinity Saint David</w:t>
    </w:r>
  </w:p>
  <w:p w:rsidR="00000000" w:rsidDel="00000000" w:rsidP="00000000" w:rsidRDefault="00000000" w:rsidRPr="00000000" w14:paraId="00000041">
    <w:pPr>
      <w:jc w:val="right"/>
      <w:rPr/>
    </w:pPr>
    <w:r w:rsidDel="00000000" w:rsidR="00000000" w:rsidRPr="00000000">
      <w:rPr>
        <w:rtl w:val="0"/>
      </w:rPr>
      <w:t xml:space="preserve">1450346</w:t>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E">
    <w:pPr>
      <w:jc w:val="right"/>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