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spacing w:line="360" w:lineRule="auto"/>
        <w:jc w:val="center"/>
        <w:rPr>
          <w:rFonts w:ascii="Times New Roman" w:hAnsi="Times New Roman" w:cs="Times New Roman"/>
          <w:b w:val="0"/>
          <w:bCs/>
          <w:color w:val="D0CECE" w:themeColor="background2" w:themeShade="E6"/>
          <w:spacing w:val="0"/>
          <w:sz w:val="40"/>
          <w:szCs w:val="40"/>
          <w:highlight w:val="none"/>
          <w14:shadow w14:blurRad="63500" w14:dist="50800" w14:dir="16200000" w14:sx="0" w14:sy="0" w14:kx="0" w14:ky="0" w14:algn="none">
            <w14:srgbClr w14:val="000000">
              <w14:alpha w14:val="50000"/>
            </w14:srgbClr>
          </w14:shadow>
          <w14:textOutline w14:w="12700" w14:cap="flat" w14:cmpd="sng" w14:algn="ctr">
            <w14:solidFill>
              <w14:schemeClr w14:val="accent4"/>
            </w14:solidFill>
            <w14:prstDash w14:val="solid"/>
            <w14:round/>
          </w14:textOutline>
        </w:rPr>
      </w:pPr>
      <w:bookmarkStart w:id="7" w:name="_GoBack"/>
      <w:r>
        <w:rPr>
          <w:rFonts w:ascii="Times New Roman" w:hAnsi="Times New Roman" w:cs="Times New Roman"/>
          <w:b w:val="0"/>
          <w:bCs/>
          <w:color w:val="D0CECE" w:themeColor="background2" w:themeShade="E6"/>
          <w:spacing w:val="0"/>
          <w:sz w:val="40"/>
          <w:szCs w:val="40"/>
          <w:highlight w:val="none"/>
          <w14:shadow w14:blurRad="63500" w14:dist="50800" w14:dir="16200000" w14:sx="0" w14:sy="0" w14:kx="0" w14:ky="0" w14:algn="none">
            <w14:srgbClr w14:val="000000">
              <w14:alpha w14:val="50000"/>
            </w14:srgbClr>
          </w14:shadow>
          <w14:textOutline w14:w="12700" w14:cap="flat" w14:cmpd="sng" w14:algn="ctr">
            <w14:solidFill>
              <w14:schemeClr w14:val="accent4"/>
            </w14:solidFill>
            <w14:prstDash w14:val="solid"/>
            <w14:round/>
          </w14:textOutline>
        </w:rPr>
        <w:t>Adverse Childhood Experiences (ACEs) and Health Promotion: Empowering Individuals for Better Well-being</w:t>
      </w:r>
    </w:p>
    <w:p>
      <w:pPr>
        <w:spacing w:line="360" w:lineRule="auto"/>
        <w:jc w:val="center"/>
        <w:rPr>
          <w:rFonts w:ascii="Times New Roman" w:hAnsi="Times New Roman" w:cs="Times New Roman"/>
          <w:b w:val="0"/>
          <w:bCs/>
          <w:color w:val="333F50" w:themeColor="text2" w:themeShade="BF"/>
          <w:sz w:val="40"/>
          <w:szCs w:val="40"/>
          <w:highlight w:val="none"/>
          <w14:textOutline w14:w="12700" w14:cap="flat" w14:cmpd="sng" w14:algn="ctr">
            <w14:solidFill>
              <w14:schemeClr w14:val="accent4"/>
            </w14:solidFill>
            <w14:prstDash w14:val="solid"/>
            <w14:round/>
          </w14:textOutline>
        </w:rPr>
      </w:pPr>
    </w:p>
    <w:bookmarkEnd w:id="7"/>
    <w:p>
      <w:pPr>
        <w:spacing w:line="360" w:lineRule="auto"/>
        <w:jc w:val="center"/>
        <w:rPr>
          <w:rFonts w:ascii="Times New Roman" w:hAnsi="Times New Roman" w:cs="Times New Roman"/>
          <w:b w:val="0"/>
          <w:bCs/>
          <w:color w:val="333F50" w:themeColor="text2" w:themeShade="BF"/>
          <w:sz w:val="40"/>
          <w:szCs w:val="40"/>
          <w:highlight w:val="none"/>
          <w14:textOutline w14:w="12700" w14:cap="flat" w14:cmpd="sng" w14:algn="ctr">
            <w14:solidFill>
              <w14:schemeClr w14:val="accent4"/>
            </w14:solidFill>
            <w14:prstDash w14:val="solid"/>
            <w14:round/>
          </w14:textOutline>
        </w:rPr>
      </w:pPr>
    </w:p>
    <w:p>
      <w:pPr>
        <w:spacing w:line="360" w:lineRule="auto"/>
        <w:jc w:val="both"/>
        <w:rPr>
          <w:rFonts w:hint="default" w:ascii="Times New Roman" w:hAnsi="Times New Roman" w:cs="Times New Roman"/>
          <w:b w:val="0"/>
          <w:bCs/>
          <w:color w:val="000000" w:themeColor="text1"/>
          <w:sz w:val="40"/>
          <w:szCs w:val="40"/>
          <w:highlight w:val="none"/>
          <w:lang w:val="en-GB"/>
          <w14:textOutline w14:w="12700" w14:cap="flat" w14:cmpd="sng" w14:algn="ctr">
            <w14:solidFill>
              <w14:schemeClr w14:val="accent4"/>
            </w14:solidFill>
            <w14:prstDash w14:val="solid"/>
            <w14:round/>
          </w14:textOutline>
          <w14:textFill>
            <w14:solidFill>
              <w14:schemeClr w14:val="tx1"/>
            </w14:solidFill>
          </w14:textFill>
        </w:rPr>
      </w:pPr>
      <w:r>
        <w:rPr>
          <w:rFonts w:hint="default" w:ascii="Times New Roman" w:hAnsi="Times New Roman" w:cs="Times New Roman"/>
          <w:b w:val="0"/>
          <w:bCs/>
          <w:color w:val="000000" w:themeColor="text1"/>
          <w:sz w:val="40"/>
          <w:szCs w:val="40"/>
          <w:highlight w:val="none"/>
          <w:lang w:val="en-GB"/>
          <w14:textOutline w14:w="12700" w14:cap="flat" w14:cmpd="sng" w14:algn="ctr">
            <w14:solidFill>
              <w14:schemeClr w14:val="accent4"/>
            </w14:solidFill>
            <w14:prstDash w14:val="solid"/>
            <w14:round/>
          </w14:textOutline>
          <w14:textFill>
            <w14:solidFill>
              <w14:schemeClr w14:val="tx1"/>
            </w14:solidFill>
          </w14:textFill>
        </w:rPr>
        <w:t>Student Name : Cristiana Roman</w:t>
      </w:r>
    </w:p>
    <w:p>
      <w:pPr>
        <w:spacing w:line="360" w:lineRule="auto"/>
        <w:jc w:val="both"/>
        <w:rPr>
          <w:rFonts w:ascii="Times New Roman" w:hAnsi="Times New Roman" w:cs="Times New Roman"/>
          <w:b w:val="0"/>
          <w:bCs/>
          <w:color w:val="333F50" w:themeColor="text2" w:themeShade="BF"/>
          <w:sz w:val="40"/>
          <w:szCs w:val="40"/>
          <w:highlight w:val="none"/>
          <w14:textOutline w14:w="12700" w14:cap="flat" w14:cmpd="sng" w14:algn="ctr">
            <w14:solidFill>
              <w14:schemeClr w14:val="accent4"/>
            </w14:solidFill>
            <w14:prstDash w14:val="solid"/>
            <w14:round/>
          </w14:textOutline>
        </w:rPr>
      </w:pPr>
      <w:r>
        <w:rPr>
          <w:rFonts w:hint="default" w:ascii="Times New Roman" w:hAnsi="Times New Roman" w:cs="Times New Roman"/>
          <w:b w:val="0"/>
          <w:bCs/>
          <w:color w:val="000000" w:themeColor="text1"/>
          <w:sz w:val="40"/>
          <w:szCs w:val="40"/>
          <w:highlight w:val="none"/>
          <w:lang w:val="en-GB"/>
          <w14:textOutline w14:w="12700" w14:cap="flat" w14:cmpd="sng" w14:algn="ctr">
            <w14:solidFill>
              <w14:schemeClr w14:val="accent4"/>
            </w14:solidFill>
            <w14:prstDash w14:val="solid"/>
            <w14:round/>
          </w14:textOutline>
          <w14:textFill>
            <w14:solidFill>
              <w14:schemeClr w14:val="tx1"/>
            </w14:solidFill>
          </w14:textFill>
        </w:rPr>
        <w:t>Student ID: 1920096</w:t>
      </w:r>
      <w:r>
        <w:rPr>
          <w:rFonts w:ascii="Times New Roman" w:hAnsi="Times New Roman" w:cs="Times New Roman"/>
          <w:b w:val="0"/>
          <w:bCs/>
          <w:color w:val="333F50" w:themeColor="text2" w:themeShade="BF"/>
          <w:sz w:val="40"/>
          <w:szCs w:val="40"/>
          <w:highlight w:val="none"/>
          <w14:textOutline w14:w="12700" w14:cap="flat" w14:cmpd="sng" w14:algn="ctr">
            <w14:solidFill>
              <w14:schemeClr w14:val="accent4"/>
            </w14:solidFill>
            <w14:prstDash w14:val="solid"/>
            <w14:round/>
          </w14:textOutline>
        </w:rPr>
        <w:br w:type="page"/>
      </w:r>
    </w:p>
    <w:sdt>
      <w:sdtPr>
        <w:rPr>
          <w:rFonts w:ascii="Times New Roman" w:hAnsi="Times New Roman" w:cs="Times New Roman"/>
          <w:sz w:val="24"/>
          <w:szCs w:val="24"/>
        </w:rPr>
        <w:id w:val="1299654709"/>
        <w:docPartObj>
          <w:docPartGallery w:val="Table of Contents"/>
          <w:docPartUnique/>
        </w:docPartObj>
      </w:sdtPr>
      <w:sdtEndPr>
        <w:rPr>
          <w:rFonts w:ascii="Times New Roman" w:hAnsi="Times New Roman" w:cs="Times New Roman" w:eastAsiaTheme="minorHAnsi"/>
          <w:b/>
          <w:bCs/>
          <w:color w:val="auto"/>
          <w:sz w:val="24"/>
          <w:szCs w:val="24"/>
          <w:lang w:val="en-IN"/>
        </w:rPr>
      </w:sdtEndPr>
      <w:sdtContent>
        <w:p>
          <w:pPr>
            <w:pStyle w:val="11"/>
            <w:spacing w:line="360" w:lineRule="auto"/>
            <w:jc w:val="both"/>
            <w:rPr>
              <w:rFonts w:ascii="Times New Roman" w:hAnsi="Times New Roman" w:cs="Times New Roman"/>
              <w:sz w:val="24"/>
              <w:szCs w:val="24"/>
            </w:rPr>
          </w:pPr>
          <w:r>
            <w:rPr>
              <w:rFonts w:ascii="Times New Roman" w:hAnsi="Times New Roman" w:cs="Times New Roman"/>
              <w:sz w:val="24"/>
              <w:szCs w:val="24"/>
            </w:rPr>
            <w:t>Contents</w:t>
          </w:r>
        </w:p>
        <w:p>
          <w:pPr>
            <w:pStyle w:val="7"/>
            <w:tabs>
              <w:tab w:val="right" w:leader="dot" w:pos="9016"/>
            </w:tabs>
            <w:spacing w:line="360" w:lineRule="auto"/>
            <w:jc w:val="both"/>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r>
            <w:fldChar w:fldCharType="begin"/>
          </w:r>
          <w:r>
            <w:instrText xml:space="preserve"> HYPERLINK \l "_Toc138945820" </w:instrText>
          </w:r>
          <w:r>
            <w:fldChar w:fldCharType="separate"/>
          </w:r>
          <w:r>
            <w:rPr>
              <w:rStyle w:val="5"/>
              <w:rFonts w:ascii="Times New Roman" w:hAnsi="Times New Roman" w:cs="Times New Roman"/>
              <w:sz w:val="24"/>
              <w:szCs w:val="24"/>
            </w:rPr>
            <w:t>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_Toc138945820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9016"/>
            </w:tabs>
            <w:spacing w:line="360" w:lineRule="auto"/>
            <w:jc w:val="both"/>
            <w:rPr>
              <w:rFonts w:ascii="Times New Roman" w:hAnsi="Times New Roman" w:cs="Times New Roman"/>
              <w:sz w:val="24"/>
              <w:szCs w:val="24"/>
            </w:rPr>
          </w:pPr>
          <w:r>
            <w:fldChar w:fldCharType="begin"/>
          </w:r>
          <w:r>
            <w:instrText xml:space="preserve"> HYPERLINK \l "_Toc138945821" </w:instrText>
          </w:r>
          <w:r>
            <w:fldChar w:fldCharType="separate"/>
          </w:r>
          <w:r>
            <w:rPr>
              <w:rStyle w:val="5"/>
              <w:rFonts w:ascii="Times New Roman" w:hAnsi="Times New Roman" w:cs="Times New Roman"/>
              <w:sz w:val="24"/>
              <w:szCs w:val="24"/>
            </w:rPr>
            <w:t>Background Information on ACEs: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_Toc138945821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9016"/>
            </w:tabs>
            <w:spacing w:line="360" w:lineRule="auto"/>
            <w:jc w:val="both"/>
            <w:rPr>
              <w:rFonts w:ascii="Times New Roman" w:hAnsi="Times New Roman" w:cs="Times New Roman"/>
              <w:sz w:val="24"/>
              <w:szCs w:val="24"/>
            </w:rPr>
          </w:pPr>
          <w:r>
            <w:fldChar w:fldCharType="begin"/>
          </w:r>
          <w:r>
            <w:instrText xml:space="preserve"> HYPERLINK \l "_Toc138945822" </w:instrText>
          </w:r>
          <w:r>
            <w:fldChar w:fldCharType="separate"/>
          </w:r>
          <w:r>
            <w:rPr>
              <w:rStyle w:val="5"/>
              <w:rFonts w:ascii="Times New Roman" w:hAnsi="Times New Roman" w:cs="Times New Roman"/>
              <w:sz w:val="24"/>
              <w:szCs w:val="24"/>
            </w:rPr>
            <w:t>The Need for Health Promotion Material:</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_Toc138945822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9016"/>
            </w:tabs>
            <w:spacing w:line="360" w:lineRule="auto"/>
            <w:jc w:val="both"/>
            <w:rPr>
              <w:rFonts w:ascii="Times New Roman" w:hAnsi="Times New Roman" w:cs="Times New Roman"/>
              <w:sz w:val="24"/>
              <w:szCs w:val="24"/>
            </w:rPr>
          </w:pPr>
          <w:r>
            <w:fldChar w:fldCharType="begin"/>
          </w:r>
          <w:r>
            <w:instrText xml:space="preserve"> HYPERLINK \l "_Toc138945823" </w:instrText>
          </w:r>
          <w:r>
            <w:fldChar w:fldCharType="separate"/>
          </w:r>
          <w:r>
            <w:rPr>
              <w:rStyle w:val="5"/>
              <w:rFonts w:ascii="Times New Roman" w:hAnsi="Times New Roman" w:cs="Times New Roman"/>
              <w:sz w:val="24"/>
              <w:szCs w:val="24"/>
            </w:rPr>
            <w:t>What the Health Promotion Material Aims to Achieve: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_Toc138945823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9016"/>
            </w:tabs>
            <w:spacing w:line="360" w:lineRule="auto"/>
            <w:jc w:val="both"/>
            <w:rPr>
              <w:rFonts w:ascii="Times New Roman" w:hAnsi="Times New Roman" w:cs="Times New Roman"/>
              <w:sz w:val="24"/>
              <w:szCs w:val="24"/>
            </w:rPr>
          </w:pPr>
          <w:r>
            <w:fldChar w:fldCharType="begin"/>
          </w:r>
          <w:r>
            <w:instrText xml:space="preserve"> HYPERLINK \l "_Toc138945824" </w:instrText>
          </w:r>
          <w:r>
            <w:fldChar w:fldCharType="separate"/>
          </w:r>
          <w:r>
            <w:rPr>
              <w:rStyle w:val="5"/>
              <w:rFonts w:ascii="Times New Roman" w:hAnsi="Times New Roman" w:cs="Times New Roman"/>
              <w:sz w:val="24"/>
              <w:szCs w:val="24"/>
            </w:rPr>
            <w:t>Enabling Individuals to Increase Control over and Improve Their Health:</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_Toc138945824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9016"/>
            </w:tabs>
            <w:spacing w:line="360" w:lineRule="auto"/>
            <w:jc w:val="both"/>
            <w:rPr>
              <w:rFonts w:ascii="Times New Roman" w:hAnsi="Times New Roman" w:cs="Times New Roman"/>
              <w:sz w:val="24"/>
              <w:szCs w:val="24"/>
            </w:rPr>
          </w:pPr>
          <w:r>
            <w:fldChar w:fldCharType="begin"/>
          </w:r>
          <w:r>
            <w:instrText xml:space="preserve"> HYPERLINK \l "_Toc138945825" </w:instrText>
          </w:r>
          <w:r>
            <w:fldChar w:fldCharType="separate"/>
          </w:r>
          <w:r>
            <w:rPr>
              <w:rStyle w:val="5"/>
              <w:rFonts w:ascii="Times New Roman" w:hAnsi="Times New Roman" w:cs="Times New Roman"/>
              <w:sz w:val="24"/>
              <w:szCs w:val="24"/>
            </w:rPr>
            <w:t>Conclusion: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_Toc138945825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9016"/>
            </w:tabs>
            <w:spacing w:line="360" w:lineRule="auto"/>
            <w:jc w:val="both"/>
            <w:rPr>
              <w:rFonts w:ascii="Times New Roman" w:hAnsi="Times New Roman" w:cs="Times New Roman"/>
              <w:sz w:val="24"/>
              <w:szCs w:val="24"/>
            </w:rPr>
          </w:pPr>
          <w:r>
            <w:fldChar w:fldCharType="begin"/>
          </w:r>
          <w:r>
            <w:instrText xml:space="preserve"> HYPERLINK \l "_Toc138945826" </w:instrText>
          </w:r>
          <w:r>
            <w:fldChar w:fldCharType="separate"/>
          </w:r>
          <w:r>
            <w:rPr>
              <w:rStyle w:val="5"/>
              <w:rFonts w:ascii="Times New Roman" w:hAnsi="Times New Roman" w:cs="Times New Roman"/>
              <w:sz w:val="24"/>
              <w:szCs w:val="24"/>
            </w:rPr>
            <w:t>References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_Toc138945826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spacing w:line="360" w:lineRule="auto"/>
            <w:jc w:val="both"/>
            <w:rPr>
              <w:rFonts w:ascii="Times New Roman" w:hAnsi="Times New Roman" w:cs="Times New Roman"/>
              <w:sz w:val="24"/>
              <w:szCs w:val="24"/>
            </w:rPr>
          </w:pPr>
          <w:r>
            <w:rPr>
              <w:rFonts w:ascii="Times New Roman" w:hAnsi="Times New Roman" w:cs="Times New Roman"/>
              <w:b/>
              <w:bCs/>
              <w:sz w:val="24"/>
              <w:szCs w:val="24"/>
            </w:rPr>
            <w:fldChar w:fldCharType="end"/>
          </w:r>
        </w:p>
      </w:sdtContent>
    </w:sdt>
    <w:p>
      <w:pPr>
        <w:spacing w:line="360" w:lineRule="auto"/>
        <w:jc w:val="both"/>
        <w:rPr>
          <w:rFonts w:ascii="Times New Roman" w:hAnsi="Times New Roman" w:cs="Times New Roman" w:eastAsiaTheme="majorEastAsia"/>
          <w:spacing w:val="-10"/>
          <w:kern w:val="28"/>
          <w:sz w:val="24"/>
          <w:szCs w:val="24"/>
        </w:rPr>
      </w:pPr>
      <w:r>
        <w:rPr>
          <w:rFonts w:ascii="Times New Roman" w:hAnsi="Times New Roman" w:cs="Times New Roman"/>
          <w:sz w:val="24"/>
          <w:szCs w:val="24"/>
        </w:rPr>
        <w:br w:type="page"/>
      </w:r>
    </w:p>
    <w:p>
      <w:pPr>
        <w:pStyle w:val="2"/>
        <w:spacing w:line="360" w:lineRule="auto"/>
        <w:jc w:val="both"/>
        <w:rPr>
          <w:rFonts w:ascii="Times New Roman" w:hAnsi="Times New Roman" w:cs="Times New Roman"/>
          <w:sz w:val="24"/>
          <w:szCs w:val="24"/>
        </w:rPr>
      </w:pPr>
      <w:bookmarkStart w:id="0" w:name="_Toc138945820"/>
      <w:r>
        <w:rPr>
          <w:rFonts w:ascii="Times New Roman" w:hAnsi="Times New Roman" w:cs="Times New Roman"/>
          <w:sz w:val="24"/>
          <w:szCs w:val="24"/>
        </w:rPr>
        <w:t>Introduction:</w:t>
      </w:r>
      <w:bookmarkEnd w:id="0"/>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By addressing the factors that affect health and empowering people to manage their own health, health promotion is essential in enhancing the wellbeing of both individuals and communities. It includes a variety of tactics and measures used to improve overall health, stave off sickness, and prolong good health. This essay examines the role of health promotion in addressing the long-term effects of adverse childhood experiences (ACEs), with a particular focus on the phrase "adverse childhood experiences" (ACEs). The term "ACE" stands for "adverse childhood experiences," which includes violence, neglect, abuse, and other types of traumatic events. By recognizing the significance of health promotion in the context of ACEs, we may seek to create efficient interventions that enable people to enhance their health outcomes.</w:t>
      </w:r>
    </w:p>
    <w:p>
      <w:pPr>
        <w:pStyle w:val="2"/>
        <w:spacing w:line="360" w:lineRule="auto"/>
        <w:jc w:val="both"/>
        <w:rPr>
          <w:rFonts w:ascii="Times New Roman" w:hAnsi="Times New Roman" w:cs="Times New Roman"/>
          <w:sz w:val="24"/>
          <w:szCs w:val="24"/>
        </w:rPr>
      </w:pPr>
      <w:bookmarkStart w:id="1" w:name="_Toc138945821"/>
      <w:r>
        <w:rPr>
          <w:rFonts w:ascii="Times New Roman" w:hAnsi="Times New Roman" w:cs="Times New Roman"/>
          <w:sz w:val="24"/>
          <w:szCs w:val="24"/>
        </w:rPr>
        <w:t>Background Information on ACEs:</w:t>
      </w:r>
      <w:bookmarkEnd w:id="1"/>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Adverse Childhood Experiences (ACEs) are traumatic incidents that happen during childhood and include neglect, abuse of any kind—physical, sexual, or emotional, and dysfunction in the home. The groundbreaking ACEs study by Chang et al. (2019) provided evidence of the close connection between ACEs and poor health outcomes later in life. According to the study, people who have had ACEs are considerably more likely to face a variety of health issues, such as mental health disorders, substance misuse, chronic illnesses, and early death. These results have been continuously supported by subsequent studies, underscoring the significant influence ACEs have on numerous areas of health.</w:t>
      </w:r>
    </w:p>
    <w:p>
      <w:pPr>
        <w:pStyle w:val="2"/>
        <w:spacing w:line="360" w:lineRule="auto"/>
        <w:jc w:val="both"/>
        <w:rPr>
          <w:rFonts w:ascii="Times New Roman" w:hAnsi="Times New Roman" w:cs="Times New Roman"/>
          <w:sz w:val="24"/>
          <w:szCs w:val="24"/>
        </w:rPr>
      </w:pPr>
      <w:bookmarkStart w:id="2" w:name="_Toc138945822"/>
      <w:r>
        <w:rPr>
          <w:rFonts w:ascii="Times New Roman" w:hAnsi="Times New Roman" w:cs="Times New Roman"/>
          <w:sz w:val="24"/>
          <w:szCs w:val="24"/>
        </w:rPr>
        <w:t>The Need for Health Promotion Material:</w:t>
      </w:r>
      <w:bookmarkEnd w:id="2"/>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Due to the widespread incidence and negative effects of ACEs on people and society, ACE-specific health promotion materials are crucial. According to Salinas-Miranda and Salemi's (2015) research, there is a direct correlation between ACEs and a variety of health-related problems. When compared to people with lower ACEs scores, those with higher ACEs scores are more likely to suffer from negative health effects. The effects of ACEs have broader societal repercussions in addition to personal ones. They aid in the spread of ACEs across generations as well as rising healthcare expenses and decreasing productivity.</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To fully address these challenges, health promotion materials geared at ACEs must be created. Such information can aid in increasing public understanding of ACEs as well as that of healthcare workers, educators, and legislators (Berent and Podgorski, 2018). It can include details on ACEs' long-term impacts, the value of early intervention, and the support services that are out there. Health promotion materials can aid in improving one's comprehension of ACEs and their impact by sharing accurate and evidence-based information.</w:t>
      </w:r>
    </w:p>
    <w:p>
      <w:pPr>
        <w:pStyle w:val="2"/>
        <w:spacing w:line="360" w:lineRule="auto"/>
        <w:jc w:val="both"/>
        <w:rPr>
          <w:rFonts w:ascii="Times New Roman" w:hAnsi="Times New Roman" w:cs="Times New Roman"/>
          <w:sz w:val="24"/>
          <w:szCs w:val="24"/>
        </w:rPr>
      </w:pPr>
      <w:bookmarkStart w:id="3" w:name="_Toc138945823"/>
      <w:r>
        <w:rPr>
          <w:rFonts w:ascii="Times New Roman" w:hAnsi="Times New Roman" w:cs="Times New Roman"/>
          <w:sz w:val="24"/>
          <w:szCs w:val="24"/>
        </w:rPr>
        <w:t>What the Health Promotion Material Aims to Achieve:</w:t>
      </w:r>
      <w:bookmarkEnd w:id="3"/>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The ACEs health promotion materials have several main goals in mind. First and foremost, it aims to increase understanding and awareness of ACEs across a variety of target populations, such as those who have experienced ACEs, parents, caregivers, medical professionals, educators, and policymakers (Larkin et al., 2012). By raising awareness, the information can assist in de-stigmatizing ACEs and promote open discourse on the subject.</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The second goal of the health promotion materials is to stop and lessen ACEs. The promotion of nurturing relationships, secure surroundings, and early intervention programs are just a few examples of evidence-based ACE prevention methods that can be offered (Merrick et al., 2020). The content can contribute to a decrease in the prevalence of ACEs and their related effects by highlighting the significance of providing children with supportive and loving environments.</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Thirdly, the information seeks to encourage resiliency and recovery in those who have been impacted by ACEs. It can offer coping strategies, methods for managing stress, and details about available support services (Davidson, 2017). The information gives people the tools they need to overcome the difficulties and effects of ACEs by encouraging resilience and offering healing options, improving their general well-being.</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The health promotion materials' final goal is to stop the transmission of ACEs from generation to generation. Individuals are empowered to build loving and supportive settings for future generations by being given the knowledge and skills they need (Woods-jaeger et al., 2018). The information can stress the significance of good parenting techniques, wholesome relationships, and availability of neighbourhood resources that assist families affected by ACEs.</w:t>
      </w:r>
    </w:p>
    <w:p>
      <w:pPr>
        <w:pStyle w:val="2"/>
        <w:spacing w:line="360" w:lineRule="auto"/>
        <w:jc w:val="both"/>
        <w:rPr>
          <w:rFonts w:ascii="Times New Roman" w:hAnsi="Times New Roman" w:cs="Times New Roman"/>
          <w:sz w:val="24"/>
          <w:szCs w:val="24"/>
        </w:rPr>
      </w:pPr>
      <w:bookmarkStart w:id="4" w:name="_Toc138945824"/>
      <w:r>
        <w:rPr>
          <w:rFonts w:ascii="Times New Roman" w:hAnsi="Times New Roman" w:cs="Times New Roman"/>
          <w:sz w:val="24"/>
          <w:szCs w:val="24"/>
        </w:rPr>
        <w:t>Enabling Individuals to Increase Control over and Improve Their Health:</w:t>
      </w:r>
      <w:bookmarkEnd w:id="4"/>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The information on ACEs that is used to promote health is crucial in empowering people to take charge of their health and wellbeing. It does this through several mechanisms:</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1. Knowledge Empowerment: By giving people accurate and thorough knowledge on ACEs, their effects, and the services that are available, the content enables people to make wise decisions about their health. Their comprehension of the connection between ACEs and different health outcomes is improved, empowering them to identify potential hazards and look for the right support and solutions (Chandler and Roberts, 2015).</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2. Skill Development: The information on health promotion can help people develop the skills and strategies they need to deal with the impacts of ACEs. This could include approaches for handling stress, regulating one's emotions, improving communication, and resolving conflicts (Hampton-Anderson et al., 2021). The content gives people these abilities so they may better deal with the difficulties brought on by ACEs and advance their general wellbeing.</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3. Access to Support: Information about accessible support services, such as trauma-informed treatment, mental health resources, counseling, and community programs, is included in health promotion materials. Promoting access to these programs enables those who have experienced ACEs to get the care they need to deal with their trauma, build their resilience, and achieve better overall health outcomes (Shamblin et al., 2016).</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4. Advocacy and Policy Change: The information on health promotion may encourage people to support legislation addressing ACEs and their effects. In order to campaign for more financing, resources, and preventive measures, it may inspire people to interact with decision-makers, community leaders, and organizations (Bethell et al., 2017). The content gives people the capacity to influence systemic changes that encourage healthier and more supportive settings for all by elevating the voices of those affected by ACEs.</w:t>
      </w:r>
    </w:p>
    <w:p>
      <w:pPr>
        <w:pStyle w:val="2"/>
        <w:spacing w:line="360" w:lineRule="auto"/>
        <w:jc w:val="both"/>
        <w:rPr>
          <w:rFonts w:ascii="Times New Roman" w:hAnsi="Times New Roman" w:cs="Times New Roman"/>
          <w:sz w:val="24"/>
          <w:szCs w:val="24"/>
        </w:rPr>
      </w:pPr>
      <w:bookmarkStart w:id="5" w:name="_Toc138945825"/>
      <w:r>
        <w:rPr>
          <w:rFonts w:ascii="Times New Roman" w:hAnsi="Times New Roman" w:cs="Times New Roman"/>
          <w:sz w:val="24"/>
          <w:szCs w:val="24"/>
        </w:rPr>
        <w:t>Conclusion:</w:t>
      </w:r>
      <w:bookmarkEnd w:id="5"/>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In order to address the long-term effects of childhood trauma, health promotion materials that particularly target ACEs are crucial. Health promotion interventions can enable people affected by ACEs to take charge of their health by increasing awareness, preventing, and reducing ACEs, fostering resilience, and ending the intergenerational cycle. These resources give people access to support services, knowledge, and skills that help them overcome ACE-related obstacles, promote healing, and improve their general wellbeing. Health promotion tools help to create environments that prioritize the prevention and intervention of ACEs through lobbying and policy reform, producing healthier communities for the present and future generations.</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pPr>
        <w:pStyle w:val="2"/>
        <w:spacing w:line="360" w:lineRule="auto"/>
        <w:jc w:val="both"/>
        <w:rPr>
          <w:rFonts w:ascii="Times New Roman" w:hAnsi="Times New Roman" w:cs="Times New Roman"/>
          <w:sz w:val="24"/>
          <w:szCs w:val="24"/>
        </w:rPr>
      </w:pPr>
      <w:bookmarkStart w:id="6" w:name="_Toc138945826"/>
      <w:r>
        <w:rPr>
          <w:rFonts w:ascii="Times New Roman" w:hAnsi="Times New Roman" w:cs="Times New Roman"/>
          <w:sz w:val="24"/>
          <w:szCs w:val="24"/>
        </w:rPr>
        <w:t>References</w:t>
      </w:r>
      <w:bookmarkEnd w:id="6"/>
    </w:p>
    <w:p>
      <w:pPr>
        <w:pStyle w:val="8"/>
        <w:numPr>
          <w:ilvl w:val="0"/>
          <w:numId w:val="1"/>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Berent, D., Podgórski, M. and Kokoszka, A., 2018. A need for intervention: Childhood adversities are a significant determinant of health-harming behavior and poor self-efficacy in patients with alcohol dependence. An observational, cross-sectional study on the population of Central Poland. </w:t>
      </w:r>
      <w:r>
        <w:rPr>
          <w:rFonts w:ascii="Times New Roman" w:hAnsi="Times New Roman" w:cs="Times New Roman"/>
          <w:i/>
          <w:iCs/>
          <w:color w:val="222222"/>
          <w:sz w:val="24"/>
          <w:szCs w:val="24"/>
          <w:shd w:val="clear" w:color="auto" w:fill="FFFFFF"/>
        </w:rPr>
        <w:t>Advances in Clinical and Experimental Medicine</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27</w:t>
      </w:r>
      <w:r>
        <w:rPr>
          <w:rFonts w:ascii="Times New Roman" w:hAnsi="Times New Roman" w:cs="Times New Roman"/>
          <w:color w:val="222222"/>
          <w:sz w:val="24"/>
          <w:szCs w:val="24"/>
          <w:shd w:val="clear" w:color="auto" w:fill="FFFFFF"/>
        </w:rPr>
        <w:t>(9), pp.1271-1277.</w:t>
      </w:r>
    </w:p>
    <w:p>
      <w:pPr>
        <w:pStyle w:val="8"/>
        <w:numPr>
          <w:ilvl w:val="0"/>
          <w:numId w:val="1"/>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Bethell, C.D., Solloway, M.R., Guinosso, S., Hassink, S., Srivastav, A., Ford, D. and Simpson, L.A., 2017. Prioritizing possibilities for child and family health: an agenda to address adverse childhood experiences and foster the social and emotional roots of well-being in pediatrics. </w:t>
      </w:r>
      <w:r>
        <w:rPr>
          <w:rFonts w:ascii="Times New Roman" w:hAnsi="Times New Roman" w:cs="Times New Roman"/>
          <w:i/>
          <w:iCs/>
          <w:color w:val="222222"/>
          <w:sz w:val="24"/>
          <w:szCs w:val="24"/>
          <w:shd w:val="clear" w:color="auto" w:fill="FFFFFF"/>
        </w:rPr>
        <w:t>Academic pediatrics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17</w:t>
      </w:r>
      <w:r>
        <w:rPr>
          <w:rFonts w:ascii="Times New Roman" w:hAnsi="Times New Roman" w:cs="Times New Roman"/>
          <w:color w:val="222222"/>
          <w:sz w:val="24"/>
          <w:szCs w:val="24"/>
          <w:shd w:val="clear" w:color="auto" w:fill="FFFFFF"/>
        </w:rPr>
        <w:t>(7), pp.S36-S50.</w:t>
      </w:r>
    </w:p>
    <w:p>
      <w:pPr>
        <w:pStyle w:val="8"/>
        <w:numPr>
          <w:ilvl w:val="0"/>
          <w:numId w:val="1"/>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Chandler, G.E., Roberts, S.J. and Chiodo, L., 2015. Resilience intervention for young adults with adverse childhood experiences. </w:t>
      </w:r>
      <w:r>
        <w:rPr>
          <w:rFonts w:ascii="Times New Roman" w:hAnsi="Times New Roman" w:cs="Times New Roman"/>
          <w:i/>
          <w:iCs/>
          <w:color w:val="222222"/>
          <w:sz w:val="24"/>
          <w:szCs w:val="24"/>
          <w:shd w:val="clear" w:color="auto" w:fill="FFFFFF"/>
        </w:rPr>
        <w:t>Journal of the American Psychiatric Nurses Association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21</w:t>
      </w:r>
      <w:r>
        <w:rPr>
          <w:rFonts w:ascii="Times New Roman" w:hAnsi="Times New Roman" w:cs="Times New Roman"/>
          <w:color w:val="222222"/>
          <w:sz w:val="24"/>
          <w:szCs w:val="24"/>
          <w:shd w:val="clear" w:color="auto" w:fill="FFFFFF"/>
        </w:rPr>
        <w:t>(6), pp.406-416.</w:t>
      </w:r>
    </w:p>
    <w:p>
      <w:pPr>
        <w:pStyle w:val="8"/>
        <w:numPr>
          <w:ilvl w:val="0"/>
          <w:numId w:val="1"/>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Chang, X., Jiang, X., Mkandarwire, T. and Shen, M., 2019. Associations between adverse childhood experiences and health outcomes in adults aged 18–59 years. </w:t>
      </w:r>
      <w:r>
        <w:rPr>
          <w:rFonts w:ascii="Times New Roman" w:hAnsi="Times New Roman" w:cs="Times New Roman"/>
          <w:i/>
          <w:iCs/>
          <w:color w:val="222222"/>
          <w:sz w:val="24"/>
          <w:szCs w:val="24"/>
          <w:shd w:val="clear" w:color="auto" w:fill="FFFFFF"/>
        </w:rPr>
        <w:t>PloS one</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14</w:t>
      </w:r>
      <w:r>
        <w:rPr>
          <w:rFonts w:ascii="Times New Roman" w:hAnsi="Times New Roman" w:cs="Times New Roman"/>
          <w:color w:val="222222"/>
          <w:sz w:val="24"/>
          <w:szCs w:val="24"/>
          <w:shd w:val="clear" w:color="auto" w:fill="FFFFFF"/>
        </w:rPr>
        <w:t>(2), p.e0211850.</w:t>
      </w:r>
    </w:p>
    <w:p>
      <w:pPr>
        <w:pStyle w:val="8"/>
        <w:numPr>
          <w:ilvl w:val="0"/>
          <w:numId w:val="1"/>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Davidson, S., 2017. Trauma-informed practices for postsecondary education: A guide. Education Northwest, 5, pp.3-24.</w:t>
      </w:r>
    </w:p>
    <w:p>
      <w:pPr>
        <w:pStyle w:val="8"/>
        <w:numPr>
          <w:ilvl w:val="0"/>
          <w:numId w:val="1"/>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Hampton-Anderson, J.N., Carter, S., Fani, N., Gillespie, C.F., Henry, T.L., Holmes, E., Lamis, D.A., LoParo, D., Maples-Keller, J.L., Powers, A. and Sonu, S., 2021. Adverse childhood experiences in African Americans: Framework, practice, and policy. </w:t>
      </w:r>
      <w:r>
        <w:rPr>
          <w:rFonts w:ascii="Times New Roman" w:hAnsi="Times New Roman" w:cs="Times New Roman"/>
          <w:i/>
          <w:iCs/>
          <w:color w:val="222222"/>
          <w:sz w:val="24"/>
          <w:szCs w:val="24"/>
          <w:shd w:val="clear" w:color="auto" w:fill="FFFFFF"/>
        </w:rPr>
        <w:t>American Psychologist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76</w:t>
      </w:r>
      <w:r>
        <w:rPr>
          <w:rFonts w:ascii="Times New Roman" w:hAnsi="Times New Roman" w:cs="Times New Roman"/>
          <w:color w:val="222222"/>
          <w:sz w:val="24"/>
          <w:szCs w:val="24"/>
          <w:shd w:val="clear" w:color="auto" w:fill="FFFFFF"/>
        </w:rPr>
        <w:t>(2), p.314.</w:t>
      </w:r>
    </w:p>
    <w:p>
      <w:pPr>
        <w:pStyle w:val="8"/>
        <w:numPr>
          <w:ilvl w:val="0"/>
          <w:numId w:val="1"/>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Larkin, H., Shields, J.J. and Anda, R.F., 2012. The health and social consequences of adverse childhood experiences (ACE) across the lifespan: An introduction to prevention and intervention in the community. </w:t>
      </w:r>
      <w:r>
        <w:rPr>
          <w:rFonts w:ascii="Times New Roman" w:hAnsi="Times New Roman" w:cs="Times New Roman"/>
          <w:i/>
          <w:iCs/>
          <w:color w:val="222222"/>
          <w:sz w:val="24"/>
          <w:szCs w:val="24"/>
          <w:shd w:val="clear" w:color="auto" w:fill="FFFFFF"/>
        </w:rPr>
        <w:t>Journal of Prevention &amp; Intervention in the Community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40</w:t>
      </w:r>
      <w:r>
        <w:rPr>
          <w:rFonts w:ascii="Times New Roman" w:hAnsi="Times New Roman" w:cs="Times New Roman"/>
          <w:color w:val="222222"/>
          <w:sz w:val="24"/>
          <w:szCs w:val="24"/>
          <w:shd w:val="clear" w:color="auto" w:fill="FFFFFF"/>
        </w:rPr>
        <w:t>(4), pp.263-270.</w:t>
      </w:r>
    </w:p>
    <w:p>
      <w:pPr>
        <w:pStyle w:val="8"/>
        <w:numPr>
          <w:ilvl w:val="0"/>
          <w:numId w:val="1"/>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Merrick, M.T., Ports, K.A., Guinn, A.S. and Ford, D.C., 2020. Safe, stable, nurturing environments for children. In </w:t>
      </w:r>
      <w:r>
        <w:rPr>
          <w:rFonts w:ascii="Times New Roman" w:hAnsi="Times New Roman" w:cs="Times New Roman"/>
          <w:i/>
          <w:iCs/>
          <w:color w:val="222222"/>
          <w:sz w:val="24"/>
          <w:szCs w:val="24"/>
          <w:shd w:val="clear" w:color="auto" w:fill="FFFFFF"/>
        </w:rPr>
        <w:t>Adverse childhood experiences</w:t>
      </w:r>
      <w:r>
        <w:rPr>
          <w:rFonts w:ascii="Times New Roman" w:hAnsi="Times New Roman" w:cs="Times New Roman"/>
          <w:color w:val="222222"/>
          <w:sz w:val="24"/>
          <w:szCs w:val="24"/>
          <w:shd w:val="clear" w:color="auto" w:fill="FFFFFF"/>
        </w:rPr>
        <w:t> (pp. 329-347). Academic Press.</w:t>
      </w:r>
    </w:p>
    <w:p>
      <w:pPr>
        <w:pStyle w:val="8"/>
        <w:numPr>
          <w:ilvl w:val="0"/>
          <w:numId w:val="1"/>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Salinas-Miranda, A.A., Salemi, J.L., King, L.M., Baldwin, J.A., Berry, E., Austin, D.A., Scarborough, K., Spooner, K.K., Zoorob, R.J. and Salihu, H.M., 2015. Adverse childhood experiences and health-related quality of life in adulthood: revelations from a community needs assessment. </w:t>
      </w:r>
      <w:r>
        <w:rPr>
          <w:rFonts w:ascii="Times New Roman" w:hAnsi="Times New Roman" w:cs="Times New Roman"/>
          <w:i/>
          <w:iCs/>
          <w:color w:val="222222"/>
          <w:sz w:val="24"/>
          <w:szCs w:val="24"/>
          <w:shd w:val="clear" w:color="auto" w:fill="FFFFFF"/>
        </w:rPr>
        <w:t>Health and Quality of Life Outcomes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13</w:t>
      </w:r>
      <w:r>
        <w:rPr>
          <w:rFonts w:ascii="Times New Roman" w:hAnsi="Times New Roman" w:cs="Times New Roman"/>
          <w:color w:val="222222"/>
          <w:sz w:val="24"/>
          <w:szCs w:val="24"/>
          <w:shd w:val="clear" w:color="auto" w:fill="FFFFFF"/>
        </w:rPr>
        <w:t>(1), pp.1-12.</w:t>
      </w:r>
    </w:p>
    <w:p>
      <w:pPr>
        <w:pStyle w:val="8"/>
        <w:numPr>
          <w:ilvl w:val="0"/>
          <w:numId w:val="1"/>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Shamblin, S., Graham, D. and Bianco, J.A., 2016. Creating trauma-informed schools for rural Appalachia: The partnerships program for enhancing resiliency, confidence and workforce development in early childhood education. </w:t>
      </w:r>
      <w:r>
        <w:rPr>
          <w:rFonts w:ascii="Times New Roman" w:hAnsi="Times New Roman" w:cs="Times New Roman"/>
          <w:i/>
          <w:iCs/>
          <w:color w:val="222222"/>
          <w:sz w:val="24"/>
          <w:szCs w:val="24"/>
          <w:shd w:val="clear" w:color="auto" w:fill="FFFFFF"/>
        </w:rPr>
        <w:t>School Mental Health</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8</w:t>
      </w:r>
      <w:r>
        <w:rPr>
          <w:rFonts w:ascii="Times New Roman" w:hAnsi="Times New Roman" w:cs="Times New Roman"/>
          <w:color w:val="222222"/>
          <w:sz w:val="24"/>
          <w:szCs w:val="24"/>
          <w:shd w:val="clear" w:color="auto" w:fill="FFFFFF"/>
        </w:rPr>
        <w:t>, pp.189-200.</w:t>
      </w:r>
    </w:p>
    <w:p>
      <w:pPr>
        <w:pStyle w:val="8"/>
        <w:numPr>
          <w:ilvl w:val="0"/>
          <w:numId w:val="1"/>
        </w:numPr>
        <w:spacing w:line="360" w:lineRule="auto"/>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Woods-Jaeger, B.A., Cho, B., Sexton, C.C., Slagel, L. and Goggin, K., 2018. Promoting resilience: Breaking the intergenerational cycle of adverse childhood experiences. </w:t>
      </w:r>
      <w:r>
        <w:rPr>
          <w:rFonts w:ascii="Times New Roman" w:hAnsi="Times New Roman" w:cs="Times New Roman"/>
          <w:i/>
          <w:iCs/>
          <w:color w:val="222222"/>
          <w:sz w:val="24"/>
          <w:szCs w:val="24"/>
          <w:shd w:val="clear" w:color="auto" w:fill="FFFFFF"/>
        </w:rPr>
        <w:t>Health Education &amp; Behavior</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45</w:t>
      </w:r>
      <w:r>
        <w:rPr>
          <w:rFonts w:ascii="Times New Roman" w:hAnsi="Times New Roman" w:cs="Times New Roman"/>
          <w:color w:val="222222"/>
          <w:sz w:val="24"/>
          <w:szCs w:val="24"/>
          <w:shd w:val="clear" w:color="auto" w:fill="FFFFFF"/>
        </w:rPr>
        <w:t>(5), pp.772-780.</w:t>
      </w:r>
    </w:p>
    <w:p>
      <w:pPr>
        <w:spacing w:line="360" w:lineRule="auto"/>
        <w:jc w:val="both"/>
        <w:rPr>
          <w:rFonts w:ascii="Times New Roman" w:hAnsi="Times New Roman" w:cs="Times New Roman"/>
          <w:sz w:val="24"/>
          <w:szCs w:val="24"/>
        </w:rPr>
      </w:pPr>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EC50F72"/>
    <w:multiLevelType w:val="multilevel"/>
    <w:tmpl w:val="4EC50F72"/>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D5D"/>
    <w:rsid w:val="005866D2"/>
    <w:rsid w:val="00590D5D"/>
    <w:rsid w:val="007B79A7"/>
    <w:rsid w:val="00AC486A"/>
    <w:rsid w:val="60C834C2"/>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IN" w:eastAsia="en-US" w:bidi="ar-SA"/>
    </w:rPr>
  </w:style>
  <w:style w:type="paragraph" w:styleId="2">
    <w:name w:val="heading 1"/>
    <w:basedOn w:val="1"/>
    <w:next w:val="1"/>
    <w:link w:val="10"/>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character" w:default="1" w:styleId="3">
    <w:name w:val="Default Paragraph Font"/>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character" w:styleId="5">
    <w:name w:val="Hyperlink"/>
    <w:basedOn w:val="3"/>
    <w:unhideWhenUsed/>
    <w:uiPriority w:val="99"/>
    <w:rPr>
      <w:color w:val="0563C1" w:themeColor="hyperlink"/>
      <w:u w:val="single"/>
      <w14:textFill>
        <w14:solidFill>
          <w14:schemeClr w14:val="hlink"/>
        </w14:solidFill>
      </w14:textFill>
    </w:rPr>
  </w:style>
  <w:style w:type="paragraph" w:styleId="6">
    <w:name w:val="Title"/>
    <w:basedOn w:val="1"/>
    <w:next w:val="1"/>
    <w:link w:val="9"/>
    <w:qFormat/>
    <w:uiPriority w:val="10"/>
    <w:pPr>
      <w:spacing w:after="0" w:line="240" w:lineRule="auto"/>
      <w:contextualSpacing/>
    </w:pPr>
    <w:rPr>
      <w:rFonts w:asciiTheme="majorHAnsi" w:hAnsiTheme="majorHAnsi" w:eastAsiaTheme="majorEastAsia" w:cstheme="majorBidi"/>
      <w:spacing w:val="-10"/>
      <w:kern w:val="28"/>
      <w:sz w:val="56"/>
      <w:szCs w:val="56"/>
    </w:rPr>
  </w:style>
  <w:style w:type="paragraph" w:styleId="7">
    <w:name w:val="toc 1"/>
    <w:basedOn w:val="1"/>
    <w:next w:val="1"/>
    <w:unhideWhenUsed/>
    <w:uiPriority w:val="39"/>
    <w:pPr>
      <w:spacing w:after="100"/>
    </w:pPr>
  </w:style>
  <w:style w:type="paragraph" w:styleId="8">
    <w:name w:val="List Paragraph"/>
    <w:basedOn w:val="1"/>
    <w:qFormat/>
    <w:uiPriority w:val="34"/>
    <w:pPr>
      <w:ind w:left="720"/>
      <w:contextualSpacing/>
    </w:pPr>
  </w:style>
  <w:style w:type="character" w:customStyle="1" w:styleId="9">
    <w:name w:val="Title Char"/>
    <w:basedOn w:val="3"/>
    <w:link w:val="6"/>
    <w:qFormat/>
    <w:uiPriority w:val="10"/>
    <w:rPr>
      <w:rFonts w:asciiTheme="majorHAnsi" w:hAnsiTheme="majorHAnsi" w:eastAsiaTheme="majorEastAsia" w:cstheme="majorBidi"/>
      <w:spacing w:val="-10"/>
      <w:kern w:val="28"/>
      <w:sz w:val="56"/>
      <w:szCs w:val="56"/>
    </w:rPr>
  </w:style>
  <w:style w:type="character" w:customStyle="1" w:styleId="10">
    <w:name w:val="Heading 1 Char"/>
    <w:basedOn w:val="3"/>
    <w:link w:val="2"/>
    <w:qFormat/>
    <w:uiPriority w:val="9"/>
    <w:rPr>
      <w:rFonts w:asciiTheme="majorHAnsi" w:hAnsiTheme="majorHAnsi" w:eastAsiaTheme="majorEastAsia" w:cstheme="majorBidi"/>
      <w:color w:val="2F5597" w:themeColor="accent1" w:themeShade="BF"/>
      <w:sz w:val="32"/>
      <w:szCs w:val="32"/>
    </w:rPr>
  </w:style>
  <w:style w:type="paragraph" w:customStyle="1" w:styleId="11">
    <w:name w:val="TOC Heading"/>
    <w:basedOn w:val="2"/>
    <w:next w:val="1"/>
    <w:unhideWhenUsed/>
    <w:qFormat/>
    <w:uiPriority w:val="39"/>
    <w:pPr>
      <w:outlineLvl w:val="9"/>
    </w:pPr>
    <w:rPr>
      <w:lang w:val="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75F17-B0AF-4B94-A584-134877FDF914}">
  <ds:schemaRefs/>
</ds:datastoreItem>
</file>

<file path=docProps/app.xml><?xml version="1.0" encoding="utf-8"?>
<Properties xmlns="http://schemas.openxmlformats.org/officeDocument/2006/extended-properties" xmlns:vt="http://schemas.openxmlformats.org/officeDocument/2006/docPropsVTypes">
  <Template>Normal</Template>
  <Pages>7</Pages>
  <Words>1646</Words>
  <Characters>9385</Characters>
  <Lines>78</Lines>
  <Paragraphs>22</Paragraphs>
  <TotalTime>29</TotalTime>
  <ScaleCrop>false</ScaleCrop>
  <LinksUpToDate>false</LinksUpToDate>
  <CharactersWithSpaces>11009</CharactersWithSpaces>
  <Application>WPS Office_11.2.0.11537_F1E327BC-269C-435d-A152-05C5408002CA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2023-06-29T09:47:00Z</dcterms:created>
  <dc:creator>Rituraj soni</dc:creator>
  <cp:lastModifiedBy>Ionut</cp:lastModifiedBy>
  <dcterms:modified xsi:type="dcterms:W3CDTF">2023-07-21T11:45:17Z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2057-11.2.0.11537</vt:lpwstr>
  </property>
  <property fmtid="{D5CDD505-2E9C-101B-9397-08002B2CF9AE}" pid="3" name="ICV">
    <vt:lpwstr>B86F626159674DD99C5FDE0AE88416DE</vt:lpwstr>
  </property>
</Properties>
</file>