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E6110" w14:textId="7B4F374A" w:rsidR="0055390A" w:rsidRDefault="0055390A" w:rsidP="009C6046">
      <w:pPr>
        <w:spacing w:line="360" w:lineRule="auto"/>
        <w:jc w:val="both"/>
        <w:rPr>
          <w:rFonts w:ascii="Arial" w:hAnsi="Arial" w:cs="Arial"/>
          <w:b/>
          <w:sz w:val="24"/>
          <w:szCs w:val="24"/>
        </w:rPr>
      </w:pPr>
    </w:p>
    <w:p w14:paraId="0F1E8DE3" w14:textId="77777777" w:rsidR="009C6046" w:rsidRDefault="009C6046" w:rsidP="009C6046">
      <w:pPr>
        <w:spacing w:line="360" w:lineRule="auto"/>
        <w:jc w:val="both"/>
        <w:rPr>
          <w:rFonts w:ascii="Arial" w:hAnsi="Arial" w:cs="Arial"/>
          <w:b/>
          <w:sz w:val="24"/>
          <w:szCs w:val="24"/>
        </w:rPr>
      </w:pPr>
    </w:p>
    <w:p w14:paraId="22360699" w14:textId="77777777" w:rsidR="009C6046" w:rsidRDefault="009C6046" w:rsidP="00487842">
      <w:pPr>
        <w:spacing w:line="360" w:lineRule="auto"/>
        <w:jc w:val="center"/>
        <w:rPr>
          <w:rFonts w:ascii="Arial" w:hAnsi="Arial" w:cs="Arial"/>
          <w:b/>
          <w:sz w:val="24"/>
          <w:szCs w:val="24"/>
        </w:rPr>
      </w:pPr>
      <w:r w:rsidRPr="009C6046">
        <w:rPr>
          <w:rFonts w:ascii="Arial" w:hAnsi="Arial" w:cs="Arial"/>
          <w:b/>
          <w:sz w:val="24"/>
          <w:szCs w:val="24"/>
        </w:rPr>
        <w:t>Module: Sustainable Hospitality &amp; Tourism Management</w:t>
      </w:r>
    </w:p>
    <w:p w14:paraId="0DA7D9DA" w14:textId="77777777" w:rsidR="009C6046" w:rsidRDefault="009C6046" w:rsidP="00487842">
      <w:pPr>
        <w:spacing w:line="360" w:lineRule="auto"/>
        <w:jc w:val="center"/>
        <w:rPr>
          <w:rFonts w:ascii="Arial" w:hAnsi="Arial" w:cs="Arial"/>
          <w:b/>
          <w:sz w:val="24"/>
          <w:szCs w:val="24"/>
        </w:rPr>
      </w:pPr>
      <w:r w:rsidRPr="009C6046">
        <w:rPr>
          <w:rFonts w:ascii="Arial" w:hAnsi="Arial" w:cs="Arial"/>
          <w:b/>
          <w:sz w:val="24"/>
          <w:szCs w:val="24"/>
        </w:rPr>
        <w:t>Module code: BMIH5006</w:t>
      </w:r>
    </w:p>
    <w:p w14:paraId="7B5D317F" w14:textId="77777777" w:rsidR="009C6046" w:rsidRDefault="009C6046" w:rsidP="00487842">
      <w:pPr>
        <w:spacing w:line="360" w:lineRule="auto"/>
        <w:jc w:val="center"/>
        <w:rPr>
          <w:rFonts w:ascii="Arial" w:hAnsi="Arial" w:cs="Arial"/>
          <w:b/>
          <w:sz w:val="24"/>
          <w:szCs w:val="24"/>
        </w:rPr>
      </w:pPr>
      <w:r w:rsidRPr="009C6046">
        <w:rPr>
          <w:rFonts w:ascii="Arial" w:hAnsi="Arial" w:cs="Arial"/>
          <w:b/>
          <w:sz w:val="24"/>
          <w:szCs w:val="24"/>
        </w:rPr>
        <w:t>Lecturer</w:t>
      </w:r>
      <w:r>
        <w:rPr>
          <w:rFonts w:ascii="Arial" w:hAnsi="Arial" w:cs="Arial"/>
          <w:b/>
          <w:sz w:val="24"/>
          <w:szCs w:val="24"/>
        </w:rPr>
        <w:t>: Kathryn Roberts</w:t>
      </w:r>
    </w:p>
    <w:p w14:paraId="4140C2E8" w14:textId="5BB24091" w:rsidR="009C6046" w:rsidRDefault="001A4243" w:rsidP="00487842">
      <w:pPr>
        <w:spacing w:line="360" w:lineRule="auto"/>
        <w:ind w:left="720"/>
        <w:jc w:val="center"/>
        <w:rPr>
          <w:rFonts w:ascii="Arial" w:hAnsi="Arial" w:cs="Arial"/>
          <w:b/>
          <w:sz w:val="24"/>
          <w:szCs w:val="24"/>
        </w:rPr>
      </w:pPr>
      <w:r>
        <w:rPr>
          <w:rFonts w:ascii="Arial" w:hAnsi="Arial" w:cs="Arial"/>
          <w:b/>
          <w:sz w:val="24"/>
          <w:szCs w:val="24"/>
        </w:rPr>
        <w:t>Assignment: Essay</w:t>
      </w:r>
    </w:p>
    <w:p w14:paraId="73EA7A72" w14:textId="4B9DC912" w:rsidR="001A4243" w:rsidRDefault="001A4243" w:rsidP="00487842">
      <w:pPr>
        <w:spacing w:line="360" w:lineRule="auto"/>
        <w:ind w:left="720"/>
        <w:jc w:val="center"/>
        <w:rPr>
          <w:rFonts w:ascii="Arial" w:hAnsi="Arial" w:cs="Arial"/>
          <w:b/>
          <w:sz w:val="24"/>
          <w:szCs w:val="24"/>
        </w:rPr>
      </w:pPr>
      <w:r>
        <w:rPr>
          <w:rFonts w:ascii="Arial" w:hAnsi="Arial" w:cs="Arial"/>
          <w:b/>
          <w:sz w:val="24"/>
          <w:szCs w:val="24"/>
        </w:rPr>
        <w:t>Word Count: 2000</w:t>
      </w:r>
    </w:p>
    <w:p w14:paraId="1415ADCA" w14:textId="0195340F" w:rsidR="001A4243" w:rsidRDefault="001A4243" w:rsidP="00487842">
      <w:pPr>
        <w:spacing w:line="360" w:lineRule="auto"/>
        <w:ind w:left="720"/>
        <w:jc w:val="center"/>
        <w:rPr>
          <w:rFonts w:ascii="Arial" w:hAnsi="Arial" w:cs="Arial"/>
          <w:b/>
          <w:sz w:val="24"/>
          <w:szCs w:val="24"/>
        </w:rPr>
      </w:pPr>
      <w:r>
        <w:rPr>
          <w:rFonts w:ascii="Arial" w:hAnsi="Arial" w:cs="Arial"/>
          <w:b/>
          <w:sz w:val="24"/>
          <w:szCs w:val="24"/>
        </w:rPr>
        <w:t>Student Name: Ana Maria Dumitru</w:t>
      </w:r>
    </w:p>
    <w:p w14:paraId="581FBEC3" w14:textId="5F8DBC96" w:rsidR="001A4243" w:rsidRDefault="001A4243" w:rsidP="00487842">
      <w:pPr>
        <w:spacing w:line="360" w:lineRule="auto"/>
        <w:ind w:left="720"/>
        <w:jc w:val="center"/>
        <w:rPr>
          <w:rFonts w:ascii="Arial" w:hAnsi="Arial" w:cs="Arial"/>
          <w:b/>
          <w:sz w:val="24"/>
          <w:szCs w:val="24"/>
        </w:rPr>
      </w:pPr>
      <w:r>
        <w:rPr>
          <w:rFonts w:ascii="Arial" w:hAnsi="Arial" w:cs="Arial"/>
          <w:b/>
          <w:sz w:val="24"/>
          <w:szCs w:val="24"/>
        </w:rPr>
        <w:t>Student ID: 2127610</w:t>
      </w:r>
    </w:p>
    <w:p w14:paraId="6C821C2A" w14:textId="77777777" w:rsidR="009C6046" w:rsidRDefault="009C6046" w:rsidP="009C6046">
      <w:pPr>
        <w:spacing w:line="360" w:lineRule="auto"/>
        <w:ind w:left="720"/>
        <w:jc w:val="center"/>
        <w:rPr>
          <w:rFonts w:ascii="Arial" w:hAnsi="Arial" w:cs="Arial"/>
          <w:b/>
          <w:sz w:val="24"/>
          <w:szCs w:val="24"/>
        </w:rPr>
      </w:pPr>
    </w:p>
    <w:p w14:paraId="567F67F3" w14:textId="77777777" w:rsidR="009C6046" w:rsidRDefault="009C6046">
      <w:pPr>
        <w:rPr>
          <w:rFonts w:ascii="Arial" w:hAnsi="Arial" w:cs="Arial"/>
          <w:b/>
          <w:sz w:val="24"/>
          <w:szCs w:val="24"/>
        </w:rPr>
      </w:pPr>
      <w:r>
        <w:rPr>
          <w:rFonts w:ascii="Arial" w:hAnsi="Arial" w:cs="Arial"/>
          <w:b/>
          <w:sz w:val="24"/>
          <w:szCs w:val="24"/>
        </w:rPr>
        <w:br w:type="page"/>
      </w:r>
    </w:p>
    <w:sdt>
      <w:sdtPr>
        <w:rPr>
          <w:rFonts w:asciiTheme="minorHAnsi" w:eastAsiaTheme="minorHAnsi" w:hAnsiTheme="minorHAnsi" w:cstheme="minorBidi"/>
          <w:color w:val="auto"/>
          <w:sz w:val="22"/>
          <w:szCs w:val="22"/>
        </w:rPr>
        <w:id w:val="-1339844841"/>
        <w:docPartObj>
          <w:docPartGallery w:val="Table of Contents"/>
          <w:docPartUnique/>
        </w:docPartObj>
      </w:sdtPr>
      <w:sdtEndPr>
        <w:rPr>
          <w:b/>
          <w:bCs/>
          <w:noProof/>
        </w:rPr>
      </w:sdtEndPr>
      <w:sdtContent>
        <w:p w14:paraId="70C3B64F" w14:textId="77777777" w:rsidR="004943F8" w:rsidRPr="004943F8" w:rsidRDefault="004943F8" w:rsidP="004943F8">
          <w:pPr>
            <w:pStyle w:val="TOCHeading"/>
            <w:jc w:val="center"/>
            <w:rPr>
              <w:rFonts w:ascii="Arial" w:hAnsi="Arial" w:cs="Arial"/>
              <w:b/>
              <w:color w:val="auto"/>
              <w:sz w:val="24"/>
              <w:szCs w:val="24"/>
            </w:rPr>
          </w:pPr>
          <w:r w:rsidRPr="004943F8">
            <w:rPr>
              <w:rFonts w:ascii="Arial" w:hAnsi="Arial" w:cs="Arial"/>
              <w:b/>
              <w:color w:val="auto"/>
              <w:sz w:val="24"/>
              <w:szCs w:val="24"/>
            </w:rPr>
            <w:t>Table of Contents</w:t>
          </w:r>
        </w:p>
        <w:p w14:paraId="1F35D728" w14:textId="77777777" w:rsidR="00307494" w:rsidRDefault="004943F8">
          <w:pPr>
            <w:pStyle w:val="TOC1"/>
            <w:tabs>
              <w:tab w:val="left" w:pos="440"/>
              <w:tab w:val="right" w:leader="dot" w:pos="9350"/>
            </w:tabs>
            <w:rPr>
              <w:rFonts w:eastAsiaTheme="minorEastAsia"/>
              <w:noProof/>
            </w:rPr>
          </w:pPr>
          <w:r>
            <w:fldChar w:fldCharType="begin"/>
          </w:r>
          <w:r>
            <w:instrText xml:space="preserve"> TOC \o "1-3" \h \z \u </w:instrText>
          </w:r>
          <w:r>
            <w:fldChar w:fldCharType="separate"/>
          </w:r>
          <w:hyperlink w:anchor="_Toc157432707" w:history="1">
            <w:r w:rsidR="00307494" w:rsidRPr="0065686F">
              <w:rPr>
                <w:rStyle w:val="Hyperlink"/>
                <w:rFonts w:ascii="Arial" w:hAnsi="Arial" w:cs="Arial"/>
                <w:b/>
                <w:noProof/>
              </w:rPr>
              <w:t>1</w:t>
            </w:r>
            <w:r w:rsidR="00307494">
              <w:rPr>
                <w:rFonts w:eastAsiaTheme="minorEastAsia"/>
                <w:noProof/>
              </w:rPr>
              <w:tab/>
            </w:r>
            <w:r w:rsidR="00307494" w:rsidRPr="0065686F">
              <w:rPr>
                <w:rStyle w:val="Hyperlink"/>
                <w:rFonts w:ascii="Arial" w:hAnsi="Arial" w:cs="Arial"/>
                <w:b/>
                <w:noProof/>
              </w:rPr>
              <w:t>Introduction</w:t>
            </w:r>
            <w:r w:rsidR="00307494">
              <w:rPr>
                <w:noProof/>
                <w:webHidden/>
              </w:rPr>
              <w:tab/>
            </w:r>
            <w:r w:rsidR="00307494">
              <w:rPr>
                <w:noProof/>
                <w:webHidden/>
              </w:rPr>
              <w:fldChar w:fldCharType="begin"/>
            </w:r>
            <w:r w:rsidR="00307494">
              <w:rPr>
                <w:noProof/>
                <w:webHidden/>
              </w:rPr>
              <w:instrText xml:space="preserve"> PAGEREF _Toc157432707 \h </w:instrText>
            </w:r>
            <w:r w:rsidR="00307494">
              <w:rPr>
                <w:noProof/>
                <w:webHidden/>
              </w:rPr>
            </w:r>
            <w:r w:rsidR="00307494">
              <w:rPr>
                <w:noProof/>
                <w:webHidden/>
              </w:rPr>
              <w:fldChar w:fldCharType="separate"/>
            </w:r>
            <w:r w:rsidR="00307494">
              <w:rPr>
                <w:noProof/>
                <w:webHidden/>
              </w:rPr>
              <w:t>3</w:t>
            </w:r>
            <w:r w:rsidR="00307494">
              <w:rPr>
                <w:noProof/>
                <w:webHidden/>
              </w:rPr>
              <w:fldChar w:fldCharType="end"/>
            </w:r>
          </w:hyperlink>
        </w:p>
        <w:p w14:paraId="6F8BE714" w14:textId="77777777" w:rsidR="00307494" w:rsidRDefault="00000000">
          <w:pPr>
            <w:pStyle w:val="TOC1"/>
            <w:tabs>
              <w:tab w:val="left" w:pos="440"/>
              <w:tab w:val="right" w:leader="dot" w:pos="9350"/>
            </w:tabs>
            <w:rPr>
              <w:rFonts w:eastAsiaTheme="minorEastAsia"/>
              <w:noProof/>
            </w:rPr>
          </w:pPr>
          <w:hyperlink w:anchor="_Toc157432708" w:history="1">
            <w:r w:rsidR="00307494" w:rsidRPr="0065686F">
              <w:rPr>
                <w:rStyle w:val="Hyperlink"/>
                <w:rFonts w:ascii="Arial" w:hAnsi="Arial" w:cs="Arial"/>
                <w:b/>
                <w:noProof/>
              </w:rPr>
              <w:t>2</w:t>
            </w:r>
            <w:r w:rsidR="00307494">
              <w:rPr>
                <w:rFonts w:eastAsiaTheme="minorEastAsia"/>
                <w:noProof/>
              </w:rPr>
              <w:tab/>
            </w:r>
            <w:r w:rsidR="00307494" w:rsidRPr="0065686F">
              <w:rPr>
                <w:rStyle w:val="Hyperlink"/>
                <w:rFonts w:ascii="Arial" w:hAnsi="Arial" w:cs="Arial"/>
                <w:b/>
                <w:noProof/>
              </w:rPr>
              <w:t>Concept of Circular Economy</w:t>
            </w:r>
            <w:r w:rsidR="00307494">
              <w:rPr>
                <w:noProof/>
                <w:webHidden/>
              </w:rPr>
              <w:tab/>
            </w:r>
            <w:r w:rsidR="00307494">
              <w:rPr>
                <w:noProof/>
                <w:webHidden/>
              </w:rPr>
              <w:fldChar w:fldCharType="begin"/>
            </w:r>
            <w:r w:rsidR="00307494">
              <w:rPr>
                <w:noProof/>
                <w:webHidden/>
              </w:rPr>
              <w:instrText xml:space="preserve"> PAGEREF _Toc157432708 \h </w:instrText>
            </w:r>
            <w:r w:rsidR="00307494">
              <w:rPr>
                <w:noProof/>
                <w:webHidden/>
              </w:rPr>
            </w:r>
            <w:r w:rsidR="00307494">
              <w:rPr>
                <w:noProof/>
                <w:webHidden/>
              </w:rPr>
              <w:fldChar w:fldCharType="separate"/>
            </w:r>
            <w:r w:rsidR="00307494">
              <w:rPr>
                <w:noProof/>
                <w:webHidden/>
              </w:rPr>
              <w:t>3</w:t>
            </w:r>
            <w:r w:rsidR="00307494">
              <w:rPr>
                <w:noProof/>
                <w:webHidden/>
              </w:rPr>
              <w:fldChar w:fldCharType="end"/>
            </w:r>
          </w:hyperlink>
        </w:p>
        <w:p w14:paraId="652CEA64" w14:textId="77777777" w:rsidR="00307494" w:rsidRDefault="00000000">
          <w:pPr>
            <w:pStyle w:val="TOC1"/>
            <w:tabs>
              <w:tab w:val="left" w:pos="440"/>
              <w:tab w:val="right" w:leader="dot" w:pos="9350"/>
            </w:tabs>
            <w:rPr>
              <w:rFonts w:eastAsiaTheme="minorEastAsia"/>
              <w:noProof/>
            </w:rPr>
          </w:pPr>
          <w:hyperlink w:anchor="_Toc157432709" w:history="1">
            <w:r w:rsidR="00307494" w:rsidRPr="0065686F">
              <w:rPr>
                <w:rStyle w:val="Hyperlink"/>
                <w:rFonts w:ascii="Arial" w:hAnsi="Arial" w:cs="Arial"/>
                <w:b/>
                <w:noProof/>
              </w:rPr>
              <w:t>3</w:t>
            </w:r>
            <w:r w:rsidR="00307494">
              <w:rPr>
                <w:rFonts w:eastAsiaTheme="minorEastAsia"/>
                <w:noProof/>
              </w:rPr>
              <w:tab/>
            </w:r>
            <w:r w:rsidR="00307494" w:rsidRPr="0065686F">
              <w:rPr>
                <w:rStyle w:val="Hyperlink"/>
                <w:rFonts w:ascii="Arial" w:hAnsi="Arial" w:cs="Arial"/>
                <w:b/>
                <w:noProof/>
              </w:rPr>
              <w:t>How Circular Economy fits in CSR</w:t>
            </w:r>
            <w:r w:rsidR="00307494">
              <w:rPr>
                <w:noProof/>
                <w:webHidden/>
              </w:rPr>
              <w:tab/>
            </w:r>
            <w:r w:rsidR="00307494">
              <w:rPr>
                <w:noProof/>
                <w:webHidden/>
              </w:rPr>
              <w:fldChar w:fldCharType="begin"/>
            </w:r>
            <w:r w:rsidR="00307494">
              <w:rPr>
                <w:noProof/>
                <w:webHidden/>
              </w:rPr>
              <w:instrText xml:space="preserve"> PAGEREF _Toc157432709 \h </w:instrText>
            </w:r>
            <w:r w:rsidR="00307494">
              <w:rPr>
                <w:noProof/>
                <w:webHidden/>
              </w:rPr>
            </w:r>
            <w:r w:rsidR="00307494">
              <w:rPr>
                <w:noProof/>
                <w:webHidden/>
              </w:rPr>
              <w:fldChar w:fldCharType="separate"/>
            </w:r>
            <w:r w:rsidR="00307494">
              <w:rPr>
                <w:noProof/>
                <w:webHidden/>
              </w:rPr>
              <w:t>4</w:t>
            </w:r>
            <w:r w:rsidR="00307494">
              <w:rPr>
                <w:noProof/>
                <w:webHidden/>
              </w:rPr>
              <w:fldChar w:fldCharType="end"/>
            </w:r>
          </w:hyperlink>
        </w:p>
        <w:p w14:paraId="0728EF8C" w14:textId="77777777" w:rsidR="00307494" w:rsidRPr="00D6799C" w:rsidRDefault="00000000">
          <w:pPr>
            <w:pStyle w:val="TOC1"/>
            <w:tabs>
              <w:tab w:val="left" w:pos="440"/>
              <w:tab w:val="right" w:leader="dot" w:pos="9350"/>
            </w:tabs>
            <w:rPr>
              <w:rFonts w:eastAsiaTheme="minorEastAsia"/>
              <w:noProof/>
            </w:rPr>
          </w:pPr>
          <w:hyperlink w:anchor="_Toc157432710" w:history="1">
            <w:r w:rsidR="00307494" w:rsidRPr="00D6799C">
              <w:rPr>
                <w:rStyle w:val="Hyperlink"/>
                <w:rFonts w:ascii="Arial" w:hAnsi="Arial" w:cs="Arial"/>
                <w:b/>
                <w:noProof/>
              </w:rPr>
              <w:t>4</w:t>
            </w:r>
            <w:r w:rsidR="00307494" w:rsidRPr="00D6799C">
              <w:rPr>
                <w:rFonts w:eastAsiaTheme="minorEastAsia"/>
                <w:noProof/>
              </w:rPr>
              <w:tab/>
            </w:r>
            <w:r w:rsidR="00307494" w:rsidRPr="00D6799C">
              <w:rPr>
                <w:rStyle w:val="Hyperlink"/>
                <w:rFonts w:ascii="Arial" w:hAnsi="Arial" w:cs="Arial"/>
                <w:b/>
                <w:noProof/>
              </w:rPr>
              <w:t>Circular economy wit</w:t>
            </w:r>
            <w:r w:rsidR="00D6799C" w:rsidRPr="00D6799C">
              <w:rPr>
                <w:rStyle w:val="Hyperlink"/>
                <w:rFonts w:ascii="Arial" w:hAnsi="Arial" w:cs="Arial"/>
                <w:b/>
                <w:noProof/>
              </w:rPr>
              <w:t>h the stance of companie</w:t>
            </w:r>
            <w:r w:rsidR="00307494" w:rsidRPr="00D6799C">
              <w:rPr>
                <w:noProof/>
                <w:webHidden/>
              </w:rPr>
              <w:tab/>
            </w:r>
            <w:r w:rsidR="00307494" w:rsidRPr="00D6799C">
              <w:rPr>
                <w:noProof/>
                <w:webHidden/>
              </w:rPr>
              <w:fldChar w:fldCharType="begin"/>
            </w:r>
            <w:r w:rsidR="00307494" w:rsidRPr="00D6799C">
              <w:rPr>
                <w:noProof/>
                <w:webHidden/>
              </w:rPr>
              <w:instrText xml:space="preserve"> PAGEREF _Toc157432710 \h </w:instrText>
            </w:r>
            <w:r w:rsidR="00307494" w:rsidRPr="00D6799C">
              <w:rPr>
                <w:noProof/>
                <w:webHidden/>
              </w:rPr>
            </w:r>
            <w:r w:rsidR="00307494" w:rsidRPr="00D6799C">
              <w:rPr>
                <w:noProof/>
                <w:webHidden/>
              </w:rPr>
              <w:fldChar w:fldCharType="separate"/>
            </w:r>
            <w:r w:rsidR="00307494" w:rsidRPr="00D6799C">
              <w:rPr>
                <w:noProof/>
                <w:webHidden/>
              </w:rPr>
              <w:t>5</w:t>
            </w:r>
            <w:r w:rsidR="00307494" w:rsidRPr="00D6799C">
              <w:rPr>
                <w:noProof/>
                <w:webHidden/>
              </w:rPr>
              <w:fldChar w:fldCharType="end"/>
            </w:r>
          </w:hyperlink>
        </w:p>
        <w:p w14:paraId="487A92F1" w14:textId="77777777" w:rsidR="00307494" w:rsidRDefault="00000000">
          <w:pPr>
            <w:pStyle w:val="TOC1"/>
            <w:tabs>
              <w:tab w:val="left" w:pos="440"/>
              <w:tab w:val="right" w:leader="dot" w:pos="9350"/>
            </w:tabs>
            <w:rPr>
              <w:rFonts w:eastAsiaTheme="minorEastAsia"/>
              <w:noProof/>
            </w:rPr>
          </w:pPr>
          <w:hyperlink w:anchor="_Toc157432711" w:history="1">
            <w:r w:rsidR="00307494" w:rsidRPr="00D6799C">
              <w:rPr>
                <w:rStyle w:val="Hyperlink"/>
                <w:rFonts w:ascii="Arial" w:hAnsi="Arial" w:cs="Arial"/>
                <w:b/>
                <w:noProof/>
              </w:rPr>
              <w:t>5</w:t>
            </w:r>
            <w:r w:rsidR="00307494" w:rsidRPr="00D6799C">
              <w:rPr>
                <w:rFonts w:eastAsiaTheme="minorEastAsia"/>
                <w:noProof/>
              </w:rPr>
              <w:tab/>
            </w:r>
            <w:r w:rsidR="00307494" w:rsidRPr="00D6799C">
              <w:rPr>
                <w:rStyle w:val="Hyperlink"/>
                <w:rFonts w:ascii="Arial" w:hAnsi="Arial" w:cs="Arial"/>
                <w:b/>
                <w:noProof/>
              </w:rPr>
              <w:t>Marriott circular econ</w:t>
            </w:r>
            <w:r w:rsidR="00D6799C" w:rsidRPr="00D6799C">
              <w:rPr>
                <w:rStyle w:val="Hyperlink"/>
                <w:rFonts w:ascii="Arial" w:hAnsi="Arial" w:cs="Arial"/>
                <w:b/>
                <w:noProof/>
              </w:rPr>
              <w:t>omy within CSR context</w:t>
            </w:r>
            <w:r w:rsidR="00307494" w:rsidRPr="00D6799C">
              <w:rPr>
                <w:noProof/>
                <w:webHidden/>
              </w:rPr>
              <w:tab/>
            </w:r>
            <w:r w:rsidR="00307494" w:rsidRPr="00D6799C">
              <w:rPr>
                <w:noProof/>
                <w:webHidden/>
              </w:rPr>
              <w:fldChar w:fldCharType="begin"/>
            </w:r>
            <w:r w:rsidR="00307494" w:rsidRPr="00D6799C">
              <w:rPr>
                <w:noProof/>
                <w:webHidden/>
              </w:rPr>
              <w:instrText xml:space="preserve"> PAGEREF _Toc157432711 \h </w:instrText>
            </w:r>
            <w:r w:rsidR="00307494" w:rsidRPr="00D6799C">
              <w:rPr>
                <w:noProof/>
                <w:webHidden/>
              </w:rPr>
            </w:r>
            <w:r w:rsidR="00307494" w:rsidRPr="00D6799C">
              <w:rPr>
                <w:noProof/>
                <w:webHidden/>
              </w:rPr>
              <w:fldChar w:fldCharType="separate"/>
            </w:r>
            <w:r w:rsidR="00307494" w:rsidRPr="00D6799C">
              <w:rPr>
                <w:noProof/>
                <w:webHidden/>
              </w:rPr>
              <w:t>5</w:t>
            </w:r>
            <w:r w:rsidR="00307494" w:rsidRPr="00D6799C">
              <w:rPr>
                <w:noProof/>
                <w:webHidden/>
              </w:rPr>
              <w:fldChar w:fldCharType="end"/>
            </w:r>
          </w:hyperlink>
        </w:p>
        <w:p w14:paraId="21641386" w14:textId="77777777" w:rsidR="00307494" w:rsidRDefault="00000000">
          <w:pPr>
            <w:pStyle w:val="TOC1"/>
            <w:tabs>
              <w:tab w:val="left" w:pos="440"/>
              <w:tab w:val="right" w:leader="dot" w:pos="9350"/>
            </w:tabs>
            <w:rPr>
              <w:rFonts w:eastAsiaTheme="minorEastAsia"/>
              <w:noProof/>
            </w:rPr>
          </w:pPr>
          <w:hyperlink w:anchor="_Toc157432712" w:history="1">
            <w:r w:rsidR="00307494" w:rsidRPr="0065686F">
              <w:rPr>
                <w:rStyle w:val="Hyperlink"/>
                <w:rFonts w:ascii="Arial" w:hAnsi="Arial" w:cs="Arial"/>
                <w:b/>
                <w:noProof/>
              </w:rPr>
              <w:t>6</w:t>
            </w:r>
            <w:r w:rsidR="00307494">
              <w:rPr>
                <w:rFonts w:eastAsiaTheme="minorEastAsia"/>
                <w:noProof/>
              </w:rPr>
              <w:tab/>
            </w:r>
            <w:r w:rsidR="00307494" w:rsidRPr="0065686F">
              <w:rPr>
                <w:rStyle w:val="Hyperlink"/>
                <w:rFonts w:ascii="Arial" w:hAnsi="Arial" w:cs="Arial"/>
                <w:b/>
                <w:noProof/>
              </w:rPr>
              <w:t>Conclusion</w:t>
            </w:r>
            <w:r w:rsidR="00307494">
              <w:rPr>
                <w:noProof/>
                <w:webHidden/>
              </w:rPr>
              <w:tab/>
            </w:r>
            <w:r w:rsidR="00307494">
              <w:rPr>
                <w:noProof/>
                <w:webHidden/>
              </w:rPr>
              <w:fldChar w:fldCharType="begin"/>
            </w:r>
            <w:r w:rsidR="00307494">
              <w:rPr>
                <w:noProof/>
                <w:webHidden/>
              </w:rPr>
              <w:instrText xml:space="preserve"> PAGEREF _Toc157432712 \h </w:instrText>
            </w:r>
            <w:r w:rsidR="00307494">
              <w:rPr>
                <w:noProof/>
                <w:webHidden/>
              </w:rPr>
            </w:r>
            <w:r w:rsidR="00307494">
              <w:rPr>
                <w:noProof/>
                <w:webHidden/>
              </w:rPr>
              <w:fldChar w:fldCharType="separate"/>
            </w:r>
            <w:r w:rsidR="00307494">
              <w:rPr>
                <w:noProof/>
                <w:webHidden/>
              </w:rPr>
              <w:t>5</w:t>
            </w:r>
            <w:r w:rsidR="00307494">
              <w:rPr>
                <w:noProof/>
                <w:webHidden/>
              </w:rPr>
              <w:fldChar w:fldCharType="end"/>
            </w:r>
          </w:hyperlink>
        </w:p>
        <w:p w14:paraId="174DCBB5" w14:textId="77777777" w:rsidR="00307494" w:rsidRDefault="00000000">
          <w:pPr>
            <w:pStyle w:val="TOC1"/>
            <w:tabs>
              <w:tab w:val="left" w:pos="440"/>
              <w:tab w:val="right" w:leader="dot" w:pos="9350"/>
            </w:tabs>
            <w:rPr>
              <w:rFonts w:eastAsiaTheme="minorEastAsia"/>
              <w:noProof/>
            </w:rPr>
          </w:pPr>
          <w:hyperlink w:anchor="_Toc157432713" w:history="1">
            <w:r w:rsidR="00307494" w:rsidRPr="0065686F">
              <w:rPr>
                <w:rStyle w:val="Hyperlink"/>
                <w:rFonts w:ascii="Arial" w:hAnsi="Arial" w:cs="Arial"/>
                <w:b/>
                <w:noProof/>
              </w:rPr>
              <w:t>7</w:t>
            </w:r>
            <w:r w:rsidR="00307494">
              <w:rPr>
                <w:rFonts w:eastAsiaTheme="minorEastAsia"/>
                <w:noProof/>
              </w:rPr>
              <w:tab/>
            </w:r>
            <w:r w:rsidR="00307494" w:rsidRPr="0065686F">
              <w:rPr>
                <w:rStyle w:val="Hyperlink"/>
                <w:rFonts w:ascii="Arial" w:hAnsi="Arial" w:cs="Arial"/>
                <w:b/>
                <w:noProof/>
              </w:rPr>
              <w:t>References</w:t>
            </w:r>
            <w:r w:rsidR="00307494">
              <w:rPr>
                <w:noProof/>
                <w:webHidden/>
              </w:rPr>
              <w:tab/>
            </w:r>
            <w:r w:rsidR="00307494">
              <w:rPr>
                <w:noProof/>
                <w:webHidden/>
              </w:rPr>
              <w:fldChar w:fldCharType="begin"/>
            </w:r>
            <w:r w:rsidR="00307494">
              <w:rPr>
                <w:noProof/>
                <w:webHidden/>
              </w:rPr>
              <w:instrText xml:space="preserve"> PAGEREF _Toc157432713 \h </w:instrText>
            </w:r>
            <w:r w:rsidR="00307494">
              <w:rPr>
                <w:noProof/>
                <w:webHidden/>
              </w:rPr>
            </w:r>
            <w:r w:rsidR="00307494">
              <w:rPr>
                <w:noProof/>
                <w:webHidden/>
              </w:rPr>
              <w:fldChar w:fldCharType="separate"/>
            </w:r>
            <w:r w:rsidR="00307494">
              <w:rPr>
                <w:noProof/>
                <w:webHidden/>
              </w:rPr>
              <w:t>6</w:t>
            </w:r>
            <w:r w:rsidR="00307494">
              <w:rPr>
                <w:noProof/>
                <w:webHidden/>
              </w:rPr>
              <w:fldChar w:fldCharType="end"/>
            </w:r>
          </w:hyperlink>
        </w:p>
        <w:p w14:paraId="1E8C91EF" w14:textId="77777777" w:rsidR="004943F8" w:rsidRDefault="004943F8">
          <w:r>
            <w:rPr>
              <w:b/>
              <w:bCs/>
              <w:noProof/>
            </w:rPr>
            <w:fldChar w:fldCharType="end"/>
          </w:r>
        </w:p>
      </w:sdtContent>
    </w:sdt>
    <w:p w14:paraId="11C733A0" w14:textId="77777777" w:rsidR="009C6046" w:rsidRDefault="009C6046" w:rsidP="004943F8">
      <w:pPr>
        <w:spacing w:line="360" w:lineRule="auto"/>
        <w:jc w:val="both"/>
        <w:rPr>
          <w:rFonts w:ascii="Arial" w:hAnsi="Arial" w:cs="Arial"/>
          <w:b/>
          <w:sz w:val="24"/>
          <w:szCs w:val="24"/>
        </w:rPr>
      </w:pPr>
    </w:p>
    <w:p w14:paraId="221444A3" w14:textId="77777777" w:rsidR="009C6046" w:rsidRDefault="009C6046">
      <w:pPr>
        <w:rPr>
          <w:rFonts w:ascii="Arial" w:hAnsi="Arial" w:cs="Arial"/>
          <w:b/>
          <w:sz w:val="24"/>
          <w:szCs w:val="24"/>
        </w:rPr>
      </w:pPr>
      <w:r>
        <w:rPr>
          <w:rFonts w:ascii="Arial" w:hAnsi="Arial" w:cs="Arial"/>
          <w:b/>
          <w:sz w:val="24"/>
          <w:szCs w:val="24"/>
        </w:rPr>
        <w:br w:type="page"/>
      </w:r>
    </w:p>
    <w:p w14:paraId="7E99EDF0" w14:textId="77777777" w:rsidR="009C6046" w:rsidRPr="00D6799C" w:rsidRDefault="009C6046" w:rsidP="00D6799C">
      <w:pPr>
        <w:pStyle w:val="Heading1"/>
        <w:spacing w:line="360" w:lineRule="auto"/>
        <w:jc w:val="both"/>
        <w:rPr>
          <w:rFonts w:ascii="Arial" w:hAnsi="Arial" w:cs="Arial"/>
          <w:b/>
          <w:color w:val="auto"/>
          <w:sz w:val="24"/>
          <w:szCs w:val="24"/>
        </w:rPr>
      </w:pPr>
      <w:bookmarkStart w:id="0" w:name="_Toc157432707"/>
      <w:r w:rsidRPr="00D6799C">
        <w:rPr>
          <w:rFonts w:ascii="Arial" w:hAnsi="Arial" w:cs="Arial"/>
          <w:b/>
          <w:color w:val="auto"/>
          <w:sz w:val="24"/>
          <w:szCs w:val="24"/>
        </w:rPr>
        <w:lastRenderedPageBreak/>
        <w:t>Introduction</w:t>
      </w:r>
      <w:bookmarkEnd w:id="0"/>
      <w:r w:rsidRPr="00D6799C">
        <w:rPr>
          <w:rFonts w:ascii="Arial" w:hAnsi="Arial" w:cs="Arial"/>
          <w:b/>
          <w:color w:val="auto"/>
          <w:sz w:val="24"/>
          <w:szCs w:val="24"/>
        </w:rPr>
        <w:t xml:space="preserve"> </w:t>
      </w:r>
      <w:r w:rsidR="004943F8" w:rsidRPr="00D6799C">
        <w:rPr>
          <w:rFonts w:ascii="Arial" w:hAnsi="Arial" w:cs="Arial"/>
          <w:b/>
          <w:color w:val="auto"/>
          <w:sz w:val="24"/>
          <w:szCs w:val="24"/>
        </w:rPr>
        <w:t xml:space="preserve">  </w:t>
      </w:r>
    </w:p>
    <w:p w14:paraId="724A1063" w14:textId="77777777" w:rsidR="007B1354" w:rsidRPr="00D6799C" w:rsidRDefault="007B1354" w:rsidP="00D6799C">
      <w:pPr>
        <w:spacing w:line="360" w:lineRule="auto"/>
        <w:jc w:val="both"/>
        <w:rPr>
          <w:rFonts w:ascii="Arial" w:hAnsi="Arial" w:cs="Arial"/>
          <w:sz w:val="24"/>
          <w:szCs w:val="24"/>
        </w:rPr>
      </w:pPr>
      <w:r w:rsidRPr="00D6799C">
        <w:rPr>
          <w:rFonts w:ascii="Arial" w:hAnsi="Arial" w:cs="Arial"/>
          <w:sz w:val="24"/>
          <w:szCs w:val="24"/>
        </w:rPr>
        <w:t xml:space="preserve">The fundamental aim of the current era is to attain sustainability development goals therefore, every domain is expected to contribute its sustainable share to the accomplishment of this goal. The research indicates that the implementation of the SDGs by businesses is facing difficulty because the stakeholders are not aware of how to operationalize these goals (Sachs et al., 2019). The present report aims to evaluate the sustainable practices within the hospitality industry with respect to the Marriott hotel circular economy within its corporate social responsibility policy. The circular economy is the key concept encouraged by the EU in regard to providing an alternative flow model for the economic system (Korhonen, et al., 2018). It is basically the sustainable model that promotes the recycling and reusing of the production and consumption of the products thus the lifecycle of the products increases. The circular economy could be achieved within the businesses through the means of prolific business strategies the business model is based on. The business strategy can aid the business in achieving the required CSR performance for the firm (Yuan et al., 2019). CSR is the business concept in terms of ethical business strategies which are incorporated by the firms in regards to managing the business practices in terms of social, economic, environmental, and considering human rights. </w:t>
      </w:r>
    </w:p>
    <w:p w14:paraId="1E639E14" w14:textId="77777777" w:rsidR="009C6046" w:rsidRPr="00D6799C" w:rsidRDefault="009C6046" w:rsidP="00D6799C">
      <w:pPr>
        <w:pStyle w:val="Heading1"/>
        <w:spacing w:line="360" w:lineRule="auto"/>
        <w:jc w:val="both"/>
        <w:rPr>
          <w:rFonts w:ascii="Arial" w:hAnsi="Arial" w:cs="Arial"/>
          <w:b/>
          <w:color w:val="auto"/>
          <w:sz w:val="24"/>
          <w:szCs w:val="24"/>
        </w:rPr>
      </w:pPr>
      <w:bookmarkStart w:id="1" w:name="_Toc157432708"/>
      <w:r w:rsidRPr="00D6799C">
        <w:rPr>
          <w:rFonts w:ascii="Arial" w:hAnsi="Arial" w:cs="Arial"/>
          <w:b/>
          <w:color w:val="auto"/>
          <w:sz w:val="24"/>
          <w:szCs w:val="24"/>
        </w:rPr>
        <w:t>Concept of Circular Economy</w:t>
      </w:r>
      <w:bookmarkEnd w:id="1"/>
      <w:r w:rsidR="004943F8" w:rsidRPr="00D6799C">
        <w:rPr>
          <w:rFonts w:ascii="Arial" w:hAnsi="Arial" w:cs="Arial"/>
          <w:b/>
          <w:color w:val="auto"/>
          <w:sz w:val="24"/>
          <w:szCs w:val="24"/>
        </w:rPr>
        <w:t xml:space="preserve"> </w:t>
      </w:r>
    </w:p>
    <w:p w14:paraId="6EB41F55" w14:textId="77777777" w:rsidR="00681DDE" w:rsidRPr="00D6799C" w:rsidRDefault="00681DDE" w:rsidP="00D6799C">
      <w:pPr>
        <w:spacing w:line="360" w:lineRule="auto"/>
        <w:jc w:val="both"/>
        <w:rPr>
          <w:rFonts w:ascii="Arial" w:hAnsi="Arial" w:cs="Arial"/>
          <w:sz w:val="24"/>
          <w:szCs w:val="24"/>
        </w:rPr>
      </w:pPr>
      <w:r w:rsidRPr="00D6799C">
        <w:rPr>
          <w:rFonts w:ascii="Arial" w:hAnsi="Arial" w:cs="Arial"/>
          <w:sz w:val="24"/>
          <w:szCs w:val="24"/>
        </w:rPr>
        <w:t>The circular economy is a model that is based on resource production and consumption through the means of recycling and reusing the product material as long as it is possible. The circular economy is a fruitful way to achieve sustainability as it promotes the innovative perspective related to waste and resource management (Araujo Galvão et al., 2018). The manufacturers design their products within the circular economy in a way that those products can be reused for instance the electrical products can be repaired easily. Moreover, the products made of plastic can be reused and the renewable products can be used as much as possible. Therefore, the circular economy contributes significantly to sustainable practices. The economic model of the circular economy reduces the waste in the greater component which eventually aids in the sustainable environment (</w:t>
      </w:r>
      <w:proofErr w:type="spellStart"/>
      <w:r w:rsidRPr="00D6799C">
        <w:rPr>
          <w:rFonts w:ascii="Arial" w:hAnsi="Arial" w:cs="Arial"/>
          <w:sz w:val="24"/>
          <w:szCs w:val="24"/>
        </w:rPr>
        <w:t>Ghisellini</w:t>
      </w:r>
      <w:proofErr w:type="spellEnd"/>
      <w:r w:rsidRPr="00D6799C">
        <w:rPr>
          <w:rFonts w:ascii="Arial" w:hAnsi="Arial" w:cs="Arial"/>
          <w:sz w:val="24"/>
          <w:szCs w:val="24"/>
        </w:rPr>
        <w:t xml:space="preserve">, et al., 2018). Waste management is directly linked with the circular economy as the waste that is reused and recycled is converted into the economy rather than littering the </w:t>
      </w:r>
      <w:r w:rsidRPr="00D6799C">
        <w:rPr>
          <w:rFonts w:ascii="Arial" w:hAnsi="Arial" w:cs="Arial"/>
          <w:sz w:val="24"/>
          <w:szCs w:val="24"/>
        </w:rPr>
        <w:lastRenderedPageBreak/>
        <w:t xml:space="preserve">landscape. The core aim of the circular economy is to convert the process of manufacturing, supplying, and consuming into a sustainable practice along with fulfilling the requirement of generating sufficient revenues. Through the implementation of the circular economy model within the business strategies the objectives of sustainability development goals could be achieved.   </w:t>
      </w:r>
    </w:p>
    <w:p w14:paraId="0F22F751" w14:textId="77777777" w:rsidR="009C6046" w:rsidRPr="00D6799C" w:rsidRDefault="009C6046" w:rsidP="00D6799C">
      <w:pPr>
        <w:pStyle w:val="Heading1"/>
        <w:spacing w:line="360" w:lineRule="auto"/>
        <w:jc w:val="both"/>
        <w:rPr>
          <w:rFonts w:ascii="Arial" w:hAnsi="Arial" w:cs="Arial"/>
          <w:b/>
          <w:color w:val="auto"/>
          <w:sz w:val="24"/>
          <w:szCs w:val="24"/>
        </w:rPr>
      </w:pPr>
      <w:bookmarkStart w:id="2" w:name="_Toc157432709"/>
      <w:r w:rsidRPr="00D6799C">
        <w:rPr>
          <w:rFonts w:ascii="Arial" w:hAnsi="Arial" w:cs="Arial"/>
          <w:b/>
          <w:color w:val="auto"/>
          <w:sz w:val="24"/>
          <w:szCs w:val="24"/>
        </w:rPr>
        <w:t>How Circular Economy fits in CSR</w:t>
      </w:r>
      <w:bookmarkEnd w:id="2"/>
      <w:r w:rsidR="00E94B85" w:rsidRPr="00D6799C">
        <w:rPr>
          <w:rFonts w:ascii="Arial" w:hAnsi="Arial" w:cs="Arial"/>
          <w:b/>
          <w:color w:val="auto"/>
          <w:sz w:val="24"/>
          <w:szCs w:val="24"/>
        </w:rPr>
        <w:t xml:space="preserve"> </w:t>
      </w:r>
    </w:p>
    <w:p w14:paraId="4B76A695" w14:textId="77777777" w:rsidR="00681DDE" w:rsidRPr="00D6799C" w:rsidRDefault="006072AA" w:rsidP="00D6799C">
      <w:pPr>
        <w:spacing w:line="360" w:lineRule="auto"/>
        <w:jc w:val="both"/>
        <w:rPr>
          <w:rFonts w:ascii="Arial" w:hAnsi="Arial" w:cs="Arial"/>
          <w:sz w:val="24"/>
          <w:szCs w:val="24"/>
        </w:rPr>
      </w:pPr>
      <w:r w:rsidRPr="00D6799C">
        <w:rPr>
          <w:rFonts w:ascii="Arial" w:hAnsi="Arial" w:cs="Arial"/>
          <w:sz w:val="24"/>
          <w:szCs w:val="24"/>
        </w:rPr>
        <w:t xml:space="preserve">The corporate social responsibility model is associated with the business plan in terms of the business being accountable for its success along with the stakeholders and social community. Therefore, the CSR policies are designed by the businesses in regards to attaining the desired outcomes through providing ethical business operations. The study highlights that the companies that incurred or invested greatly within their CSR policies prosper in terms of generating efficient revenue (Okafor, et al., 2021). The reason behind their progress is the guidelines they follow in regard to performing within the ethical spectrum which influence the stakeholders. The incorporation of a circular economy within the CSR policies aids businesses in adding value to their business practices along with enhancing the sustainable environment. This is because the influential impact of the circular economy on social responsibility plays a vital role in enhancing the company's reputation in terms of achieving sustainability goals. According to the study, multinational companies can develop their CSR policies in regard to attaining the circular economy and in return achieve the business goals (Esken, et al., 2018). This justifies that the circular economy incorporation within the CSR policies is the influential element that can aid the companies in accomplishing their core objectives. This is due to the reason that the circular economy aims for sustainability and the CSR is the ethical practices that are associated with the business model or strategies. The study states that the integration of CSR policies and the circular economy can pave the way for business towards sustainable and environmentally friendly production (Morea, et al., 2021). This signifies that the correlation of CSR and circular economy is positive in terms of achieving business ethical and sustainable objectives. As the CSR associated with the business in regards to design and developing the business on the ground of social responsibility of the business towards the community thus, it indicates that the business must incorporate ethical factors. However, the circular economy also has the basic principle of elevating </w:t>
      </w:r>
      <w:r w:rsidRPr="00D6799C">
        <w:rPr>
          <w:rFonts w:ascii="Arial" w:hAnsi="Arial" w:cs="Arial"/>
          <w:sz w:val="24"/>
          <w:szCs w:val="24"/>
        </w:rPr>
        <w:lastRenderedPageBreak/>
        <w:t xml:space="preserve">sustainability through the means of business practices and other sources as well. Therefore, both models are interlinked or directly associated with each other's objectives to attain sustainable goals by providing social stability. The implementation of the circular economy within the CSR policies can aid the company in achieving its objectives along with the prosperity of the community. Therefore, the circular economy can be included within the policy of CSR in regard to achieving company's and community's benefits.   </w:t>
      </w:r>
    </w:p>
    <w:p w14:paraId="21E178E6" w14:textId="77777777" w:rsidR="00E94B85" w:rsidRPr="00D6799C" w:rsidRDefault="00E94B85" w:rsidP="00D6799C">
      <w:pPr>
        <w:pStyle w:val="Heading1"/>
        <w:spacing w:line="360" w:lineRule="auto"/>
        <w:jc w:val="both"/>
        <w:rPr>
          <w:rFonts w:ascii="Arial" w:hAnsi="Arial" w:cs="Arial"/>
          <w:b/>
          <w:color w:val="auto"/>
          <w:sz w:val="24"/>
          <w:szCs w:val="24"/>
        </w:rPr>
      </w:pPr>
      <w:bookmarkStart w:id="3" w:name="_Toc157432710"/>
      <w:r w:rsidRPr="00D6799C">
        <w:rPr>
          <w:rFonts w:ascii="Arial" w:hAnsi="Arial" w:cs="Arial"/>
          <w:b/>
          <w:color w:val="auto"/>
          <w:sz w:val="24"/>
          <w:szCs w:val="24"/>
        </w:rPr>
        <w:t xml:space="preserve">Circular economy with the stance of companies </w:t>
      </w:r>
      <w:bookmarkEnd w:id="3"/>
    </w:p>
    <w:p w14:paraId="61E7D011" w14:textId="77777777" w:rsidR="00D6799C" w:rsidRPr="00D6799C" w:rsidRDefault="00D6799C" w:rsidP="00D6799C">
      <w:pPr>
        <w:spacing w:line="360" w:lineRule="auto"/>
        <w:jc w:val="both"/>
        <w:rPr>
          <w:rFonts w:ascii="Arial" w:hAnsi="Arial" w:cs="Arial"/>
          <w:sz w:val="24"/>
          <w:szCs w:val="24"/>
        </w:rPr>
      </w:pPr>
      <w:r w:rsidRPr="00D6799C">
        <w:rPr>
          <w:rFonts w:ascii="Arial" w:hAnsi="Arial" w:cs="Arial"/>
          <w:sz w:val="24"/>
          <w:szCs w:val="24"/>
        </w:rPr>
        <w:t>The circular economy is one of the significant models of production and consumption in which the existing materials and products are reused, shared, leased, repaired, refurbished, and recycled for the use of the long term. This circular economy helps to increase and extend the life cycle of products. It helps to minimize waste</w:t>
      </w:r>
      <w:r w:rsidRPr="00D6799C">
        <w:rPr>
          <w:rFonts w:ascii="Arial" w:hAnsi="Arial" w:cs="Arial"/>
          <w:bCs/>
          <w:color w:val="505154"/>
          <w:sz w:val="24"/>
          <w:szCs w:val="24"/>
          <w:bdr w:val="none" w:sz="0" w:space="0" w:color="auto" w:frame="1"/>
        </w:rPr>
        <w:t xml:space="preserve">. </w:t>
      </w:r>
      <w:r w:rsidRPr="00D6799C">
        <w:rPr>
          <w:rFonts w:ascii="Arial" w:hAnsi="Arial" w:cs="Arial"/>
          <w:sz w:val="24"/>
          <w:szCs w:val="24"/>
        </w:rPr>
        <w:t>When a product approaches the end of its lifespan, recycling is used to retain its materials within the economy, if feasible. These may be repeatedly used profitably, therefore generating further value (van Loon et al, 2020). This is a deviation from the conventional, sequential economic paradigm, which is based on a pattern of extraction-production-consumption-disposal. This approach is dependent on abundant supplies of inexpensive and readily available resources and energy.</w:t>
      </w:r>
    </w:p>
    <w:p w14:paraId="15260514" w14:textId="77777777" w:rsidR="00D6799C" w:rsidRPr="00D6799C" w:rsidRDefault="00D6799C" w:rsidP="00D6799C">
      <w:pPr>
        <w:spacing w:line="360" w:lineRule="auto"/>
        <w:jc w:val="both"/>
        <w:rPr>
          <w:rFonts w:ascii="Arial" w:hAnsi="Arial" w:cs="Arial"/>
          <w:sz w:val="24"/>
          <w:szCs w:val="24"/>
        </w:rPr>
      </w:pPr>
      <w:r w:rsidRPr="00D6799C">
        <w:rPr>
          <w:rFonts w:ascii="Arial" w:hAnsi="Arial" w:cs="Arial"/>
          <w:sz w:val="24"/>
          <w:szCs w:val="24"/>
        </w:rPr>
        <w:t xml:space="preserve">Nowadays most companies that use circular economy principles help to inspire other companies to the circular economy and these companies become successful in integrating circular economy into their brand and their business strategies. CHEP is one of the significant examples of a circular economy that provides global supply chain solutions. CHEP is well known for its dedication to achieving circularity. Through offering pallet and vessel pooling offerings, they effectively minimize the need for disposable packaging, minimize waste production, and optimize the use of resources. Their circular supply chain approach entails the recovery and refurbishment of pallets and containers upon each use, guaranteeing their durability. CHEP actively collaborates with partners to enhance resource utilization during the supply chain, fostering cooperation while encouraging sustainable development (Tanveer, 2023). Through the development of new circular business models, companies have established themselves as a prominent brand </w:t>
      </w:r>
      <w:r w:rsidRPr="00D6799C">
        <w:rPr>
          <w:rFonts w:ascii="Arial" w:hAnsi="Arial" w:cs="Arial"/>
          <w:sz w:val="24"/>
          <w:szCs w:val="24"/>
        </w:rPr>
        <w:lastRenderedPageBreak/>
        <w:t xml:space="preserve">known for their commitment to sustainability, efficiency, and cutting-edge supply chain solutions. </w:t>
      </w:r>
    </w:p>
    <w:p w14:paraId="6E9D8F21" w14:textId="77777777" w:rsidR="00D6799C" w:rsidRPr="00D6799C" w:rsidRDefault="00D6799C" w:rsidP="00D6799C">
      <w:pPr>
        <w:spacing w:line="360" w:lineRule="auto"/>
        <w:jc w:val="both"/>
        <w:rPr>
          <w:rFonts w:ascii="Arial" w:hAnsi="Arial" w:cs="Arial"/>
          <w:sz w:val="24"/>
          <w:szCs w:val="24"/>
        </w:rPr>
      </w:pPr>
      <w:r w:rsidRPr="00D6799C">
        <w:rPr>
          <w:rFonts w:ascii="Arial" w:hAnsi="Arial" w:cs="Arial"/>
          <w:sz w:val="24"/>
          <w:szCs w:val="24"/>
        </w:rPr>
        <w:t>The other example is Patagonia, It is an outdoor apparel corporation that is well-recognized for its unwavering dedication to sustainability. They have taken many measures to prolong the life of their goods. The Worn Wear initiative promotes garment maintenance and reuse by providing complimentary repairs and facilitating the resale of pre-owned products. Patagonia has successfully established itself as a prominent brand by fostering a repair-oriented culture and urging consumers to choose durability and long-term use rather than discarding products (Ventura, 2016). This approach corresponds with the concepts of a circular economy, emphasizing the need to extend the lifespan of products.</w:t>
      </w:r>
    </w:p>
    <w:p w14:paraId="2D88CE0A" w14:textId="77777777" w:rsidR="00D6799C" w:rsidRPr="00D6799C" w:rsidRDefault="00D6799C" w:rsidP="00D6799C">
      <w:pPr>
        <w:spacing w:line="360" w:lineRule="auto"/>
        <w:jc w:val="both"/>
        <w:rPr>
          <w:rFonts w:ascii="Arial" w:hAnsi="Arial" w:cs="Arial"/>
          <w:sz w:val="24"/>
          <w:szCs w:val="24"/>
        </w:rPr>
      </w:pPr>
      <w:r w:rsidRPr="00D6799C">
        <w:rPr>
          <w:rFonts w:ascii="Arial" w:hAnsi="Arial" w:cs="Arial"/>
          <w:sz w:val="24"/>
          <w:szCs w:val="24"/>
        </w:rPr>
        <w:t xml:space="preserve">Moreover circular economy helps to reduce the cost of products and minimize waste. In engaging in the practice of reusing elements, repairing items, and refurbishing commodities for resale, organizations can maximize the value derived from resources and assets. This minimizes the demand for additional essential inputs, hence reducing materials expenses. The refurbishment also facilitates the sale of products in hitherto untapped market segments. Patagonia, the outdoor gear business, has maintained a strong and long-standing repair program for many years. Consequently, reclaiming resources at the end of their useful life by recycling or transforming trash into more valuable goods reduces the expenses associated with waste disposal (Zink, and Geyer, 2017). Additionally, it offers a financially advantageous supply of additional inputs. </w:t>
      </w:r>
      <w:proofErr w:type="gramStart"/>
      <w:r w:rsidRPr="00D6799C">
        <w:rPr>
          <w:rFonts w:ascii="Arial" w:hAnsi="Arial" w:cs="Arial"/>
          <w:sz w:val="24"/>
          <w:szCs w:val="24"/>
        </w:rPr>
        <w:t>Therefore</w:t>
      </w:r>
      <w:proofErr w:type="gramEnd"/>
      <w:r w:rsidRPr="00D6799C">
        <w:rPr>
          <w:rFonts w:ascii="Arial" w:hAnsi="Arial" w:cs="Arial"/>
          <w:sz w:val="24"/>
          <w:szCs w:val="24"/>
        </w:rPr>
        <w:t xml:space="preserve"> circular economy helps to provide several benefits to the businesses that make the strengthen of business and business become future-proof. This helps to save costs and also gives innovation to the business. </w:t>
      </w:r>
    </w:p>
    <w:p w14:paraId="74552295" w14:textId="77777777" w:rsidR="00E94B85" w:rsidRPr="00D6799C" w:rsidRDefault="00E94B85" w:rsidP="00D6799C">
      <w:pPr>
        <w:pStyle w:val="Heading1"/>
        <w:spacing w:line="360" w:lineRule="auto"/>
        <w:jc w:val="both"/>
        <w:rPr>
          <w:rFonts w:ascii="Arial" w:hAnsi="Arial" w:cs="Arial"/>
          <w:b/>
          <w:color w:val="auto"/>
          <w:sz w:val="24"/>
          <w:szCs w:val="24"/>
        </w:rPr>
      </w:pPr>
      <w:r w:rsidRPr="00D6799C">
        <w:rPr>
          <w:rFonts w:ascii="Arial" w:hAnsi="Arial" w:cs="Arial"/>
          <w:b/>
          <w:color w:val="auto"/>
          <w:sz w:val="24"/>
          <w:szCs w:val="24"/>
        </w:rPr>
        <w:t xml:space="preserve"> </w:t>
      </w:r>
      <w:bookmarkStart w:id="4" w:name="_Toc157432711"/>
      <w:r w:rsidRPr="00D6799C">
        <w:rPr>
          <w:rFonts w:ascii="Arial" w:hAnsi="Arial" w:cs="Arial"/>
          <w:b/>
          <w:color w:val="auto"/>
          <w:sz w:val="24"/>
          <w:szCs w:val="24"/>
        </w:rPr>
        <w:t>Marriott circular economy within CSR context</w:t>
      </w:r>
      <w:bookmarkEnd w:id="4"/>
    </w:p>
    <w:p w14:paraId="011C9CE1" w14:textId="77777777" w:rsidR="00D6799C" w:rsidRPr="00D6799C" w:rsidRDefault="00D6799C" w:rsidP="00D6799C">
      <w:pPr>
        <w:spacing w:line="360" w:lineRule="auto"/>
        <w:jc w:val="both"/>
        <w:rPr>
          <w:rFonts w:ascii="Arial" w:hAnsi="Arial" w:cs="Arial"/>
          <w:sz w:val="24"/>
          <w:szCs w:val="24"/>
        </w:rPr>
      </w:pPr>
      <w:r w:rsidRPr="00D6799C">
        <w:rPr>
          <w:rFonts w:ascii="Arial" w:hAnsi="Arial" w:cs="Arial"/>
          <w:sz w:val="24"/>
          <w:szCs w:val="24"/>
        </w:rPr>
        <w:t xml:space="preserve">Marriot Hotels uses cutting-edge strategies for actively implementing initiatives for reducing waste worldwide. In the UK, the staff of Heathrow Marriot in London uses several strategies to reduce the waste of trash that is generated such as establishing a Food Waste laboratory to minimize the waste in which they recycle and reuse food waste. The hotel employs innovative methods for utilizing food that might have been thrown away, </w:t>
      </w:r>
      <w:r w:rsidRPr="00D6799C">
        <w:rPr>
          <w:rFonts w:ascii="Arial" w:hAnsi="Arial" w:cs="Arial"/>
          <w:sz w:val="24"/>
          <w:szCs w:val="24"/>
        </w:rPr>
        <w:lastRenderedPageBreak/>
        <w:t>such as fresh jam from the flesh of passion fruit peels (</w:t>
      </w:r>
      <w:proofErr w:type="spellStart"/>
      <w:r w:rsidRPr="00D6799C">
        <w:rPr>
          <w:rFonts w:ascii="Arial" w:hAnsi="Arial" w:cs="Arial"/>
          <w:sz w:val="24"/>
          <w:szCs w:val="24"/>
        </w:rPr>
        <w:t>Ocial</w:t>
      </w:r>
      <w:proofErr w:type="spellEnd"/>
      <w:r w:rsidRPr="00D6799C">
        <w:rPr>
          <w:rFonts w:ascii="Arial" w:hAnsi="Arial" w:cs="Arial"/>
          <w:sz w:val="24"/>
          <w:szCs w:val="24"/>
        </w:rPr>
        <w:t xml:space="preserve">, </w:t>
      </w:r>
      <w:proofErr w:type="spellStart"/>
      <w:r w:rsidRPr="00D6799C">
        <w:rPr>
          <w:rFonts w:ascii="Arial" w:hAnsi="Arial" w:cs="Arial"/>
          <w:sz w:val="24"/>
          <w:szCs w:val="24"/>
        </w:rPr>
        <w:t>Overnance</w:t>
      </w:r>
      <w:proofErr w:type="spellEnd"/>
      <w:r w:rsidRPr="00D6799C">
        <w:rPr>
          <w:rFonts w:ascii="Arial" w:hAnsi="Arial" w:cs="Arial"/>
          <w:sz w:val="24"/>
          <w:szCs w:val="24"/>
        </w:rPr>
        <w:t xml:space="preserve">, and </w:t>
      </w:r>
      <w:proofErr w:type="spellStart"/>
      <w:r w:rsidRPr="00D6799C">
        <w:rPr>
          <w:rFonts w:ascii="Arial" w:hAnsi="Arial" w:cs="Arial"/>
          <w:sz w:val="24"/>
          <w:szCs w:val="24"/>
        </w:rPr>
        <w:t>Ppendices</w:t>
      </w:r>
      <w:proofErr w:type="spellEnd"/>
      <w:r w:rsidRPr="00D6799C">
        <w:rPr>
          <w:rFonts w:ascii="Arial" w:hAnsi="Arial" w:cs="Arial"/>
          <w:sz w:val="24"/>
          <w:szCs w:val="24"/>
        </w:rPr>
        <w:t xml:space="preserve"> 2022). Through these procedures, the hotel managed to recycle possible food waste that is approximately 400lbs which is 180kg, and in only one month.</w:t>
      </w:r>
    </w:p>
    <w:p w14:paraId="41BB02D5" w14:textId="77777777" w:rsidR="00D6799C" w:rsidRPr="00D6799C" w:rsidRDefault="00D6799C" w:rsidP="00D6799C">
      <w:pPr>
        <w:spacing w:line="360" w:lineRule="auto"/>
        <w:jc w:val="both"/>
        <w:rPr>
          <w:rFonts w:ascii="Arial" w:hAnsi="Arial" w:cs="Arial"/>
          <w:sz w:val="24"/>
          <w:szCs w:val="24"/>
        </w:rPr>
      </w:pPr>
      <w:r w:rsidRPr="00D6799C">
        <w:rPr>
          <w:rFonts w:ascii="Arial" w:hAnsi="Arial" w:cs="Arial"/>
          <w:sz w:val="24"/>
          <w:szCs w:val="24"/>
        </w:rPr>
        <w:t xml:space="preserve">In Hong Kong, Marriott Hotel worked with O-park. O-Park is the first organic resource recovery center that converts waste food into electricity. With the collaboration of O-ark, the Hong Kong Marriott Hotel became the Hong Kong Ocean Park Marriott Hotel and Sheraton.  Moreover, the Hong Kong Tung Chug Hotel also diverts food waste from </w:t>
      </w:r>
      <w:proofErr w:type="gramStart"/>
      <w:r w:rsidRPr="00D6799C">
        <w:rPr>
          <w:rFonts w:ascii="Arial" w:hAnsi="Arial" w:cs="Arial"/>
          <w:sz w:val="24"/>
          <w:szCs w:val="24"/>
        </w:rPr>
        <w:t>landfills</w:t>
      </w:r>
      <w:proofErr w:type="gramEnd"/>
      <w:r w:rsidRPr="00D6799C">
        <w:rPr>
          <w:rFonts w:ascii="Arial" w:hAnsi="Arial" w:cs="Arial"/>
          <w:sz w:val="24"/>
          <w:szCs w:val="24"/>
        </w:rPr>
        <w:t xml:space="preserve"> and it produces 32,260kg which is approximately 70,000 </w:t>
      </w:r>
      <w:proofErr w:type="spellStart"/>
      <w:r w:rsidRPr="00D6799C">
        <w:rPr>
          <w:rFonts w:ascii="Arial" w:hAnsi="Arial" w:cs="Arial"/>
          <w:sz w:val="24"/>
          <w:szCs w:val="24"/>
        </w:rPr>
        <w:t>lbs</w:t>
      </w:r>
      <w:proofErr w:type="spellEnd"/>
      <w:r w:rsidRPr="00D6799C">
        <w:rPr>
          <w:rFonts w:ascii="Arial" w:hAnsi="Arial" w:cs="Arial"/>
          <w:sz w:val="24"/>
          <w:szCs w:val="24"/>
        </w:rPr>
        <w:t xml:space="preserve"> between September to December 2021. In 2021the Sao Paulo Hotel in Brazil and the Ritz-Carlton which is in Pentagon City US, both Renaissance set up biodigester for processing food waste (</w:t>
      </w:r>
      <w:proofErr w:type="spellStart"/>
      <w:r w:rsidRPr="00D6799C">
        <w:rPr>
          <w:rFonts w:ascii="Arial" w:hAnsi="Arial" w:cs="Arial"/>
          <w:sz w:val="24"/>
          <w:szCs w:val="24"/>
        </w:rPr>
        <w:t>Ocial</w:t>
      </w:r>
      <w:proofErr w:type="spellEnd"/>
      <w:r w:rsidRPr="00D6799C">
        <w:rPr>
          <w:rFonts w:ascii="Arial" w:hAnsi="Arial" w:cs="Arial"/>
          <w:sz w:val="24"/>
          <w:szCs w:val="24"/>
        </w:rPr>
        <w:t xml:space="preserve">, </w:t>
      </w:r>
      <w:proofErr w:type="spellStart"/>
      <w:r w:rsidRPr="00D6799C">
        <w:rPr>
          <w:rFonts w:ascii="Arial" w:hAnsi="Arial" w:cs="Arial"/>
          <w:sz w:val="24"/>
          <w:szCs w:val="24"/>
        </w:rPr>
        <w:t>Overnance</w:t>
      </w:r>
      <w:proofErr w:type="spellEnd"/>
      <w:r w:rsidRPr="00D6799C">
        <w:rPr>
          <w:rFonts w:ascii="Arial" w:hAnsi="Arial" w:cs="Arial"/>
          <w:sz w:val="24"/>
          <w:szCs w:val="24"/>
        </w:rPr>
        <w:t xml:space="preserve">, and </w:t>
      </w:r>
      <w:proofErr w:type="spellStart"/>
      <w:r w:rsidRPr="00D6799C">
        <w:rPr>
          <w:rFonts w:ascii="Arial" w:hAnsi="Arial" w:cs="Arial"/>
          <w:sz w:val="24"/>
          <w:szCs w:val="24"/>
        </w:rPr>
        <w:t>Ppendices</w:t>
      </w:r>
      <w:proofErr w:type="spellEnd"/>
      <w:r w:rsidRPr="00D6799C">
        <w:rPr>
          <w:rFonts w:ascii="Arial" w:hAnsi="Arial" w:cs="Arial"/>
          <w:sz w:val="24"/>
          <w:szCs w:val="24"/>
        </w:rPr>
        <w:t xml:space="preserve"> 2022). The Ritz-Carlton in the beginning of six months when the </w:t>
      </w:r>
      <w:proofErr w:type="spellStart"/>
      <w:r w:rsidRPr="00D6799C">
        <w:rPr>
          <w:rFonts w:ascii="Arial" w:hAnsi="Arial" w:cs="Arial"/>
          <w:sz w:val="24"/>
          <w:szCs w:val="24"/>
        </w:rPr>
        <w:t>biodigestor</w:t>
      </w:r>
      <w:proofErr w:type="spellEnd"/>
      <w:r w:rsidRPr="00D6799C">
        <w:rPr>
          <w:rFonts w:ascii="Arial" w:hAnsi="Arial" w:cs="Arial"/>
          <w:sz w:val="24"/>
          <w:szCs w:val="24"/>
        </w:rPr>
        <w:t xml:space="preserve"> was installed processed almost 10 tons of food waste from landfills.</w:t>
      </w:r>
    </w:p>
    <w:p w14:paraId="3E688DD5" w14:textId="77777777" w:rsidR="00D6799C" w:rsidRPr="00D6799C" w:rsidRDefault="00D6799C" w:rsidP="00D6799C">
      <w:pPr>
        <w:spacing w:line="360" w:lineRule="auto"/>
        <w:jc w:val="both"/>
        <w:rPr>
          <w:rFonts w:ascii="Arial" w:hAnsi="Arial" w:cs="Arial"/>
          <w:sz w:val="24"/>
          <w:szCs w:val="24"/>
        </w:rPr>
      </w:pPr>
      <w:r w:rsidRPr="00D6799C">
        <w:rPr>
          <w:rFonts w:ascii="Arial" w:hAnsi="Arial" w:cs="Arial"/>
          <w:sz w:val="24"/>
          <w:szCs w:val="24"/>
        </w:rPr>
        <w:t>Ten Protea hotels in South Africa took part in the 67000-liters Challenge that was organized by Chefs with Compassion. This initiative urged people and companies with kitchen facilities to devote their 67 minutes on Mandela Day to promoting awareness about the significant amount of food waste that occurs in South Africa each year. One of the Marriott, Protea Hotels contributes over 8,000 liters of soup for the communities of the country that are needed (</w:t>
      </w:r>
      <w:r w:rsidRPr="00D6799C">
        <w:rPr>
          <w:rFonts w:ascii="Arial" w:hAnsi="Arial" w:cs="Arial"/>
          <w:color w:val="222222"/>
          <w:sz w:val="24"/>
          <w:szCs w:val="24"/>
          <w:shd w:val="clear" w:color="auto" w:fill="FFFFFF"/>
        </w:rPr>
        <w:t>Jones, and Comfort, 2020).</w:t>
      </w:r>
    </w:p>
    <w:p w14:paraId="4C15EB43" w14:textId="77777777" w:rsidR="00D6799C" w:rsidRPr="00D6799C" w:rsidRDefault="00D6799C" w:rsidP="00D6799C">
      <w:pPr>
        <w:spacing w:line="360" w:lineRule="auto"/>
        <w:jc w:val="both"/>
        <w:rPr>
          <w:rFonts w:ascii="Arial" w:hAnsi="Arial" w:cs="Arial"/>
          <w:sz w:val="24"/>
          <w:szCs w:val="24"/>
        </w:rPr>
      </w:pPr>
      <w:r w:rsidRPr="00D6799C">
        <w:rPr>
          <w:rFonts w:ascii="Arial" w:hAnsi="Arial" w:cs="Arial"/>
          <w:sz w:val="24"/>
          <w:szCs w:val="24"/>
        </w:rPr>
        <w:t>In Indonesia, The resorts in Bali-</w:t>
      </w:r>
      <w:proofErr w:type="spellStart"/>
      <w:r w:rsidRPr="00D6799C">
        <w:rPr>
          <w:rFonts w:ascii="Arial" w:hAnsi="Arial" w:cs="Arial"/>
          <w:sz w:val="24"/>
          <w:szCs w:val="24"/>
        </w:rPr>
        <w:t>Seminyak</w:t>
      </w:r>
      <w:proofErr w:type="spellEnd"/>
      <w:r w:rsidRPr="00D6799C">
        <w:rPr>
          <w:rFonts w:ascii="Arial" w:hAnsi="Arial" w:cs="Arial"/>
          <w:sz w:val="24"/>
          <w:szCs w:val="24"/>
        </w:rPr>
        <w:t xml:space="preserve"> and Fairfield by Marriott Bali Kuta are in Bali city of Sunset Road provide visitors with insights into the circular economy and the positive utilization of food waste. The hotels collaborate with Scholars of Sustenance (SOS) on a recurring donation of food program. This program aims to provide excess food to various local organizations such as orphanages, churches, foundations, and other community businesses that need assistance. Guests collaborate with hotel personnel to create nourishing meals using surplus food and unutilized resources, which are then distributed to others in need around Bali (</w:t>
      </w:r>
      <w:r w:rsidRPr="00D6799C">
        <w:rPr>
          <w:rFonts w:ascii="Arial" w:hAnsi="Arial" w:cs="Arial"/>
          <w:color w:val="222222"/>
          <w:sz w:val="24"/>
          <w:szCs w:val="24"/>
          <w:shd w:val="clear" w:color="auto" w:fill="FFFFFF"/>
        </w:rPr>
        <w:t>Coulson-Thomas, 2019).</w:t>
      </w:r>
    </w:p>
    <w:p w14:paraId="7FEF3CBB" w14:textId="77777777" w:rsidR="00D6799C" w:rsidRPr="00D6799C" w:rsidRDefault="00D6799C" w:rsidP="00D6799C">
      <w:pPr>
        <w:spacing w:line="360" w:lineRule="auto"/>
        <w:jc w:val="both"/>
        <w:rPr>
          <w:rFonts w:ascii="Arial" w:hAnsi="Arial" w:cs="Arial"/>
          <w:sz w:val="24"/>
          <w:szCs w:val="24"/>
        </w:rPr>
      </w:pPr>
      <w:r w:rsidRPr="00D6799C">
        <w:rPr>
          <w:rFonts w:ascii="Arial" w:hAnsi="Arial" w:cs="Arial"/>
          <w:sz w:val="24"/>
          <w:szCs w:val="24"/>
        </w:rPr>
        <w:t xml:space="preserve">Therefore, Marriott hotels play a significant role in the circular economy and their progress is increasing day by day.  The support of Marriott’s progress helps to reduce waste, the company is providing the tools and waste processing resources which back-of-house food waste reduction posters that are available in 14 different languages. In the overall world, </w:t>
      </w:r>
      <w:r w:rsidRPr="00D6799C">
        <w:rPr>
          <w:rFonts w:ascii="Arial" w:hAnsi="Arial" w:cs="Arial"/>
          <w:sz w:val="24"/>
          <w:szCs w:val="24"/>
        </w:rPr>
        <w:lastRenderedPageBreak/>
        <w:t>the Marriott Hotel also provides training programs for the reduction and management of waste (Abdou et al, 2020). In Europe, the regional teams of Asia, Africa, and the Middle East conducted different educational webinars for the associates of global food waste management in which they give training on how to take initiative for the reduction and improvement of food waste programs.</w:t>
      </w:r>
    </w:p>
    <w:p w14:paraId="17F9D882" w14:textId="77777777" w:rsidR="009C6046" w:rsidRPr="00D6799C" w:rsidRDefault="00E94B85" w:rsidP="00D6799C">
      <w:pPr>
        <w:pStyle w:val="Heading1"/>
        <w:spacing w:line="360" w:lineRule="auto"/>
        <w:jc w:val="both"/>
        <w:rPr>
          <w:rFonts w:ascii="Arial" w:hAnsi="Arial" w:cs="Arial"/>
          <w:b/>
          <w:color w:val="auto"/>
          <w:sz w:val="24"/>
          <w:szCs w:val="24"/>
        </w:rPr>
      </w:pPr>
      <w:bookmarkStart w:id="5" w:name="_Toc157432712"/>
      <w:r w:rsidRPr="00D6799C">
        <w:rPr>
          <w:rFonts w:ascii="Arial" w:hAnsi="Arial" w:cs="Arial"/>
          <w:b/>
          <w:color w:val="auto"/>
          <w:sz w:val="24"/>
          <w:szCs w:val="24"/>
        </w:rPr>
        <w:t>Conclusion</w:t>
      </w:r>
      <w:bookmarkEnd w:id="5"/>
      <w:r w:rsidRPr="00D6799C">
        <w:rPr>
          <w:rFonts w:ascii="Arial" w:hAnsi="Arial" w:cs="Arial"/>
          <w:b/>
          <w:color w:val="auto"/>
          <w:sz w:val="24"/>
          <w:szCs w:val="24"/>
        </w:rPr>
        <w:t xml:space="preserve"> </w:t>
      </w:r>
      <w:r w:rsidR="009C6046" w:rsidRPr="00D6799C">
        <w:rPr>
          <w:rFonts w:ascii="Arial" w:hAnsi="Arial" w:cs="Arial"/>
          <w:b/>
          <w:color w:val="auto"/>
          <w:sz w:val="24"/>
          <w:szCs w:val="24"/>
        </w:rPr>
        <w:t xml:space="preserve"> </w:t>
      </w:r>
    </w:p>
    <w:p w14:paraId="66F3AF64" w14:textId="77777777" w:rsidR="006072AA" w:rsidRPr="00D6799C" w:rsidRDefault="00CA0112" w:rsidP="00D6799C">
      <w:pPr>
        <w:spacing w:line="360" w:lineRule="auto"/>
        <w:jc w:val="both"/>
        <w:rPr>
          <w:rFonts w:ascii="Arial" w:hAnsi="Arial" w:cs="Arial"/>
          <w:sz w:val="24"/>
          <w:szCs w:val="24"/>
        </w:rPr>
      </w:pPr>
      <w:r w:rsidRPr="00D6799C">
        <w:rPr>
          <w:rFonts w:ascii="Arial" w:hAnsi="Arial" w:cs="Arial"/>
          <w:sz w:val="24"/>
          <w:szCs w:val="24"/>
        </w:rPr>
        <w:t xml:space="preserve">In a nutshell, the assignment highlights the key terms that are evolving within the domain of research called circular economy and CSR. The circular economy and CSR are interlinked in regard to achieving the fundamental principles of sustainability. Therefore, the present task elaborates on the correlation of these two models within the business sector in the light of hospitality industry. The hospitality industry is a wide umbrella term thus in regards to evaluating the impact of the circular economy within the CSR policies Marriott Hotel has been chosen to investigate the topic. Apart from Marriott, the involvement and adoption of circular economy by other companies within the sector of hospitality have also been explored. Through the means of in-depth study, the circular economy model implemented by Marriott within their CSR policy was assessed in regards to estimating the significant impact it has on the hotel's progress. Marriott's CSR policy incorporates the circular economy which aids in regards to reduce waste. Moreover, the hotel management promotes the circular economy of waste management by providing training and also through the means of spreading awareness by the means of webinars/seminars. </w:t>
      </w:r>
    </w:p>
    <w:p w14:paraId="2D9C8A10" w14:textId="77777777" w:rsidR="00CA0112" w:rsidRDefault="00CA0112">
      <w:pPr>
        <w:rPr>
          <w:rFonts w:ascii="Arial" w:hAnsi="Arial" w:cs="Arial"/>
          <w:sz w:val="24"/>
          <w:szCs w:val="24"/>
        </w:rPr>
      </w:pPr>
      <w:r>
        <w:rPr>
          <w:rFonts w:ascii="Arial" w:hAnsi="Arial" w:cs="Arial"/>
          <w:sz w:val="24"/>
          <w:szCs w:val="24"/>
        </w:rPr>
        <w:br w:type="page"/>
      </w:r>
    </w:p>
    <w:p w14:paraId="69694F84" w14:textId="77777777" w:rsidR="00CA0112" w:rsidRPr="00CA0112" w:rsidRDefault="00CA0112" w:rsidP="00CA0112">
      <w:pPr>
        <w:spacing w:line="360" w:lineRule="auto"/>
        <w:jc w:val="both"/>
        <w:rPr>
          <w:rFonts w:ascii="Arial" w:hAnsi="Arial" w:cs="Arial"/>
          <w:sz w:val="24"/>
          <w:szCs w:val="24"/>
        </w:rPr>
      </w:pPr>
    </w:p>
    <w:p w14:paraId="081C74A4" w14:textId="77777777" w:rsidR="00D6799C" w:rsidRDefault="004943F8" w:rsidP="00D6799C">
      <w:pPr>
        <w:pStyle w:val="Heading1"/>
        <w:spacing w:line="360" w:lineRule="auto"/>
        <w:jc w:val="both"/>
        <w:rPr>
          <w:rFonts w:ascii="Arial" w:hAnsi="Arial" w:cs="Arial"/>
          <w:b/>
          <w:color w:val="auto"/>
          <w:sz w:val="24"/>
          <w:szCs w:val="24"/>
        </w:rPr>
      </w:pPr>
      <w:bookmarkStart w:id="6" w:name="_Toc157432713"/>
      <w:r w:rsidRPr="004943F8">
        <w:rPr>
          <w:rFonts w:ascii="Arial" w:hAnsi="Arial" w:cs="Arial"/>
          <w:b/>
          <w:color w:val="auto"/>
          <w:sz w:val="24"/>
          <w:szCs w:val="24"/>
        </w:rPr>
        <w:t>References</w:t>
      </w:r>
      <w:bookmarkEnd w:id="6"/>
      <w:r w:rsidRPr="004943F8">
        <w:rPr>
          <w:rFonts w:ascii="Arial" w:hAnsi="Arial" w:cs="Arial"/>
          <w:b/>
          <w:color w:val="auto"/>
          <w:sz w:val="24"/>
          <w:szCs w:val="24"/>
        </w:rPr>
        <w:t xml:space="preserve"> </w:t>
      </w:r>
    </w:p>
    <w:p w14:paraId="46B36A74" w14:textId="77777777" w:rsidR="009A49EB" w:rsidRPr="00D6799C" w:rsidRDefault="009A49EB" w:rsidP="00D6799C">
      <w:pPr>
        <w:spacing w:line="360" w:lineRule="auto"/>
        <w:ind w:left="720" w:hanging="720"/>
        <w:jc w:val="both"/>
        <w:rPr>
          <w:rFonts w:ascii="Arial" w:hAnsi="Arial" w:cs="Arial"/>
          <w:sz w:val="24"/>
          <w:szCs w:val="24"/>
        </w:rPr>
      </w:pPr>
      <w:r w:rsidRPr="00D6799C">
        <w:rPr>
          <w:rFonts w:ascii="Arial" w:hAnsi="Arial" w:cs="Arial"/>
          <w:sz w:val="24"/>
          <w:szCs w:val="24"/>
          <w:shd w:val="clear" w:color="auto" w:fill="FFFFFF"/>
        </w:rPr>
        <w:t>Abdou, A.H., Hassan, T.H. and El Dief, M.M., 2020. A description of green hotel practices and their role in achieving sustainable development. </w:t>
      </w:r>
      <w:r w:rsidRPr="00D6799C">
        <w:rPr>
          <w:rFonts w:ascii="Arial" w:hAnsi="Arial" w:cs="Arial"/>
          <w:i/>
          <w:iCs/>
          <w:sz w:val="24"/>
          <w:szCs w:val="24"/>
          <w:shd w:val="clear" w:color="auto" w:fill="FFFFFF"/>
        </w:rPr>
        <w:t>Sustainability</w:t>
      </w:r>
      <w:r w:rsidRPr="00D6799C">
        <w:rPr>
          <w:rFonts w:ascii="Arial" w:hAnsi="Arial" w:cs="Arial"/>
          <w:sz w:val="24"/>
          <w:szCs w:val="24"/>
          <w:shd w:val="clear" w:color="auto" w:fill="FFFFFF"/>
        </w:rPr>
        <w:t>, </w:t>
      </w:r>
      <w:r w:rsidRPr="00D6799C">
        <w:rPr>
          <w:rFonts w:ascii="Arial" w:hAnsi="Arial" w:cs="Arial"/>
          <w:i/>
          <w:iCs/>
          <w:sz w:val="24"/>
          <w:szCs w:val="24"/>
          <w:shd w:val="clear" w:color="auto" w:fill="FFFFFF"/>
        </w:rPr>
        <w:t>12</w:t>
      </w:r>
      <w:r w:rsidRPr="00D6799C">
        <w:rPr>
          <w:rFonts w:ascii="Arial" w:hAnsi="Arial" w:cs="Arial"/>
          <w:sz w:val="24"/>
          <w:szCs w:val="24"/>
          <w:shd w:val="clear" w:color="auto" w:fill="FFFFFF"/>
        </w:rPr>
        <w:t>(22), p.9624.</w:t>
      </w:r>
    </w:p>
    <w:p w14:paraId="6C07CACA" w14:textId="77777777" w:rsidR="009A49EB" w:rsidRPr="00307494" w:rsidRDefault="009A49EB" w:rsidP="00307494">
      <w:pPr>
        <w:pStyle w:val="NormalWeb"/>
        <w:spacing w:before="0" w:beforeAutospacing="0" w:after="240" w:afterAutospacing="0" w:line="360" w:lineRule="auto"/>
        <w:ind w:left="720" w:hanging="720"/>
        <w:jc w:val="both"/>
        <w:rPr>
          <w:rFonts w:ascii="Arial" w:hAnsi="Arial" w:cs="Arial"/>
        </w:rPr>
      </w:pPr>
      <w:r w:rsidRPr="00307494">
        <w:rPr>
          <w:rFonts w:ascii="Arial" w:hAnsi="Arial" w:cs="Arial"/>
        </w:rPr>
        <w:t xml:space="preserve">Araujo Galvão, G.D., de </w:t>
      </w:r>
      <w:proofErr w:type="spellStart"/>
      <w:r w:rsidRPr="00307494">
        <w:rPr>
          <w:rFonts w:ascii="Arial" w:hAnsi="Arial" w:cs="Arial"/>
        </w:rPr>
        <w:t>Nadae</w:t>
      </w:r>
      <w:proofErr w:type="spellEnd"/>
      <w:r w:rsidRPr="00307494">
        <w:rPr>
          <w:rFonts w:ascii="Arial" w:hAnsi="Arial" w:cs="Arial"/>
        </w:rPr>
        <w:t xml:space="preserve">, J., Clemente, D.H., Chinen, G. and de Carvalho, M.M. (2018). Circular Economy: Overview of Barriers. </w:t>
      </w:r>
      <w:r w:rsidRPr="00307494">
        <w:rPr>
          <w:rFonts w:ascii="Arial" w:hAnsi="Arial" w:cs="Arial"/>
          <w:i/>
          <w:iCs/>
        </w:rPr>
        <w:t>Procedia CIRP</w:t>
      </w:r>
      <w:r w:rsidRPr="00307494">
        <w:rPr>
          <w:rFonts w:ascii="Arial" w:hAnsi="Arial" w:cs="Arial"/>
        </w:rPr>
        <w:t xml:space="preserve">, 73, pp.79–85. </w:t>
      </w:r>
      <w:proofErr w:type="spellStart"/>
      <w:r w:rsidRPr="00307494">
        <w:rPr>
          <w:rFonts w:ascii="Arial" w:hAnsi="Arial" w:cs="Arial"/>
        </w:rPr>
        <w:t>doi:https</w:t>
      </w:r>
      <w:proofErr w:type="spellEnd"/>
      <w:r w:rsidRPr="00307494">
        <w:rPr>
          <w:rFonts w:ascii="Arial" w:hAnsi="Arial" w:cs="Arial"/>
        </w:rPr>
        <w:t>://doi.org/10.1016/j.procir.2018.04.011.</w:t>
      </w:r>
    </w:p>
    <w:p w14:paraId="01FBA1BF" w14:textId="77777777" w:rsidR="009A49EB" w:rsidRPr="00D6799C" w:rsidRDefault="009A49EB" w:rsidP="00D6799C">
      <w:pPr>
        <w:spacing w:line="360" w:lineRule="auto"/>
        <w:ind w:left="720" w:hanging="720"/>
        <w:jc w:val="both"/>
        <w:rPr>
          <w:rFonts w:ascii="Arial" w:hAnsi="Arial" w:cs="Arial"/>
          <w:sz w:val="24"/>
          <w:szCs w:val="24"/>
          <w:shd w:val="clear" w:color="auto" w:fill="FFFFFF"/>
        </w:rPr>
      </w:pPr>
      <w:r w:rsidRPr="00D6799C">
        <w:rPr>
          <w:rFonts w:ascii="Arial" w:hAnsi="Arial" w:cs="Arial"/>
          <w:sz w:val="24"/>
          <w:szCs w:val="24"/>
          <w:shd w:val="clear" w:color="auto" w:fill="FFFFFF"/>
        </w:rPr>
        <w:t xml:space="preserve">Coulson-Thomas, C., 2019. Collaborative Leadership for Environment Protection and Climate Change Theme Paper of 21st World Congress on Environment Management &amp; Climate Change to he held on 4-5th </w:t>
      </w:r>
      <w:proofErr w:type="gramStart"/>
      <w:r w:rsidRPr="00D6799C">
        <w:rPr>
          <w:rFonts w:ascii="Arial" w:hAnsi="Arial" w:cs="Arial"/>
          <w:sz w:val="24"/>
          <w:szCs w:val="24"/>
          <w:shd w:val="clear" w:color="auto" w:fill="FFFFFF"/>
        </w:rPr>
        <w:t>July,</w:t>
      </w:r>
      <w:proofErr w:type="gramEnd"/>
      <w:r w:rsidRPr="00D6799C">
        <w:rPr>
          <w:rFonts w:ascii="Arial" w:hAnsi="Arial" w:cs="Arial"/>
          <w:sz w:val="24"/>
          <w:szCs w:val="24"/>
          <w:shd w:val="clear" w:color="auto" w:fill="FFFFFF"/>
        </w:rPr>
        <w:t xml:space="preserve"> 2019, JW Marriott Hotel, Bengaluru. </w:t>
      </w:r>
      <w:r w:rsidRPr="00D6799C">
        <w:rPr>
          <w:rFonts w:ascii="Arial" w:hAnsi="Arial" w:cs="Arial"/>
          <w:i/>
          <w:iCs/>
          <w:sz w:val="24"/>
          <w:szCs w:val="24"/>
          <w:shd w:val="clear" w:color="auto" w:fill="FFFFFF"/>
        </w:rPr>
        <w:t xml:space="preserve">A </w:t>
      </w:r>
      <w:proofErr w:type="spellStart"/>
      <w:r w:rsidRPr="00D6799C">
        <w:rPr>
          <w:rFonts w:ascii="Arial" w:hAnsi="Arial" w:cs="Arial"/>
          <w:i/>
          <w:iCs/>
          <w:sz w:val="24"/>
          <w:szCs w:val="24"/>
          <w:shd w:val="clear" w:color="auto" w:fill="FFFFFF"/>
        </w:rPr>
        <w:t>A</w:t>
      </w:r>
      <w:proofErr w:type="spellEnd"/>
      <w:r w:rsidRPr="00D6799C">
        <w:rPr>
          <w:rFonts w:ascii="Arial" w:hAnsi="Arial" w:cs="Arial"/>
          <w:sz w:val="24"/>
          <w:szCs w:val="24"/>
          <w:shd w:val="clear" w:color="auto" w:fill="FFFFFF"/>
        </w:rPr>
        <w:t>.</w:t>
      </w:r>
    </w:p>
    <w:p w14:paraId="2D78C154" w14:textId="77777777" w:rsidR="009A49EB" w:rsidRPr="00307494" w:rsidRDefault="009A49EB" w:rsidP="00307494">
      <w:pPr>
        <w:pStyle w:val="NormalWeb"/>
        <w:spacing w:before="0" w:beforeAutospacing="0" w:after="240" w:afterAutospacing="0" w:line="360" w:lineRule="auto"/>
        <w:ind w:left="720" w:hanging="720"/>
        <w:jc w:val="both"/>
        <w:rPr>
          <w:rFonts w:ascii="Arial" w:hAnsi="Arial" w:cs="Arial"/>
        </w:rPr>
      </w:pPr>
      <w:r w:rsidRPr="00307494">
        <w:rPr>
          <w:rFonts w:ascii="Arial" w:hAnsi="Arial" w:cs="Arial"/>
        </w:rPr>
        <w:t xml:space="preserve">Esken, B., Franco-García, M.-L. and </w:t>
      </w:r>
      <w:proofErr w:type="spellStart"/>
      <w:r w:rsidRPr="00307494">
        <w:rPr>
          <w:rFonts w:ascii="Arial" w:hAnsi="Arial" w:cs="Arial"/>
        </w:rPr>
        <w:t>Fisscher</w:t>
      </w:r>
      <w:proofErr w:type="spellEnd"/>
      <w:r w:rsidRPr="00307494">
        <w:rPr>
          <w:rFonts w:ascii="Arial" w:hAnsi="Arial" w:cs="Arial"/>
        </w:rPr>
        <w:t xml:space="preserve">, O.A.M. (2018). CSR perception as a signpost for circular economy. </w:t>
      </w:r>
      <w:r w:rsidRPr="00307494">
        <w:rPr>
          <w:rFonts w:ascii="Arial" w:hAnsi="Arial" w:cs="Arial"/>
          <w:i/>
          <w:iCs/>
        </w:rPr>
        <w:t>Management Research Review</w:t>
      </w:r>
      <w:r w:rsidRPr="00307494">
        <w:rPr>
          <w:rFonts w:ascii="Arial" w:hAnsi="Arial" w:cs="Arial"/>
        </w:rPr>
        <w:t xml:space="preserve">, 41(5), pp.586–604. </w:t>
      </w:r>
      <w:proofErr w:type="spellStart"/>
      <w:r w:rsidRPr="00307494">
        <w:rPr>
          <w:rFonts w:ascii="Arial" w:hAnsi="Arial" w:cs="Arial"/>
        </w:rPr>
        <w:t>doi:https</w:t>
      </w:r>
      <w:proofErr w:type="spellEnd"/>
      <w:r w:rsidRPr="00307494">
        <w:rPr>
          <w:rFonts w:ascii="Arial" w:hAnsi="Arial" w:cs="Arial"/>
        </w:rPr>
        <w:t>://doi.org/10.1108/mrr-02-2018-0054.</w:t>
      </w:r>
    </w:p>
    <w:p w14:paraId="0C9D7C0D" w14:textId="77777777" w:rsidR="009A49EB" w:rsidRPr="00307494" w:rsidRDefault="009A49EB" w:rsidP="00307494">
      <w:pPr>
        <w:pStyle w:val="NormalWeb"/>
        <w:spacing w:before="0" w:beforeAutospacing="0" w:after="240" w:afterAutospacing="0" w:line="360" w:lineRule="auto"/>
        <w:ind w:left="720" w:hanging="720"/>
        <w:jc w:val="both"/>
        <w:rPr>
          <w:rFonts w:ascii="Arial" w:hAnsi="Arial" w:cs="Arial"/>
        </w:rPr>
      </w:pPr>
      <w:proofErr w:type="spellStart"/>
      <w:r w:rsidRPr="00307494">
        <w:rPr>
          <w:rFonts w:ascii="Arial" w:hAnsi="Arial" w:cs="Arial"/>
        </w:rPr>
        <w:t>Ghisellini</w:t>
      </w:r>
      <w:proofErr w:type="spellEnd"/>
      <w:r w:rsidRPr="00307494">
        <w:rPr>
          <w:rFonts w:ascii="Arial" w:hAnsi="Arial" w:cs="Arial"/>
        </w:rPr>
        <w:t xml:space="preserve">, P., </w:t>
      </w:r>
      <w:proofErr w:type="spellStart"/>
      <w:r w:rsidRPr="00307494">
        <w:rPr>
          <w:rFonts w:ascii="Arial" w:hAnsi="Arial" w:cs="Arial"/>
        </w:rPr>
        <w:t>Ripa</w:t>
      </w:r>
      <w:proofErr w:type="spellEnd"/>
      <w:r w:rsidRPr="00307494">
        <w:rPr>
          <w:rFonts w:ascii="Arial" w:hAnsi="Arial" w:cs="Arial"/>
        </w:rPr>
        <w:t xml:space="preserve">, M. and </w:t>
      </w:r>
      <w:proofErr w:type="spellStart"/>
      <w:r w:rsidRPr="00307494">
        <w:rPr>
          <w:rFonts w:ascii="Arial" w:hAnsi="Arial" w:cs="Arial"/>
        </w:rPr>
        <w:t>Ulgiati</w:t>
      </w:r>
      <w:proofErr w:type="spellEnd"/>
      <w:r w:rsidRPr="00307494">
        <w:rPr>
          <w:rFonts w:ascii="Arial" w:hAnsi="Arial" w:cs="Arial"/>
        </w:rPr>
        <w:t xml:space="preserve">, S. (2018). Exploring environmental and economic costs and benefits of a circular economy approach to the construction and demolition sector. A literature review. </w:t>
      </w:r>
      <w:r w:rsidRPr="00307494">
        <w:rPr>
          <w:rFonts w:ascii="Arial" w:hAnsi="Arial" w:cs="Arial"/>
          <w:i/>
          <w:iCs/>
        </w:rPr>
        <w:t>Journal of Cleaner Production</w:t>
      </w:r>
      <w:r w:rsidRPr="00307494">
        <w:rPr>
          <w:rFonts w:ascii="Arial" w:hAnsi="Arial" w:cs="Arial"/>
        </w:rPr>
        <w:t xml:space="preserve">, 178(1), pp.618–643. </w:t>
      </w:r>
      <w:proofErr w:type="spellStart"/>
      <w:r w:rsidRPr="00307494">
        <w:rPr>
          <w:rFonts w:ascii="Arial" w:hAnsi="Arial" w:cs="Arial"/>
        </w:rPr>
        <w:t>doi:https</w:t>
      </w:r>
      <w:proofErr w:type="spellEnd"/>
      <w:r w:rsidRPr="00307494">
        <w:rPr>
          <w:rFonts w:ascii="Arial" w:hAnsi="Arial" w:cs="Arial"/>
        </w:rPr>
        <w:t>://doi.org/10.1016/j.jclepro.2017.11.207.</w:t>
      </w:r>
    </w:p>
    <w:p w14:paraId="10ACC29C" w14:textId="77777777" w:rsidR="009A49EB" w:rsidRPr="00D6799C" w:rsidRDefault="009A49EB" w:rsidP="00D6799C">
      <w:pPr>
        <w:spacing w:line="360" w:lineRule="auto"/>
        <w:ind w:left="720" w:hanging="720"/>
        <w:jc w:val="both"/>
        <w:rPr>
          <w:rFonts w:ascii="Arial" w:hAnsi="Arial" w:cs="Arial"/>
          <w:sz w:val="24"/>
          <w:szCs w:val="24"/>
          <w:shd w:val="clear" w:color="auto" w:fill="FFFFFF"/>
        </w:rPr>
      </w:pPr>
      <w:r w:rsidRPr="00D6799C">
        <w:rPr>
          <w:rFonts w:ascii="Arial" w:hAnsi="Arial" w:cs="Arial"/>
          <w:sz w:val="24"/>
          <w:szCs w:val="24"/>
          <w:shd w:val="clear" w:color="auto" w:fill="FFFFFF"/>
        </w:rPr>
        <w:t>Jones, P. and Comfort, D., 2020. A Circular Case: The Circular Economy and the Service Industry. </w:t>
      </w:r>
      <w:r w:rsidRPr="00D6799C">
        <w:rPr>
          <w:rFonts w:ascii="Arial" w:hAnsi="Arial" w:cs="Arial"/>
          <w:i/>
          <w:iCs/>
          <w:sz w:val="24"/>
          <w:szCs w:val="24"/>
          <w:shd w:val="clear" w:color="auto" w:fill="FFFFFF"/>
        </w:rPr>
        <w:t>International Journal of Management Cases</w:t>
      </w:r>
      <w:r w:rsidRPr="00D6799C">
        <w:rPr>
          <w:rFonts w:ascii="Arial" w:hAnsi="Arial" w:cs="Arial"/>
          <w:sz w:val="24"/>
          <w:szCs w:val="24"/>
          <w:shd w:val="clear" w:color="auto" w:fill="FFFFFF"/>
        </w:rPr>
        <w:t>, </w:t>
      </w:r>
      <w:r w:rsidRPr="00D6799C">
        <w:rPr>
          <w:rFonts w:ascii="Arial" w:hAnsi="Arial" w:cs="Arial"/>
          <w:i/>
          <w:iCs/>
          <w:sz w:val="24"/>
          <w:szCs w:val="24"/>
          <w:shd w:val="clear" w:color="auto" w:fill="FFFFFF"/>
        </w:rPr>
        <w:t>22</w:t>
      </w:r>
      <w:r w:rsidRPr="00D6799C">
        <w:rPr>
          <w:rFonts w:ascii="Arial" w:hAnsi="Arial" w:cs="Arial"/>
          <w:sz w:val="24"/>
          <w:szCs w:val="24"/>
          <w:shd w:val="clear" w:color="auto" w:fill="FFFFFF"/>
        </w:rPr>
        <w:t>(3), pp.13-23.</w:t>
      </w:r>
    </w:p>
    <w:p w14:paraId="4EB2A3E0" w14:textId="77777777" w:rsidR="009A49EB" w:rsidRPr="00307494" w:rsidRDefault="009A49EB" w:rsidP="00307494">
      <w:pPr>
        <w:pStyle w:val="NormalWeb"/>
        <w:spacing w:before="0" w:beforeAutospacing="0" w:after="240" w:afterAutospacing="0" w:line="360" w:lineRule="auto"/>
        <w:ind w:left="720" w:hanging="720"/>
        <w:jc w:val="both"/>
        <w:rPr>
          <w:rFonts w:ascii="Arial" w:hAnsi="Arial" w:cs="Arial"/>
        </w:rPr>
      </w:pPr>
      <w:r w:rsidRPr="00307494">
        <w:rPr>
          <w:rFonts w:ascii="Arial" w:hAnsi="Arial" w:cs="Arial"/>
        </w:rPr>
        <w:t xml:space="preserve">Korhonen, J., </w:t>
      </w:r>
      <w:proofErr w:type="spellStart"/>
      <w:r w:rsidRPr="00307494">
        <w:rPr>
          <w:rFonts w:ascii="Arial" w:hAnsi="Arial" w:cs="Arial"/>
        </w:rPr>
        <w:t>Honkasalo</w:t>
      </w:r>
      <w:proofErr w:type="spellEnd"/>
      <w:r w:rsidRPr="00307494">
        <w:rPr>
          <w:rFonts w:ascii="Arial" w:hAnsi="Arial" w:cs="Arial"/>
        </w:rPr>
        <w:t xml:space="preserve">, A. and Seppälä, J. (2018). Circular Economy: the Concept and Its Limitations. </w:t>
      </w:r>
      <w:r w:rsidRPr="00307494">
        <w:rPr>
          <w:rFonts w:ascii="Arial" w:hAnsi="Arial" w:cs="Arial"/>
          <w:i/>
          <w:iCs/>
        </w:rPr>
        <w:t>Ecological Economics</w:t>
      </w:r>
      <w:r w:rsidRPr="00307494">
        <w:rPr>
          <w:rFonts w:ascii="Arial" w:hAnsi="Arial" w:cs="Arial"/>
        </w:rPr>
        <w:t xml:space="preserve">, [online] 143(1), pp.37–46. </w:t>
      </w:r>
      <w:proofErr w:type="spellStart"/>
      <w:r w:rsidRPr="00307494">
        <w:rPr>
          <w:rFonts w:ascii="Arial" w:hAnsi="Arial" w:cs="Arial"/>
        </w:rPr>
        <w:t>doi:https</w:t>
      </w:r>
      <w:proofErr w:type="spellEnd"/>
      <w:r w:rsidRPr="00307494">
        <w:rPr>
          <w:rFonts w:ascii="Arial" w:hAnsi="Arial" w:cs="Arial"/>
        </w:rPr>
        <w:t>://doi.org/10.1016/j.ecolecon.2017.06.041.</w:t>
      </w:r>
    </w:p>
    <w:p w14:paraId="3645B3F9" w14:textId="77777777" w:rsidR="009A49EB" w:rsidRPr="00307494" w:rsidRDefault="009A49EB" w:rsidP="00307494">
      <w:pPr>
        <w:pStyle w:val="NormalWeb"/>
        <w:spacing w:before="0" w:beforeAutospacing="0" w:after="240" w:afterAutospacing="0" w:line="360" w:lineRule="auto"/>
        <w:ind w:left="720" w:hanging="720"/>
        <w:jc w:val="both"/>
        <w:rPr>
          <w:rFonts w:ascii="Arial" w:hAnsi="Arial" w:cs="Arial"/>
        </w:rPr>
      </w:pPr>
      <w:r w:rsidRPr="00307494">
        <w:rPr>
          <w:rFonts w:ascii="Arial" w:hAnsi="Arial" w:cs="Arial"/>
        </w:rPr>
        <w:t xml:space="preserve">Morea, D., Fortunati, S. and Martiniello, L. (2021). Circular economy and corporate social responsibility: Towards an integrated strategic approach in the multinational </w:t>
      </w:r>
      <w:r w:rsidRPr="00307494">
        <w:rPr>
          <w:rFonts w:ascii="Arial" w:hAnsi="Arial" w:cs="Arial"/>
        </w:rPr>
        <w:lastRenderedPageBreak/>
        <w:t xml:space="preserve">cosmetics industry. </w:t>
      </w:r>
      <w:r w:rsidRPr="00307494">
        <w:rPr>
          <w:rFonts w:ascii="Arial" w:hAnsi="Arial" w:cs="Arial"/>
          <w:i/>
          <w:iCs/>
        </w:rPr>
        <w:t>Journal of Cleaner Production</w:t>
      </w:r>
      <w:r w:rsidRPr="00307494">
        <w:rPr>
          <w:rFonts w:ascii="Arial" w:hAnsi="Arial" w:cs="Arial"/>
        </w:rPr>
        <w:t xml:space="preserve">, [online] 315, p.128232. </w:t>
      </w:r>
      <w:proofErr w:type="spellStart"/>
      <w:r w:rsidRPr="00307494">
        <w:rPr>
          <w:rFonts w:ascii="Arial" w:hAnsi="Arial" w:cs="Arial"/>
        </w:rPr>
        <w:t>doi:https</w:t>
      </w:r>
      <w:proofErr w:type="spellEnd"/>
      <w:r w:rsidRPr="00307494">
        <w:rPr>
          <w:rFonts w:ascii="Arial" w:hAnsi="Arial" w:cs="Arial"/>
        </w:rPr>
        <w:t>://doi.org/10.1016/j.jclepro.2021.128232.</w:t>
      </w:r>
    </w:p>
    <w:p w14:paraId="2B162B01" w14:textId="77777777" w:rsidR="009A49EB" w:rsidRPr="009A49EB" w:rsidRDefault="009A49EB" w:rsidP="009A49EB">
      <w:pPr>
        <w:pStyle w:val="NormalWeb"/>
        <w:spacing w:before="0" w:beforeAutospacing="0" w:after="240" w:afterAutospacing="0" w:line="360" w:lineRule="auto"/>
        <w:ind w:left="720" w:hanging="720"/>
        <w:rPr>
          <w:rFonts w:ascii="Arial" w:hAnsi="Arial" w:cs="Arial"/>
        </w:rPr>
      </w:pPr>
      <w:proofErr w:type="spellStart"/>
      <w:r w:rsidRPr="009A49EB">
        <w:rPr>
          <w:rFonts w:ascii="Arial" w:hAnsi="Arial" w:cs="Arial"/>
        </w:rPr>
        <w:t>Ocial</w:t>
      </w:r>
      <w:proofErr w:type="spellEnd"/>
      <w:r w:rsidRPr="009A49EB">
        <w:rPr>
          <w:rFonts w:ascii="Arial" w:hAnsi="Arial" w:cs="Arial"/>
        </w:rPr>
        <w:t xml:space="preserve">, </w:t>
      </w:r>
      <w:proofErr w:type="spellStart"/>
      <w:r w:rsidRPr="009A49EB">
        <w:rPr>
          <w:rFonts w:ascii="Arial" w:hAnsi="Arial" w:cs="Arial"/>
        </w:rPr>
        <w:t>Overnance</w:t>
      </w:r>
      <w:proofErr w:type="spellEnd"/>
      <w:r w:rsidRPr="009A49EB">
        <w:rPr>
          <w:rFonts w:ascii="Arial" w:hAnsi="Arial" w:cs="Arial"/>
        </w:rPr>
        <w:t xml:space="preserve"> &amp; </w:t>
      </w:r>
      <w:proofErr w:type="spellStart"/>
      <w:r w:rsidRPr="009A49EB">
        <w:rPr>
          <w:rFonts w:ascii="Arial" w:hAnsi="Arial" w:cs="Arial"/>
        </w:rPr>
        <w:t>Ppendices</w:t>
      </w:r>
      <w:proofErr w:type="spellEnd"/>
      <w:r w:rsidRPr="009A49EB">
        <w:rPr>
          <w:rFonts w:ascii="Arial" w:hAnsi="Arial" w:cs="Arial"/>
        </w:rPr>
        <w:t xml:space="preserve"> 2022, </w:t>
      </w:r>
      <w:r w:rsidRPr="009A49EB">
        <w:rPr>
          <w:rFonts w:ascii="Arial" w:hAnsi="Arial" w:cs="Arial"/>
          <w:i/>
          <w:iCs/>
        </w:rPr>
        <w:t>Environmental, Social, and Governance Progress 2 2022 Serve 360 Report: Environmental, Social, and Governance Progress •I NTRODUCTION •S ERVE 360: DOING GOOD IN EVERY DIRECTION •E NVIRONMENTAL</w:t>
      </w:r>
      <w:r w:rsidRPr="009A49EB">
        <w:rPr>
          <w:rFonts w:ascii="Arial" w:hAnsi="Arial" w:cs="Arial"/>
        </w:rPr>
        <w:t>.</w:t>
      </w:r>
    </w:p>
    <w:p w14:paraId="0C7C8D26" w14:textId="77777777" w:rsidR="009A49EB" w:rsidRPr="00307494" w:rsidRDefault="009A49EB" w:rsidP="00307494">
      <w:pPr>
        <w:pStyle w:val="NormalWeb"/>
        <w:spacing w:before="0" w:beforeAutospacing="0" w:after="240" w:afterAutospacing="0" w:line="360" w:lineRule="auto"/>
        <w:ind w:left="720" w:hanging="720"/>
        <w:jc w:val="both"/>
        <w:rPr>
          <w:rFonts w:ascii="Arial" w:hAnsi="Arial" w:cs="Arial"/>
        </w:rPr>
      </w:pPr>
      <w:r w:rsidRPr="00307494">
        <w:rPr>
          <w:rFonts w:ascii="Arial" w:hAnsi="Arial" w:cs="Arial"/>
        </w:rPr>
        <w:t xml:space="preserve">Okafor, A., Adeleye, B.N. and Adusei, M. (2021). Corporate social responsibility and financial performance: Evidence from U.S tech firms. </w:t>
      </w:r>
      <w:r w:rsidRPr="00307494">
        <w:rPr>
          <w:rFonts w:ascii="Arial" w:hAnsi="Arial" w:cs="Arial"/>
          <w:i/>
          <w:iCs/>
        </w:rPr>
        <w:t>Journal of Cleaner Production</w:t>
      </w:r>
      <w:r w:rsidRPr="00307494">
        <w:rPr>
          <w:rFonts w:ascii="Arial" w:hAnsi="Arial" w:cs="Arial"/>
        </w:rPr>
        <w:t xml:space="preserve">, 292(1), p.126078. </w:t>
      </w:r>
      <w:proofErr w:type="spellStart"/>
      <w:r w:rsidRPr="00307494">
        <w:rPr>
          <w:rFonts w:ascii="Arial" w:hAnsi="Arial" w:cs="Arial"/>
        </w:rPr>
        <w:t>doi:https</w:t>
      </w:r>
      <w:proofErr w:type="spellEnd"/>
      <w:r w:rsidRPr="00307494">
        <w:rPr>
          <w:rFonts w:ascii="Arial" w:hAnsi="Arial" w:cs="Arial"/>
        </w:rPr>
        <w:t>://doi.org/10.1016/j.jclepro.2021.126078.</w:t>
      </w:r>
    </w:p>
    <w:p w14:paraId="213F9EBB" w14:textId="77777777" w:rsidR="009A49EB" w:rsidRPr="00307494" w:rsidRDefault="009A49EB" w:rsidP="00307494">
      <w:pPr>
        <w:pStyle w:val="NormalWeb"/>
        <w:spacing w:before="0" w:beforeAutospacing="0" w:after="240" w:afterAutospacing="0" w:line="360" w:lineRule="auto"/>
        <w:ind w:left="720" w:hanging="720"/>
        <w:jc w:val="both"/>
        <w:rPr>
          <w:rFonts w:ascii="Arial" w:hAnsi="Arial" w:cs="Arial"/>
        </w:rPr>
      </w:pPr>
      <w:r w:rsidRPr="00307494">
        <w:rPr>
          <w:rFonts w:ascii="Arial" w:hAnsi="Arial" w:cs="Arial"/>
        </w:rPr>
        <w:t xml:space="preserve">Sachs, J.D., Schmidt-Traub, G., Mazzucato, M., Messner, D., </w:t>
      </w:r>
      <w:proofErr w:type="spellStart"/>
      <w:r w:rsidRPr="00307494">
        <w:rPr>
          <w:rFonts w:ascii="Arial" w:hAnsi="Arial" w:cs="Arial"/>
        </w:rPr>
        <w:t>Nakicenovic</w:t>
      </w:r>
      <w:proofErr w:type="spellEnd"/>
      <w:r w:rsidRPr="00307494">
        <w:rPr>
          <w:rFonts w:ascii="Arial" w:hAnsi="Arial" w:cs="Arial"/>
        </w:rPr>
        <w:t xml:space="preserve">, N. and </w:t>
      </w:r>
      <w:proofErr w:type="spellStart"/>
      <w:r w:rsidRPr="00307494">
        <w:rPr>
          <w:rFonts w:ascii="Arial" w:hAnsi="Arial" w:cs="Arial"/>
        </w:rPr>
        <w:t>Rockström</w:t>
      </w:r>
      <w:proofErr w:type="spellEnd"/>
      <w:r w:rsidRPr="00307494">
        <w:rPr>
          <w:rFonts w:ascii="Arial" w:hAnsi="Arial" w:cs="Arial"/>
        </w:rPr>
        <w:t xml:space="preserve">, J. (2019). Six Transformations to achieve the Sustainable Development Goals. </w:t>
      </w:r>
      <w:r w:rsidRPr="00307494">
        <w:rPr>
          <w:rFonts w:ascii="Arial" w:hAnsi="Arial" w:cs="Arial"/>
          <w:i/>
          <w:iCs/>
        </w:rPr>
        <w:t>Nature Sustainability</w:t>
      </w:r>
      <w:r w:rsidRPr="00307494">
        <w:rPr>
          <w:rFonts w:ascii="Arial" w:hAnsi="Arial" w:cs="Arial"/>
        </w:rPr>
        <w:t>, [online] 2(9), pp.805–814. Available at: https://www.nature.com/articles/s41893-019-0352-9.</w:t>
      </w:r>
    </w:p>
    <w:p w14:paraId="20B9410E" w14:textId="77777777" w:rsidR="009A49EB" w:rsidRPr="00D6799C" w:rsidRDefault="009A49EB" w:rsidP="00D6799C">
      <w:pPr>
        <w:spacing w:line="360" w:lineRule="auto"/>
        <w:ind w:left="720" w:hanging="720"/>
        <w:jc w:val="both"/>
        <w:rPr>
          <w:rFonts w:ascii="Arial" w:hAnsi="Arial" w:cs="Arial"/>
          <w:sz w:val="24"/>
          <w:szCs w:val="24"/>
          <w:shd w:val="clear" w:color="auto" w:fill="FFFFFF"/>
        </w:rPr>
      </w:pPr>
      <w:r w:rsidRPr="00D6799C">
        <w:rPr>
          <w:rFonts w:ascii="Arial" w:hAnsi="Arial" w:cs="Arial"/>
          <w:sz w:val="24"/>
          <w:szCs w:val="24"/>
          <w:shd w:val="clear" w:color="auto" w:fill="FFFFFF"/>
        </w:rPr>
        <w:t>Tanveer, U., 2023. Building a circular supply chain. Achieving resilient operations with the circular economy.</w:t>
      </w:r>
    </w:p>
    <w:p w14:paraId="7E0176BF" w14:textId="77777777" w:rsidR="009A49EB" w:rsidRPr="00D6799C" w:rsidRDefault="009A49EB" w:rsidP="00D6799C">
      <w:pPr>
        <w:spacing w:line="360" w:lineRule="auto"/>
        <w:ind w:left="720" w:hanging="720"/>
        <w:jc w:val="both"/>
        <w:rPr>
          <w:rFonts w:ascii="Arial" w:hAnsi="Arial" w:cs="Arial"/>
          <w:sz w:val="24"/>
          <w:szCs w:val="24"/>
          <w:shd w:val="clear" w:color="auto" w:fill="FFFFFF"/>
        </w:rPr>
      </w:pPr>
      <w:r w:rsidRPr="00D6799C">
        <w:rPr>
          <w:rFonts w:ascii="Arial" w:hAnsi="Arial" w:cs="Arial"/>
          <w:sz w:val="24"/>
          <w:szCs w:val="24"/>
          <w:shd w:val="clear" w:color="auto" w:fill="FFFFFF"/>
        </w:rPr>
        <w:t xml:space="preserve">van Loon, </w:t>
      </w:r>
      <w:proofErr w:type="gramStart"/>
      <w:r w:rsidRPr="00D6799C">
        <w:rPr>
          <w:rFonts w:ascii="Arial" w:hAnsi="Arial" w:cs="Arial"/>
          <w:sz w:val="24"/>
          <w:szCs w:val="24"/>
          <w:shd w:val="clear" w:color="auto" w:fill="FFFFFF"/>
        </w:rPr>
        <w:t>P.</w:t>
      </w:r>
      <w:proofErr w:type="gramEnd"/>
      <w:r w:rsidRPr="00D6799C">
        <w:rPr>
          <w:rFonts w:ascii="Arial" w:hAnsi="Arial" w:cs="Arial"/>
          <w:sz w:val="24"/>
          <w:szCs w:val="24"/>
          <w:shd w:val="clear" w:color="auto" w:fill="FFFFFF"/>
        </w:rPr>
        <w:t xml:space="preserve"> and Van </w:t>
      </w:r>
      <w:proofErr w:type="spellStart"/>
      <w:r w:rsidRPr="00D6799C">
        <w:rPr>
          <w:rFonts w:ascii="Arial" w:hAnsi="Arial" w:cs="Arial"/>
          <w:sz w:val="24"/>
          <w:szCs w:val="24"/>
          <w:shd w:val="clear" w:color="auto" w:fill="FFFFFF"/>
        </w:rPr>
        <w:t>Wassenhove</w:t>
      </w:r>
      <w:proofErr w:type="spellEnd"/>
      <w:r w:rsidRPr="00D6799C">
        <w:rPr>
          <w:rFonts w:ascii="Arial" w:hAnsi="Arial" w:cs="Arial"/>
          <w:sz w:val="24"/>
          <w:szCs w:val="24"/>
          <w:shd w:val="clear" w:color="auto" w:fill="FFFFFF"/>
        </w:rPr>
        <w:t>, L.N., 2020. Transition to the circular economy: the story of four case companies. </w:t>
      </w:r>
      <w:r w:rsidRPr="00D6799C">
        <w:rPr>
          <w:rFonts w:ascii="Arial" w:hAnsi="Arial" w:cs="Arial"/>
          <w:i/>
          <w:iCs/>
          <w:sz w:val="24"/>
          <w:szCs w:val="24"/>
          <w:shd w:val="clear" w:color="auto" w:fill="FFFFFF"/>
        </w:rPr>
        <w:t>International Journal of Production Research</w:t>
      </w:r>
      <w:r w:rsidRPr="00D6799C">
        <w:rPr>
          <w:rFonts w:ascii="Arial" w:hAnsi="Arial" w:cs="Arial"/>
          <w:sz w:val="24"/>
          <w:szCs w:val="24"/>
          <w:shd w:val="clear" w:color="auto" w:fill="FFFFFF"/>
        </w:rPr>
        <w:t>, </w:t>
      </w:r>
      <w:r w:rsidRPr="00D6799C">
        <w:rPr>
          <w:rFonts w:ascii="Arial" w:hAnsi="Arial" w:cs="Arial"/>
          <w:i/>
          <w:iCs/>
          <w:sz w:val="24"/>
          <w:szCs w:val="24"/>
          <w:shd w:val="clear" w:color="auto" w:fill="FFFFFF"/>
        </w:rPr>
        <w:t>58</w:t>
      </w:r>
      <w:r w:rsidRPr="00D6799C">
        <w:rPr>
          <w:rFonts w:ascii="Arial" w:hAnsi="Arial" w:cs="Arial"/>
          <w:sz w:val="24"/>
          <w:szCs w:val="24"/>
          <w:shd w:val="clear" w:color="auto" w:fill="FFFFFF"/>
        </w:rPr>
        <w:t>(11), pp.3415-3422.</w:t>
      </w:r>
    </w:p>
    <w:p w14:paraId="1935743A" w14:textId="77777777" w:rsidR="009A49EB" w:rsidRPr="00D6799C" w:rsidRDefault="009A49EB" w:rsidP="00D6799C">
      <w:pPr>
        <w:spacing w:line="360" w:lineRule="auto"/>
        <w:ind w:left="720" w:hanging="720"/>
        <w:jc w:val="both"/>
        <w:rPr>
          <w:rFonts w:ascii="Arial" w:hAnsi="Arial" w:cs="Arial"/>
          <w:sz w:val="24"/>
          <w:szCs w:val="24"/>
          <w:shd w:val="clear" w:color="auto" w:fill="FFFFFF"/>
        </w:rPr>
      </w:pPr>
      <w:r w:rsidRPr="00D6799C">
        <w:rPr>
          <w:rFonts w:ascii="Arial" w:hAnsi="Arial" w:cs="Arial"/>
          <w:sz w:val="24"/>
          <w:szCs w:val="24"/>
          <w:shd w:val="clear" w:color="auto" w:fill="FFFFFF"/>
        </w:rPr>
        <w:t>Ventura, M.R.M.S., 2016. </w:t>
      </w:r>
      <w:r w:rsidRPr="00D6799C">
        <w:rPr>
          <w:rFonts w:ascii="Arial" w:hAnsi="Arial" w:cs="Arial"/>
          <w:i/>
          <w:iCs/>
          <w:sz w:val="24"/>
          <w:szCs w:val="24"/>
          <w:shd w:val="clear" w:color="auto" w:fill="FFFFFF"/>
        </w:rPr>
        <w:t>Green marketing impact on a company’s success: studying the case of Patagonia</w:t>
      </w:r>
      <w:r w:rsidRPr="00D6799C">
        <w:rPr>
          <w:rFonts w:ascii="Arial" w:hAnsi="Arial" w:cs="Arial"/>
          <w:sz w:val="24"/>
          <w:szCs w:val="24"/>
          <w:shd w:val="clear" w:color="auto" w:fill="FFFFFF"/>
        </w:rPr>
        <w:t> (Doctoral dissertation).</w:t>
      </w:r>
    </w:p>
    <w:p w14:paraId="32B88BD8" w14:textId="77777777" w:rsidR="009A49EB" w:rsidRPr="00307494" w:rsidRDefault="009A49EB" w:rsidP="00307494">
      <w:pPr>
        <w:pStyle w:val="NormalWeb"/>
        <w:spacing w:before="0" w:beforeAutospacing="0" w:after="240" w:afterAutospacing="0" w:line="360" w:lineRule="auto"/>
        <w:ind w:left="720" w:hanging="720"/>
        <w:jc w:val="both"/>
        <w:rPr>
          <w:rFonts w:ascii="Arial" w:hAnsi="Arial" w:cs="Arial"/>
        </w:rPr>
      </w:pPr>
      <w:r w:rsidRPr="00307494">
        <w:rPr>
          <w:rFonts w:ascii="Arial" w:hAnsi="Arial" w:cs="Arial"/>
        </w:rPr>
        <w:t xml:space="preserve">Yuan, Y., Lu, L.Y., Tian, G. and Yu, Y. (2019). Business Strategy and Corporate Social Responsibility. </w:t>
      </w:r>
      <w:r w:rsidRPr="00307494">
        <w:rPr>
          <w:rFonts w:ascii="Arial" w:hAnsi="Arial" w:cs="Arial"/>
          <w:i/>
          <w:iCs/>
        </w:rPr>
        <w:t>Journal of Business Ethics</w:t>
      </w:r>
      <w:r w:rsidRPr="00307494">
        <w:rPr>
          <w:rFonts w:ascii="Arial" w:hAnsi="Arial" w:cs="Arial"/>
        </w:rPr>
        <w:t xml:space="preserve">, 162(2). </w:t>
      </w:r>
      <w:proofErr w:type="spellStart"/>
      <w:r w:rsidRPr="00307494">
        <w:rPr>
          <w:rFonts w:ascii="Arial" w:hAnsi="Arial" w:cs="Arial"/>
        </w:rPr>
        <w:t>doi:https</w:t>
      </w:r>
      <w:proofErr w:type="spellEnd"/>
      <w:r w:rsidRPr="00307494">
        <w:rPr>
          <w:rFonts w:ascii="Arial" w:hAnsi="Arial" w:cs="Arial"/>
        </w:rPr>
        <w:t>://doi.org/10.1007/s10551-018-3952-9.</w:t>
      </w:r>
    </w:p>
    <w:p w14:paraId="6CD9AED7" w14:textId="77777777" w:rsidR="009A49EB" w:rsidRPr="00D6799C" w:rsidRDefault="009A49EB" w:rsidP="00D6799C">
      <w:pPr>
        <w:spacing w:line="360" w:lineRule="auto"/>
        <w:ind w:left="720" w:hanging="720"/>
        <w:jc w:val="both"/>
        <w:rPr>
          <w:rFonts w:ascii="Arial" w:hAnsi="Arial" w:cs="Arial"/>
          <w:sz w:val="24"/>
          <w:szCs w:val="24"/>
          <w:shd w:val="clear" w:color="auto" w:fill="FFFFFF"/>
        </w:rPr>
      </w:pPr>
      <w:r w:rsidRPr="00D6799C">
        <w:rPr>
          <w:rFonts w:ascii="Arial" w:hAnsi="Arial" w:cs="Arial"/>
          <w:sz w:val="24"/>
          <w:szCs w:val="24"/>
          <w:shd w:val="clear" w:color="auto" w:fill="FFFFFF"/>
        </w:rPr>
        <w:t>Zink, T. and Geyer, R., 2017. Circular economy rebound. </w:t>
      </w:r>
      <w:r w:rsidRPr="00D6799C">
        <w:rPr>
          <w:rFonts w:ascii="Arial" w:hAnsi="Arial" w:cs="Arial"/>
          <w:i/>
          <w:iCs/>
          <w:sz w:val="24"/>
          <w:szCs w:val="24"/>
          <w:shd w:val="clear" w:color="auto" w:fill="FFFFFF"/>
        </w:rPr>
        <w:t>Journal of industrial ecology</w:t>
      </w:r>
      <w:r w:rsidRPr="00D6799C">
        <w:rPr>
          <w:rFonts w:ascii="Arial" w:hAnsi="Arial" w:cs="Arial"/>
          <w:sz w:val="24"/>
          <w:szCs w:val="24"/>
          <w:shd w:val="clear" w:color="auto" w:fill="FFFFFF"/>
        </w:rPr>
        <w:t>, </w:t>
      </w:r>
      <w:r w:rsidRPr="00D6799C">
        <w:rPr>
          <w:rFonts w:ascii="Arial" w:hAnsi="Arial" w:cs="Arial"/>
          <w:i/>
          <w:iCs/>
          <w:sz w:val="24"/>
          <w:szCs w:val="24"/>
          <w:shd w:val="clear" w:color="auto" w:fill="FFFFFF"/>
        </w:rPr>
        <w:t>21</w:t>
      </w:r>
      <w:r w:rsidRPr="00D6799C">
        <w:rPr>
          <w:rFonts w:ascii="Arial" w:hAnsi="Arial" w:cs="Arial"/>
          <w:sz w:val="24"/>
          <w:szCs w:val="24"/>
          <w:shd w:val="clear" w:color="auto" w:fill="FFFFFF"/>
        </w:rPr>
        <w:t>(3), pp.593-602.</w:t>
      </w:r>
    </w:p>
    <w:sectPr w:rsidR="009A49EB" w:rsidRPr="00D6799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026851"/>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080784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6046"/>
    <w:rsid w:val="001A4243"/>
    <w:rsid w:val="00307494"/>
    <w:rsid w:val="00487842"/>
    <w:rsid w:val="004943F8"/>
    <w:rsid w:val="0055390A"/>
    <w:rsid w:val="006072AA"/>
    <w:rsid w:val="00681DDE"/>
    <w:rsid w:val="007B1354"/>
    <w:rsid w:val="009A49EB"/>
    <w:rsid w:val="009C6046"/>
    <w:rsid w:val="00CA0112"/>
    <w:rsid w:val="00D6799C"/>
    <w:rsid w:val="00E94B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A9DECF"/>
  <w15:chartTrackingRefBased/>
  <w15:docId w15:val="{282BE765-2981-44D2-9E20-41D443364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6046"/>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94B85"/>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94B85"/>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E94B85"/>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94B85"/>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E94B85"/>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E94B85"/>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E94B8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94B8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604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E94B8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E94B8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E94B85"/>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E94B85"/>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E94B85"/>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E94B85"/>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E94B8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94B8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4943F8"/>
    <w:pPr>
      <w:numPr>
        <w:numId w:val="0"/>
      </w:numPr>
      <w:outlineLvl w:val="9"/>
    </w:pPr>
  </w:style>
  <w:style w:type="paragraph" w:styleId="TOC1">
    <w:name w:val="toc 1"/>
    <w:basedOn w:val="Normal"/>
    <w:next w:val="Normal"/>
    <w:autoRedefine/>
    <w:uiPriority w:val="39"/>
    <w:unhideWhenUsed/>
    <w:rsid w:val="004943F8"/>
    <w:pPr>
      <w:spacing w:after="100"/>
    </w:pPr>
  </w:style>
  <w:style w:type="character" w:styleId="Hyperlink">
    <w:name w:val="Hyperlink"/>
    <w:basedOn w:val="DefaultParagraphFont"/>
    <w:uiPriority w:val="99"/>
    <w:unhideWhenUsed/>
    <w:rsid w:val="004943F8"/>
    <w:rPr>
      <w:color w:val="0563C1" w:themeColor="hyperlink"/>
      <w:u w:val="single"/>
    </w:rPr>
  </w:style>
  <w:style w:type="paragraph" w:styleId="NormalWeb">
    <w:name w:val="Normal (Web)"/>
    <w:basedOn w:val="Normal"/>
    <w:uiPriority w:val="99"/>
    <w:unhideWhenUsed/>
    <w:rsid w:val="0030749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392897">
      <w:bodyDiv w:val="1"/>
      <w:marLeft w:val="0"/>
      <w:marRight w:val="0"/>
      <w:marTop w:val="0"/>
      <w:marBottom w:val="0"/>
      <w:divBdr>
        <w:top w:val="none" w:sz="0" w:space="0" w:color="auto"/>
        <w:left w:val="none" w:sz="0" w:space="0" w:color="auto"/>
        <w:bottom w:val="none" w:sz="0" w:space="0" w:color="auto"/>
        <w:right w:val="none" w:sz="0" w:space="0" w:color="auto"/>
      </w:divBdr>
      <w:divsChild>
        <w:div w:id="1708527504">
          <w:marLeft w:val="0"/>
          <w:marRight w:val="0"/>
          <w:marTop w:val="0"/>
          <w:marBottom w:val="0"/>
          <w:divBdr>
            <w:top w:val="none" w:sz="0" w:space="0" w:color="auto"/>
            <w:left w:val="none" w:sz="0" w:space="0" w:color="auto"/>
            <w:bottom w:val="none" w:sz="0" w:space="0" w:color="auto"/>
            <w:right w:val="none" w:sz="0" w:space="0" w:color="auto"/>
          </w:divBdr>
        </w:div>
      </w:divsChild>
    </w:div>
    <w:div w:id="1829250756">
      <w:bodyDiv w:val="1"/>
      <w:marLeft w:val="0"/>
      <w:marRight w:val="0"/>
      <w:marTop w:val="0"/>
      <w:marBottom w:val="0"/>
      <w:divBdr>
        <w:top w:val="none" w:sz="0" w:space="0" w:color="auto"/>
        <w:left w:val="none" w:sz="0" w:space="0" w:color="auto"/>
        <w:bottom w:val="none" w:sz="0" w:space="0" w:color="auto"/>
        <w:right w:val="none" w:sz="0" w:space="0" w:color="auto"/>
      </w:divBdr>
      <w:divsChild>
        <w:div w:id="20518753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6AADCE-8367-4397-80F4-6C4A424AC3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2712</Words>
  <Characters>15462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E560</dc:creator>
  <cp:keywords/>
  <dc:description/>
  <cp:lastModifiedBy>Ana Maria Morteanu</cp:lastModifiedBy>
  <cp:revision>2</cp:revision>
  <dcterms:created xsi:type="dcterms:W3CDTF">2024-02-01T09:01:00Z</dcterms:created>
  <dcterms:modified xsi:type="dcterms:W3CDTF">2024-02-01T09:01:00Z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475f123150bca02d82fc180d276a036227b54c55f8cb3687ab341922ca2fa469</vt:lpwstr>
  </property>
</Properties>
</file>