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9513EB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57592">
        <w:rPr>
          <w:rFonts w:asciiTheme="minorBidi" w:hAnsiTheme="minorBidi"/>
          <w:sz w:val="28"/>
          <w:szCs w:val="28"/>
        </w:rPr>
        <w:t xml:space="preserve">Brenda Da Silva Rodrigues Marciano </w:t>
      </w:r>
    </w:p>
    <w:p w14:paraId="485B6F49" w14:textId="0CDEF5A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61319">
        <w:rPr>
          <w:rFonts w:asciiTheme="minorBidi" w:hAnsiTheme="minorBidi"/>
          <w:sz w:val="28"/>
          <w:szCs w:val="28"/>
        </w:rPr>
        <w:t>2509114</w:t>
      </w:r>
    </w:p>
    <w:p w14:paraId="3C1E7A20" w14:textId="1901846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25496">
        <w:rPr>
          <w:rFonts w:asciiTheme="minorBidi" w:hAnsiTheme="minorBidi"/>
          <w:sz w:val="28"/>
          <w:szCs w:val="28"/>
        </w:rPr>
        <w:t>LCHS4001</w:t>
      </w:r>
      <w:r w:rsidR="008A5563">
        <w:rPr>
          <w:rFonts w:asciiTheme="minorBidi" w:hAnsiTheme="minorBidi"/>
          <w:sz w:val="28"/>
          <w:szCs w:val="28"/>
        </w:rPr>
        <w:t>_LON</w:t>
      </w:r>
    </w:p>
    <w:p w14:paraId="4EEB2DA3" w14:textId="7FF7BA4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82551">
        <w:rPr>
          <w:rFonts w:asciiTheme="minorBidi" w:hAnsiTheme="minorBidi"/>
          <w:sz w:val="28"/>
          <w:szCs w:val="28"/>
        </w:rPr>
        <w:t>Academi</w:t>
      </w:r>
      <w:r w:rsidR="00CD75BB">
        <w:rPr>
          <w:rFonts w:asciiTheme="minorBidi" w:hAnsiTheme="minorBidi"/>
          <w:sz w:val="28"/>
          <w:szCs w:val="28"/>
        </w:rPr>
        <w:t xml:space="preserve">c and </w:t>
      </w:r>
      <w:r w:rsidR="000C10AD">
        <w:rPr>
          <w:rFonts w:asciiTheme="minorBidi" w:hAnsiTheme="minorBidi"/>
          <w:sz w:val="28"/>
          <w:szCs w:val="28"/>
        </w:rPr>
        <w:t xml:space="preserve">Employability </w:t>
      </w:r>
      <w:r w:rsidR="005F743B">
        <w:rPr>
          <w:rFonts w:asciiTheme="minorBidi" w:hAnsiTheme="minorBidi"/>
          <w:sz w:val="28"/>
          <w:szCs w:val="28"/>
        </w:rPr>
        <w:t xml:space="preserve">Skills </w:t>
      </w:r>
    </w:p>
    <w:p w14:paraId="112342CB" w14:textId="1FCC5BB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82551">
        <w:rPr>
          <w:rFonts w:asciiTheme="minorBidi" w:hAnsiTheme="minorBidi"/>
          <w:sz w:val="28"/>
          <w:szCs w:val="28"/>
        </w:rPr>
        <w:t xml:space="preserve">Farah Witta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64969A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D92E23">
        <w:rPr>
          <w:rFonts w:asciiTheme="minorBidi" w:hAnsiTheme="minorBidi"/>
          <w:sz w:val="28"/>
          <w:szCs w:val="28"/>
        </w:rPr>
        <w:t>02/</w:t>
      </w:r>
      <w:r w:rsidR="008E722A">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BAFCB07" w:rsidR="00824CB1" w:rsidRDefault="002D2203" w:rsidP="0CF501EC">
          <w:pPr>
            <w:pStyle w:val="TOC2"/>
            <w:tabs>
              <w:tab w:val="right" w:leader="dot" w:pos="9015"/>
            </w:tabs>
            <w:rPr>
              <w:rStyle w:val="Hyperlink"/>
              <w:noProof/>
              <w:lang w:eastAsia="en-GB"/>
            </w:rPr>
          </w:pPr>
          <w:hyperlink w:anchor="_Toc1915621813">
            <w:r>
              <w:rPr>
                <w:rStyle w:val="Hyperlink"/>
              </w:rPr>
              <w:t xml:space="preserve">2.Pediatric Nurse </w:t>
            </w:r>
            <w:r w:rsidR="0CF501EC"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0CF501EC" w:rsidRPr="0CF501EC">
              <w:rPr>
                <w:rStyle w:val="Hyperlink"/>
              </w:rPr>
              <w:t>3</w:t>
            </w:r>
            <w:r w:rsidR="00824CB1">
              <w:fldChar w:fldCharType="end"/>
            </w:r>
          </w:hyperlink>
        </w:p>
        <w:p w14:paraId="405810A6" w14:textId="749B84E3"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013D88">
              <w:rPr>
                <w:rStyle w:val="Hyperlink"/>
              </w:rPr>
              <w:t>Pediatric Nurse</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000C1F45"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013D88">
              <w:rPr>
                <w:rStyle w:val="Hyperlink"/>
              </w:rPr>
              <w:t xml:space="preserve">Pediatric </w:t>
            </w:r>
            <w:r w:rsidR="00225E94">
              <w:rPr>
                <w:rStyle w:val="Hyperlink"/>
              </w:rPr>
              <w:t>Nurse</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63F011AB"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DC2BB7">
              <w:rPr>
                <w:rStyle w:val="Hyperlink"/>
              </w:rPr>
              <w:t>Pediatric Nurse …………………………………………………..</w:t>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1CA61AC8"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8A745D">
              <w:rPr>
                <w:rStyle w:val="Hyperlink"/>
              </w:rPr>
              <w:t>Pediatric Nurse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F24571" w:rsidRDefault="00ED5964" w:rsidP="00ED5964">
      <w:pPr>
        <w:jc w:val="both"/>
        <w:rPr>
          <w:rFonts w:asciiTheme="minorBidi" w:hAnsiTheme="minorBidi"/>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319CEBB9" w14:textId="5741C738" w:rsidR="001B504B" w:rsidRPr="000B17D3" w:rsidRDefault="00AA77C8" w:rsidP="00630349">
      <w:pPr>
        <w:pStyle w:val="Heading2"/>
        <w:rPr>
          <w:rFonts w:ascii="Arial" w:hAnsi="Arial" w:cs="Arial"/>
          <w:color w:val="4472C4" w:themeColor="accent1"/>
          <w:sz w:val="22"/>
          <w:szCs w:val="22"/>
        </w:rPr>
      </w:pPr>
      <w:bookmarkStart w:id="0" w:name="_Toc695233283"/>
      <w:r w:rsidRPr="000B17D3">
        <w:rPr>
          <w:rFonts w:ascii="Arial" w:hAnsi="Arial" w:cs="Arial"/>
          <w:color w:val="4471C4"/>
          <w:sz w:val="22"/>
          <w:szCs w:val="22"/>
        </w:rPr>
        <w:lastRenderedPageBreak/>
        <w:t>1</w:t>
      </w:r>
      <w:r w:rsidR="00500295" w:rsidRPr="000B17D3">
        <w:rPr>
          <w:rFonts w:ascii="Arial" w:hAnsi="Arial" w:cs="Arial"/>
          <w:color w:val="4471C4"/>
          <w:sz w:val="22"/>
          <w:szCs w:val="22"/>
        </w:rPr>
        <w:t xml:space="preserve">.1 </w:t>
      </w:r>
      <w:r w:rsidR="00A035CD" w:rsidRPr="000B17D3">
        <w:rPr>
          <w:rFonts w:ascii="Arial" w:hAnsi="Arial" w:cs="Arial"/>
          <w:color w:val="4471C4"/>
          <w:sz w:val="22"/>
          <w:szCs w:val="22"/>
        </w:rPr>
        <w:t>Introduction</w:t>
      </w:r>
      <w:bookmarkEnd w:id="0"/>
    </w:p>
    <w:p w14:paraId="1D71D4A7" w14:textId="77777777" w:rsidR="001B504B" w:rsidRPr="000B17D3" w:rsidRDefault="001B504B" w:rsidP="00630349">
      <w:pPr>
        <w:spacing w:after="0" w:line="240" w:lineRule="auto"/>
        <w:jc w:val="both"/>
        <w:rPr>
          <w:rFonts w:ascii="Arial" w:hAnsi="Arial" w:cs="Arial"/>
          <w:sz w:val="22"/>
        </w:rPr>
      </w:pPr>
    </w:p>
    <w:p w14:paraId="3CC414D9" w14:textId="77777777" w:rsidR="00B90C21" w:rsidRPr="00B90C21" w:rsidRDefault="00B90C21" w:rsidP="00B90C21">
      <w:pPr>
        <w:spacing w:before="100" w:beforeAutospacing="1" w:after="100" w:afterAutospacing="1" w:line="240" w:lineRule="auto"/>
        <w:rPr>
          <w:rFonts w:ascii="Times New Roman" w:hAnsi="Times New Roman" w:cs="Times New Roman"/>
          <w:color w:val="000000"/>
          <w:kern w:val="0"/>
          <w:sz w:val="24"/>
          <w:szCs w:val="24"/>
          <w:lang w:eastAsia="en-GB"/>
          <w14:ligatures w14:val="none"/>
        </w:rPr>
      </w:pPr>
      <w:r w:rsidRPr="00B90C21">
        <w:rPr>
          <w:rFonts w:ascii="Times New Roman" w:hAnsi="Times New Roman" w:cs="Times New Roman"/>
          <w:color w:val="000000"/>
          <w:kern w:val="0"/>
          <w:sz w:val="24"/>
          <w:szCs w:val="24"/>
          <w:lang w:eastAsia="en-GB"/>
          <w14:ligatures w14:val="none"/>
        </w:rPr>
        <w:t>The Health and Social Care field demands specialised expertise to meet the diverse needs of all patient populations, and the role of the Pediatric Nurse is crucial for managing the distinct challenges presented by infants, children, and adolescents. This specialisation requires a focus not only on the physical health of the child but also on their developmental, psychological, and family needs. This report aims to clearly define the responsibilities and essential competencies of a Pediatric Nurse working within this environment. The document is structured to first describe the role’s unique functions, followed by a detailed explanation of the three most significant skills required. Finally, the report will propose and elaborate on three specific strategies that can be effectively utilised to improve these identified nursing skills.</w:t>
      </w:r>
    </w:p>
    <w:p w14:paraId="65911FC0" w14:textId="77777777" w:rsidR="001B504B" w:rsidRPr="000B17D3" w:rsidRDefault="001B504B" w:rsidP="00DD5135">
      <w:pPr>
        <w:pStyle w:val="ListParagraph"/>
        <w:spacing w:after="0" w:line="240" w:lineRule="auto"/>
        <w:jc w:val="both"/>
        <w:rPr>
          <w:rFonts w:ascii="Arial" w:hAnsi="Arial" w:cs="Arial"/>
          <w:sz w:val="22"/>
        </w:rPr>
      </w:pPr>
    </w:p>
    <w:p w14:paraId="6E964478" w14:textId="5BCAC858" w:rsidR="00D04FF6" w:rsidRPr="000B17D3" w:rsidRDefault="00D750D6" w:rsidP="00793C38">
      <w:pPr>
        <w:pStyle w:val="p1"/>
        <w:rPr>
          <w:rFonts w:ascii="Arial" w:hAnsi="Arial" w:cs="Arial"/>
          <w:sz w:val="22"/>
          <w:szCs w:val="22"/>
        </w:rPr>
      </w:pPr>
      <w:r>
        <w:rPr>
          <w:rFonts w:ascii="Arial" w:hAnsi="Arial" w:cs="Arial"/>
          <w:sz w:val="22"/>
          <w:szCs w:val="22"/>
        </w:rPr>
        <w:t xml:space="preserve">  </w:t>
      </w:r>
    </w:p>
    <w:p w14:paraId="64F36E68" w14:textId="1D14FE74" w:rsidR="3C659699" w:rsidRPr="000B17D3" w:rsidRDefault="3C659699" w:rsidP="0CF501EC">
      <w:pPr>
        <w:pStyle w:val="Heading2"/>
        <w:rPr>
          <w:rFonts w:ascii="Arial" w:hAnsi="Arial" w:cs="Arial"/>
          <w:color w:val="4472C4" w:themeColor="accent1"/>
          <w:sz w:val="22"/>
          <w:szCs w:val="22"/>
        </w:rPr>
      </w:pPr>
      <w:bookmarkStart w:id="1" w:name="_Toc1915621813"/>
      <w:r w:rsidRPr="000B17D3">
        <w:rPr>
          <w:rFonts w:ascii="Arial" w:hAnsi="Arial" w:cs="Arial"/>
          <w:color w:val="4471C4"/>
          <w:sz w:val="22"/>
          <w:szCs w:val="22"/>
        </w:rPr>
        <w:t xml:space="preserve">2 </w:t>
      </w:r>
      <w:r w:rsidR="00FD1A3D" w:rsidRPr="000B17D3">
        <w:rPr>
          <w:rFonts w:ascii="Arial" w:hAnsi="Arial" w:cs="Arial"/>
          <w:color w:val="4471C4"/>
          <w:sz w:val="22"/>
          <w:szCs w:val="22"/>
        </w:rPr>
        <w:t xml:space="preserve">Pediatric Nurse </w:t>
      </w:r>
      <w:r w:rsidRPr="000B17D3">
        <w:rPr>
          <w:rFonts w:ascii="Arial" w:hAnsi="Arial" w:cs="Arial"/>
          <w:color w:val="4471C4"/>
          <w:sz w:val="22"/>
          <w:szCs w:val="22"/>
        </w:rPr>
        <w:t xml:space="preserve"> in the Health and Social Care Field</w:t>
      </w:r>
      <w:bookmarkEnd w:id="1"/>
    </w:p>
    <w:p w14:paraId="3C079BEF" w14:textId="401104E7" w:rsidR="0156E134" w:rsidRPr="000B17D3" w:rsidRDefault="0156E134" w:rsidP="0156E134">
      <w:pPr>
        <w:spacing w:after="0" w:line="240" w:lineRule="auto"/>
        <w:jc w:val="both"/>
        <w:rPr>
          <w:rFonts w:ascii="Arial" w:hAnsi="Arial" w:cs="Arial"/>
          <w:sz w:val="22"/>
        </w:rPr>
      </w:pPr>
    </w:p>
    <w:p w14:paraId="6F8BC326" w14:textId="7B7408A5" w:rsidR="00DA5402" w:rsidRPr="000B17D3" w:rsidRDefault="5CF7C3DB" w:rsidP="00DA5402">
      <w:pPr>
        <w:pStyle w:val="Heading2"/>
        <w:rPr>
          <w:rFonts w:ascii="Arial" w:hAnsi="Arial" w:cs="Arial"/>
          <w:color w:val="4472C4" w:themeColor="accent1"/>
          <w:sz w:val="22"/>
          <w:szCs w:val="22"/>
        </w:rPr>
      </w:pPr>
      <w:bookmarkStart w:id="2" w:name="_Toc796087951"/>
      <w:r w:rsidRPr="000B17D3">
        <w:rPr>
          <w:rFonts w:ascii="Arial" w:hAnsi="Arial" w:cs="Arial"/>
          <w:color w:val="4471C4"/>
          <w:sz w:val="22"/>
          <w:szCs w:val="22"/>
        </w:rPr>
        <w:t>2.1</w:t>
      </w:r>
      <w:r w:rsidR="002370CE" w:rsidRPr="000B17D3">
        <w:rPr>
          <w:rFonts w:ascii="Arial" w:hAnsi="Arial" w:cs="Arial"/>
          <w:color w:val="4471C4"/>
          <w:sz w:val="22"/>
          <w:szCs w:val="22"/>
        </w:rPr>
        <w:t xml:space="preserve"> </w:t>
      </w:r>
      <w:r w:rsidR="071F48DC" w:rsidRPr="000B17D3">
        <w:rPr>
          <w:rFonts w:ascii="Arial" w:hAnsi="Arial" w:cs="Arial"/>
          <w:color w:val="4471C4"/>
          <w:sz w:val="22"/>
          <w:szCs w:val="22"/>
        </w:rPr>
        <w:t>Description</w:t>
      </w:r>
      <w:r w:rsidR="00070818" w:rsidRPr="000B17D3">
        <w:rPr>
          <w:rFonts w:ascii="Arial" w:hAnsi="Arial" w:cs="Arial"/>
          <w:color w:val="4471C4"/>
          <w:sz w:val="22"/>
          <w:szCs w:val="22"/>
        </w:rPr>
        <w:t xml:space="preserve"> </w:t>
      </w:r>
      <w:r w:rsidR="13BD3D5D" w:rsidRPr="000B17D3">
        <w:rPr>
          <w:rFonts w:ascii="Arial" w:hAnsi="Arial" w:cs="Arial"/>
          <w:color w:val="4471C4"/>
          <w:sz w:val="22"/>
          <w:szCs w:val="22"/>
        </w:rPr>
        <w:t xml:space="preserve">of </w:t>
      </w:r>
      <w:r w:rsidR="00DD5E24" w:rsidRPr="000B17D3">
        <w:rPr>
          <w:rFonts w:ascii="Arial" w:hAnsi="Arial" w:cs="Arial"/>
          <w:color w:val="4471C4"/>
          <w:sz w:val="22"/>
          <w:szCs w:val="22"/>
        </w:rPr>
        <w:t xml:space="preserve">Pediatric Nurse </w:t>
      </w:r>
      <w:r w:rsidR="008B0B22" w:rsidRPr="000B17D3">
        <w:rPr>
          <w:rFonts w:ascii="Arial" w:hAnsi="Arial" w:cs="Arial"/>
          <w:color w:val="4471C4"/>
          <w:sz w:val="22"/>
          <w:szCs w:val="22"/>
        </w:rPr>
        <w:t xml:space="preserve"> in Health</w:t>
      </w:r>
      <w:r w:rsidR="3464B4D3" w:rsidRPr="000B17D3">
        <w:rPr>
          <w:rFonts w:ascii="Arial" w:hAnsi="Arial" w:cs="Arial"/>
          <w:color w:val="4471C4"/>
          <w:sz w:val="22"/>
          <w:szCs w:val="22"/>
        </w:rPr>
        <w:t xml:space="preserve"> and Social </w:t>
      </w:r>
      <w:r w:rsidR="3D6135D7" w:rsidRPr="000B17D3">
        <w:rPr>
          <w:rFonts w:ascii="Arial" w:hAnsi="Arial" w:cs="Arial"/>
          <w:color w:val="4471C4"/>
          <w:sz w:val="22"/>
          <w:szCs w:val="22"/>
        </w:rPr>
        <w:t>C</w:t>
      </w:r>
      <w:r w:rsidR="008B0B22" w:rsidRPr="000B17D3">
        <w:rPr>
          <w:rFonts w:ascii="Arial" w:hAnsi="Arial" w:cs="Arial"/>
          <w:color w:val="4471C4"/>
          <w:sz w:val="22"/>
          <w:szCs w:val="22"/>
        </w:rPr>
        <w:t>are</w:t>
      </w:r>
      <w:bookmarkEnd w:id="2"/>
      <w:r w:rsidR="008B0B22" w:rsidRPr="000B17D3">
        <w:rPr>
          <w:rFonts w:ascii="Arial" w:hAnsi="Arial" w:cs="Arial"/>
          <w:color w:val="4471C4"/>
          <w:sz w:val="22"/>
          <w:szCs w:val="22"/>
        </w:rPr>
        <w:t xml:space="preserve"> </w:t>
      </w:r>
    </w:p>
    <w:p w14:paraId="2377B703" w14:textId="77777777" w:rsidR="00CF0C22" w:rsidRPr="000B17D3" w:rsidRDefault="00CF0C22">
      <w:pPr>
        <w:pStyle w:val="p1"/>
        <w:rPr>
          <w:rFonts w:ascii="Arial" w:hAnsi="Arial" w:cs="Arial"/>
          <w:sz w:val="22"/>
          <w:szCs w:val="22"/>
        </w:rPr>
      </w:pPr>
    </w:p>
    <w:p w14:paraId="27E61AFF" w14:textId="77777777" w:rsidR="00CF0C22" w:rsidRPr="000B17D3" w:rsidRDefault="00CF0C22">
      <w:pPr>
        <w:pStyle w:val="p1"/>
        <w:rPr>
          <w:rFonts w:ascii="Arial" w:hAnsi="Arial" w:cs="Arial"/>
          <w:sz w:val="22"/>
          <w:szCs w:val="22"/>
        </w:rPr>
      </w:pPr>
    </w:p>
    <w:p w14:paraId="268771F1" w14:textId="77777777" w:rsidR="00CF0C22" w:rsidRPr="000B17D3" w:rsidRDefault="00CF0C22">
      <w:pPr>
        <w:pStyle w:val="p1"/>
        <w:rPr>
          <w:rFonts w:ascii="Arial" w:hAnsi="Arial" w:cs="Arial"/>
          <w:sz w:val="22"/>
          <w:szCs w:val="22"/>
        </w:rPr>
      </w:pPr>
    </w:p>
    <w:p w14:paraId="24D34095" w14:textId="32406B21" w:rsidR="007501F0" w:rsidRPr="000B17D3" w:rsidRDefault="00DA5402">
      <w:pPr>
        <w:pStyle w:val="p1"/>
        <w:rPr>
          <w:rFonts w:ascii="Arial" w:hAnsi="Arial" w:cs="Arial"/>
          <w:sz w:val="22"/>
          <w:szCs w:val="22"/>
        </w:rPr>
      </w:pPr>
      <w:r w:rsidRPr="000B17D3">
        <w:rPr>
          <w:rFonts w:ascii="Arial" w:hAnsi="Arial" w:cs="Arial"/>
          <w:sz w:val="22"/>
          <w:szCs w:val="22"/>
        </w:rPr>
        <w:t>The Pediatric Nurse is a Registered Nurse who provides direct</w:t>
      </w:r>
      <w:r w:rsidR="00FC6295" w:rsidRPr="000B17D3">
        <w:rPr>
          <w:rFonts w:ascii="Arial" w:hAnsi="Arial" w:cs="Arial"/>
          <w:sz w:val="22"/>
          <w:szCs w:val="22"/>
        </w:rPr>
        <w:t xml:space="preserve"> </w:t>
      </w:r>
      <w:r w:rsidRPr="000B17D3">
        <w:rPr>
          <w:rFonts w:ascii="Arial" w:hAnsi="Arial" w:cs="Arial"/>
          <w:sz w:val="22"/>
          <w:szCs w:val="22"/>
        </w:rPr>
        <w:t xml:space="preserve">age-appropriate, and family-centered care to patients from birth through young adulthood. The role is critically important because children are not </w:t>
      </w:r>
      <w:r w:rsidR="00746455" w:rsidRPr="000B17D3">
        <w:rPr>
          <w:rFonts w:ascii="Arial" w:hAnsi="Arial" w:cs="Arial"/>
          <w:sz w:val="22"/>
          <w:szCs w:val="22"/>
        </w:rPr>
        <w:t xml:space="preserve">like </w:t>
      </w:r>
      <w:r w:rsidR="00FC6295" w:rsidRPr="000B17D3">
        <w:rPr>
          <w:rFonts w:ascii="Arial" w:hAnsi="Arial" w:cs="Arial"/>
          <w:sz w:val="22"/>
          <w:szCs w:val="22"/>
        </w:rPr>
        <w:t>adult</w:t>
      </w:r>
      <w:r w:rsidR="00E833D0" w:rsidRPr="000B17D3">
        <w:rPr>
          <w:rFonts w:ascii="Arial" w:hAnsi="Arial" w:cs="Arial"/>
          <w:sz w:val="22"/>
          <w:szCs w:val="22"/>
        </w:rPr>
        <w:t xml:space="preserve">, </w:t>
      </w:r>
      <w:r w:rsidRPr="000B17D3">
        <w:rPr>
          <w:rFonts w:ascii="Arial" w:hAnsi="Arial" w:cs="Arial"/>
          <w:sz w:val="22"/>
          <w:szCs w:val="22"/>
        </w:rPr>
        <w:t xml:space="preserve">their physiological, cognitive, and emotional responses to illness, trauma, and treatment differ significantly from those of adults </w:t>
      </w:r>
      <w:r w:rsidR="00DA2316">
        <w:rPr>
          <w:rFonts w:ascii="Arial" w:hAnsi="Arial" w:cs="Arial"/>
          <w:sz w:val="22"/>
          <w:szCs w:val="22"/>
        </w:rPr>
        <w:t>.</w:t>
      </w:r>
      <w:r w:rsidRPr="000B17D3">
        <w:rPr>
          <w:rFonts w:ascii="Arial" w:hAnsi="Arial" w:cs="Arial"/>
          <w:sz w:val="22"/>
          <w:szCs w:val="22"/>
        </w:rPr>
        <w:t xml:space="preserve">The main duties of the role extend beyond standard clinical procedures to include continuous assessment of growth and development, adjustment of all medical procedures to the child’s </w:t>
      </w:r>
      <w:r w:rsidR="0056671D" w:rsidRPr="000B17D3">
        <w:rPr>
          <w:rFonts w:ascii="Arial" w:hAnsi="Arial" w:cs="Arial"/>
          <w:sz w:val="22"/>
          <w:szCs w:val="22"/>
        </w:rPr>
        <w:t>size,</w:t>
      </w:r>
      <w:r w:rsidR="001441DD" w:rsidRPr="000B17D3">
        <w:rPr>
          <w:rFonts w:ascii="Arial" w:hAnsi="Arial" w:cs="Arial"/>
          <w:sz w:val="22"/>
          <w:szCs w:val="22"/>
        </w:rPr>
        <w:t xml:space="preserve"> </w:t>
      </w:r>
      <w:r w:rsidR="0056671D" w:rsidRPr="000B17D3">
        <w:rPr>
          <w:rFonts w:ascii="Arial" w:hAnsi="Arial" w:cs="Arial"/>
          <w:sz w:val="22"/>
          <w:szCs w:val="22"/>
        </w:rPr>
        <w:t>age and</w:t>
      </w:r>
      <w:r w:rsidRPr="000B17D3">
        <w:rPr>
          <w:rFonts w:ascii="Arial" w:hAnsi="Arial" w:cs="Arial"/>
          <w:sz w:val="22"/>
          <w:szCs w:val="22"/>
        </w:rPr>
        <w:t xml:space="preserve"> psychological state, and intensive education of caregivers. </w:t>
      </w:r>
    </w:p>
    <w:p w14:paraId="4CED557C" w14:textId="77777777" w:rsidR="007501F0" w:rsidRPr="000B17D3" w:rsidRDefault="007501F0">
      <w:pPr>
        <w:pStyle w:val="p1"/>
        <w:rPr>
          <w:rFonts w:ascii="Arial" w:hAnsi="Arial" w:cs="Arial"/>
          <w:sz w:val="22"/>
          <w:szCs w:val="22"/>
        </w:rPr>
      </w:pPr>
    </w:p>
    <w:p w14:paraId="29FADE25" w14:textId="77777777" w:rsidR="007501F0" w:rsidRPr="000B17D3" w:rsidRDefault="007501F0">
      <w:pPr>
        <w:pStyle w:val="p1"/>
        <w:rPr>
          <w:rFonts w:ascii="Arial" w:hAnsi="Arial" w:cs="Arial"/>
          <w:sz w:val="22"/>
          <w:szCs w:val="22"/>
        </w:rPr>
      </w:pPr>
    </w:p>
    <w:p w14:paraId="775D6E1E" w14:textId="77777777" w:rsidR="00CF0C22" w:rsidRPr="000B17D3" w:rsidRDefault="00CF0C22">
      <w:pPr>
        <w:pStyle w:val="p1"/>
        <w:rPr>
          <w:rFonts w:ascii="Arial" w:hAnsi="Arial" w:cs="Arial"/>
          <w:sz w:val="22"/>
          <w:szCs w:val="22"/>
        </w:rPr>
      </w:pPr>
    </w:p>
    <w:p w14:paraId="4A4AE10F" w14:textId="77777777" w:rsidR="00CF0C22" w:rsidRPr="000B17D3" w:rsidRDefault="00CF0C22">
      <w:pPr>
        <w:pStyle w:val="p1"/>
        <w:rPr>
          <w:rFonts w:ascii="Arial" w:hAnsi="Arial" w:cs="Arial"/>
          <w:sz w:val="22"/>
          <w:szCs w:val="22"/>
        </w:rPr>
      </w:pPr>
    </w:p>
    <w:p w14:paraId="29DB3EED" w14:textId="77777777" w:rsidR="00CF0C22" w:rsidRPr="000B17D3" w:rsidRDefault="00CF0C22">
      <w:pPr>
        <w:pStyle w:val="p1"/>
        <w:rPr>
          <w:rFonts w:ascii="Arial" w:hAnsi="Arial" w:cs="Arial"/>
          <w:sz w:val="22"/>
          <w:szCs w:val="22"/>
        </w:rPr>
      </w:pPr>
    </w:p>
    <w:p w14:paraId="613BC3CC" w14:textId="3F96302C" w:rsidR="00DA5402" w:rsidRPr="000B17D3" w:rsidRDefault="00DA5402" w:rsidP="009B003B">
      <w:pPr>
        <w:pStyle w:val="p1"/>
        <w:rPr>
          <w:rFonts w:ascii="Arial" w:hAnsi="Arial" w:cs="Arial"/>
          <w:sz w:val="22"/>
          <w:szCs w:val="22"/>
        </w:rPr>
      </w:pPr>
      <w:r w:rsidRPr="000B17D3">
        <w:rPr>
          <w:rFonts w:ascii="Arial" w:hAnsi="Arial" w:cs="Arial"/>
          <w:sz w:val="22"/>
          <w:szCs w:val="22"/>
        </w:rPr>
        <w:t xml:space="preserve">A core function of the </w:t>
      </w:r>
      <w:r w:rsidR="0056671D" w:rsidRPr="000B17D3">
        <w:rPr>
          <w:rFonts w:ascii="Arial" w:hAnsi="Arial" w:cs="Arial"/>
          <w:sz w:val="22"/>
          <w:szCs w:val="22"/>
        </w:rPr>
        <w:t>Paediatric</w:t>
      </w:r>
      <w:r w:rsidRPr="000B17D3">
        <w:rPr>
          <w:rFonts w:ascii="Arial" w:hAnsi="Arial" w:cs="Arial"/>
          <w:sz w:val="22"/>
          <w:szCs w:val="22"/>
        </w:rPr>
        <w:t xml:space="preserve"> Nurse is to act as a therapeutic presence, reducing fear and anxiety for both the child and their parents or guardians.</w:t>
      </w:r>
      <w:r w:rsidR="001F59B6" w:rsidRPr="000B17D3">
        <w:rPr>
          <w:rFonts w:ascii="Arial" w:hAnsi="Arial" w:cs="Arial"/>
          <w:sz w:val="22"/>
          <w:szCs w:val="22"/>
        </w:rPr>
        <w:t xml:space="preserve"> Some key skills needed to perform this highly specialised role successfully include exceptional observational abilities, proficiency in age-appropriate communication, and a strong capability for practising </w:t>
      </w:r>
      <w:r w:rsidR="00050BE1" w:rsidRPr="000B17D3">
        <w:rPr>
          <w:rFonts w:ascii="Arial" w:hAnsi="Arial" w:cs="Arial"/>
          <w:sz w:val="22"/>
          <w:szCs w:val="22"/>
        </w:rPr>
        <w:t>family-centred</w:t>
      </w:r>
      <w:r w:rsidR="001F59B6" w:rsidRPr="000B17D3">
        <w:rPr>
          <w:rFonts w:ascii="Arial" w:hAnsi="Arial" w:cs="Arial"/>
          <w:sz w:val="22"/>
          <w:szCs w:val="22"/>
        </w:rPr>
        <w:t xml:space="preserve"> care.</w:t>
      </w:r>
    </w:p>
    <w:p w14:paraId="2FB8788D" w14:textId="77777777" w:rsidR="00DA5402" w:rsidRPr="000B17D3" w:rsidRDefault="00DA5402" w:rsidP="0156E134">
      <w:pPr>
        <w:spacing w:after="0" w:line="240" w:lineRule="auto"/>
        <w:jc w:val="both"/>
        <w:rPr>
          <w:rFonts w:ascii="Arial" w:hAnsi="Arial" w:cs="Arial"/>
          <w:sz w:val="22"/>
        </w:rPr>
      </w:pPr>
    </w:p>
    <w:p w14:paraId="4F1C47B0" w14:textId="1D1F9CB1" w:rsidR="0156E134" w:rsidRPr="000B17D3" w:rsidRDefault="0156E134" w:rsidP="0156E134">
      <w:pPr>
        <w:spacing w:after="0" w:line="240" w:lineRule="auto"/>
        <w:jc w:val="both"/>
        <w:rPr>
          <w:rFonts w:ascii="Arial" w:hAnsi="Arial" w:cs="Arial"/>
          <w:sz w:val="22"/>
        </w:rPr>
      </w:pPr>
    </w:p>
    <w:p w14:paraId="1CB8B0F1" w14:textId="34C40497" w:rsidR="0156E134" w:rsidRPr="000B17D3" w:rsidRDefault="0156E134" w:rsidP="0156E134">
      <w:pPr>
        <w:spacing w:after="0" w:line="240" w:lineRule="auto"/>
        <w:jc w:val="both"/>
        <w:rPr>
          <w:rFonts w:ascii="Arial" w:hAnsi="Arial" w:cs="Arial"/>
          <w:sz w:val="22"/>
        </w:rPr>
      </w:pPr>
    </w:p>
    <w:p w14:paraId="4010C35E" w14:textId="0BEA8ABB" w:rsidR="00EC7EBE" w:rsidRPr="000B17D3" w:rsidRDefault="04019B15" w:rsidP="0CF501EC">
      <w:pPr>
        <w:pStyle w:val="Heading2"/>
        <w:rPr>
          <w:rFonts w:ascii="Arial" w:hAnsi="Arial" w:cs="Arial"/>
          <w:color w:val="4471C4"/>
          <w:sz w:val="22"/>
          <w:szCs w:val="22"/>
        </w:rPr>
      </w:pPr>
      <w:bookmarkStart w:id="3" w:name="_Toc1426973069"/>
      <w:r w:rsidRPr="000B17D3">
        <w:rPr>
          <w:rFonts w:ascii="Arial" w:hAnsi="Arial" w:cs="Arial"/>
          <w:color w:val="4471C4"/>
          <w:sz w:val="22"/>
          <w:szCs w:val="22"/>
        </w:rPr>
        <w:t>2.2</w:t>
      </w:r>
      <w:r w:rsidR="00676FEB" w:rsidRPr="000B17D3">
        <w:rPr>
          <w:rFonts w:ascii="Arial" w:hAnsi="Arial" w:cs="Arial"/>
          <w:color w:val="4471C4"/>
          <w:sz w:val="22"/>
          <w:szCs w:val="22"/>
        </w:rPr>
        <w:t xml:space="preserve"> </w:t>
      </w:r>
      <w:r w:rsidR="00DD5135" w:rsidRPr="000B17D3">
        <w:rPr>
          <w:rFonts w:ascii="Arial" w:hAnsi="Arial" w:cs="Arial"/>
          <w:color w:val="4471C4"/>
          <w:sz w:val="22"/>
          <w:szCs w:val="22"/>
        </w:rPr>
        <w:t>Explanation</w:t>
      </w:r>
      <w:r w:rsidR="00805726" w:rsidRPr="000B17D3">
        <w:rPr>
          <w:rFonts w:ascii="Arial" w:hAnsi="Arial" w:cs="Arial"/>
          <w:color w:val="4471C4"/>
          <w:sz w:val="22"/>
          <w:szCs w:val="22"/>
        </w:rPr>
        <w:t xml:space="preserve"> of </w:t>
      </w:r>
      <w:r w:rsidR="549B9698" w:rsidRPr="000B17D3">
        <w:rPr>
          <w:rFonts w:ascii="Arial" w:hAnsi="Arial" w:cs="Arial"/>
          <w:color w:val="4471C4"/>
          <w:sz w:val="22"/>
          <w:szCs w:val="22"/>
        </w:rPr>
        <w:t>M</w:t>
      </w:r>
      <w:r w:rsidR="00824CB1" w:rsidRPr="000B17D3">
        <w:rPr>
          <w:rFonts w:ascii="Arial" w:hAnsi="Arial" w:cs="Arial"/>
          <w:color w:val="4471C4"/>
          <w:sz w:val="22"/>
          <w:szCs w:val="22"/>
        </w:rPr>
        <w:t xml:space="preserve">ost </w:t>
      </w:r>
      <w:r w:rsidR="7AC44C89" w:rsidRPr="000B17D3">
        <w:rPr>
          <w:rFonts w:ascii="Arial" w:hAnsi="Arial" w:cs="Arial"/>
          <w:color w:val="4471C4"/>
          <w:sz w:val="22"/>
          <w:szCs w:val="22"/>
        </w:rPr>
        <w:t>S</w:t>
      </w:r>
      <w:r w:rsidR="00824CB1" w:rsidRPr="000B17D3">
        <w:rPr>
          <w:rFonts w:ascii="Arial" w:hAnsi="Arial" w:cs="Arial"/>
          <w:color w:val="4471C4"/>
          <w:sz w:val="22"/>
          <w:szCs w:val="22"/>
        </w:rPr>
        <w:t xml:space="preserve">ignificant </w:t>
      </w:r>
      <w:r w:rsidR="556E2D6A" w:rsidRPr="000B17D3">
        <w:rPr>
          <w:rFonts w:ascii="Arial" w:hAnsi="Arial" w:cs="Arial"/>
          <w:color w:val="4471C4"/>
          <w:sz w:val="22"/>
          <w:szCs w:val="22"/>
        </w:rPr>
        <w:t>S</w:t>
      </w:r>
      <w:r w:rsidR="00D4006B" w:rsidRPr="000B17D3">
        <w:rPr>
          <w:rFonts w:ascii="Arial" w:hAnsi="Arial" w:cs="Arial"/>
          <w:color w:val="4471C4"/>
          <w:sz w:val="22"/>
          <w:szCs w:val="22"/>
        </w:rPr>
        <w:t xml:space="preserve">kills </w:t>
      </w:r>
      <w:r w:rsidR="653BE314" w:rsidRPr="000B17D3">
        <w:rPr>
          <w:rFonts w:ascii="Arial" w:hAnsi="Arial" w:cs="Arial"/>
          <w:color w:val="4471C4"/>
          <w:sz w:val="22"/>
          <w:szCs w:val="22"/>
        </w:rPr>
        <w:t>N</w:t>
      </w:r>
      <w:r w:rsidR="00D4006B" w:rsidRPr="000B17D3">
        <w:rPr>
          <w:rFonts w:ascii="Arial" w:hAnsi="Arial" w:cs="Arial"/>
          <w:color w:val="4471C4"/>
          <w:sz w:val="22"/>
          <w:szCs w:val="22"/>
        </w:rPr>
        <w:t xml:space="preserve">eeded for </w:t>
      </w:r>
      <w:r w:rsidR="00D557BA" w:rsidRPr="000B17D3">
        <w:rPr>
          <w:rFonts w:ascii="Arial" w:hAnsi="Arial" w:cs="Arial"/>
          <w:color w:val="4471C4"/>
          <w:sz w:val="22"/>
          <w:szCs w:val="22"/>
        </w:rPr>
        <w:t xml:space="preserve">Pediatric Nurse </w:t>
      </w:r>
      <w:r w:rsidR="007138EF" w:rsidRPr="000B17D3">
        <w:rPr>
          <w:rFonts w:ascii="Arial" w:hAnsi="Arial" w:cs="Arial"/>
          <w:color w:val="4471C4"/>
          <w:sz w:val="22"/>
          <w:szCs w:val="22"/>
        </w:rPr>
        <w:t xml:space="preserve"> in Health</w:t>
      </w:r>
      <w:r w:rsidR="655ACEAB" w:rsidRPr="000B17D3">
        <w:rPr>
          <w:rFonts w:ascii="Arial" w:hAnsi="Arial" w:cs="Arial"/>
          <w:color w:val="4471C4"/>
          <w:sz w:val="22"/>
          <w:szCs w:val="22"/>
        </w:rPr>
        <w:t xml:space="preserve"> and Social C</w:t>
      </w:r>
      <w:r w:rsidR="007138EF" w:rsidRPr="000B17D3">
        <w:rPr>
          <w:rFonts w:ascii="Arial" w:hAnsi="Arial" w:cs="Arial"/>
          <w:color w:val="4471C4"/>
          <w:sz w:val="22"/>
          <w:szCs w:val="22"/>
        </w:rPr>
        <w:t>are</w:t>
      </w:r>
      <w:bookmarkEnd w:id="3"/>
    </w:p>
    <w:p w14:paraId="3A360B7E" w14:textId="77777777" w:rsidR="00640410" w:rsidRPr="000B17D3" w:rsidRDefault="00640410" w:rsidP="00640410">
      <w:pPr>
        <w:rPr>
          <w:rFonts w:ascii="Arial" w:hAnsi="Arial" w:cs="Arial"/>
          <w:sz w:val="22"/>
        </w:rPr>
      </w:pPr>
    </w:p>
    <w:p w14:paraId="7A48B2B9" w14:textId="02423639" w:rsidR="00640410" w:rsidRPr="000B17D3" w:rsidRDefault="00640410" w:rsidP="00640410">
      <w:pPr>
        <w:rPr>
          <w:rFonts w:ascii="Arial" w:hAnsi="Arial" w:cs="Arial"/>
          <w:sz w:val="22"/>
        </w:rPr>
      </w:pPr>
      <w:r w:rsidRPr="000B17D3">
        <w:rPr>
          <w:rFonts w:ascii="Arial" w:hAnsi="Arial" w:cs="Arial"/>
          <w:sz w:val="22"/>
        </w:rPr>
        <w:t xml:space="preserve">One of the most crucial skills for a Paediatric Nurse is the ability to for , which involves adapting interaction strategies to the child's individual developmental stage to build trust and guarantee cooperation. All medical and behavioural interventions are directly impacted by communication effectiveness (Wong, 2018). When preparing a school-age child (seven years old) for an intravenous line insertion, for example, a nurse would use simple sentences, let the child inspect the equipment (such as the plaster and tubing), and offer </w:t>
      </w:r>
      <w:r w:rsidRPr="000B17D3">
        <w:rPr>
          <w:rFonts w:ascii="Arial" w:hAnsi="Arial" w:cs="Arial"/>
          <w:sz w:val="22"/>
        </w:rPr>
        <w:lastRenderedPageBreak/>
        <w:t>options, like which arm to use, instead of using complicated medical terminology. This method respects the child's growing sense of control and independence, thereby minimising discomfort and boosting the accuracy of any reported symptoms.</w:t>
      </w:r>
    </w:p>
    <w:p w14:paraId="7ED61C2B" w14:textId="77777777" w:rsidR="00640410" w:rsidRPr="000B17D3" w:rsidRDefault="00640410" w:rsidP="00640410">
      <w:pPr>
        <w:rPr>
          <w:rFonts w:ascii="Arial" w:hAnsi="Arial" w:cs="Arial"/>
          <w:sz w:val="22"/>
        </w:rPr>
      </w:pPr>
    </w:p>
    <w:p w14:paraId="7234BB59" w14:textId="55B9D842" w:rsidR="00E6183F" w:rsidRPr="000B17D3" w:rsidRDefault="006A5213" w:rsidP="006A5213">
      <w:pPr>
        <w:spacing w:before="100" w:beforeAutospacing="1" w:after="100" w:afterAutospacing="1" w:line="240" w:lineRule="auto"/>
        <w:rPr>
          <w:rFonts w:ascii="Arial" w:hAnsi="Arial" w:cs="Arial"/>
          <w:color w:val="000000"/>
          <w:kern w:val="0"/>
          <w:sz w:val="22"/>
          <w:lang w:eastAsia="en-GB"/>
          <w14:ligatures w14:val="none"/>
        </w:rPr>
      </w:pPr>
      <w:r w:rsidRPr="000B17D3">
        <w:rPr>
          <w:rFonts w:ascii="Arial" w:hAnsi="Arial" w:cs="Arial"/>
          <w:color w:val="000000"/>
          <w:kern w:val="0"/>
          <w:sz w:val="22"/>
          <w:lang w:eastAsia="en-GB"/>
          <w14:ligatures w14:val="none"/>
        </w:rPr>
        <w:t xml:space="preserve">A second paramount skill is the Atypical Pain Assessment and Recognition of Clinical Deterioration, which addresses the difficulty of interpreting cues from non-verbal or pre-verbal patients. Unlike adults, young children cannot articulate their symptoms reliably, meaning the Pediatric Nurse must rely on advanced observational and clinical reasoning skills (AAP, 2017). </w:t>
      </w:r>
    </w:p>
    <w:p w14:paraId="301BB639" w14:textId="71EA195B" w:rsidR="00832C7A" w:rsidRPr="000B17D3" w:rsidRDefault="00832C7A" w:rsidP="00832C7A">
      <w:pPr>
        <w:spacing w:before="100" w:beforeAutospacing="1" w:after="100" w:afterAutospacing="1" w:line="240" w:lineRule="auto"/>
        <w:rPr>
          <w:rFonts w:ascii="Arial" w:hAnsi="Arial" w:cs="Arial"/>
          <w:color w:val="000000"/>
          <w:kern w:val="0"/>
          <w:sz w:val="22"/>
          <w:lang w:eastAsia="en-GB"/>
          <w14:ligatures w14:val="none"/>
        </w:rPr>
      </w:pPr>
      <w:r w:rsidRPr="000B17D3">
        <w:rPr>
          <w:rFonts w:ascii="Arial" w:hAnsi="Arial" w:cs="Arial"/>
          <w:color w:val="000000"/>
          <w:kern w:val="0"/>
          <w:sz w:val="22"/>
          <w:lang w:eastAsia="en-GB"/>
          <w14:ligatures w14:val="none"/>
        </w:rPr>
        <w:t>The third essential skill is the holistic practice of Family-Centered Care, which positions the parents and guardians as integral partners in the patient's care team, ensuring all interventions align with the family’s values and goals. This requires high levels of empathy, active listening, and the ability to manage the intense anxiety often experienced by parents when their child is i</w:t>
      </w:r>
      <w:r w:rsidR="00C1591B" w:rsidRPr="000B17D3">
        <w:rPr>
          <w:rFonts w:ascii="Arial" w:hAnsi="Arial" w:cs="Arial"/>
          <w:color w:val="000000"/>
          <w:kern w:val="0"/>
          <w:sz w:val="22"/>
          <w:lang w:eastAsia="en-GB"/>
          <w14:ligatures w14:val="none"/>
        </w:rPr>
        <w:t>ll</w:t>
      </w:r>
      <w:r w:rsidRPr="000B17D3">
        <w:rPr>
          <w:rFonts w:ascii="Arial" w:hAnsi="Arial" w:cs="Arial"/>
          <w:color w:val="000000"/>
          <w:kern w:val="0"/>
          <w:sz w:val="22"/>
          <w:lang w:eastAsia="en-GB"/>
          <w14:ligatures w14:val="none"/>
        </w:rPr>
        <w:t xml:space="preserve"> (Johnson &amp; Jones, 2020). When a child is admitted with a chronic condition, the nurse must ensure the parents are present during multidisciplinary rounds, provide them with comprehensive training on home procedures, and validate their emotional experience. This collaborative approach leads to higher adherence to treatment plans and better long-term outcomes for the child, demonstrating that the family unit is the focus of care.</w:t>
      </w:r>
    </w:p>
    <w:p w14:paraId="322A74B0" w14:textId="77777777" w:rsidR="00832C7A" w:rsidRPr="000B17D3" w:rsidRDefault="00832C7A" w:rsidP="00832C7A">
      <w:pPr>
        <w:spacing w:before="100" w:beforeAutospacing="1" w:after="100" w:afterAutospacing="1" w:line="240" w:lineRule="auto"/>
        <w:rPr>
          <w:rFonts w:ascii="Arial" w:hAnsi="Arial" w:cs="Arial"/>
          <w:color w:val="000000"/>
          <w:kern w:val="0"/>
          <w:sz w:val="22"/>
          <w:lang w:eastAsia="en-GB"/>
          <w14:ligatures w14:val="none"/>
        </w:rPr>
      </w:pPr>
      <w:r w:rsidRPr="000B17D3">
        <w:rPr>
          <w:rFonts w:ascii="Arial" w:hAnsi="Arial" w:cs="Arial"/>
          <w:color w:val="000000"/>
          <w:kern w:val="0"/>
          <w:sz w:val="22"/>
          <w:lang w:eastAsia="en-GB"/>
          <w14:ligatures w14:val="none"/>
        </w:rPr>
        <w:t>A deficiency in these core pediatric skills can result in profoundly negative outcomes. A lapse in atypical pain assessment, for instance, could lead to an infant suffering silently due to inadequate analgesic administration, causing unnecessary distress and potentially delaying healing (ANA, 2016). Likewise, a failure to effectively implement family-centered care—by excluding parents from decision-making or neglecting to address their anxieties—can erode trust, lead to non-compliance with complex discharge instructions, and ultimately result in the child’s preventable readmission due to mismanagement at home.</w:t>
      </w:r>
    </w:p>
    <w:p w14:paraId="7338813D" w14:textId="6744978D" w:rsidR="00C85A7C" w:rsidRPr="000B17D3" w:rsidRDefault="00C85A7C" w:rsidP="00753E6C">
      <w:pPr>
        <w:spacing w:after="0" w:line="240" w:lineRule="auto"/>
        <w:jc w:val="both"/>
        <w:rPr>
          <w:rFonts w:ascii="Arial" w:hAnsi="Arial" w:cs="Arial"/>
          <w:sz w:val="22"/>
        </w:rPr>
      </w:pPr>
    </w:p>
    <w:p w14:paraId="2CAEA1EC" w14:textId="7057FC06" w:rsidR="002370CE" w:rsidRPr="000B17D3" w:rsidRDefault="1F09BC6E" w:rsidP="0CF501EC">
      <w:pPr>
        <w:pStyle w:val="Heading2"/>
        <w:rPr>
          <w:rFonts w:ascii="Arial" w:hAnsi="Arial" w:cs="Arial"/>
          <w:color w:val="4472C4" w:themeColor="accent1"/>
          <w:sz w:val="22"/>
          <w:szCs w:val="22"/>
        </w:rPr>
      </w:pPr>
      <w:bookmarkStart w:id="4" w:name="_Toc992114325"/>
      <w:r w:rsidRPr="000B17D3">
        <w:rPr>
          <w:rFonts w:ascii="Arial" w:hAnsi="Arial" w:cs="Arial"/>
          <w:color w:val="4471C4"/>
          <w:sz w:val="22"/>
          <w:szCs w:val="22"/>
        </w:rPr>
        <w:t>3</w:t>
      </w:r>
      <w:r w:rsidR="005D5457" w:rsidRPr="000B17D3">
        <w:rPr>
          <w:rFonts w:ascii="Arial" w:hAnsi="Arial" w:cs="Arial"/>
          <w:color w:val="4471C4"/>
          <w:sz w:val="22"/>
          <w:szCs w:val="22"/>
        </w:rPr>
        <w:t xml:space="preserve"> </w:t>
      </w:r>
      <w:r w:rsidR="003003FD" w:rsidRPr="000B17D3">
        <w:rPr>
          <w:rFonts w:ascii="Arial" w:hAnsi="Arial" w:cs="Arial"/>
          <w:color w:val="4471C4"/>
          <w:sz w:val="22"/>
          <w:szCs w:val="22"/>
        </w:rPr>
        <w:t>Strategies</w:t>
      </w:r>
      <w:r w:rsidR="00183CB9" w:rsidRPr="000B17D3">
        <w:rPr>
          <w:rFonts w:ascii="Arial" w:hAnsi="Arial" w:cs="Arial"/>
          <w:color w:val="4471C4"/>
          <w:sz w:val="22"/>
          <w:szCs w:val="22"/>
        </w:rPr>
        <w:t xml:space="preserve"> </w:t>
      </w:r>
      <w:r w:rsidR="59AB5A3E" w:rsidRPr="000B17D3">
        <w:rPr>
          <w:rFonts w:ascii="Arial" w:hAnsi="Arial" w:cs="Arial"/>
          <w:color w:val="4471C4"/>
          <w:sz w:val="22"/>
          <w:szCs w:val="22"/>
        </w:rPr>
        <w:t xml:space="preserve">for Skill Improvement for </w:t>
      </w:r>
      <w:bookmarkEnd w:id="4"/>
      <w:r w:rsidR="00FB4DFB" w:rsidRPr="000B17D3">
        <w:rPr>
          <w:rFonts w:ascii="Arial" w:hAnsi="Arial" w:cs="Arial"/>
          <w:color w:val="4471C4"/>
          <w:sz w:val="22"/>
          <w:szCs w:val="22"/>
        </w:rPr>
        <w:t>Pediatric Nurse</w:t>
      </w:r>
      <w:r w:rsidR="00217FFD" w:rsidRPr="000B17D3">
        <w:rPr>
          <w:rFonts w:ascii="Arial" w:hAnsi="Arial" w:cs="Arial"/>
          <w:color w:val="4471C4"/>
          <w:sz w:val="22"/>
          <w:szCs w:val="22"/>
        </w:rPr>
        <w:t>.</w:t>
      </w:r>
    </w:p>
    <w:p w14:paraId="01C49510" w14:textId="66CD62E6" w:rsidR="002370CE" w:rsidRPr="000B17D3" w:rsidRDefault="0C5D0C5C" w:rsidP="0156E134">
      <w:pPr>
        <w:pStyle w:val="Heading2"/>
        <w:rPr>
          <w:rFonts w:ascii="Arial" w:hAnsi="Arial" w:cs="Arial"/>
          <w:color w:val="4472C4" w:themeColor="accent1"/>
          <w:sz w:val="22"/>
          <w:szCs w:val="22"/>
        </w:rPr>
      </w:pPr>
      <w:bookmarkStart w:id="5" w:name="_Toc1405407187"/>
      <w:r w:rsidRPr="000B17D3">
        <w:rPr>
          <w:rFonts w:ascii="Arial" w:hAnsi="Arial" w:cs="Arial"/>
          <w:color w:val="4471C4"/>
          <w:sz w:val="22"/>
          <w:szCs w:val="22"/>
        </w:rPr>
        <w:t xml:space="preserve">3.1 Three Strategies </w:t>
      </w:r>
      <w:r w:rsidR="00183CB9" w:rsidRPr="000B17D3">
        <w:rPr>
          <w:rFonts w:ascii="Arial" w:hAnsi="Arial" w:cs="Arial"/>
          <w:color w:val="4471C4"/>
          <w:sz w:val="22"/>
          <w:szCs w:val="22"/>
        </w:rPr>
        <w:t xml:space="preserve">to </w:t>
      </w:r>
      <w:r w:rsidR="5CE671C3" w:rsidRPr="000B17D3">
        <w:rPr>
          <w:rFonts w:ascii="Arial" w:hAnsi="Arial" w:cs="Arial"/>
          <w:color w:val="4471C4"/>
          <w:sz w:val="22"/>
          <w:szCs w:val="22"/>
        </w:rPr>
        <w:t>I</w:t>
      </w:r>
      <w:r w:rsidR="00183CB9" w:rsidRPr="000B17D3">
        <w:rPr>
          <w:rFonts w:ascii="Arial" w:hAnsi="Arial" w:cs="Arial"/>
          <w:color w:val="4471C4"/>
          <w:sz w:val="22"/>
          <w:szCs w:val="22"/>
        </w:rPr>
        <w:t xml:space="preserve">mprove the </w:t>
      </w:r>
      <w:r w:rsidR="40F0AB75" w:rsidRPr="000B17D3">
        <w:rPr>
          <w:rFonts w:ascii="Arial" w:hAnsi="Arial" w:cs="Arial"/>
          <w:color w:val="4471C4"/>
          <w:sz w:val="22"/>
          <w:szCs w:val="22"/>
        </w:rPr>
        <w:t>S</w:t>
      </w:r>
      <w:r w:rsidR="00183CB9" w:rsidRPr="000B17D3">
        <w:rPr>
          <w:rFonts w:ascii="Arial" w:hAnsi="Arial" w:cs="Arial"/>
          <w:color w:val="4471C4"/>
          <w:sz w:val="22"/>
          <w:szCs w:val="22"/>
        </w:rPr>
        <w:t>kills</w:t>
      </w:r>
      <w:r w:rsidR="005D5457" w:rsidRPr="000B17D3">
        <w:rPr>
          <w:rFonts w:ascii="Arial" w:hAnsi="Arial" w:cs="Arial"/>
          <w:color w:val="4471C4"/>
          <w:sz w:val="22"/>
          <w:szCs w:val="22"/>
        </w:rPr>
        <w:t xml:space="preserve"> </w:t>
      </w:r>
      <w:r w:rsidR="00070818" w:rsidRPr="000B17D3">
        <w:rPr>
          <w:rFonts w:ascii="Arial" w:hAnsi="Arial" w:cs="Arial"/>
          <w:color w:val="4471C4"/>
          <w:sz w:val="22"/>
          <w:szCs w:val="22"/>
        </w:rPr>
        <w:t xml:space="preserve">for </w:t>
      </w:r>
      <w:bookmarkEnd w:id="5"/>
      <w:r w:rsidR="00FB4DFB" w:rsidRPr="000B17D3">
        <w:rPr>
          <w:rFonts w:ascii="Arial" w:hAnsi="Arial" w:cs="Arial"/>
          <w:color w:val="4471C4"/>
          <w:sz w:val="22"/>
          <w:szCs w:val="22"/>
        </w:rPr>
        <w:t>Pediatric Nurse</w:t>
      </w:r>
      <w:r w:rsidR="00217FFD" w:rsidRPr="000B17D3">
        <w:rPr>
          <w:rFonts w:ascii="Arial" w:hAnsi="Arial" w:cs="Arial"/>
          <w:color w:val="4471C4"/>
          <w:sz w:val="22"/>
          <w:szCs w:val="22"/>
        </w:rPr>
        <w:t>.</w:t>
      </w:r>
    </w:p>
    <w:p w14:paraId="790ADE75" w14:textId="698CC935" w:rsidR="0156E134" w:rsidRPr="000B17D3" w:rsidRDefault="0156E134" w:rsidP="0156E134">
      <w:pPr>
        <w:spacing w:after="0"/>
        <w:rPr>
          <w:rFonts w:ascii="Arial" w:hAnsi="Arial" w:cs="Arial"/>
          <w:sz w:val="22"/>
        </w:rPr>
      </w:pPr>
    </w:p>
    <w:p w14:paraId="69D1783B" w14:textId="77777777" w:rsidR="00B12736" w:rsidRPr="000B17D3" w:rsidRDefault="00B12736" w:rsidP="00B12736">
      <w:pPr>
        <w:spacing w:before="100" w:beforeAutospacing="1" w:after="100" w:afterAutospacing="1" w:line="240" w:lineRule="auto"/>
        <w:rPr>
          <w:rFonts w:ascii="Arial" w:hAnsi="Arial" w:cs="Arial"/>
          <w:color w:val="000000"/>
          <w:kern w:val="0"/>
          <w:sz w:val="22"/>
          <w:lang w:eastAsia="en-GB"/>
          <w14:ligatures w14:val="none"/>
        </w:rPr>
      </w:pPr>
      <w:r w:rsidRPr="00B12736">
        <w:rPr>
          <w:rFonts w:ascii="Arial" w:hAnsi="Arial" w:cs="Arial"/>
          <w:color w:val="000000"/>
          <w:kern w:val="0"/>
          <w:sz w:val="22"/>
          <w:lang w:eastAsia="en-GB"/>
          <w14:ligatures w14:val="none"/>
        </w:rPr>
        <w:t>The skill of Age-Appropriate Therapeutic Communication can be substantially enhanced through dedicated Role-Playing and Simulation Modules focused on developmental stages. This strategy involves structured training sessions where nurses practise communicating challenging information, such as preparing for surgery or explaining long-term side effects, using specific scripts and props tailored for different age groups (e.g., toddlers vs. teenagers). The clear explanation of how this strategy works lies in immediate, constructive feedback from peers and educators following the scenario, allowing the nurse to adjust tone, body language, and word choice in a low-stakes environment (AACN, 2014). For example, a simulation might involve a nurse using storytelling to explain a breathing treatment to a five-year-old, followed by a review of the child's perceived engagement level, thereby solidifying empathetic and effective techniques.</w:t>
      </w:r>
    </w:p>
    <w:p w14:paraId="634C7640" w14:textId="77777777" w:rsidR="007D2A49" w:rsidRPr="00B12736" w:rsidRDefault="007D2A49" w:rsidP="00B12736">
      <w:pPr>
        <w:spacing w:before="100" w:beforeAutospacing="1" w:after="100" w:afterAutospacing="1" w:line="240" w:lineRule="auto"/>
        <w:rPr>
          <w:rFonts w:ascii="Arial" w:hAnsi="Arial" w:cs="Arial"/>
          <w:color w:val="000000"/>
          <w:kern w:val="0"/>
          <w:sz w:val="22"/>
          <w:lang w:eastAsia="en-GB"/>
          <w14:ligatures w14:val="none"/>
        </w:rPr>
      </w:pPr>
    </w:p>
    <w:p w14:paraId="3EE9336F" w14:textId="1E33871A" w:rsidR="00D42C7B" w:rsidRDefault="00B12736" w:rsidP="00B12736">
      <w:pPr>
        <w:spacing w:before="100" w:beforeAutospacing="1" w:after="100" w:afterAutospacing="1" w:line="240" w:lineRule="auto"/>
        <w:rPr>
          <w:rFonts w:ascii="Arial" w:hAnsi="Arial" w:cs="Arial"/>
          <w:color w:val="000000"/>
          <w:kern w:val="0"/>
          <w:sz w:val="22"/>
          <w:lang w:eastAsia="en-GB"/>
          <w14:ligatures w14:val="none"/>
        </w:rPr>
      </w:pPr>
      <w:r w:rsidRPr="00B12736">
        <w:rPr>
          <w:rFonts w:ascii="Arial" w:hAnsi="Arial" w:cs="Arial"/>
          <w:color w:val="000000"/>
          <w:kern w:val="0"/>
          <w:sz w:val="22"/>
          <w:lang w:eastAsia="en-GB"/>
          <w14:ligatures w14:val="none"/>
        </w:rPr>
        <w:t xml:space="preserve">To improve Atypical Pain Assessment and Recognition of Deterioration, a highly effective strategy is the implementation of High-Fidelity Pediatric Simulation specifically focused on low-frequency, high-acuity events. This technique uses sophisticated manikins that can </w:t>
      </w:r>
      <w:r w:rsidRPr="00B12736">
        <w:rPr>
          <w:rFonts w:ascii="Arial" w:hAnsi="Arial" w:cs="Arial"/>
          <w:color w:val="000000"/>
          <w:kern w:val="0"/>
          <w:sz w:val="22"/>
          <w:lang w:eastAsia="en-GB"/>
          <w14:ligatures w14:val="none"/>
        </w:rPr>
        <w:lastRenderedPageBreak/>
        <w:t xml:space="preserve">mimic </w:t>
      </w:r>
      <w:r w:rsidR="00F8594A" w:rsidRPr="00B12736">
        <w:rPr>
          <w:rFonts w:ascii="Arial" w:hAnsi="Arial" w:cs="Arial"/>
          <w:color w:val="000000"/>
          <w:kern w:val="0"/>
          <w:sz w:val="22"/>
          <w:lang w:eastAsia="en-GB"/>
          <w14:ligatures w14:val="none"/>
        </w:rPr>
        <w:t>paediatric</w:t>
      </w:r>
      <w:r w:rsidRPr="00B12736">
        <w:rPr>
          <w:rFonts w:ascii="Arial" w:hAnsi="Arial" w:cs="Arial"/>
          <w:color w:val="000000"/>
          <w:kern w:val="0"/>
          <w:sz w:val="22"/>
          <w:lang w:eastAsia="en-GB"/>
          <w14:ligatures w14:val="none"/>
        </w:rPr>
        <w:t xml:space="preserve"> vital signs, subtle colour changes, and specific clinical signs, such as a seizing infant. The clear explanation of this strategy is that it allows nurses to repeatedly </w:t>
      </w:r>
    </w:p>
    <w:p w14:paraId="71FCB369" w14:textId="77777777" w:rsidR="00D42C7B" w:rsidRDefault="00D42C7B" w:rsidP="00B12736">
      <w:pPr>
        <w:spacing w:before="100" w:beforeAutospacing="1" w:after="100" w:afterAutospacing="1" w:line="240" w:lineRule="auto"/>
        <w:rPr>
          <w:rFonts w:ascii="Arial" w:hAnsi="Arial" w:cs="Arial"/>
          <w:color w:val="000000"/>
          <w:kern w:val="0"/>
          <w:sz w:val="22"/>
          <w:lang w:eastAsia="en-GB"/>
          <w14:ligatures w14:val="none"/>
        </w:rPr>
      </w:pPr>
    </w:p>
    <w:p w14:paraId="23FE54F7" w14:textId="297CB298" w:rsidR="00B12736" w:rsidRPr="000B17D3" w:rsidRDefault="00B12736" w:rsidP="00B12736">
      <w:pPr>
        <w:spacing w:before="100" w:beforeAutospacing="1" w:after="100" w:afterAutospacing="1" w:line="240" w:lineRule="auto"/>
        <w:rPr>
          <w:rFonts w:ascii="Arial" w:hAnsi="Arial" w:cs="Arial"/>
          <w:color w:val="000000"/>
          <w:kern w:val="0"/>
          <w:sz w:val="22"/>
          <w:lang w:eastAsia="en-GB"/>
          <w14:ligatures w14:val="none"/>
        </w:rPr>
      </w:pPr>
      <w:r w:rsidRPr="00B12736">
        <w:rPr>
          <w:rFonts w:ascii="Arial" w:hAnsi="Arial" w:cs="Arial"/>
          <w:color w:val="000000"/>
          <w:kern w:val="0"/>
          <w:sz w:val="22"/>
          <w:lang w:eastAsia="en-GB"/>
          <w14:ligatures w14:val="none"/>
        </w:rPr>
        <w:t xml:space="preserve">practise the rapid synthesis of subtle, non-verbal cues under realistic stress, such as distinguishing between normal distress and true respiratory decompensation. Evidence supports that this repeated exposure and deliberate practice significantly improves the speed and accuracy of diagnostic reasoning, leading to timely interventions in genuine </w:t>
      </w:r>
      <w:r w:rsidR="00F8594A" w:rsidRPr="00B12736">
        <w:rPr>
          <w:rFonts w:ascii="Arial" w:hAnsi="Arial" w:cs="Arial"/>
          <w:color w:val="000000"/>
          <w:kern w:val="0"/>
          <w:sz w:val="22"/>
          <w:lang w:eastAsia="en-GB"/>
          <w14:ligatures w14:val="none"/>
        </w:rPr>
        <w:t>paediatric</w:t>
      </w:r>
      <w:r w:rsidRPr="00B12736">
        <w:rPr>
          <w:rFonts w:ascii="Arial" w:hAnsi="Arial" w:cs="Arial"/>
          <w:color w:val="000000"/>
          <w:kern w:val="0"/>
          <w:sz w:val="22"/>
          <w:lang w:eastAsia="en-GB"/>
          <w14:ligatures w14:val="none"/>
        </w:rPr>
        <w:t xml:space="preserve"> emergencies (Jeffries, 2016).</w:t>
      </w:r>
    </w:p>
    <w:p w14:paraId="65658B64" w14:textId="77777777" w:rsidR="007D2A49" w:rsidRDefault="007D2A49" w:rsidP="00B12736">
      <w:pPr>
        <w:spacing w:before="100" w:beforeAutospacing="1" w:after="100" w:afterAutospacing="1" w:line="240" w:lineRule="auto"/>
        <w:rPr>
          <w:rFonts w:ascii="Arial" w:hAnsi="Arial" w:cs="Arial"/>
          <w:color w:val="000000"/>
          <w:kern w:val="0"/>
          <w:sz w:val="22"/>
          <w:lang w:eastAsia="en-GB"/>
          <w14:ligatures w14:val="none"/>
        </w:rPr>
      </w:pPr>
    </w:p>
    <w:p w14:paraId="0F727BCD" w14:textId="77777777" w:rsidR="00D42C7B" w:rsidRDefault="00D42C7B" w:rsidP="00B12736">
      <w:pPr>
        <w:spacing w:before="100" w:beforeAutospacing="1" w:after="100" w:afterAutospacing="1" w:line="240" w:lineRule="auto"/>
        <w:rPr>
          <w:rFonts w:ascii="Arial" w:hAnsi="Arial" w:cs="Arial"/>
          <w:color w:val="000000"/>
          <w:kern w:val="0"/>
          <w:sz w:val="22"/>
          <w:lang w:eastAsia="en-GB"/>
          <w14:ligatures w14:val="none"/>
        </w:rPr>
      </w:pPr>
    </w:p>
    <w:p w14:paraId="5545DC90" w14:textId="77777777" w:rsidR="00D42C7B" w:rsidRPr="00B12736" w:rsidRDefault="00D42C7B" w:rsidP="00B12736">
      <w:pPr>
        <w:spacing w:before="100" w:beforeAutospacing="1" w:after="100" w:afterAutospacing="1" w:line="240" w:lineRule="auto"/>
        <w:rPr>
          <w:rFonts w:ascii="Arial" w:hAnsi="Arial" w:cs="Arial"/>
          <w:color w:val="000000"/>
          <w:kern w:val="0"/>
          <w:sz w:val="22"/>
          <w:lang w:eastAsia="en-GB"/>
          <w14:ligatures w14:val="none"/>
        </w:rPr>
      </w:pPr>
    </w:p>
    <w:p w14:paraId="6F0E3FED" w14:textId="77777777" w:rsidR="00B12736" w:rsidRPr="00B12736" w:rsidRDefault="00B12736" w:rsidP="00B12736">
      <w:pPr>
        <w:spacing w:before="100" w:beforeAutospacing="1" w:after="100" w:afterAutospacing="1" w:line="240" w:lineRule="auto"/>
        <w:rPr>
          <w:rFonts w:ascii="Arial" w:hAnsi="Arial" w:cs="Arial"/>
          <w:color w:val="000000"/>
          <w:kern w:val="0"/>
          <w:sz w:val="22"/>
          <w:lang w:eastAsia="en-GB"/>
          <w14:ligatures w14:val="none"/>
        </w:rPr>
      </w:pPr>
      <w:r w:rsidRPr="00B12736">
        <w:rPr>
          <w:rFonts w:ascii="Arial" w:hAnsi="Arial" w:cs="Arial"/>
          <w:color w:val="000000"/>
          <w:kern w:val="0"/>
          <w:sz w:val="22"/>
          <w:lang w:eastAsia="en-GB"/>
          <w14:ligatures w14:val="none"/>
        </w:rPr>
        <w:t>Finally, the skill of Family-Centered Care can be successfully developed through a Structured Peer Mentoring Program focused on psychosocial support and parental engagement. This strategy pairs novice nurses with experienced pediatric nurses who have demonstrated excellence in forming collaborative relationships with families, particularly those facing chronic or life-limiting illnesses. The strategy works by providing real-time coaching and emotional support, such as observing the mentor conduct a sensitive family interview regarding resuscitation wishes or managing a highly anxious, angry parent. This practical observation and guidance enable the developing nurse to internalise effective strategies for navigating complex emotional dynamics and establishing trust, moving beyond theoretical knowledge to achieve true competence in family partnership (Johnson &amp; Jones, 2020).</w:t>
      </w:r>
    </w:p>
    <w:p w14:paraId="58A1B501" w14:textId="2F942CCF" w:rsidR="0156E134" w:rsidRPr="000B17D3" w:rsidRDefault="0156E134" w:rsidP="0156E134">
      <w:pPr>
        <w:pStyle w:val="ListParagraph"/>
        <w:spacing w:after="0"/>
        <w:rPr>
          <w:rFonts w:ascii="Arial" w:hAnsi="Arial" w:cs="Arial"/>
          <w:sz w:val="22"/>
        </w:rPr>
      </w:pPr>
    </w:p>
    <w:p w14:paraId="1497148C" w14:textId="5D9ACA22" w:rsidR="00A946CB" w:rsidRPr="000B17D3" w:rsidRDefault="5617AA6E" w:rsidP="0156E134">
      <w:pPr>
        <w:pStyle w:val="Heading2"/>
        <w:rPr>
          <w:rFonts w:ascii="Arial" w:hAnsi="Arial" w:cs="Arial"/>
          <w:color w:val="4472C4" w:themeColor="accent1"/>
          <w:sz w:val="22"/>
          <w:szCs w:val="22"/>
        </w:rPr>
      </w:pPr>
      <w:bookmarkStart w:id="6" w:name="_Toc1799977123"/>
      <w:r w:rsidRPr="000B17D3">
        <w:rPr>
          <w:rFonts w:ascii="Arial" w:hAnsi="Arial" w:cs="Arial"/>
          <w:color w:val="4471C4"/>
          <w:sz w:val="22"/>
          <w:szCs w:val="22"/>
        </w:rPr>
        <w:t>4</w:t>
      </w:r>
      <w:r w:rsidR="00A946CB" w:rsidRPr="000B17D3">
        <w:rPr>
          <w:rFonts w:ascii="Arial" w:hAnsi="Arial" w:cs="Arial"/>
          <w:color w:val="4471C4"/>
          <w:sz w:val="22"/>
          <w:szCs w:val="22"/>
        </w:rPr>
        <w:t xml:space="preserve"> Conclusion</w:t>
      </w:r>
      <w:bookmarkEnd w:id="6"/>
    </w:p>
    <w:p w14:paraId="76565AE3" w14:textId="700A1242" w:rsidR="003458DB" w:rsidRDefault="00F1720B" w:rsidP="00A94336">
      <w:pPr>
        <w:pStyle w:val="ListParagraph"/>
        <w:spacing w:after="0" w:line="240" w:lineRule="auto"/>
        <w:rPr>
          <w:rFonts w:ascii="Arial" w:hAnsi="Arial" w:cs="Arial"/>
          <w:sz w:val="22"/>
        </w:rPr>
      </w:pPr>
      <w:r w:rsidRPr="000B17D3">
        <w:rPr>
          <w:rFonts w:ascii="Arial" w:hAnsi="Arial" w:cs="Arial"/>
          <w:sz w:val="22"/>
        </w:rPr>
        <w:t xml:space="preserve"> </w:t>
      </w:r>
    </w:p>
    <w:p w14:paraId="757B0233" w14:textId="77777777" w:rsidR="00D42C7B" w:rsidRDefault="00D42C7B" w:rsidP="00A94336">
      <w:pPr>
        <w:pStyle w:val="ListParagraph"/>
        <w:spacing w:after="0" w:line="240" w:lineRule="auto"/>
        <w:rPr>
          <w:rFonts w:ascii="Arial" w:hAnsi="Arial" w:cs="Arial"/>
          <w:sz w:val="22"/>
        </w:rPr>
      </w:pPr>
    </w:p>
    <w:p w14:paraId="0C34B2F3" w14:textId="77777777" w:rsidR="00D42C7B" w:rsidRPr="000B17D3" w:rsidRDefault="00D42C7B" w:rsidP="00A94336">
      <w:pPr>
        <w:pStyle w:val="ListParagraph"/>
        <w:spacing w:after="0" w:line="240" w:lineRule="auto"/>
        <w:rPr>
          <w:rFonts w:ascii="Arial" w:hAnsi="Arial" w:cs="Arial"/>
          <w:sz w:val="22"/>
        </w:rPr>
      </w:pPr>
    </w:p>
    <w:p w14:paraId="3F34EF19" w14:textId="652587BF" w:rsidR="00D676C3" w:rsidRDefault="003537D5" w:rsidP="00CB3A56">
      <w:pPr>
        <w:spacing w:before="100" w:beforeAutospacing="1" w:after="100" w:afterAutospacing="1" w:line="240" w:lineRule="auto"/>
        <w:rPr>
          <w:rFonts w:ascii="Arial" w:hAnsi="Arial" w:cs="Arial"/>
          <w:color w:val="000000"/>
          <w:kern w:val="0"/>
          <w:sz w:val="22"/>
          <w:lang w:eastAsia="en-GB"/>
          <w14:ligatures w14:val="none"/>
        </w:rPr>
      </w:pPr>
      <w:r w:rsidRPr="003537D5">
        <w:rPr>
          <w:rFonts w:ascii="Arial" w:hAnsi="Arial" w:cs="Arial"/>
          <w:color w:val="000000"/>
          <w:kern w:val="0"/>
          <w:sz w:val="22"/>
          <w:lang w:eastAsia="en-GB"/>
          <w14:ligatures w14:val="none"/>
        </w:rPr>
        <w:t>The Pediatric Nurse occupies a critical and distinctive position in the Health and Social Care field, requiring specialised expertise that integrates clinical skill with deep sensitivity to children's developmental and family needs. This report has underscored the importance of three major competencies: age-appropriate communication, atypical pain assessment, and the continuous practice of family-centered care. To ensure the highest level of care quality, proactive strategies such as dedicated role-playing modules, high-fidelity simulation training for emergencies, and structured peer mentoring programs are essential. By prioritising the continuous refinement of these specific pediatric skills, healthcare providers can guarantee safer practices, achieve better therapeutic outcomes, and successfully honour the core commitment to the well-being of the youngest patients and their families</w:t>
      </w:r>
    </w:p>
    <w:p w14:paraId="02F09D32" w14:textId="77777777" w:rsidR="000B17D3" w:rsidRDefault="000B17D3" w:rsidP="00CB3A56">
      <w:pPr>
        <w:spacing w:before="100" w:beforeAutospacing="1" w:after="100" w:afterAutospacing="1" w:line="240" w:lineRule="auto"/>
        <w:rPr>
          <w:rFonts w:ascii="Arial" w:hAnsi="Arial" w:cs="Arial"/>
          <w:color w:val="000000"/>
          <w:kern w:val="0"/>
          <w:sz w:val="22"/>
          <w:lang w:eastAsia="en-GB"/>
          <w14:ligatures w14:val="none"/>
        </w:rPr>
      </w:pPr>
    </w:p>
    <w:p w14:paraId="084D4378" w14:textId="77777777" w:rsidR="000B17D3" w:rsidRDefault="000B17D3" w:rsidP="00CB3A56">
      <w:pPr>
        <w:spacing w:before="100" w:beforeAutospacing="1" w:after="100" w:afterAutospacing="1" w:line="240" w:lineRule="auto"/>
        <w:rPr>
          <w:rFonts w:ascii="Arial" w:hAnsi="Arial" w:cs="Arial"/>
          <w:color w:val="000000"/>
          <w:kern w:val="0"/>
          <w:sz w:val="22"/>
          <w:lang w:eastAsia="en-GB"/>
          <w14:ligatures w14:val="none"/>
        </w:rPr>
      </w:pPr>
    </w:p>
    <w:p w14:paraId="102FE820" w14:textId="77777777" w:rsidR="000B17D3" w:rsidRDefault="000B17D3" w:rsidP="00CB3A56">
      <w:pPr>
        <w:spacing w:before="100" w:beforeAutospacing="1" w:after="100" w:afterAutospacing="1" w:line="240" w:lineRule="auto"/>
        <w:rPr>
          <w:rFonts w:ascii="Arial" w:hAnsi="Arial" w:cs="Arial"/>
          <w:color w:val="000000"/>
          <w:kern w:val="0"/>
          <w:sz w:val="22"/>
          <w:lang w:eastAsia="en-GB"/>
          <w14:ligatures w14:val="none"/>
        </w:rPr>
      </w:pPr>
    </w:p>
    <w:p w14:paraId="38ABD9C5" w14:textId="77777777" w:rsidR="000B17D3" w:rsidRPr="000B17D3" w:rsidRDefault="000B17D3" w:rsidP="00CB3A56">
      <w:pPr>
        <w:spacing w:before="100" w:beforeAutospacing="1" w:after="100" w:afterAutospacing="1" w:line="240" w:lineRule="auto"/>
        <w:rPr>
          <w:rFonts w:ascii="Arial" w:hAnsi="Arial" w:cs="Arial"/>
          <w:color w:val="000000"/>
          <w:kern w:val="0"/>
          <w:sz w:val="22"/>
          <w:lang w:eastAsia="en-GB"/>
          <w14:ligatures w14:val="none"/>
        </w:rPr>
      </w:pPr>
    </w:p>
    <w:p w14:paraId="5155B0ED" w14:textId="77777777" w:rsidR="00D676C3" w:rsidRPr="000B17D3" w:rsidRDefault="00D676C3" w:rsidP="00D676C3">
      <w:pPr>
        <w:pStyle w:val="ListParagraph"/>
        <w:spacing w:after="0" w:line="240" w:lineRule="auto"/>
        <w:rPr>
          <w:rFonts w:ascii="Arial" w:hAnsi="Arial" w:cs="Arial"/>
          <w:sz w:val="22"/>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5BC82C15" w14:textId="431FE2C8"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 xml:space="preserve">American Academy of </w:t>
      </w:r>
      <w:r w:rsidR="002D17F2" w:rsidRPr="00C81DA0">
        <w:rPr>
          <w:rFonts w:ascii="Arial" w:hAnsi="Arial" w:cs="Arial"/>
          <w:color w:val="000000"/>
          <w:kern w:val="0"/>
          <w:sz w:val="24"/>
          <w:szCs w:val="24"/>
          <w:lang w:eastAsia="en-GB"/>
          <w14:ligatures w14:val="none"/>
        </w:rPr>
        <w:t>Paediatrics</w:t>
      </w:r>
      <w:r w:rsidRPr="00C81DA0">
        <w:rPr>
          <w:rFonts w:ascii="Arial" w:hAnsi="Arial" w:cs="Arial"/>
          <w:color w:val="000000"/>
          <w:kern w:val="0"/>
          <w:sz w:val="24"/>
          <w:szCs w:val="24"/>
          <w:lang w:eastAsia="en-GB"/>
          <w14:ligatures w14:val="none"/>
        </w:rPr>
        <w:t xml:space="preserve"> (AAP). (2017). </w:t>
      </w:r>
      <w:r w:rsidR="002D17F2" w:rsidRPr="00C81DA0">
        <w:rPr>
          <w:rFonts w:ascii="Arial" w:hAnsi="Arial" w:cs="Arial"/>
          <w:color w:val="000000"/>
          <w:kern w:val="0"/>
          <w:sz w:val="24"/>
          <w:szCs w:val="24"/>
          <w:lang w:eastAsia="en-GB"/>
          <w14:ligatures w14:val="none"/>
        </w:rPr>
        <w:t>Paediatric</w:t>
      </w:r>
      <w:r w:rsidRPr="00C81DA0">
        <w:rPr>
          <w:rFonts w:ascii="Arial" w:hAnsi="Arial" w:cs="Arial"/>
          <w:color w:val="000000"/>
          <w:kern w:val="0"/>
          <w:sz w:val="24"/>
          <w:szCs w:val="24"/>
          <w:lang w:eastAsia="en-GB"/>
          <w14:ligatures w14:val="none"/>
        </w:rPr>
        <w:t xml:space="preserve"> pain management: Guidelines for practice.</w:t>
      </w:r>
    </w:p>
    <w:p w14:paraId="29500A15" w14:textId="77777777"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American Nurses Association (ANA). (2016). Code of ethics for nurses with interpretive statements.</w:t>
      </w:r>
    </w:p>
    <w:p w14:paraId="7E9F830B" w14:textId="77777777"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American Association of Colleges of Nursing (AACN). (2014). Essentials of baccalaureate education for professional nursing practice.</w:t>
      </w:r>
    </w:p>
    <w:p w14:paraId="48733EC6" w14:textId="77777777"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Hockenberry, M. J., &amp; Wilson, D. (2019). Wong’s nursing care of infants and children (11th ed.). Mosby.</w:t>
      </w:r>
    </w:p>
    <w:p w14:paraId="083BFC7D" w14:textId="77777777"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Jeffries, P. R. (2016). Simulation in nursing education: From conceptualization to evaluation (2nd ed.). National League for Nursing.</w:t>
      </w:r>
    </w:p>
    <w:p w14:paraId="0051F0A0" w14:textId="701E0D84"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 xml:space="preserve">Johnson, A. E., &amp; Jones, B. S. (2020). The collaborative partnership: </w:t>
      </w:r>
      <w:r w:rsidR="007E0613" w:rsidRPr="00C81DA0">
        <w:rPr>
          <w:rFonts w:ascii="Arial" w:hAnsi="Arial" w:cs="Arial"/>
          <w:color w:val="000000"/>
          <w:kern w:val="0"/>
          <w:sz w:val="24"/>
          <w:szCs w:val="24"/>
          <w:lang w:eastAsia="en-GB"/>
          <w14:ligatures w14:val="none"/>
        </w:rPr>
        <w:t>Family-centred</w:t>
      </w:r>
      <w:r w:rsidRPr="00C81DA0">
        <w:rPr>
          <w:rFonts w:ascii="Arial" w:hAnsi="Arial" w:cs="Arial"/>
          <w:color w:val="000000"/>
          <w:kern w:val="0"/>
          <w:sz w:val="24"/>
          <w:szCs w:val="24"/>
          <w:lang w:eastAsia="en-GB"/>
          <w14:ligatures w14:val="none"/>
        </w:rPr>
        <w:t xml:space="preserve"> care in </w:t>
      </w:r>
      <w:r w:rsidR="007E0613" w:rsidRPr="00C81DA0">
        <w:rPr>
          <w:rFonts w:ascii="Arial" w:hAnsi="Arial" w:cs="Arial"/>
          <w:color w:val="000000"/>
          <w:kern w:val="0"/>
          <w:sz w:val="24"/>
          <w:szCs w:val="24"/>
          <w:lang w:eastAsia="en-GB"/>
          <w14:ligatures w14:val="none"/>
        </w:rPr>
        <w:t>paediatric</w:t>
      </w:r>
      <w:r w:rsidRPr="00C81DA0">
        <w:rPr>
          <w:rFonts w:ascii="Arial" w:hAnsi="Arial" w:cs="Arial"/>
          <w:color w:val="000000"/>
          <w:kern w:val="0"/>
          <w:sz w:val="24"/>
          <w:szCs w:val="24"/>
          <w:lang w:eastAsia="en-GB"/>
          <w14:ligatures w14:val="none"/>
        </w:rPr>
        <w:t xml:space="preserve"> nursing. </w:t>
      </w:r>
      <w:r w:rsidR="007E0613" w:rsidRPr="00C81DA0">
        <w:rPr>
          <w:rFonts w:ascii="Arial" w:hAnsi="Arial" w:cs="Arial"/>
          <w:color w:val="000000"/>
          <w:kern w:val="0"/>
          <w:sz w:val="24"/>
          <w:szCs w:val="24"/>
          <w:lang w:eastAsia="en-GB"/>
          <w14:ligatures w14:val="none"/>
        </w:rPr>
        <w:t>Paediatric</w:t>
      </w:r>
      <w:r w:rsidRPr="00C81DA0">
        <w:rPr>
          <w:rFonts w:ascii="Arial" w:hAnsi="Arial" w:cs="Arial"/>
          <w:color w:val="000000"/>
          <w:kern w:val="0"/>
          <w:sz w:val="24"/>
          <w:szCs w:val="24"/>
          <w:lang w:eastAsia="en-GB"/>
          <w14:ligatures w14:val="none"/>
        </w:rPr>
        <w:t xml:space="preserve"> Health Publishers.</w:t>
      </w:r>
    </w:p>
    <w:p w14:paraId="6288D9DA" w14:textId="3583C3FE" w:rsidR="00C81DA0" w:rsidRPr="00C81DA0" w:rsidRDefault="00C81DA0" w:rsidP="00C81DA0">
      <w:pPr>
        <w:spacing w:before="100" w:beforeAutospacing="1" w:after="100" w:afterAutospacing="1" w:line="240" w:lineRule="auto"/>
        <w:rPr>
          <w:rFonts w:ascii="Arial" w:hAnsi="Arial" w:cs="Arial"/>
          <w:color w:val="000000"/>
          <w:kern w:val="0"/>
          <w:sz w:val="24"/>
          <w:szCs w:val="24"/>
          <w:lang w:eastAsia="en-GB"/>
          <w14:ligatures w14:val="none"/>
        </w:rPr>
      </w:pPr>
      <w:r w:rsidRPr="00C81DA0">
        <w:rPr>
          <w:rFonts w:ascii="Arial" w:hAnsi="Arial" w:cs="Arial"/>
          <w:color w:val="000000"/>
          <w:kern w:val="0"/>
          <w:sz w:val="24"/>
          <w:szCs w:val="24"/>
          <w:lang w:eastAsia="en-GB"/>
          <w14:ligatures w14:val="none"/>
        </w:rPr>
        <w:t xml:space="preserve">Wong, D. L. (2018). Wong’s essentials of </w:t>
      </w:r>
      <w:r w:rsidR="007E0613" w:rsidRPr="00C81DA0">
        <w:rPr>
          <w:rFonts w:ascii="Arial" w:hAnsi="Arial" w:cs="Arial"/>
          <w:color w:val="000000"/>
          <w:kern w:val="0"/>
          <w:sz w:val="24"/>
          <w:szCs w:val="24"/>
          <w:lang w:eastAsia="en-GB"/>
          <w14:ligatures w14:val="none"/>
        </w:rPr>
        <w:t>paediatric</w:t>
      </w:r>
      <w:r w:rsidRPr="00C81DA0">
        <w:rPr>
          <w:rFonts w:ascii="Arial" w:hAnsi="Arial" w:cs="Arial"/>
          <w:color w:val="000000"/>
          <w:kern w:val="0"/>
          <w:sz w:val="24"/>
          <w:szCs w:val="24"/>
          <w:lang w:eastAsia="en-GB"/>
          <w14:ligatures w14:val="none"/>
        </w:rPr>
        <w:t xml:space="preserve"> nursing (10th ed.). Mosby.</w:t>
      </w:r>
    </w:p>
    <w:p w14:paraId="1D0F2D59" w14:textId="04C6862D" w:rsidR="004552CE" w:rsidRPr="000B17D3" w:rsidRDefault="004552CE" w:rsidP="00F06167">
      <w:pPr>
        <w:spacing w:after="0" w:line="240" w:lineRule="auto"/>
        <w:rPr>
          <w:rFonts w:ascii="Arial" w:hAnsi="Arial" w:cs="Arial"/>
          <w:sz w:val="22"/>
        </w:rPr>
      </w:pPr>
    </w:p>
    <w:sectPr w:rsidR="004552CE" w:rsidRPr="000B17D3"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8FFD0" w14:textId="77777777" w:rsidR="00B41EA7" w:rsidRDefault="00B41EA7" w:rsidP="003C7C97">
      <w:pPr>
        <w:spacing w:after="0" w:line="240" w:lineRule="auto"/>
      </w:pPr>
      <w:r>
        <w:separator/>
      </w:r>
    </w:p>
  </w:endnote>
  <w:endnote w:type="continuationSeparator" w:id="0">
    <w:p w14:paraId="5A18739F" w14:textId="77777777" w:rsidR="00B41EA7" w:rsidRDefault="00B41EA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8580E" w14:textId="77777777" w:rsidR="00B41EA7" w:rsidRDefault="00B41EA7" w:rsidP="003C7C97">
      <w:pPr>
        <w:spacing w:after="0" w:line="240" w:lineRule="auto"/>
      </w:pPr>
      <w:r>
        <w:separator/>
      </w:r>
    </w:p>
  </w:footnote>
  <w:footnote w:type="continuationSeparator" w:id="0">
    <w:p w14:paraId="31A0673C" w14:textId="77777777" w:rsidR="00B41EA7" w:rsidRDefault="00B41EA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1740392E">
      <w:start w:val="1"/>
      <w:numFmt w:val="bullet"/>
      <w:lvlText w:val=""/>
      <w:lvlJc w:val="left"/>
      <w:pPr>
        <w:ind w:left="720" w:hanging="360"/>
      </w:pPr>
      <w:rPr>
        <w:rFonts w:ascii="Symbol" w:hAnsi="Symbol" w:hint="default"/>
      </w:rPr>
    </w:lvl>
    <w:lvl w:ilvl="1" w:tplc="24B0B648">
      <w:start w:val="1"/>
      <w:numFmt w:val="bullet"/>
      <w:lvlText w:val="o"/>
      <w:lvlJc w:val="left"/>
      <w:pPr>
        <w:ind w:left="1440" w:hanging="360"/>
      </w:pPr>
      <w:rPr>
        <w:rFonts w:ascii="Courier New" w:hAnsi="Courier New" w:hint="default"/>
      </w:rPr>
    </w:lvl>
    <w:lvl w:ilvl="2" w:tplc="6AEA294A">
      <w:start w:val="1"/>
      <w:numFmt w:val="bullet"/>
      <w:lvlText w:val=""/>
      <w:lvlJc w:val="left"/>
      <w:pPr>
        <w:ind w:left="2160" w:hanging="360"/>
      </w:pPr>
      <w:rPr>
        <w:rFonts w:ascii="Wingdings" w:hAnsi="Wingdings" w:hint="default"/>
      </w:rPr>
    </w:lvl>
    <w:lvl w:ilvl="3" w:tplc="60A4D68C">
      <w:start w:val="1"/>
      <w:numFmt w:val="bullet"/>
      <w:lvlText w:val=""/>
      <w:lvlJc w:val="left"/>
      <w:pPr>
        <w:ind w:left="2880" w:hanging="360"/>
      </w:pPr>
      <w:rPr>
        <w:rFonts w:ascii="Symbol" w:hAnsi="Symbol" w:hint="default"/>
      </w:rPr>
    </w:lvl>
    <w:lvl w:ilvl="4" w:tplc="55561A78">
      <w:start w:val="1"/>
      <w:numFmt w:val="bullet"/>
      <w:lvlText w:val="o"/>
      <w:lvlJc w:val="left"/>
      <w:pPr>
        <w:ind w:left="3600" w:hanging="360"/>
      </w:pPr>
      <w:rPr>
        <w:rFonts w:ascii="Courier New" w:hAnsi="Courier New" w:hint="default"/>
      </w:rPr>
    </w:lvl>
    <w:lvl w:ilvl="5" w:tplc="CF9C4326">
      <w:start w:val="1"/>
      <w:numFmt w:val="bullet"/>
      <w:lvlText w:val=""/>
      <w:lvlJc w:val="left"/>
      <w:pPr>
        <w:ind w:left="4320" w:hanging="360"/>
      </w:pPr>
      <w:rPr>
        <w:rFonts w:ascii="Wingdings" w:hAnsi="Wingdings" w:hint="default"/>
      </w:rPr>
    </w:lvl>
    <w:lvl w:ilvl="6" w:tplc="86D88A04">
      <w:start w:val="1"/>
      <w:numFmt w:val="bullet"/>
      <w:lvlText w:val=""/>
      <w:lvlJc w:val="left"/>
      <w:pPr>
        <w:ind w:left="5040" w:hanging="360"/>
      </w:pPr>
      <w:rPr>
        <w:rFonts w:ascii="Symbol" w:hAnsi="Symbol" w:hint="default"/>
      </w:rPr>
    </w:lvl>
    <w:lvl w:ilvl="7" w:tplc="24A08FEC">
      <w:start w:val="1"/>
      <w:numFmt w:val="bullet"/>
      <w:lvlText w:val="o"/>
      <w:lvlJc w:val="left"/>
      <w:pPr>
        <w:ind w:left="5760" w:hanging="360"/>
      </w:pPr>
      <w:rPr>
        <w:rFonts w:ascii="Courier New" w:hAnsi="Courier New" w:hint="default"/>
      </w:rPr>
    </w:lvl>
    <w:lvl w:ilvl="8" w:tplc="F658323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F4DC6102">
      <w:start w:val="1"/>
      <w:numFmt w:val="bullet"/>
      <w:lvlText w:val=""/>
      <w:lvlJc w:val="left"/>
      <w:pPr>
        <w:ind w:left="720" w:hanging="360"/>
      </w:pPr>
      <w:rPr>
        <w:rFonts w:ascii="Symbol" w:hAnsi="Symbol" w:hint="default"/>
      </w:rPr>
    </w:lvl>
    <w:lvl w:ilvl="1" w:tplc="E69A50D6">
      <w:start w:val="1"/>
      <w:numFmt w:val="bullet"/>
      <w:lvlText w:val="o"/>
      <w:lvlJc w:val="left"/>
      <w:pPr>
        <w:ind w:left="1440" w:hanging="360"/>
      </w:pPr>
      <w:rPr>
        <w:rFonts w:ascii="Courier New" w:hAnsi="Courier New" w:hint="default"/>
      </w:rPr>
    </w:lvl>
    <w:lvl w:ilvl="2" w:tplc="BA1AF3A6">
      <w:start w:val="1"/>
      <w:numFmt w:val="bullet"/>
      <w:lvlText w:val=""/>
      <w:lvlJc w:val="left"/>
      <w:pPr>
        <w:ind w:left="2160" w:hanging="360"/>
      </w:pPr>
      <w:rPr>
        <w:rFonts w:ascii="Wingdings" w:hAnsi="Wingdings" w:hint="default"/>
      </w:rPr>
    </w:lvl>
    <w:lvl w:ilvl="3" w:tplc="CC14CF58">
      <w:start w:val="1"/>
      <w:numFmt w:val="bullet"/>
      <w:lvlText w:val=""/>
      <w:lvlJc w:val="left"/>
      <w:pPr>
        <w:ind w:left="2880" w:hanging="360"/>
      </w:pPr>
      <w:rPr>
        <w:rFonts w:ascii="Symbol" w:hAnsi="Symbol" w:hint="default"/>
      </w:rPr>
    </w:lvl>
    <w:lvl w:ilvl="4" w:tplc="FF1096AC">
      <w:start w:val="1"/>
      <w:numFmt w:val="bullet"/>
      <w:lvlText w:val="o"/>
      <w:lvlJc w:val="left"/>
      <w:pPr>
        <w:ind w:left="3600" w:hanging="360"/>
      </w:pPr>
      <w:rPr>
        <w:rFonts w:ascii="Courier New" w:hAnsi="Courier New" w:hint="default"/>
      </w:rPr>
    </w:lvl>
    <w:lvl w:ilvl="5" w:tplc="BF3AA746">
      <w:start w:val="1"/>
      <w:numFmt w:val="bullet"/>
      <w:lvlText w:val=""/>
      <w:lvlJc w:val="left"/>
      <w:pPr>
        <w:ind w:left="4320" w:hanging="360"/>
      </w:pPr>
      <w:rPr>
        <w:rFonts w:ascii="Wingdings" w:hAnsi="Wingdings" w:hint="default"/>
      </w:rPr>
    </w:lvl>
    <w:lvl w:ilvl="6" w:tplc="92346264">
      <w:start w:val="1"/>
      <w:numFmt w:val="bullet"/>
      <w:lvlText w:val=""/>
      <w:lvlJc w:val="left"/>
      <w:pPr>
        <w:ind w:left="5040" w:hanging="360"/>
      </w:pPr>
      <w:rPr>
        <w:rFonts w:ascii="Symbol" w:hAnsi="Symbol" w:hint="default"/>
      </w:rPr>
    </w:lvl>
    <w:lvl w:ilvl="7" w:tplc="EC2AA22E">
      <w:start w:val="1"/>
      <w:numFmt w:val="bullet"/>
      <w:lvlText w:val="o"/>
      <w:lvlJc w:val="left"/>
      <w:pPr>
        <w:ind w:left="5760" w:hanging="360"/>
      </w:pPr>
      <w:rPr>
        <w:rFonts w:ascii="Courier New" w:hAnsi="Courier New" w:hint="default"/>
      </w:rPr>
    </w:lvl>
    <w:lvl w:ilvl="8" w:tplc="6FB26F9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82DEFA56">
      <w:start w:val="1"/>
      <w:numFmt w:val="bullet"/>
      <w:lvlText w:val=""/>
      <w:lvlJc w:val="left"/>
      <w:pPr>
        <w:ind w:left="720" w:hanging="360"/>
      </w:pPr>
      <w:rPr>
        <w:rFonts w:ascii="Symbol" w:hAnsi="Symbol" w:hint="default"/>
      </w:rPr>
    </w:lvl>
    <w:lvl w:ilvl="1" w:tplc="5F444514">
      <w:start w:val="1"/>
      <w:numFmt w:val="bullet"/>
      <w:lvlText w:val="o"/>
      <w:lvlJc w:val="left"/>
      <w:pPr>
        <w:ind w:left="1440" w:hanging="360"/>
      </w:pPr>
      <w:rPr>
        <w:rFonts w:ascii="Courier New" w:hAnsi="Courier New" w:hint="default"/>
      </w:rPr>
    </w:lvl>
    <w:lvl w:ilvl="2" w:tplc="926A8A14">
      <w:start w:val="1"/>
      <w:numFmt w:val="bullet"/>
      <w:lvlText w:val=""/>
      <w:lvlJc w:val="left"/>
      <w:pPr>
        <w:ind w:left="2160" w:hanging="360"/>
      </w:pPr>
      <w:rPr>
        <w:rFonts w:ascii="Wingdings" w:hAnsi="Wingdings" w:hint="default"/>
      </w:rPr>
    </w:lvl>
    <w:lvl w:ilvl="3" w:tplc="BCC44130">
      <w:start w:val="1"/>
      <w:numFmt w:val="bullet"/>
      <w:lvlText w:val=""/>
      <w:lvlJc w:val="left"/>
      <w:pPr>
        <w:ind w:left="2880" w:hanging="360"/>
      </w:pPr>
      <w:rPr>
        <w:rFonts w:ascii="Symbol" w:hAnsi="Symbol" w:hint="default"/>
      </w:rPr>
    </w:lvl>
    <w:lvl w:ilvl="4" w:tplc="224884B2">
      <w:start w:val="1"/>
      <w:numFmt w:val="bullet"/>
      <w:lvlText w:val="o"/>
      <w:lvlJc w:val="left"/>
      <w:pPr>
        <w:ind w:left="3600" w:hanging="360"/>
      </w:pPr>
      <w:rPr>
        <w:rFonts w:ascii="Courier New" w:hAnsi="Courier New" w:hint="default"/>
      </w:rPr>
    </w:lvl>
    <w:lvl w:ilvl="5" w:tplc="3072E104">
      <w:start w:val="1"/>
      <w:numFmt w:val="bullet"/>
      <w:lvlText w:val=""/>
      <w:lvlJc w:val="left"/>
      <w:pPr>
        <w:ind w:left="4320" w:hanging="360"/>
      </w:pPr>
      <w:rPr>
        <w:rFonts w:ascii="Wingdings" w:hAnsi="Wingdings" w:hint="default"/>
      </w:rPr>
    </w:lvl>
    <w:lvl w:ilvl="6" w:tplc="E8267E86">
      <w:start w:val="1"/>
      <w:numFmt w:val="bullet"/>
      <w:lvlText w:val=""/>
      <w:lvlJc w:val="left"/>
      <w:pPr>
        <w:ind w:left="5040" w:hanging="360"/>
      </w:pPr>
      <w:rPr>
        <w:rFonts w:ascii="Symbol" w:hAnsi="Symbol" w:hint="default"/>
      </w:rPr>
    </w:lvl>
    <w:lvl w:ilvl="7" w:tplc="69043C76">
      <w:start w:val="1"/>
      <w:numFmt w:val="bullet"/>
      <w:lvlText w:val="o"/>
      <w:lvlJc w:val="left"/>
      <w:pPr>
        <w:ind w:left="5760" w:hanging="360"/>
      </w:pPr>
      <w:rPr>
        <w:rFonts w:ascii="Courier New" w:hAnsi="Courier New" w:hint="default"/>
      </w:rPr>
    </w:lvl>
    <w:lvl w:ilvl="8" w:tplc="05AC08C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3D265ADA">
      <w:start w:val="1"/>
      <w:numFmt w:val="bullet"/>
      <w:lvlText w:val=""/>
      <w:lvlJc w:val="left"/>
      <w:pPr>
        <w:ind w:left="720" w:hanging="360"/>
      </w:pPr>
      <w:rPr>
        <w:rFonts w:ascii="Symbol" w:hAnsi="Symbol" w:hint="default"/>
      </w:rPr>
    </w:lvl>
    <w:lvl w:ilvl="1" w:tplc="D5968A7C">
      <w:start w:val="1"/>
      <w:numFmt w:val="bullet"/>
      <w:lvlText w:val="o"/>
      <w:lvlJc w:val="left"/>
      <w:pPr>
        <w:ind w:left="1440" w:hanging="360"/>
      </w:pPr>
      <w:rPr>
        <w:rFonts w:ascii="Courier New" w:hAnsi="Courier New" w:hint="default"/>
      </w:rPr>
    </w:lvl>
    <w:lvl w:ilvl="2" w:tplc="5C3CDE3C">
      <w:start w:val="1"/>
      <w:numFmt w:val="bullet"/>
      <w:lvlText w:val=""/>
      <w:lvlJc w:val="left"/>
      <w:pPr>
        <w:ind w:left="2160" w:hanging="360"/>
      </w:pPr>
      <w:rPr>
        <w:rFonts w:ascii="Wingdings" w:hAnsi="Wingdings" w:hint="default"/>
      </w:rPr>
    </w:lvl>
    <w:lvl w:ilvl="3" w:tplc="4F82BAAA">
      <w:start w:val="1"/>
      <w:numFmt w:val="bullet"/>
      <w:lvlText w:val=""/>
      <w:lvlJc w:val="left"/>
      <w:pPr>
        <w:ind w:left="2880" w:hanging="360"/>
      </w:pPr>
      <w:rPr>
        <w:rFonts w:ascii="Symbol" w:hAnsi="Symbol" w:hint="default"/>
      </w:rPr>
    </w:lvl>
    <w:lvl w:ilvl="4" w:tplc="B7CCB52A">
      <w:start w:val="1"/>
      <w:numFmt w:val="bullet"/>
      <w:lvlText w:val="o"/>
      <w:lvlJc w:val="left"/>
      <w:pPr>
        <w:ind w:left="3600" w:hanging="360"/>
      </w:pPr>
      <w:rPr>
        <w:rFonts w:ascii="Courier New" w:hAnsi="Courier New" w:hint="default"/>
      </w:rPr>
    </w:lvl>
    <w:lvl w:ilvl="5" w:tplc="B9322850">
      <w:start w:val="1"/>
      <w:numFmt w:val="bullet"/>
      <w:lvlText w:val=""/>
      <w:lvlJc w:val="left"/>
      <w:pPr>
        <w:ind w:left="4320" w:hanging="360"/>
      </w:pPr>
      <w:rPr>
        <w:rFonts w:ascii="Wingdings" w:hAnsi="Wingdings" w:hint="default"/>
      </w:rPr>
    </w:lvl>
    <w:lvl w:ilvl="6" w:tplc="046A9AA2">
      <w:start w:val="1"/>
      <w:numFmt w:val="bullet"/>
      <w:lvlText w:val=""/>
      <w:lvlJc w:val="left"/>
      <w:pPr>
        <w:ind w:left="5040" w:hanging="360"/>
      </w:pPr>
      <w:rPr>
        <w:rFonts w:ascii="Symbol" w:hAnsi="Symbol" w:hint="default"/>
      </w:rPr>
    </w:lvl>
    <w:lvl w:ilvl="7" w:tplc="BAEA4B9A">
      <w:start w:val="1"/>
      <w:numFmt w:val="bullet"/>
      <w:lvlText w:val="o"/>
      <w:lvlJc w:val="left"/>
      <w:pPr>
        <w:ind w:left="5760" w:hanging="360"/>
      </w:pPr>
      <w:rPr>
        <w:rFonts w:ascii="Courier New" w:hAnsi="Courier New" w:hint="default"/>
      </w:rPr>
    </w:lvl>
    <w:lvl w:ilvl="8" w:tplc="BAE2FED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70EC89D6">
      <w:start w:val="1"/>
      <w:numFmt w:val="bullet"/>
      <w:lvlText w:val=""/>
      <w:lvlJc w:val="left"/>
      <w:pPr>
        <w:ind w:left="720" w:hanging="360"/>
      </w:pPr>
      <w:rPr>
        <w:rFonts w:ascii="Symbol" w:hAnsi="Symbol" w:hint="default"/>
      </w:rPr>
    </w:lvl>
    <w:lvl w:ilvl="1" w:tplc="431020F4">
      <w:start w:val="1"/>
      <w:numFmt w:val="bullet"/>
      <w:lvlText w:val="o"/>
      <w:lvlJc w:val="left"/>
      <w:pPr>
        <w:ind w:left="1440" w:hanging="360"/>
      </w:pPr>
      <w:rPr>
        <w:rFonts w:ascii="Courier New" w:hAnsi="Courier New" w:hint="default"/>
      </w:rPr>
    </w:lvl>
    <w:lvl w:ilvl="2" w:tplc="86EEFF94">
      <w:start w:val="1"/>
      <w:numFmt w:val="bullet"/>
      <w:lvlText w:val=""/>
      <w:lvlJc w:val="left"/>
      <w:pPr>
        <w:ind w:left="2160" w:hanging="360"/>
      </w:pPr>
      <w:rPr>
        <w:rFonts w:ascii="Wingdings" w:hAnsi="Wingdings" w:hint="default"/>
      </w:rPr>
    </w:lvl>
    <w:lvl w:ilvl="3" w:tplc="9DF8E334">
      <w:start w:val="1"/>
      <w:numFmt w:val="bullet"/>
      <w:lvlText w:val=""/>
      <w:lvlJc w:val="left"/>
      <w:pPr>
        <w:ind w:left="2880" w:hanging="360"/>
      </w:pPr>
      <w:rPr>
        <w:rFonts w:ascii="Symbol" w:hAnsi="Symbol" w:hint="default"/>
      </w:rPr>
    </w:lvl>
    <w:lvl w:ilvl="4" w:tplc="CFAECAAA">
      <w:start w:val="1"/>
      <w:numFmt w:val="bullet"/>
      <w:lvlText w:val="o"/>
      <w:lvlJc w:val="left"/>
      <w:pPr>
        <w:ind w:left="3600" w:hanging="360"/>
      </w:pPr>
      <w:rPr>
        <w:rFonts w:ascii="Courier New" w:hAnsi="Courier New" w:hint="default"/>
      </w:rPr>
    </w:lvl>
    <w:lvl w:ilvl="5" w:tplc="6A604A20">
      <w:start w:val="1"/>
      <w:numFmt w:val="bullet"/>
      <w:lvlText w:val=""/>
      <w:lvlJc w:val="left"/>
      <w:pPr>
        <w:ind w:left="4320" w:hanging="360"/>
      </w:pPr>
      <w:rPr>
        <w:rFonts w:ascii="Wingdings" w:hAnsi="Wingdings" w:hint="default"/>
      </w:rPr>
    </w:lvl>
    <w:lvl w:ilvl="6" w:tplc="159C79AA">
      <w:start w:val="1"/>
      <w:numFmt w:val="bullet"/>
      <w:lvlText w:val=""/>
      <w:lvlJc w:val="left"/>
      <w:pPr>
        <w:ind w:left="5040" w:hanging="360"/>
      </w:pPr>
      <w:rPr>
        <w:rFonts w:ascii="Symbol" w:hAnsi="Symbol" w:hint="default"/>
      </w:rPr>
    </w:lvl>
    <w:lvl w:ilvl="7" w:tplc="F386F568">
      <w:start w:val="1"/>
      <w:numFmt w:val="bullet"/>
      <w:lvlText w:val="o"/>
      <w:lvlJc w:val="left"/>
      <w:pPr>
        <w:ind w:left="5760" w:hanging="360"/>
      </w:pPr>
      <w:rPr>
        <w:rFonts w:ascii="Courier New" w:hAnsi="Courier New" w:hint="default"/>
      </w:rPr>
    </w:lvl>
    <w:lvl w:ilvl="8" w:tplc="3C1C583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D45698C8">
      <w:start w:val="1"/>
      <w:numFmt w:val="bullet"/>
      <w:lvlText w:val=""/>
      <w:lvlJc w:val="left"/>
      <w:pPr>
        <w:ind w:left="720" w:hanging="360"/>
      </w:pPr>
      <w:rPr>
        <w:rFonts w:ascii="Symbol" w:hAnsi="Symbol" w:hint="default"/>
      </w:rPr>
    </w:lvl>
    <w:lvl w:ilvl="1" w:tplc="A8206334">
      <w:start w:val="1"/>
      <w:numFmt w:val="bullet"/>
      <w:lvlText w:val="o"/>
      <w:lvlJc w:val="left"/>
      <w:pPr>
        <w:ind w:left="1440" w:hanging="360"/>
      </w:pPr>
      <w:rPr>
        <w:rFonts w:ascii="Courier New" w:hAnsi="Courier New" w:hint="default"/>
      </w:rPr>
    </w:lvl>
    <w:lvl w:ilvl="2" w:tplc="23E42F04">
      <w:start w:val="1"/>
      <w:numFmt w:val="bullet"/>
      <w:lvlText w:val=""/>
      <w:lvlJc w:val="left"/>
      <w:pPr>
        <w:ind w:left="2160" w:hanging="360"/>
      </w:pPr>
      <w:rPr>
        <w:rFonts w:ascii="Wingdings" w:hAnsi="Wingdings" w:hint="default"/>
      </w:rPr>
    </w:lvl>
    <w:lvl w:ilvl="3" w:tplc="23D2B81E">
      <w:start w:val="1"/>
      <w:numFmt w:val="bullet"/>
      <w:lvlText w:val=""/>
      <w:lvlJc w:val="left"/>
      <w:pPr>
        <w:ind w:left="2880" w:hanging="360"/>
      </w:pPr>
      <w:rPr>
        <w:rFonts w:ascii="Symbol" w:hAnsi="Symbol" w:hint="default"/>
      </w:rPr>
    </w:lvl>
    <w:lvl w:ilvl="4" w:tplc="0C80CE6C">
      <w:start w:val="1"/>
      <w:numFmt w:val="bullet"/>
      <w:lvlText w:val="o"/>
      <w:lvlJc w:val="left"/>
      <w:pPr>
        <w:ind w:left="3600" w:hanging="360"/>
      </w:pPr>
      <w:rPr>
        <w:rFonts w:ascii="Courier New" w:hAnsi="Courier New" w:hint="default"/>
      </w:rPr>
    </w:lvl>
    <w:lvl w:ilvl="5" w:tplc="BC78D79E">
      <w:start w:val="1"/>
      <w:numFmt w:val="bullet"/>
      <w:lvlText w:val=""/>
      <w:lvlJc w:val="left"/>
      <w:pPr>
        <w:ind w:left="4320" w:hanging="360"/>
      </w:pPr>
      <w:rPr>
        <w:rFonts w:ascii="Wingdings" w:hAnsi="Wingdings" w:hint="default"/>
      </w:rPr>
    </w:lvl>
    <w:lvl w:ilvl="6" w:tplc="4A52BE08">
      <w:start w:val="1"/>
      <w:numFmt w:val="bullet"/>
      <w:lvlText w:val=""/>
      <w:lvlJc w:val="left"/>
      <w:pPr>
        <w:ind w:left="5040" w:hanging="360"/>
      </w:pPr>
      <w:rPr>
        <w:rFonts w:ascii="Symbol" w:hAnsi="Symbol" w:hint="default"/>
      </w:rPr>
    </w:lvl>
    <w:lvl w:ilvl="7" w:tplc="B28E70EA">
      <w:start w:val="1"/>
      <w:numFmt w:val="bullet"/>
      <w:lvlText w:val="o"/>
      <w:lvlJc w:val="left"/>
      <w:pPr>
        <w:ind w:left="5760" w:hanging="360"/>
      </w:pPr>
      <w:rPr>
        <w:rFonts w:ascii="Courier New" w:hAnsi="Courier New" w:hint="default"/>
      </w:rPr>
    </w:lvl>
    <w:lvl w:ilvl="8" w:tplc="3B020B3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011118">
    <w:abstractNumId w:val="11"/>
  </w:num>
  <w:num w:numId="2" w16cid:durableId="1145702149">
    <w:abstractNumId w:val="12"/>
  </w:num>
  <w:num w:numId="3" w16cid:durableId="713698864">
    <w:abstractNumId w:val="1"/>
  </w:num>
  <w:num w:numId="4" w16cid:durableId="1982998043">
    <w:abstractNumId w:val="3"/>
  </w:num>
  <w:num w:numId="5" w16cid:durableId="351616701">
    <w:abstractNumId w:val="15"/>
  </w:num>
  <w:num w:numId="6" w16cid:durableId="138020861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3D88"/>
    <w:rsid w:val="0001715D"/>
    <w:rsid w:val="00022C42"/>
    <w:rsid w:val="00027B15"/>
    <w:rsid w:val="00030A05"/>
    <w:rsid w:val="00050BE1"/>
    <w:rsid w:val="00070818"/>
    <w:rsid w:val="0008238F"/>
    <w:rsid w:val="00082EC6"/>
    <w:rsid w:val="00085388"/>
    <w:rsid w:val="000B17D3"/>
    <w:rsid w:val="000C10AD"/>
    <w:rsid w:val="000D41DC"/>
    <w:rsid w:val="000D4A73"/>
    <w:rsid w:val="001064D7"/>
    <w:rsid w:val="00107D1B"/>
    <w:rsid w:val="00125D37"/>
    <w:rsid w:val="00127C1A"/>
    <w:rsid w:val="001441DD"/>
    <w:rsid w:val="00150D81"/>
    <w:rsid w:val="00166CEB"/>
    <w:rsid w:val="00183CB9"/>
    <w:rsid w:val="00184A9A"/>
    <w:rsid w:val="001947DF"/>
    <w:rsid w:val="001B22BB"/>
    <w:rsid w:val="001B504B"/>
    <w:rsid w:val="001B619C"/>
    <w:rsid w:val="001D1D3C"/>
    <w:rsid w:val="001F59B6"/>
    <w:rsid w:val="001F627F"/>
    <w:rsid w:val="00217FFD"/>
    <w:rsid w:val="002205D4"/>
    <w:rsid w:val="00222C3A"/>
    <w:rsid w:val="00225E94"/>
    <w:rsid w:val="00226D31"/>
    <w:rsid w:val="002277F2"/>
    <w:rsid w:val="00235A68"/>
    <w:rsid w:val="00236401"/>
    <w:rsid w:val="002370CE"/>
    <w:rsid w:val="00242974"/>
    <w:rsid w:val="00261650"/>
    <w:rsid w:val="002829A6"/>
    <w:rsid w:val="00294354"/>
    <w:rsid w:val="002976D4"/>
    <w:rsid w:val="002A5577"/>
    <w:rsid w:val="002A72AA"/>
    <w:rsid w:val="002B4AA4"/>
    <w:rsid w:val="002C34FD"/>
    <w:rsid w:val="002C4A82"/>
    <w:rsid w:val="002D17F2"/>
    <w:rsid w:val="002D2203"/>
    <w:rsid w:val="002E71BA"/>
    <w:rsid w:val="002F007E"/>
    <w:rsid w:val="002F5066"/>
    <w:rsid w:val="003003FD"/>
    <w:rsid w:val="00300790"/>
    <w:rsid w:val="00310245"/>
    <w:rsid w:val="00316C95"/>
    <w:rsid w:val="003458DB"/>
    <w:rsid w:val="003523D3"/>
    <w:rsid w:val="003537D5"/>
    <w:rsid w:val="0036489B"/>
    <w:rsid w:val="00364C35"/>
    <w:rsid w:val="00396F60"/>
    <w:rsid w:val="003A51D6"/>
    <w:rsid w:val="003B125E"/>
    <w:rsid w:val="003B2A5E"/>
    <w:rsid w:val="003C2665"/>
    <w:rsid w:val="003C7C97"/>
    <w:rsid w:val="0040243A"/>
    <w:rsid w:val="004025DA"/>
    <w:rsid w:val="00406B8D"/>
    <w:rsid w:val="00410068"/>
    <w:rsid w:val="0041618E"/>
    <w:rsid w:val="0042295C"/>
    <w:rsid w:val="00426EEC"/>
    <w:rsid w:val="004466C3"/>
    <w:rsid w:val="004552CE"/>
    <w:rsid w:val="00481FF7"/>
    <w:rsid w:val="00483032"/>
    <w:rsid w:val="00500295"/>
    <w:rsid w:val="00501AAF"/>
    <w:rsid w:val="00527AFA"/>
    <w:rsid w:val="005419DA"/>
    <w:rsid w:val="005461E3"/>
    <w:rsid w:val="00557592"/>
    <w:rsid w:val="0056671D"/>
    <w:rsid w:val="005678AC"/>
    <w:rsid w:val="005679BD"/>
    <w:rsid w:val="005709B1"/>
    <w:rsid w:val="00572B3B"/>
    <w:rsid w:val="00583543"/>
    <w:rsid w:val="005836D2"/>
    <w:rsid w:val="00587C58"/>
    <w:rsid w:val="00590B2F"/>
    <w:rsid w:val="005A7FD4"/>
    <w:rsid w:val="005B1A84"/>
    <w:rsid w:val="005D12B8"/>
    <w:rsid w:val="005D1AF9"/>
    <w:rsid w:val="005D5457"/>
    <w:rsid w:val="005E2699"/>
    <w:rsid w:val="005E44B5"/>
    <w:rsid w:val="005F743B"/>
    <w:rsid w:val="00612DEA"/>
    <w:rsid w:val="00614572"/>
    <w:rsid w:val="006232DF"/>
    <w:rsid w:val="0062548E"/>
    <w:rsid w:val="00630349"/>
    <w:rsid w:val="00631F2E"/>
    <w:rsid w:val="00640410"/>
    <w:rsid w:val="006457C0"/>
    <w:rsid w:val="00652BB7"/>
    <w:rsid w:val="00661758"/>
    <w:rsid w:val="0067612C"/>
    <w:rsid w:val="00676FEB"/>
    <w:rsid w:val="006912C4"/>
    <w:rsid w:val="006A5213"/>
    <w:rsid w:val="006A5CFC"/>
    <w:rsid w:val="006C5138"/>
    <w:rsid w:val="006C689B"/>
    <w:rsid w:val="006E005C"/>
    <w:rsid w:val="006E6EE5"/>
    <w:rsid w:val="006F0029"/>
    <w:rsid w:val="006F502D"/>
    <w:rsid w:val="006F5FCE"/>
    <w:rsid w:val="007138EF"/>
    <w:rsid w:val="007228C2"/>
    <w:rsid w:val="00725487"/>
    <w:rsid w:val="00746455"/>
    <w:rsid w:val="007501F0"/>
    <w:rsid w:val="00753E6C"/>
    <w:rsid w:val="007579FF"/>
    <w:rsid w:val="007632A9"/>
    <w:rsid w:val="00765703"/>
    <w:rsid w:val="00774092"/>
    <w:rsid w:val="00782830"/>
    <w:rsid w:val="0078664A"/>
    <w:rsid w:val="00793C38"/>
    <w:rsid w:val="007B0F6D"/>
    <w:rsid w:val="007C62C3"/>
    <w:rsid w:val="007D25AA"/>
    <w:rsid w:val="007D2A49"/>
    <w:rsid w:val="007E0613"/>
    <w:rsid w:val="007F0873"/>
    <w:rsid w:val="00805726"/>
    <w:rsid w:val="00815117"/>
    <w:rsid w:val="00824CB1"/>
    <w:rsid w:val="00832C7A"/>
    <w:rsid w:val="008520F8"/>
    <w:rsid w:val="00855F34"/>
    <w:rsid w:val="008826B6"/>
    <w:rsid w:val="008A5563"/>
    <w:rsid w:val="008A745D"/>
    <w:rsid w:val="008B0B22"/>
    <w:rsid w:val="008C58B0"/>
    <w:rsid w:val="008C591B"/>
    <w:rsid w:val="008C6182"/>
    <w:rsid w:val="008E4B3A"/>
    <w:rsid w:val="008E722A"/>
    <w:rsid w:val="0090779E"/>
    <w:rsid w:val="00913DD9"/>
    <w:rsid w:val="00926458"/>
    <w:rsid w:val="00933720"/>
    <w:rsid w:val="00935FB4"/>
    <w:rsid w:val="00974437"/>
    <w:rsid w:val="00982551"/>
    <w:rsid w:val="009969F0"/>
    <w:rsid w:val="009B003B"/>
    <w:rsid w:val="009C7E52"/>
    <w:rsid w:val="009E4934"/>
    <w:rsid w:val="009E7DFA"/>
    <w:rsid w:val="009F40A7"/>
    <w:rsid w:val="009F5CE6"/>
    <w:rsid w:val="009F692C"/>
    <w:rsid w:val="00A035CD"/>
    <w:rsid w:val="00A12B34"/>
    <w:rsid w:val="00A14E1C"/>
    <w:rsid w:val="00A33F09"/>
    <w:rsid w:val="00A50E80"/>
    <w:rsid w:val="00A513B0"/>
    <w:rsid w:val="00A634EF"/>
    <w:rsid w:val="00A63F7F"/>
    <w:rsid w:val="00A667CE"/>
    <w:rsid w:val="00A75042"/>
    <w:rsid w:val="00A774BC"/>
    <w:rsid w:val="00A82678"/>
    <w:rsid w:val="00A94336"/>
    <w:rsid w:val="00A946CB"/>
    <w:rsid w:val="00A975FA"/>
    <w:rsid w:val="00AA0591"/>
    <w:rsid w:val="00AA77C8"/>
    <w:rsid w:val="00AC7BE2"/>
    <w:rsid w:val="00AD7218"/>
    <w:rsid w:val="00AE35BF"/>
    <w:rsid w:val="00AF622A"/>
    <w:rsid w:val="00B1067E"/>
    <w:rsid w:val="00B12736"/>
    <w:rsid w:val="00B1557E"/>
    <w:rsid w:val="00B41EA7"/>
    <w:rsid w:val="00B81790"/>
    <w:rsid w:val="00B81BBC"/>
    <w:rsid w:val="00B90C21"/>
    <w:rsid w:val="00BD03D5"/>
    <w:rsid w:val="00BF4CAC"/>
    <w:rsid w:val="00C1591B"/>
    <w:rsid w:val="00C3215E"/>
    <w:rsid w:val="00C45272"/>
    <w:rsid w:val="00C47770"/>
    <w:rsid w:val="00C55379"/>
    <w:rsid w:val="00C75856"/>
    <w:rsid w:val="00C81DA0"/>
    <w:rsid w:val="00C85A7C"/>
    <w:rsid w:val="00C95214"/>
    <w:rsid w:val="00CB1961"/>
    <w:rsid w:val="00CB3A56"/>
    <w:rsid w:val="00CC0ACE"/>
    <w:rsid w:val="00CC3F59"/>
    <w:rsid w:val="00CD4774"/>
    <w:rsid w:val="00CD75BB"/>
    <w:rsid w:val="00CE1732"/>
    <w:rsid w:val="00CF0C22"/>
    <w:rsid w:val="00CF0EF8"/>
    <w:rsid w:val="00D04FF6"/>
    <w:rsid w:val="00D10AAF"/>
    <w:rsid w:val="00D241AE"/>
    <w:rsid w:val="00D27540"/>
    <w:rsid w:val="00D4006B"/>
    <w:rsid w:val="00D40D7A"/>
    <w:rsid w:val="00D42C7B"/>
    <w:rsid w:val="00D557BA"/>
    <w:rsid w:val="00D61319"/>
    <w:rsid w:val="00D64A0D"/>
    <w:rsid w:val="00D676C3"/>
    <w:rsid w:val="00D750B4"/>
    <w:rsid w:val="00D750D6"/>
    <w:rsid w:val="00D81C18"/>
    <w:rsid w:val="00D8461A"/>
    <w:rsid w:val="00D87843"/>
    <w:rsid w:val="00D92E23"/>
    <w:rsid w:val="00D95CAF"/>
    <w:rsid w:val="00DA2316"/>
    <w:rsid w:val="00DA5402"/>
    <w:rsid w:val="00DB60B6"/>
    <w:rsid w:val="00DC10C6"/>
    <w:rsid w:val="00DC1CC6"/>
    <w:rsid w:val="00DC2BB7"/>
    <w:rsid w:val="00DC4C8D"/>
    <w:rsid w:val="00DD486A"/>
    <w:rsid w:val="00DD5135"/>
    <w:rsid w:val="00DD5E24"/>
    <w:rsid w:val="00DF1539"/>
    <w:rsid w:val="00DF773F"/>
    <w:rsid w:val="00E067A8"/>
    <w:rsid w:val="00E13924"/>
    <w:rsid w:val="00E15FD5"/>
    <w:rsid w:val="00E1725A"/>
    <w:rsid w:val="00E33758"/>
    <w:rsid w:val="00E53E5E"/>
    <w:rsid w:val="00E6183F"/>
    <w:rsid w:val="00E64325"/>
    <w:rsid w:val="00E673C5"/>
    <w:rsid w:val="00E67967"/>
    <w:rsid w:val="00E82723"/>
    <w:rsid w:val="00E833D0"/>
    <w:rsid w:val="00E939EC"/>
    <w:rsid w:val="00EA29A5"/>
    <w:rsid w:val="00EA7344"/>
    <w:rsid w:val="00EB4F81"/>
    <w:rsid w:val="00EC107C"/>
    <w:rsid w:val="00EC7EBE"/>
    <w:rsid w:val="00EC7FD2"/>
    <w:rsid w:val="00ED5964"/>
    <w:rsid w:val="00EE5EF4"/>
    <w:rsid w:val="00F06167"/>
    <w:rsid w:val="00F1720B"/>
    <w:rsid w:val="00F24571"/>
    <w:rsid w:val="00F25496"/>
    <w:rsid w:val="00F36ADC"/>
    <w:rsid w:val="00F605C6"/>
    <w:rsid w:val="00F6785B"/>
    <w:rsid w:val="00F8594A"/>
    <w:rsid w:val="00F9012D"/>
    <w:rsid w:val="00F9056B"/>
    <w:rsid w:val="00F915D6"/>
    <w:rsid w:val="00FB4DFB"/>
    <w:rsid w:val="00FB67AF"/>
    <w:rsid w:val="00FC6295"/>
    <w:rsid w:val="00FD1A3D"/>
    <w:rsid w:val="00FD2B36"/>
    <w:rsid w:val="00FE20F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1">
    <w:name w:val="p1"/>
    <w:basedOn w:val="Normal"/>
    <w:rsid w:val="00D04FF6"/>
    <w:pPr>
      <w:spacing w:after="0" w:line="240" w:lineRule="auto"/>
    </w:pPr>
    <w:rPr>
      <w:rFonts w:ascii="Helvetica" w:hAnsi="Helvetica" w:cs="Times New Roman"/>
      <w:color w:val="000000"/>
      <w:kern w:val="0"/>
      <w:szCs w:val="20"/>
      <w:lang w:eastAsia="en-GB"/>
      <w14:ligatures w14:val="none"/>
    </w:rPr>
  </w:style>
  <w:style w:type="character" w:customStyle="1" w:styleId="s1">
    <w:name w:val="s1"/>
    <w:basedOn w:val="DefaultParagraphFont"/>
    <w:rsid w:val="00D04FF6"/>
    <w:rPr>
      <w:rFonts w:ascii="Helvetica" w:hAnsi="Helvetica" w:hint="default"/>
      <w:b w:val="0"/>
      <w:bCs w:val="0"/>
      <w:i w:val="0"/>
      <w:iCs w:val="0"/>
      <w:sz w:val="20"/>
      <w:szCs w:val="20"/>
    </w:rPr>
  </w:style>
  <w:style w:type="character" w:customStyle="1" w:styleId="s2">
    <w:name w:val="s2"/>
    <w:basedOn w:val="DefaultParagraphFont"/>
    <w:rsid w:val="00D04FF6"/>
    <w:rPr>
      <w:rFonts w:ascii="Helvetica" w:hAnsi="Helvetica" w:hint="default"/>
      <w:b w:val="0"/>
      <w:bCs w:val="0"/>
      <w:i w:val="0"/>
      <w:iCs w:val="0"/>
      <w:sz w:val="15"/>
      <w:szCs w:val="15"/>
    </w:rPr>
  </w:style>
  <w:style w:type="character" w:customStyle="1" w:styleId="s3">
    <w:name w:val="s3"/>
    <w:basedOn w:val="DefaultParagraphFont"/>
    <w:rsid w:val="00D04FF6"/>
    <w:rPr>
      <w:rFonts w:ascii="Arial" w:hAnsi="Arial" w:cs="Arial" w:hint="default"/>
      <w:b w:val="0"/>
      <w:bCs w:val="0"/>
      <w:i w:val="0"/>
      <w:iCs w:val="0"/>
      <w:sz w:val="15"/>
      <w:szCs w:val="15"/>
    </w:rPr>
  </w:style>
  <w:style w:type="character" w:customStyle="1" w:styleId="apple-converted-space">
    <w:name w:val="apple-converted-space"/>
    <w:basedOn w:val="DefaultParagraphFont"/>
    <w:rsid w:val="006A5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1551</Words>
  <Characters>8847</Characters>
  <Application>Microsoft Office Word</Application>
  <DocSecurity>0</DocSecurity>
  <Lines>73</Lines>
  <Paragraphs>20</Paragraphs>
  <ScaleCrop>false</ScaleCrop>
  <Company>University of Wales Trinity Saint David</Company>
  <LinksUpToDate>false</LinksUpToDate>
  <CharactersWithSpaces>10378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Brenda Da Silva Rodrigues Marciano (2509114)</cp:lastModifiedBy>
  <cp:revision>2</cp:revision>
  <dcterms:created xsi:type="dcterms:W3CDTF">2025-12-02T09:24:00Z</dcterms:created>
  <dcterms:modified xsi:type="dcterms:W3CDTF">2025-12-02T09:24:00Z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