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377" w14:textId="2B673868" w:rsidR="00955DDE" w:rsidRPr="00106D02" w:rsidRDefault="008B1AF4" w:rsidP="00A4448D">
      <w:pPr>
        <w:ind w:firstLine="0"/>
      </w:pPr>
    </w:p>
    <w:p w14:paraId="20B70378" w14:textId="77777777" w:rsidR="00A4448D" w:rsidRPr="00106D02" w:rsidRDefault="00A4448D" w:rsidP="00A4448D">
      <w:pPr>
        <w:ind w:firstLine="0"/>
      </w:pPr>
    </w:p>
    <w:p w14:paraId="20B70379" w14:textId="77777777" w:rsidR="00A4448D" w:rsidRPr="00106D02" w:rsidRDefault="00A4448D" w:rsidP="00A4448D">
      <w:pPr>
        <w:ind w:firstLine="0"/>
      </w:pPr>
    </w:p>
    <w:p w14:paraId="20B7037A" w14:textId="77777777" w:rsidR="00A4448D" w:rsidRPr="00106D02" w:rsidRDefault="00A4448D" w:rsidP="00A4448D">
      <w:pPr>
        <w:ind w:firstLine="0"/>
      </w:pPr>
    </w:p>
    <w:p w14:paraId="20B7037B" w14:textId="77777777" w:rsidR="00A4448D" w:rsidRPr="00106D02" w:rsidRDefault="00A4448D" w:rsidP="00A4448D">
      <w:pPr>
        <w:ind w:firstLine="0"/>
      </w:pPr>
    </w:p>
    <w:p w14:paraId="20B7037C" w14:textId="77777777" w:rsidR="00A4448D" w:rsidRPr="00106D02" w:rsidRDefault="00A4448D" w:rsidP="00A4448D">
      <w:pPr>
        <w:ind w:firstLine="0"/>
      </w:pPr>
    </w:p>
    <w:p w14:paraId="20B7037D" w14:textId="77777777" w:rsidR="00A4448D" w:rsidRPr="00106D02" w:rsidRDefault="00A4448D" w:rsidP="00A4448D">
      <w:pPr>
        <w:ind w:firstLine="0"/>
      </w:pPr>
    </w:p>
    <w:p w14:paraId="20B7037E" w14:textId="77777777" w:rsidR="00A4448D" w:rsidRPr="00106D02" w:rsidRDefault="00A4448D" w:rsidP="00A4448D">
      <w:pPr>
        <w:ind w:firstLine="0"/>
      </w:pPr>
    </w:p>
    <w:p w14:paraId="20B7037F" w14:textId="77777777" w:rsidR="00A4448D" w:rsidRPr="00106D02" w:rsidRDefault="00A4448D" w:rsidP="00A4448D">
      <w:pPr>
        <w:ind w:firstLine="0"/>
      </w:pPr>
    </w:p>
    <w:p w14:paraId="20B70380" w14:textId="77777777" w:rsidR="00A4448D" w:rsidRPr="00106D02" w:rsidRDefault="00A4448D" w:rsidP="00A4448D">
      <w:pPr>
        <w:ind w:firstLine="0"/>
      </w:pPr>
    </w:p>
    <w:p w14:paraId="20B70381" w14:textId="3C0BCFAD" w:rsidR="00A4448D" w:rsidRPr="00B22067" w:rsidRDefault="008673B4" w:rsidP="00DA1F2E">
      <w:pPr>
        <w:ind w:firstLine="0"/>
        <w:jc w:val="center"/>
        <w:rPr>
          <w:b/>
          <w:bCs/>
          <w:sz w:val="36"/>
          <w:szCs w:val="36"/>
        </w:rPr>
      </w:pPr>
      <w:r w:rsidRPr="00B22067">
        <w:rPr>
          <w:b/>
          <w:bCs/>
          <w:sz w:val="36"/>
          <w:szCs w:val="36"/>
        </w:rPr>
        <w:t xml:space="preserve">Carl </w:t>
      </w:r>
      <w:r w:rsidR="00DA1F2E" w:rsidRPr="00B22067">
        <w:rPr>
          <w:b/>
          <w:bCs/>
          <w:sz w:val="36"/>
          <w:szCs w:val="36"/>
        </w:rPr>
        <w:t>Roger</w:t>
      </w:r>
      <w:r w:rsidR="009E7A2A" w:rsidRPr="00B22067">
        <w:rPr>
          <w:b/>
          <w:bCs/>
          <w:sz w:val="36"/>
          <w:szCs w:val="36"/>
        </w:rPr>
        <w:t>'</w:t>
      </w:r>
      <w:r w:rsidR="00DA1F2E" w:rsidRPr="00B22067">
        <w:rPr>
          <w:b/>
          <w:bCs/>
          <w:sz w:val="36"/>
          <w:szCs w:val="36"/>
        </w:rPr>
        <w:t>s (1951) ‘core conditions’ Empathy, Unconditional Positive Regard and Congruence within professional and embedded counselling practices</w:t>
      </w:r>
    </w:p>
    <w:p w14:paraId="20B70383" w14:textId="12F71778" w:rsidR="00DA1F2E" w:rsidRPr="00106D02" w:rsidRDefault="00DA1F2E" w:rsidP="00B22067">
      <w:pPr>
        <w:ind w:firstLine="0"/>
      </w:pPr>
    </w:p>
    <w:p w14:paraId="20B70384" w14:textId="77777777" w:rsidR="00567598" w:rsidRPr="00106D02" w:rsidRDefault="00582E48">
      <w:pPr>
        <w:spacing w:after="160" w:line="259" w:lineRule="auto"/>
        <w:ind w:firstLine="0"/>
        <w:jc w:val="left"/>
      </w:pPr>
      <w:r w:rsidRPr="00106D02">
        <w:br w:type="page"/>
      </w:r>
    </w:p>
    <w:p w14:paraId="321D8435" w14:textId="77777777" w:rsidR="00121B04" w:rsidRDefault="00582E48" w:rsidP="004F375C">
      <w:pPr>
        <w:ind w:firstLine="0"/>
        <w:jc w:val="center"/>
      </w:pPr>
      <w:r w:rsidRPr="00106D02">
        <w:lastRenderedPageBreak/>
        <w:t>The Significance of Roger</w:t>
      </w:r>
      <w:r w:rsidR="00E37EDD" w:rsidRPr="00106D02">
        <w:t>’s</w:t>
      </w:r>
      <w:r w:rsidRPr="00106D02">
        <w:t xml:space="preserve"> Core Conditions in Professional and Embedded Counselling Practice</w:t>
      </w:r>
      <w:bookmarkStart w:id="0" w:name="_Toc130293300"/>
    </w:p>
    <w:p w14:paraId="26C2B481" w14:textId="77777777" w:rsidR="00121B04" w:rsidRDefault="00121B04" w:rsidP="004F375C">
      <w:pPr>
        <w:ind w:firstLine="0"/>
        <w:jc w:val="center"/>
      </w:pPr>
    </w:p>
    <w:p w14:paraId="20B70391" w14:textId="3165BAF9" w:rsidR="00582E48" w:rsidRPr="00106D02" w:rsidRDefault="00582E48" w:rsidP="004F375C">
      <w:pPr>
        <w:ind w:firstLine="0"/>
        <w:jc w:val="center"/>
      </w:pPr>
      <w:r w:rsidRPr="00106D02">
        <w:t>Introduction</w:t>
      </w:r>
      <w:bookmarkEnd w:id="0"/>
    </w:p>
    <w:p w14:paraId="20B70392" w14:textId="77777777" w:rsidR="00B27A54" w:rsidRPr="00106D02" w:rsidRDefault="00B27A54" w:rsidP="00B27A54">
      <w:r w:rsidRPr="00106D02">
        <w:t xml:space="preserve">The </w:t>
      </w:r>
      <w:r w:rsidR="009E7A2A" w:rsidRPr="00106D02">
        <w:t>counselling field</w:t>
      </w:r>
      <w:r w:rsidRPr="00106D02">
        <w:t xml:space="preserve"> has undergone significant development since its inception, with various theorists and practitioners contributing to the growth and refinement of therapeutic approaches. One of the most influential figur</w:t>
      </w:r>
      <w:r w:rsidR="00E37EDD" w:rsidRPr="00106D02">
        <w:t>es in this domain is Carl Roger</w:t>
      </w:r>
      <w:r w:rsidRPr="00106D02">
        <w:t xml:space="preserve">, a psychologist whose client-centred approach has </w:t>
      </w:r>
      <w:r w:rsidR="009E7A2A" w:rsidRPr="00106D02">
        <w:t>significantly impacted</w:t>
      </w:r>
      <w:r w:rsidRPr="00106D02">
        <w:t xml:space="preserve"> the </w:t>
      </w:r>
      <w:r w:rsidR="009E7A2A" w:rsidRPr="00106D02">
        <w:t>counselling practice</w:t>
      </w:r>
      <w:r w:rsidRPr="00106D02">
        <w:t>. Roger</w:t>
      </w:r>
      <w:r w:rsidR="00E37EDD" w:rsidRPr="00106D02">
        <w:t>’s</w:t>
      </w:r>
      <w:r w:rsidRPr="00106D02">
        <w:t xml:space="preserve"> humanistic perspective emphasi</w:t>
      </w:r>
      <w:r w:rsidR="009E7A2A" w:rsidRPr="00106D02">
        <w:t>s</w:t>
      </w:r>
      <w:r w:rsidRPr="00106D02">
        <w:t xml:space="preserve">es the importance of the therapeutic relationship and the therapist's ability to foster an environment conducive to growth and healing. Central to his approach </w:t>
      </w:r>
      <w:r w:rsidR="009E7A2A" w:rsidRPr="00106D02">
        <w:t>is</w:t>
      </w:r>
      <w:r w:rsidRPr="00106D02">
        <w:t xml:space="preserve"> the three core conditions: empathy, unconditional positive regard, and congruence. These conditions form the cornerstone of the client-centred approach and have been widely recogni</w:t>
      </w:r>
      <w:r w:rsidR="009E7A2A" w:rsidRPr="00106D02">
        <w:t>s</w:t>
      </w:r>
      <w:r w:rsidRPr="00106D02">
        <w:t>ed as essential components of effective counselling. Empathy, the first core condition, refers to the therapist's ability to understand and share the feelings of their clients. It is a fundamental aspect of the therapeutic alliance, as it allows the therapist to attune to the client's emotional state and respond in a manner that facilitates healing. Unconditional positive regard, the second core condition, involves the therapist's acceptance and non-judgmental attitude towards the client, regardless of their actions or feelings. This condition fosters a safe space for clients to explore and express their emotions without fear of criticism or rejection. Lastly, congruence refers to the therapist's authenticity and genuine presence in the therapeutic relationship, which enhances trust and rapport between the client and therapist.</w:t>
      </w:r>
    </w:p>
    <w:p w14:paraId="20B70393" w14:textId="77777777" w:rsidR="00582E48" w:rsidRPr="00106D02" w:rsidRDefault="00B27A54" w:rsidP="00B27A54">
      <w:r w:rsidRPr="00106D02">
        <w:t xml:space="preserve">This essay </w:t>
      </w:r>
      <w:r w:rsidR="00CF272E" w:rsidRPr="00106D02">
        <w:t>explores</w:t>
      </w:r>
      <w:r w:rsidR="009E7A2A" w:rsidRPr="00106D02">
        <w:t xml:space="preserve"> Roger</w:t>
      </w:r>
      <w:r w:rsidR="00E37EDD" w:rsidRPr="00106D02">
        <w:t>’s</w:t>
      </w:r>
      <w:r w:rsidR="009E7A2A" w:rsidRPr="00106D02">
        <w:t xml:space="preserve"> core conditions in-depth</w:t>
      </w:r>
      <w:r w:rsidRPr="00106D02">
        <w:t xml:space="preserve">, discussing their significance within the therapeutic relationship of counselling today. </w:t>
      </w:r>
      <w:r w:rsidR="00CF272E" w:rsidRPr="00106D02">
        <w:t>The essay will highlight each condition's foundational role in professional and embedded counselling practices by examining each condition in detail</w:t>
      </w:r>
      <w:r w:rsidRPr="00106D02">
        <w:t>. By understanding the importance of empathy, unconditional positive regard, and congruence, therapists can better facilitate client growth and achieve more favo</w:t>
      </w:r>
      <w:r w:rsidR="009E7A2A" w:rsidRPr="00106D02">
        <w:t>u</w:t>
      </w:r>
      <w:r w:rsidRPr="00106D02">
        <w:t>rable therapeutic outcomes. Furthermore, the essay will discuss the</w:t>
      </w:r>
      <w:r w:rsidR="00CF272E" w:rsidRPr="00106D02">
        <w:t>rapists' challenges</w:t>
      </w:r>
      <w:r w:rsidRPr="00106D02">
        <w:t xml:space="preserve"> in maintaining these core conditions and the benefits </w:t>
      </w:r>
      <w:r w:rsidR="009E7A2A" w:rsidRPr="00106D02">
        <w:t>of effectively integrating them</w:t>
      </w:r>
      <w:r w:rsidRPr="00106D02">
        <w:t xml:space="preserve"> into the counselling process.</w:t>
      </w:r>
    </w:p>
    <w:p w14:paraId="5A3C3664" w14:textId="5A3F5BBC" w:rsidR="00E36854" w:rsidRDefault="00B27A54" w:rsidP="00E36854">
      <w:pPr>
        <w:spacing w:after="160" w:line="259" w:lineRule="auto"/>
        <w:ind w:firstLine="0"/>
        <w:jc w:val="left"/>
      </w:pPr>
      <w:r w:rsidRPr="00106D02">
        <w:br w:type="page"/>
      </w:r>
      <w:bookmarkStart w:id="1" w:name="_Toc130293301"/>
      <w:r w:rsidR="00E36854">
        <w:lastRenderedPageBreak/>
        <w:t xml:space="preserve">                                                                </w:t>
      </w:r>
      <w:r w:rsidR="00582E48" w:rsidRPr="00106D02">
        <w:t>Main Body</w:t>
      </w:r>
      <w:bookmarkStart w:id="2" w:name="_Toc130293302"/>
      <w:bookmarkEnd w:id="1"/>
    </w:p>
    <w:p w14:paraId="18883D58" w14:textId="77777777" w:rsidR="00E36854" w:rsidRDefault="00E36854" w:rsidP="00E36854">
      <w:pPr>
        <w:spacing w:after="160" w:line="259" w:lineRule="auto"/>
        <w:ind w:firstLine="0"/>
        <w:jc w:val="left"/>
      </w:pPr>
      <w:r>
        <w:t xml:space="preserve">   </w:t>
      </w:r>
    </w:p>
    <w:p w14:paraId="20B70396" w14:textId="4BAF20C0" w:rsidR="00582E48" w:rsidRPr="00E36854" w:rsidRDefault="00E36854" w:rsidP="00E36854">
      <w:pPr>
        <w:spacing w:after="160" w:line="259" w:lineRule="auto"/>
        <w:ind w:firstLine="0"/>
        <w:jc w:val="left"/>
        <w:rPr>
          <w:rFonts w:eastAsiaTheme="majorEastAsia" w:cstheme="majorBidi"/>
          <w:b/>
          <w:i/>
          <w:szCs w:val="32"/>
        </w:rPr>
      </w:pPr>
      <w:r>
        <w:t xml:space="preserve"> </w:t>
      </w:r>
      <w:r w:rsidR="00B27A54" w:rsidRPr="00106D02">
        <w:t>Empathy</w:t>
      </w:r>
      <w:bookmarkEnd w:id="2"/>
    </w:p>
    <w:p w14:paraId="20B70397" w14:textId="77777777" w:rsidR="009E7A2A" w:rsidRPr="00106D02" w:rsidRDefault="009E7A2A" w:rsidP="009E7A2A">
      <w:r w:rsidRPr="00106D02">
        <w:t xml:space="preserve">Empathy, often regarded as the cornerstone of the therapeutic relationship, refers to the therapist's ability to understand, share, and respond to the feelings and experiences of their clients. It is </w:t>
      </w:r>
      <w:r w:rsidR="00CF272E" w:rsidRPr="00106D02">
        <w:t>essential to</w:t>
      </w:r>
      <w:r w:rsidRPr="00106D02">
        <w:t xml:space="preserve"> Roger</w:t>
      </w:r>
      <w:r w:rsidR="00E37EDD" w:rsidRPr="00106D02">
        <w:t>’s</w:t>
      </w:r>
      <w:r w:rsidRPr="00106D02">
        <w:t xml:space="preserve"> client-centred approach and vital to effective counselling</w:t>
      </w:r>
      <w:r w:rsidR="00192A33" w:rsidRPr="00106D02">
        <w:t xml:space="preserve"> (Ho, 2023)</w:t>
      </w:r>
      <w:r w:rsidRPr="00106D02">
        <w:t xml:space="preserve">. Empathy goes beyond mere intellectual understanding; it involves an emotional </w:t>
      </w:r>
      <w:proofErr w:type="spellStart"/>
      <w:r w:rsidRPr="00106D02">
        <w:t>attunement</w:t>
      </w:r>
      <w:proofErr w:type="spellEnd"/>
      <w:r w:rsidRPr="00106D02">
        <w:t xml:space="preserve"> that allows therapists to connect with their clients deeper, fostering a sense of vali</w:t>
      </w:r>
      <w:r w:rsidR="00E37EDD" w:rsidRPr="00106D02">
        <w:t>dation and understanding</w:t>
      </w:r>
      <w:r w:rsidR="00192A33" w:rsidRPr="00106D02">
        <w:t xml:space="preserve"> (Ho, 2023)</w:t>
      </w:r>
      <w:r w:rsidR="00E37EDD" w:rsidRPr="00106D02">
        <w:t>. Roger</w:t>
      </w:r>
      <w:r w:rsidRPr="00106D02">
        <w:t xml:space="preserve"> believed empathy played a crucial role in the client's healing process. He argued that when therapists accurately and empathically grasp the client's perspective, it creates a therapeutic environment in which clients feel heard, understood, and validated. This sense of validation allows clients to explore their emotions, thoughts, and experiences more openly, enabling them to gain insights and achieve greater self-awareness. Empathy contributes significantly to the therapeutic process by fostering this open exploration, supporting the client's growth and development</w:t>
      </w:r>
      <w:r w:rsidR="006F6B88" w:rsidRPr="00106D02">
        <w:t xml:space="preserve"> (Midwinter et al. 2015)</w:t>
      </w:r>
      <w:r w:rsidRPr="00106D02">
        <w:t>.</w:t>
      </w:r>
    </w:p>
    <w:p w14:paraId="20B70398" w14:textId="77777777" w:rsidR="009E7A2A" w:rsidRPr="00106D02" w:rsidRDefault="009E7A2A" w:rsidP="009E7A2A">
      <w:r w:rsidRPr="00106D02">
        <w:t xml:space="preserve">However, maintaining empathy in counselling </w:t>
      </w:r>
      <w:r w:rsidR="00CF272E" w:rsidRPr="00106D02">
        <w:t>is also a tough nut</w:t>
      </w:r>
      <w:r w:rsidRPr="00106D02">
        <w:t xml:space="preserve"> to crack. Therapists are required to balance understanding the client's emotional experience without being overwhelmed or emotionally enmeshed. In addition, it requires therapists to cultivate self-awareness and engage in self-care practices to limit burnout and maintain their emotional well-being. Additionally, therapists are required to be aware of their biases and assumptions, which may interfere with their ability to empathise with clients from diverse backgrounds</w:t>
      </w:r>
      <w:r w:rsidR="004E3CB9" w:rsidRPr="00106D02">
        <w:t xml:space="preserve"> (Midwinter et al. 2015)</w:t>
      </w:r>
      <w:r w:rsidRPr="00106D02">
        <w:t xml:space="preserve">. By engaging in ongoing professional development and supervision, therapists are able to utilise their empathic skills and maintain therapeutic effectiveness. The benefits of empathy in forming a strong therapeutic alliance are manifold. The studies over the past years have consistently shown that </w:t>
      </w:r>
      <w:r w:rsidR="00CF272E" w:rsidRPr="00106D02">
        <w:t>improved client outcomes, increased client satisfaction, and greater levels of trust in the therapeutic relationship positively signify empathy</w:t>
      </w:r>
      <w:r w:rsidR="00B30661" w:rsidRPr="00106D02">
        <w:t xml:space="preserve"> (McLeod et al. 2007)</w:t>
      </w:r>
      <w:r w:rsidR="00EC4A46" w:rsidRPr="00106D02">
        <w:t xml:space="preserve"> and (McLeod et al. 2011)</w:t>
      </w:r>
      <w:r w:rsidRPr="00106D02">
        <w:t>. Similarly, empathy facilitates the development of a secure and supportive environment, which buttresses clients to share their thoughts and feelings more openly. As a result, the therapeutic process becomes more effective, as clients feel more comfortable engaging in self-exploration and addressing their emotional challenges</w:t>
      </w:r>
      <w:r w:rsidR="004E3CB9" w:rsidRPr="00106D02">
        <w:t xml:space="preserve"> (Midwinter et al. 2015)</w:t>
      </w:r>
      <w:r w:rsidRPr="00106D02">
        <w:t>.</w:t>
      </w:r>
    </w:p>
    <w:p w14:paraId="20B70399" w14:textId="77777777" w:rsidR="00933F34" w:rsidRPr="00106D02" w:rsidRDefault="00933F34">
      <w:pPr>
        <w:spacing w:after="160" w:line="259" w:lineRule="auto"/>
        <w:ind w:firstLine="0"/>
        <w:jc w:val="left"/>
      </w:pPr>
      <w:r w:rsidRPr="00106D02">
        <w:br w:type="page"/>
      </w:r>
    </w:p>
    <w:p w14:paraId="66621324" w14:textId="77777777" w:rsidR="00E36854" w:rsidRDefault="00933F34" w:rsidP="00E36854">
      <w:r w:rsidRPr="00106D02">
        <w:lastRenderedPageBreak/>
        <w:t xml:space="preserve">Furthermore, empathy enables therapists to adapt their approach and interventions to meet </w:t>
      </w:r>
      <w:r w:rsidR="009E7A2A" w:rsidRPr="00106D02">
        <w:t>each client's unique needs and experiences</w:t>
      </w:r>
      <w:r w:rsidRPr="00106D02">
        <w:t xml:space="preserve">. By truly understanding the client's perspective, therapists can </w:t>
      </w:r>
      <w:r w:rsidR="009E7A2A" w:rsidRPr="00106D02">
        <w:t>tailor their techniques and strategies to foster healing and growth</w:t>
      </w:r>
      <w:r w:rsidRPr="00106D02">
        <w:t>. This individuali</w:t>
      </w:r>
      <w:r w:rsidR="009E7A2A" w:rsidRPr="00106D02">
        <w:t>s</w:t>
      </w:r>
      <w:r w:rsidRPr="00106D02">
        <w:t>ed approach ensures that therapy remains responsive and attuned to the client's specific needs, enhancing the overall efficacy of the counsel</w:t>
      </w:r>
      <w:r w:rsidR="00567598" w:rsidRPr="00106D02">
        <w:t>ling process</w:t>
      </w:r>
      <w:r w:rsidR="00DC1511" w:rsidRPr="00106D02">
        <w:t xml:space="preserve"> (</w:t>
      </w:r>
      <w:proofErr w:type="spellStart"/>
      <w:r w:rsidR="00DC1511" w:rsidRPr="00106D02">
        <w:t>Kaimaxi</w:t>
      </w:r>
      <w:proofErr w:type="spellEnd"/>
      <w:r w:rsidR="00DC1511" w:rsidRPr="00106D02">
        <w:t xml:space="preserve"> et al. 2021)</w:t>
      </w:r>
      <w:r w:rsidR="00567598" w:rsidRPr="00106D02">
        <w:t>.</w:t>
      </w:r>
      <w:bookmarkStart w:id="3" w:name="_Toc130293303"/>
    </w:p>
    <w:bookmarkEnd w:id="3"/>
    <w:p w14:paraId="20B7039B" w14:textId="11711D39" w:rsidR="00B27A54" w:rsidRPr="00106D02" w:rsidRDefault="00B27A54" w:rsidP="00957E27">
      <w:pPr>
        <w:ind w:firstLine="0"/>
      </w:pPr>
    </w:p>
    <w:p w14:paraId="20B7039C" w14:textId="77777777" w:rsidR="009E7A2A" w:rsidRPr="00106D02" w:rsidRDefault="009E7A2A" w:rsidP="009E7A2A">
      <w:r w:rsidRPr="00106D02">
        <w:t>Unconditional positive regard, a fundamental aspect of Roger</w:t>
      </w:r>
      <w:r w:rsidR="00E37EDD" w:rsidRPr="00106D02">
        <w:t>’s</w:t>
      </w:r>
      <w:r w:rsidRPr="00106D02">
        <w:t xml:space="preserve"> client-centred approach, is defined as the therapist's unwavering acceptance and non-judgmental attitude towards the client, regardless of their actions, thoughts, or emotions</w:t>
      </w:r>
      <w:r w:rsidR="004C127D" w:rsidRPr="00106D02">
        <w:t xml:space="preserve"> (Midwinter et al. 2015)</w:t>
      </w:r>
      <w:r w:rsidRPr="00106D02">
        <w:t>. This core condition holds immense significance in the counselling process, as it establishes a safe and supportive environment that fosters the client's exploration and expression of their innermost experiences</w:t>
      </w:r>
      <w:r w:rsidR="00A62C4A" w:rsidRPr="00106D02">
        <w:t xml:space="preserve"> (Rogers, 2007)</w:t>
      </w:r>
      <w:r w:rsidRPr="00106D02">
        <w:t>. By providing this unconditional acceptance, therapists facilitate the client's self-discov</w:t>
      </w:r>
      <w:r w:rsidR="00E37EDD" w:rsidRPr="00106D02">
        <w:t>ery, growth, and healing. Roger</w:t>
      </w:r>
      <w:r w:rsidRPr="00106D02">
        <w:t xml:space="preserve"> posited that the power of unconditional positive regard lies in its ability to create a therapeutic atmosphere in which clients feel valued and respected, despite their perceived shortcomings or mistakes</w:t>
      </w:r>
      <w:r w:rsidR="00A62C4A" w:rsidRPr="00106D02">
        <w:t xml:space="preserve"> (Rogers, 2007)</w:t>
      </w:r>
      <w:r w:rsidRPr="00106D02">
        <w:t>. This sense of worth allows clients to confront and address their vulnerabilities, fears, and emotional challenges without fearing judgment or rejection. Moreover, the experience of unconditional positive regard within the therapeutic relationship serves as a corrective emotional experience for clients subjected to conditional acceptance or criticism in their personal lives. Consequently, this core condition contributes significantly to the client's well-being and psychological health</w:t>
      </w:r>
      <w:r w:rsidR="00885F1D" w:rsidRPr="00106D02">
        <w:t xml:space="preserve"> (Wilkins, 2000)</w:t>
      </w:r>
      <w:r w:rsidRPr="00106D02">
        <w:t>.</w:t>
      </w:r>
    </w:p>
    <w:p w14:paraId="20B7039E" w14:textId="443184A6" w:rsidR="00DE4B84" w:rsidRDefault="009E7A2A" w:rsidP="00957E27">
      <w:r w:rsidRPr="00106D02">
        <w:t>Nevertheless, providing unconditional positive regard is a challenging endeavour for therapists. It necessitates the therapist's ongoing commitment to self-reflection and self-awareness, as personal biases, judgments, and emotional reactions inadvertently influence the therapeutic relationship</w:t>
      </w:r>
      <w:r w:rsidR="008608BA" w:rsidRPr="00106D02">
        <w:t xml:space="preserve"> (Holt, 2022)</w:t>
      </w:r>
      <w:r w:rsidRPr="00106D02">
        <w:t>. Furthermore, it requires therapists to separate their acceptance of the client from their evaluation of the client's behaviours or actions, which contradict their values or beliefs</w:t>
      </w:r>
      <w:r w:rsidR="008608BA" w:rsidRPr="00106D02">
        <w:t xml:space="preserve"> (Holt, 2022)</w:t>
      </w:r>
      <w:r w:rsidRPr="00106D02">
        <w:t>. Regular supervision and professional development help therapists navigate these challenges and enhance their ability to offer genuine unconditional positive regard to their clients. Furthermore, the</w:t>
      </w:r>
      <w:r w:rsidR="00CF272E" w:rsidRPr="00106D02">
        <w:t>re are numerous advantages of ensuring unconditional positive regard in the therapeutic context</w:t>
      </w:r>
      <w:r w:rsidRPr="00106D02">
        <w:t>. Previously, studies have articulated that unconditional positive regard positively correlates with improved therapeutic outcomes, increased client satisfaction, and a stronger therapeutic alliance</w:t>
      </w:r>
      <w:r w:rsidR="008608BA" w:rsidRPr="00106D02">
        <w:t xml:space="preserve"> (Holt, 2022) and (Black et al. 2020). </w:t>
      </w:r>
      <w:r w:rsidRPr="00106D02">
        <w:t xml:space="preserve">By fostering an environment of </w:t>
      </w:r>
      <w:r w:rsidRPr="00106D02">
        <w:lastRenderedPageBreak/>
        <w:t>acceptance and support, clients are more likely to engage in the therapeutic process and commit to their emotional growth. Furthermore, the experience of unconditional positive regard ha</w:t>
      </w:r>
      <w:r w:rsidR="00CF272E" w:rsidRPr="00106D02">
        <w:t>s</w:t>
      </w:r>
      <w:r w:rsidRPr="00106D02">
        <w:t xml:space="preserve"> a lasting impact on clients, as it promotes the development of self-acceptance and self-compassion, which are essential components of psychological well-being</w:t>
      </w:r>
      <w:r w:rsidR="008608BA" w:rsidRPr="00106D02">
        <w:t xml:space="preserve"> (Black et al. 2020)</w:t>
      </w:r>
      <w:r w:rsidRPr="00106D02">
        <w:t>.</w:t>
      </w:r>
    </w:p>
    <w:p w14:paraId="24B22A65" w14:textId="77777777" w:rsidR="00957E27" w:rsidRPr="00106D02" w:rsidRDefault="00957E27" w:rsidP="00957E27"/>
    <w:p w14:paraId="20B7039F" w14:textId="77777777" w:rsidR="009E7A2A" w:rsidRPr="00106D02" w:rsidRDefault="009E7A2A" w:rsidP="009E7A2A">
      <w:r w:rsidRPr="00106D02">
        <w:t>Congruence, another essential component of Roger</w:t>
      </w:r>
      <w:r w:rsidR="00E37EDD" w:rsidRPr="00106D02">
        <w:t>’s</w:t>
      </w:r>
      <w:r w:rsidRPr="00106D02">
        <w:t xml:space="preserve"> core conditions, refers to the therapist's authenticity, genuineness, and transparency in the therapeutic relationship. The therapist can be present and honest with their clients, reflecting their feelings and thoughts without any pretence or </w:t>
      </w:r>
      <w:r w:rsidR="00A86282" w:rsidRPr="00106D02">
        <w:t>façade (</w:t>
      </w:r>
      <w:proofErr w:type="spellStart"/>
      <w:r w:rsidR="00A86282" w:rsidRPr="00106D02">
        <w:t>Sarantakis</w:t>
      </w:r>
      <w:proofErr w:type="spellEnd"/>
      <w:r w:rsidR="00A86282" w:rsidRPr="00106D02">
        <w:t>, 2022)</w:t>
      </w:r>
      <w:r w:rsidRPr="00106D02">
        <w:t>. This core condition holds substantial importance in counselling practice, as it enhances trust, rapport, and collaboration between the client and therapist, ultimately contributing to the effectiveness of</w:t>
      </w:r>
      <w:r w:rsidR="00E37EDD" w:rsidRPr="00106D02">
        <w:t xml:space="preserve"> the therapeutic process. Roger</w:t>
      </w:r>
      <w:r w:rsidRPr="00106D02">
        <w:t xml:space="preserve"> maintained that congruence is pivotal to the counselling process because it allows clients to perceive the therapist as a genuine and reliable figure</w:t>
      </w:r>
      <w:r w:rsidR="00003634" w:rsidRPr="00106D02">
        <w:t xml:space="preserve"> (Ho, 2023)</w:t>
      </w:r>
      <w:r w:rsidRPr="00106D02">
        <w:t>. This perception of authenticity fosters a sense of safety and security within the therapeutic relationship, as clients feel confident in the therapist's sincerity and commitment to their well-being. Moreover, by modelling congruence, therapists encourage clients to be more genuine and honest with themselves, promoting greater self-awareness and self-acceptance</w:t>
      </w:r>
      <w:r w:rsidR="00003634" w:rsidRPr="00106D02">
        <w:t xml:space="preserve"> (</w:t>
      </w:r>
      <w:proofErr w:type="spellStart"/>
      <w:r w:rsidR="00003634" w:rsidRPr="00106D02">
        <w:t>Baourda</w:t>
      </w:r>
      <w:proofErr w:type="spellEnd"/>
      <w:r w:rsidR="00003634" w:rsidRPr="00106D02">
        <w:t xml:space="preserve"> et al. 2020)</w:t>
      </w:r>
      <w:r w:rsidRPr="00106D02">
        <w:t>.</w:t>
      </w:r>
    </w:p>
    <w:p w14:paraId="4DF333B3" w14:textId="77777777" w:rsidR="00957E27" w:rsidRDefault="009E7A2A" w:rsidP="00957E27">
      <w:r w:rsidRPr="00106D02">
        <w:t>Maintaining congruence in therapeutic practice, however, can be a challenging endeavour. Therefore, according to Roger, t</w:t>
      </w:r>
      <w:r w:rsidR="00CF272E" w:rsidRPr="00106D02">
        <w:t>herapists must continually engage in self-reflection and self-awareness to ensure genuine client transparency to avoid this</w:t>
      </w:r>
      <w:r w:rsidRPr="00106D02">
        <w:t>. This process involves recognising and addressing personal biases, emotions, and countertransference issues that may interfere with the therapist's ability to be congruent</w:t>
      </w:r>
      <w:r w:rsidR="000773D9" w:rsidRPr="00106D02">
        <w:t xml:space="preserve"> (</w:t>
      </w:r>
      <w:proofErr w:type="spellStart"/>
      <w:r w:rsidR="000773D9" w:rsidRPr="00106D02">
        <w:t>Sarantakis</w:t>
      </w:r>
      <w:proofErr w:type="spellEnd"/>
      <w:r w:rsidR="000773D9" w:rsidRPr="00106D02">
        <w:t>, 2022)</w:t>
      </w:r>
      <w:r w:rsidRPr="00106D02">
        <w:t>. Additionally, therapists must strike a delicate balance between authenticity and professionalism, as excessive self-disclosure or emotional expression may disrupt the therapeutic relationship and impede the client's progress. Nevertheless, the benefits of congruence in the counselling process are substantial. In response, Roger has demonstrated that congruence positively correlates with improved therapeutic outcomes, increased client satisfaction, and enhanced trust in the therapeutic alliance</w:t>
      </w:r>
      <w:r w:rsidR="000773D9" w:rsidRPr="00106D02">
        <w:t xml:space="preserve"> (Bolton et al. 2021)</w:t>
      </w:r>
      <w:r w:rsidRPr="00106D02">
        <w:t xml:space="preserve">. For Roger, by being genuine and transparent, therapists can foster a collaborative and supportive environment where clients feel comfortable engaging in self-exploration and addressing their emotional challenges. Furthermore, congruence enables therapists to provide </w:t>
      </w:r>
      <w:r w:rsidRPr="00106D02">
        <w:lastRenderedPageBreak/>
        <w:t xml:space="preserve">more accurate and effective interventions, as their genuine understanding and presence allow for a better </w:t>
      </w:r>
      <w:r w:rsidR="00957E27" w:rsidRPr="00106D02">
        <w:t>atonement</w:t>
      </w:r>
      <w:r w:rsidRPr="00106D02">
        <w:t xml:space="preserve"> to the client's needs and experiences</w:t>
      </w:r>
      <w:r w:rsidR="000773D9" w:rsidRPr="00106D02">
        <w:t xml:space="preserve"> (Bolton et al. 2021)</w:t>
      </w:r>
      <w:r w:rsidRPr="00106D02">
        <w:t>.</w:t>
      </w:r>
      <w:bookmarkStart w:id="4" w:name="_Toc130293305"/>
    </w:p>
    <w:p w14:paraId="2D3D54D8" w14:textId="77777777" w:rsidR="00957E27" w:rsidRDefault="00957E27" w:rsidP="00957E27"/>
    <w:p w14:paraId="20B703A1" w14:textId="3B25CF3F" w:rsidR="00B97FC6" w:rsidRPr="00106D02" w:rsidRDefault="00957E27" w:rsidP="00957E27">
      <w:r>
        <w:t xml:space="preserve">    </w:t>
      </w:r>
      <w:r w:rsidR="00B97FC6" w:rsidRPr="00106D02">
        <w:t>Core Conditions in Professional and Embedded Counselling Practices</w:t>
      </w:r>
      <w:bookmarkEnd w:id="4"/>
    </w:p>
    <w:p w14:paraId="20B703A2" w14:textId="77777777" w:rsidR="000F2052" w:rsidRPr="00106D02" w:rsidRDefault="009E7A2A" w:rsidP="000F2052">
      <w:r w:rsidRPr="00106D02">
        <w:t>Integrating</w:t>
      </w:r>
      <w:r w:rsidR="000F2052" w:rsidRPr="00106D02">
        <w:t xml:space="preserve"> empathy, unconditional positive regard, and congruence within the therapeutic relationship is fundamental to the effectiveness of professional and embedded counselling practices. These core c</w:t>
      </w:r>
      <w:r w:rsidR="00E37EDD" w:rsidRPr="00106D02">
        <w:t>onditions, as proposed by Roger</w:t>
      </w:r>
      <w:r w:rsidR="000F2052" w:rsidRPr="00106D02">
        <w:t>, work synergistically to create an environment that fosters client growth, self-awareness, and emotional healing. Each condition contributes uniquely to the therapeutic process, and their collective presence enhances the overall efficacy of counselling. Empathy enables therapists to attune to their clients' emotional experiences and provide a validating and supportive presence</w:t>
      </w:r>
      <w:r w:rsidR="00630A9D" w:rsidRPr="00106D02">
        <w:t xml:space="preserve"> (Parkes et al. 2021)</w:t>
      </w:r>
      <w:r w:rsidR="000F2052" w:rsidRPr="00106D02">
        <w:t>. Unconditional positive regard ensures that clients feel accepted and valued, regardless of their actions or emotions, promoting an open exploration of their inner experiences. Congruence fosters trust and rapport within the therapeutic relationship, as therapists' authenticity and transparency encourage clients to be genuine and honest with themselves. The integration of these core conditions creates a therapeutic environment that is conducive to healing and growth</w:t>
      </w:r>
      <w:r w:rsidR="00630A9D" w:rsidRPr="00106D02">
        <w:t xml:space="preserve"> (Parkes et al. 2021)</w:t>
      </w:r>
      <w:r w:rsidR="000F2052" w:rsidRPr="00106D02">
        <w:t>.</w:t>
      </w:r>
    </w:p>
    <w:p w14:paraId="20B703A3" w14:textId="77777777" w:rsidR="000F2052" w:rsidRPr="00106D02" w:rsidRDefault="000F2052" w:rsidP="000F2052">
      <w:r w:rsidRPr="00106D02">
        <w:t xml:space="preserve">In professional and embedded counselling practices, </w:t>
      </w:r>
      <w:r w:rsidR="009E7A2A" w:rsidRPr="00106D02">
        <w:t>successfully implementing</w:t>
      </w:r>
      <w:r w:rsidRPr="00106D02">
        <w:t xml:space="preserve"> these core conditions relies on the therapist's commitment to self-reflection, self-awareness, and ongoing professional development</w:t>
      </w:r>
      <w:r w:rsidR="00670AFC" w:rsidRPr="00106D02">
        <w:t xml:space="preserve"> (Harris et al. 2022)</w:t>
      </w:r>
      <w:r w:rsidRPr="00106D02">
        <w:t>. Therapists must continually evaluate their ability to maintain empathy, unconditional positive regard, and congruence in their practice, addressing any personal biases, emotions, or countertransference issues that may impede their effectiveness. By engaging in regular supervision and professional development opportunities, therapists can refine their skills and enhance their ability to integrate these core conditions</w:t>
      </w:r>
      <w:r w:rsidR="00670AFC" w:rsidRPr="00106D02">
        <w:t xml:space="preserve"> (Harris et al. 2022)</w:t>
      </w:r>
      <w:r w:rsidRPr="00106D02">
        <w:t xml:space="preserve">. </w:t>
      </w:r>
      <w:r w:rsidR="009E7A2A" w:rsidRPr="00106D02">
        <w:t>Integrating</w:t>
      </w:r>
      <w:r w:rsidRPr="00106D02">
        <w:t xml:space="preserve"> Roger</w:t>
      </w:r>
      <w:r w:rsidR="00E37EDD" w:rsidRPr="00106D02">
        <w:t>’s</w:t>
      </w:r>
      <w:r w:rsidRPr="00106D02">
        <w:t xml:space="preserve"> core conditions contributes significantly to the therapeutic relationship's quality and outcomes. </w:t>
      </w:r>
      <w:r w:rsidR="00092A30" w:rsidRPr="00106D02">
        <w:t>Edmonds, (2021)</w:t>
      </w:r>
      <w:r w:rsidRPr="00106D02">
        <w:t xml:space="preserve"> has consistently shown that </w:t>
      </w:r>
      <w:r w:rsidR="009E7A2A" w:rsidRPr="00106D02">
        <w:t>empathy, unconditional positive regard, and congruence are</w:t>
      </w:r>
      <w:r w:rsidRPr="00106D02">
        <w:t xml:space="preserve"> associated with improved client satisfaction, increased therapeutic alliance strength, and more favo</w:t>
      </w:r>
      <w:r w:rsidR="009E7A2A" w:rsidRPr="00106D02">
        <w:t>u</w:t>
      </w:r>
      <w:r w:rsidRPr="00106D02">
        <w:t>rable therapeutic outcomes. By fostering an environment that promotes self-exploration, self-acceptance, and emotional healing, therapists can facilitate their clients' growth and development.</w:t>
      </w:r>
    </w:p>
    <w:p w14:paraId="20B703A4" w14:textId="77777777" w:rsidR="000F2052" w:rsidRPr="00106D02" w:rsidRDefault="000F2052" w:rsidP="000F2052"/>
    <w:p w14:paraId="20B703A5" w14:textId="77777777" w:rsidR="009E7A2A" w:rsidRPr="00106D02" w:rsidRDefault="009E7A2A">
      <w:pPr>
        <w:spacing w:after="160" w:line="259" w:lineRule="auto"/>
        <w:ind w:firstLine="0"/>
        <w:jc w:val="left"/>
      </w:pPr>
      <w:r w:rsidRPr="00106D02">
        <w:br w:type="page"/>
      </w:r>
    </w:p>
    <w:p w14:paraId="235A0B71" w14:textId="77777777" w:rsidR="003641B6" w:rsidRDefault="000F2052" w:rsidP="003641B6">
      <w:r w:rsidRPr="00106D02">
        <w:lastRenderedPageBreak/>
        <w:t xml:space="preserve">Furthermore, </w:t>
      </w:r>
      <w:r w:rsidR="009E7A2A" w:rsidRPr="00106D02">
        <w:t>integrating</w:t>
      </w:r>
      <w:r w:rsidRPr="00106D02">
        <w:t xml:space="preserve"> these core conditions enables therapists to adapt their interventions and strategies to meet </w:t>
      </w:r>
      <w:r w:rsidR="009E7A2A" w:rsidRPr="00106D02">
        <w:t>clients'</w:t>
      </w:r>
      <w:r w:rsidRPr="00106D02">
        <w:t xml:space="preserve"> unique needs and experiences. By truly understanding and accepting their clients, therapists can </w:t>
      </w:r>
      <w:r w:rsidR="009E7A2A" w:rsidRPr="00106D02">
        <w:t>tailor their approach to foster healing and growth</w:t>
      </w:r>
      <w:r w:rsidR="00E23DC6" w:rsidRPr="00106D02">
        <w:t xml:space="preserve"> </w:t>
      </w:r>
      <w:r w:rsidR="00542849" w:rsidRPr="00106D02">
        <w:t>(</w:t>
      </w:r>
      <w:r w:rsidR="00E23DC6" w:rsidRPr="00106D02">
        <w:t>Parkes et al. 2021)</w:t>
      </w:r>
      <w:r w:rsidRPr="00106D02">
        <w:t>. This individuali</w:t>
      </w:r>
      <w:r w:rsidR="009E7A2A" w:rsidRPr="00106D02">
        <w:t>s</w:t>
      </w:r>
      <w:r w:rsidRPr="00106D02">
        <w:t>ed, client-centred approach ensures that therapy remains responsive and attuned to the client's specific needs, enhancing the overall efficacy of the counselling process.</w:t>
      </w:r>
      <w:bookmarkStart w:id="5" w:name="_Toc130293306"/>
    </w:p>
    <w:p w14:paraId="4C1BBCB5" w14:textId="77777777" w:rsidR="003641B6" w:rsidRDefault="003641B6" w:rsidP="003641B6"/>
    <w:p w14:paraId="20B703A7" w14:textId="02B8C19B" w:rsidR="00582E48" w:rsidRPr="00106D02" w:rsidRDefault="003641B6" w:rsidP="003641B6">
      <w:r>
        <w:t xml:space="preserve">   </w:t>
      </w:r>
      <w:r w:rsidR="00582E48" w:rsidRPr="00106D02">
        <w:t>Conclusion</w:t>
      </w:r>
      <w:bookmarkEnd w:id="5"/>
    </w:p>
    <w:p w14:paraId="20B703A8" w14:textId="77777777" w:rsidR="009E7A2A" w:rsidRPr="00106D02" w:rsidRDefault="009E7A2A" w:rsidP="009E7A2A">
      <w:r w:rsidRPr="00106D02">
        <w:t>In summary, Roger</w:t>
      </w:r>
      <w:r w:rsidR="00E37EDD" w:rsidRPr="00106D02">
        <w:t>’s</w:t>
      </w:r>
      <w:r w:rsidRPr="00106D02">
        <w:t xml:space="preserve"> core conditions of empathy, unconditional positive regard, and congruence are fundamental to effective counselling practice. These conditions contribute significantly to the therapeutic relationship's quality, promoting an environment that fosters client growth, self-awareness, and emotional healing. By integrating these core conditions into their work, therapists can facilitate positive therapeutic outcomes and support their clients in achieving lasting psychological well-being. Several recommendations can be made to </w:t>
      </w:r>
      <w:r w:rsidR="00CF272E" w:rsidRPr="00106D02">
        <w:t>successfully integrate</w:t>
      </w:r>
      <w:r w:rsidRPr="00106D02">
        <w:t xml:space="preserve"> Roger</w:t>
      </w:r>
      <w:r w:rsidR="00E37EDD" w:rsidRPr="00106D02">
        <w:t>’s</w:t>
      </w:r>
      <w:r w:rsidRPr="00106D02">
        <w:t xml:space="preserve"> core conditions in professional and embedded counselling practices. First, therapists should engage in ongoing self-reflection and self-awareness exercises to identify and address any personal biases, emotions, or countertransference issues that may impede their ability to maintain empathy, unconditional positive regard, and congruence. By cultivating a deep understanding of their emotional experiences, therapists can enhance their capacity to provide genuine and effective support to their clients</w:t>
      </w:r>
      <w:r w:rsidR="00542849" w:rsidRPr="00106D02">
        <w:t xml:space="preserve"> (</w:t>
      </w:r>
      <w:proofErr w:type="spellStart"/>
      <w:r w:rsidR="00542849" w:rsidRPr="00106D02">
        <w:t>Sarantakis</w:t>
      </w:r>
      <w:proofErr w:type="spellEnd"/>
      <w:r w:rsidR="00542849" w:rsidRPr="00106D02">
        <w:t>, 2022)</w:t>
      </w:r>
      <w:r w:rsidRPr="00106D02">
        <w:t>.</w:t>
      </w:r>
    </w:p>
    <w:p w14:paraId="20B703A9" w14:textId="77777777" w:rsidR="00C7397D" w:rsidRPr="00106D02" w:rsidRDefault="009E7A2A" w:rsidP="00582E48">
      <w:r w:rsidRPr="00106D02">
        <w:t xml:space="preserve">Moreover, therapists are recommended to participate in regular supervision and professional development opportunities to refine their skills and stay abreast of current </w:t>
      </w:r>
      <w:r w:rsidR="00CF272E" w:rsidRPr="00106D02">
        <w:t>study</w:t>
      </w:r>
      <w:r w:rsidRPr="00106D02">
        <w:t xml:space="preserve"> and best practices in counselling</w:t>
      </w:r>
      <w:r w:rsidR="00542849" w:rsidRPr="00106D02">
        <w:t xml:space="preserve"> (</w:t>
      </w:r>
      <w:proofErr w:type="spellStart"/>
      <w:r w:rsidR="00542849" w:rsidRPr="00106D02">
        <w:t>Sarantakis</w:t>
      </w:r>
      <w:proofErr w:type="spellEnd"/>
      <w:r w:rsidR="00542849" w:rsidRPr="00106D02">
        <w:t>, 2022)</w:t>
      </w:r>
      <w:r w:rsidRPr="00106D02">
        <w:t>. This ongoing commitment to learning and growth will enable therapists to effectively integrate empathy, unconditional positive regard, and congruence into their work, ultimately improving the therapeutic outcomes for their clients.</w:t>
      </w:r>
    </w:p>
    <w:p w14:paraId="20B703AA" w14:textId="77777777" w:rsidR="00C7397D" w:rsidRPr="00106D02" w:rsidRDefault="00C7397D">
      <w:pPr>
        <w:spacing w:after="160" w:line="259" w:lineRule="auto"/>
        <w:ind w:firstLine="0"/>
        <w:jc w:val="left"/>
      </w:pPr>
      <w:r w:rsidRPr="00106D02">
        <w:br w:type="page"/>
      </w:r>
    </w:p>
    <w:p w14:paraId="20B703AB" w14:textId="77777777" w:rsidR="00582E48" w:rsidRPr="00106D02" w:rsidRDefault="00C7397D" w:rsidP="003641B6">
      <w:pPr>
        <w:rPr>
          <w:b/>
        </w:rPr>
      </w:pPr>
      <w:r w:rsidRPr="00106D02">
        <w:rPr>
          <w:b/>
        </w:rPr>
        <w:lastRenderedPageBreak/>
        <w:t>References</w:t>
      </w:r>
    </w:p>
    <w:p w14:paraId="20B703AC" w14:textId="77777777" w:rsidR="00C7397D" w:rsidRPr="00106D02" w:rsidRDefault="00C7397D" w:rsidP="00C7397D">
      <w:pPr>
        <w:ind w:left="720" w:hanging="720"/>
        <w:rPr>
          <w:rFonts w:cs="Times New Roman"/>
          <w:szCs w:val="24"/>
          <w:shd w:val="clear" w:color="auto" w:fill="FFFFFF"/>
        </w:rPr>
      </w:pPr>
      <w:proofErr w:type="spellStart"/>
      <w:r w:rsidRPr="00106D02">
        <w:rPr>
          <w:rFonts w:cs="Times New Roman"/>
          <w:szCs w:val="24"/>
          <w:shd w:val="clear" w:color="auto" w:fill="FFFFFF"/>
        </w:rPr>
        <w:t>Baourda</w:t>
      </w:r>
      <w:proofErr w:type="spellEnd"/>
      <w:r w:rsidRPr="00106D02">
        <w:rPr>
          <w:rFonts w:cs="Times New Roman"/>
          <w:szCs w:val="24"/>
          <w:shd w:val="clear" w:color="auto" w:fill="FFFFFF"/>
        </w:rPr>
        <w:t xml:space="preserve">, V. C., &amp; </w:t>
      </w:r>
      <w:proofErr w:type="spellStart"/>
      <w:r w:rsidRPr="00106D02">
        <w:rPr>
          <w:rFonts w:cs="Times New Roman"/>
          <w:szCs w:val="24"/>
          <w:shd w:val="clear" w:color="auto" w:fill="FFFFFF"/>
        </w:rPr>
        <w:t>Lakioti</w:t>
      </w:r>
      <w:proofErr w:type="spellEnd"/>
      <w:r w:rsidRPr="00106D02">
        <w:rPr>
          <w:rFonts w:cs="Times New Roman"/>
          <w:szCs w:val="24"/>
          <w:shd w:val="clear" w:color="auto" w:fill="FFFFFF"/>
        </w:rPr>
        <w:t>, A. (2020). Using therapeutic contracts in person-</w:t>
      </w:r>
      <w:proofErr w:type="spellStart"/>
      <w:r w:rsidRPr="00106D02">
        <w:rPr>
          <w:rFonts w:cs="Times New Roman"/>
          <w:szCs w:val="24"/>
          <w:shd w:val="clear" w:color="auto" w:fill="FFFFFF"/>
        </w:rPr>
        <w:t>centered</w:t>
      </w:r>
      <w:proofErr w:type="spellEnd"/>
      <w:r w:rsidRPr="00106D02">
        <w:rPr>
          <w:rFonts w:cs="Times New Roman"/>
          <w:szCs w:val="24"/>
          <w:shd w:val="clear" w:color="auto" w:fill="FFFFFF"/>
        </w:rPr>
        <w:t xml:space="preserve"> </w:t>
      </w:r>
      <w:proofErr w:type="spellStart"/>
      <w:r w:rsidRPr="00106D02">
        <w:rPr>
          <w:rFonts w:cs="Times New Roman"/>
          <w:szCs w:val="24"/>
          <w:shd w:val="clear" w:color="auto" w:fill="FFFFFF"/>
        </w:rPr>
        <w:t>counseling</w:t>
      </w:r>
      <w:proofErr w:type="spellEnd"/>
      <w:r w:rsidRPr="00106D02">
        <w:rPr>
          <w:rFonts w:cs="Times New Roman"/>
          <w:szCs w:val="24"/>
          <w:shd w:val="clear" w:color="auto" w:fill="FFFFFF"/>
        </w:rPr>
        <w:t xml:space="preserve"> and psychotherapy: the perspectives of experienced Greek person-</w:t>
      </w:r>
      <w:proofErr w:type="spellStart"/>
      <w:r w:rsidRPr="00106D02">
        <w:rPr>
          <w:rFonts w:cs="Times New Roman"/>
          <w:szCs w:val="24"/>
          <w:shd w:val="clear" w:color="auto" w:fill="FFFFFF"/>
        </w:rPr>
        <w:t>centered</w:t>
      </w:r>
      <w:proofErr w:type="spellEnd"/>
      <w:r w:rsidRPr="00106D02">
        <w:rPr>
          <w:rFonts w:cs="Times New Roman"/>
          <w:szCs w:val="24"/>
          <w:shd w:val="clear" w:color="auto" w:fill="FFFFFF"/>
        </w:rPr>
        <w:t xml:space="preserve"> therapists. </w:t>
      </w:r>
      <w:r w:rsidRPr="00106D02">
        <w:rPr>
          <w:rFonts w:cs="Times New Roman"/>
          <w:i/>
          <w:iCs/>
          <w:szCs w:val="24"/>
          <w:shd w:val="clear" w:color="auto" w:fill="FFFFFF"/>
        </w:rPr>
        <w:t>Person-</w:t>
      </w:r>
      <w:proofErr w:type="spellStart"/>
      <w:r w:rsidRPr="00106D02">
        <w:rPr>
          <w:rFonts w:cs="Times New Roman"/>
          <w:i/>
          <w:iCs/>
          <w:szCs w:val="24"/>
          <w:shd w:val="clear" w:color="auto" w:fill="FFFFFF"/>
        </w:rPr>
        <w:t>Centered</w:t>
      </w:r>
      <w:proofErr w:type="spellEnd"/>
      <w:r w:rsidRPr="00106D02">
        <w:rPr>
          <w:rFonts w:cs="Times New Roman"/>
          <w:i/>
          <w:iCs/>
          <w:szCs w:val="24"/>
          <w:shd w:val="clear" w:color="auto" w:fill="FFFFFF"/>
        </w:rPr>
        <w:t xml:space="preserve"> &amp; Experiential Psychotherapies</w:t>
      </w:r>
      <w:r w:rsidRPr="00106D02">
        <w:rPr>
          <w:rFonts w:cs="Times New Roman"/>
          <w:szCs w:val="24"/>
          <w:shd w:val="clear" w:color="auto" w:fill="FFFFFF"/>
        </w:rPr>
        <w:t>, </w:t>
      </w:r>
      <w:r w:rsidRPr="00106D02">
        <w:rPr>
          <w:rFonts w:cs="Times New Roman"/>
          <w:i/>
          <w:iCs/>
          <w:szCs w:val="24"/>
          <w:shd w:val="clear" w:color="auto" w:fill="FFFFFF"/>
        </w:rPr>
        <w:t>19</w:t>
      </w:r>
      <w:r w:rsidRPr="00106D02">
        <w:rPr>
          <w:rFonts w:cs="Times New Roman"/>
          <w:szCs w:val="24"/>
          <w:shd w:val="clear" w:color="auto" w:fill="FFFFFF"/>
        </w:rPr>
        <w:t>(2), 112-133.</w:t>
      </w:r>
    </w:p>
    <w:p w14:paraId="20B703AD"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Black, Z., &amp; McCarthy, P. (2020). A case study of a trainee sport psychologist adopting a person-centred approach with a professional basketball player. </w:t>
      </w:r>
      <w:r w:rsidRPr="00106D02">
        <w:rPr>
          <w:rFonts w:cs="Times New Roman"/>
          <w:i/>
          <w:iCs/>
          <w:szCs w:val="24"/>
          <w:shd w:val="clear" w:color="auto" w:fill="FFFFFF"/>
        </w:rPr>
        <w:t>Sport and Exercise Psychology Review</w:t>
      </w:r>
      <w:r w:rsidRPr="00106D02">
        <w:rPr>
          <w:rFonts w:cs="Times New Roman"/>
          <w:szCs w:val="24"/>
          <w:shd w:val="clear" w:color="auto" w:fill="FFFFFF"/>
        </w:rPr>
        <w:t>, </w:t>
      </w:r>
      <w:r w:rsidRPr="00106D02">
        <w:rPr>
          <w:rFonts w:cs="Times New Roman"/>
          <w:i/>
          <w:iCs/>
          <w:szCs w:val="24"/>
          <w:shd w:val="clear" w:color="auto" w:fill="FFFFFF"/>
        </w:rPr>
        <w:t>16</w:t>
      </w:r>
      <w:r w:rsidRPr="00106D02">
        <w:rPr>
          <w:rFonts w:cs="Times New Roman"/>
          <w:szCs w:val="24"/>
          <w:shd w:val="clear" w:color="auto" w:fill="FFFFFF"/>
        </w:rPr>
        <w:t>(2).</w:t>
      </w:r>
    </w:p>
    <w:p w14:paraId="20B703AE"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Bolton, M. J., &amp; Lazzaro, A. L. (2021). “Lay beliefs about phobias” 25 years later: Conceptually Replicating and Extending Furnham (1995), on the Treatment of Phobias, in 2020.</w:t>
      </w:r>
    </w:p>
    <w:p w14:paraId="20B703AF" w14:textId="77777777" w:rsidR="00C7397D" w:rsidRPr="00106D02" w:rsidRDefault="00C7397D" w:rsidP="00C7397D">
      <w:pPr>
        <w:ind w:left="720" w:hanging="720"/>
        <w:rPr>
          <w:rFonts w:cs="Times New Roman"/>
          <w:szCs w:val="24"/>
        </w:rPr>
      </w:pPr>
      <w:r w:rsidRPr="00106D02">
        <w:rPr>
          <w:rFonts w:cs="Times New Roman"/>
          <w:szCs w:val="24"/>
          <w:shd w:val="clear" w:color="auto" w:fill="FFFFFF"/>
        </w:rPr>
        <w:t>Edmonds, C. (2021). </w:t>
      </w:r>
      <w:r w:rsidRPr="00106D02">
        <w:rPr>
          <w:rFonts w:cs="Times New Roman"/>
          <w:i/>
          <w:iCs/>
          <w:szCs w:val="24"/>
          <w:shd w:val="clear" w:color="auto" w:fill="FFFFFF"/>
        </w:rPr>
        <w:t>An Interpretative Phenomenological Analysis of the Lived Experiences of Children with Dyspraxia in UK Secondary Schools</w:t>
      </w:r>
      <w:r w:rsidRPr="00106D02">
        <w:rPr>
          <w:rFonts w:cs="Times New Roman"/>
          <w:szCs w:val="24"/>
          <w:shd w:val="clear" w:color="auto" w:fill="FFFFFF"/>
        </w:rPr>
        <w:t> (Doctoral dissertation, University of East London).</w:t>
      </w:r>
    </w:p>
    <w:p w14:paraId="20B703B0"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Harris, D., &amp; Sinclair, S. (2022). Alleviating Multifactorial Suffering in Palliative Care Through the Art and Science of Compassion. </w:t>
      </w:r>
      <w:r w:rsidRPr="00106D02">
        <w:rPr>
          <w:rFonts w:cs="Times New Roman"/>
          <w:i/>
          <w:iCs/>
          <w:szCs w:val="24"/>
          <w:shd w:val="clear" w:color="auto" w:fill="FFFFFF"/>
        </w:rPr>
        <w:t>Handbook of Psychiatry in Palliative Medicine 3rd Edition: Psychosocial Care of the Terminally Ill</w:t>
      </w:r>
      <w:r w:rsidRPr="00106D02">
        <w:rPr>
          <w:rFonts w:cs="Times New Roman"/>
          <w:szCs w:val="24"/>
          <w:shd w:val="clear" w:color="auto" w:fill="FFFFFF"/>
        </w:rPr>
        <w:t>, 355.</w:t>
      </w:r>
    </w:p>
    <w:p w14:paraId="20B703B1"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Ho, C. M. (2023). Process of interpersonal empathy: a proposed framework of empathy competence in psychotherapies. </w:t>
      </w:r>
      <w:r w:rsidRPr="00106D02">
        <w:rPr>
          <w:rFonts w:cs="Times New Roman"/>
          <w:i/>
          <w:iCs/>
          <w:szCs w:val="24"/>
          <w:shd w:val="clear" w:color="auto" w:fill="FFFFFF"/>
        </w:rPr>
        <w:t>Person-</w:t>
      </w:r>
      <w:proofErr w:type="spellStart"/>
      <w:r w:rsidRPr="00106D02">
        <w:rPr>
          <w:rFonts w:cs="Times New Roman"/>
          <w:i/>
          <w:iCs/>
          <w:szCs w:val="24"/>
          <w:shd w:val="clear" w:color="auto" w:fill="FFFFFF"/>
        </w:rPr>
        <w:t>Centered</w:t>
      </w:r>
      <w:proofErr w:type="spellEnd"/>
      <w:r w:rsidRPr="00106D02">
        <w:rPr>
          <w:rFonts w:cs="Times New Roman"/>
          <w:i/>
          <w:iCs/>
          <w:szCs w:val="24"/>
          <w:shd w:val="clear" w:color="auto" w:fill="FFFFFF"/>
        </w:rPr>
        <w:t xml:space="preserve"> &amp; Experiential Psychotherapies</w:t>
      </w:r>
      <w:r w:rsidRPr="00106D02">
        <w:rPr>
          <w:rFonts w:cs="Times New Roman"/>
          <w:szCs w:val="24"/>
          <w:shd w:val="clear" w:color="auto" w:fill="FFFFFF"/>
        </w:rPr>
        <w:t>, 1-15.</w:t>
      </w:r>
    </w:p>
    <w:p w14:paraId="20B703B2"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Holt, E. (2022). Student counsellors’ experiences of mindfulness as a component of their person‐centred counselling training: An interpretative phenomenological analysis. </w:t>
      </w:r>
      <w:r w:rsidRPr="00106D02">
        <w:rPr>
          <w:rFonts w:cs="Times New Roman"/>
          <w:i/>
          <w:iCs/>
          <w:szCs w:val="24"/>
          <w:shd w:val="clear" w:color="auto" w:fill="FFFFFF"/>
        </w:rPr>
        <w:t>Counselling and Psychotherapy Research</w:t>
      </w:r>
      <w:r w:rsidRPr="00106D02">
        <w:rPr>
          <w:rFonts w:cs="Times New Roman"/>
          <w:szCs w:val="24"/>
          <w:shd w:val="clear" w:color="auto" w:fill="FFFFFF"/>
        </w:rPr>
        <w:t>.</w:t>
      </w:r>
    </w:p>
    <w:p w14:paraId="20B703B3" w14:textId="77777777" w:rsidR="00C7397D" w:rsidRPr="00106D02" w:rsidRDefault="00C7397D" w:rsidP="00C7397D">
      <w:pPr>
        <w:ind w:left="720" w:hanging="720"/>
        <w:rPr>
          <w:rFonts w:cs="Times New Roman"/>
          <w:szCs w:val="24"/>
          <w:shd w:val="clear" w:color="auto" w:fill="FFFFFF"/>
        </w:rPr>
      </w:pPr>
      <w:proofErr w:type="spellStart"/>
      <w:r w:rsidRPr="00106D02">
        <w:rPr>
          <w:rFonts w:cs="Times New Roman"/>
          <w:szCs w:val="24"/>
          <w:shd w:val="clear" w:color="auto" w:fill="FFFFFF"/>
        </w:rPr>
        <w:t>Kaimaxi</w:t>
      </w:r>
      <w:proofErr w:type="spellEnd"/>
      <w:r w:rsidRPr="00106D02">
        <w:rPr>
          <w:rFonts w:cs="Times New Roman"/>
          <w:szCs w:val="24"/>
          <w:shd w:val="clear" w:color="auto" w:fill="FFFFFF"/>
        </w:rPr>
        <w:t xml:space="preserve">, D., &amp; </w:t>
      </w:r>
      <w:proofErr w:type="spellStart"/>
      <w:r w:rsidRPr="00106D02">
        <w:rPr>
          <w:rFonts w:cs="Times New Roman"/>
          <w:szCs w:val="24"/>
          <w:shd w:val="clear" w:color="auto" w:fill="FFFFFF"/>
        </w:rPr>
        <w:t>Lakioti</w:t>
      </w:r>
      <w:proofErr w:type="spellEnd"/>
      <w:r w:rsidRPr="00106D02">
        <w:rPr>
          <w:rFonts w:cs="Times New Roman"/>
          <w:szCs w:val="24"/>
          <w:shd w:val="clear" w:color="auto" w:fill="FFFFFF"/>
        </w:rPr>
        <w:t>, A. (2021). The development of congruence: a thematic analysis of person-</w:t>
      </w:r>
      <w:proofErr w:type="spellStart"/>
      <w:r w:rsidRPr="00106D02">
        <w:rPr>
          <w:rFonts w:cs="Times New Roman"/>
          <w:szCs w:val="24"/>
          <w:shd w:val="clear" w:color="auto" w:fill="FFFFFF"/>
        </w:rPr>
        <w:t>centered</w:t>
      </w:r>
      <w:proofErr w:type="spellEnd"/>
      <w:r w:rsidRPr="00106D02">
        <w:rPr>
          <w:rFonts w:cs="Times New Roman"/>
          <w:szCs w:val="24"/>
          <w:shd w:val="clear" w:color="auto" w:fill="FFFFFF"/>
        </w:rPr>
        <w:t xml:space="preserve"> </w:t>
      </w:r>
      <w:proofErr w:type="spellStart"/>
      <w:r w:rsidRPr="00106D02">
        <w:rPr>
          <w:rFonts w:cs="Times New Roman"/>
          <w:szCs w:val="24"/>
          <w:shd w:val="clear" w:color="auto" w:fill="FFFFFF"/>
        </w:rPr>
        <w:t>counselors’</w:t>
      </w:r>
      <w:proofErr w:type="spellEnd"/>
      <w:r w:rsidRPr="00106D02">
        <w:rPr>
          <w:rFonts w:cs="Times New Roman"/>
          <w:szCs w:val="24"/>
          <w:shd w:val="clear" w:color="auto" w:fill="FFFFFF"/>
        </w:rPr>
        <w:t xml:space="preserve"> perspectives. </w:t>
      </w:r>
      <w:r w:rsidRPr="00106D02">
        <w:rPr>
          <w:rFonts w:cs="Times New Roman"/>
          <w:i/>
          <w:iCs/>
          <w:szCs w:val="24"/>
          <w:shd w:val="clear" w:color="auto" w:fill="FFFFFF"/>
        </w:rPr>
        <w:t>Person-</w:t>
      </w:r>
      <w:proofErr w:type="spellStart"/>
      <w:r w:rsidRPr="00106D02">
        <w:rPr>
          <w:rFonts w:cs="Times New Roman"/>
          <w:i/>
          <w:iCs/>
          <w:szCs w:val="24"/>
          <w:shd w:val="clear" w:color="auto" w:fill="FFFFFF"/>
        </w:rPr>
        <w:t>Centered</w:t>
      </w:r>
      <w:proofErr w:type="spellEnd"/>
      <w:r w:rsidRPr="00106D02">
        <w:rPr>
          <w:rFonts w:cs="Times New Roman"/>
          <w:i/>
          <w:iCs/>
          <w:szCs w:val="24"/>
          <w:shd w:val="clear" w:color="auto" w:fill="FFFFFF"/>
        </w:rPr>
        <w:t xml:space="preserve"> &amp; Experiential Psychotherapies</w:t>
      </w:r>
      <w:r w:rsidRPr="00106D02">
        <w:rPr>
          <w:rFonts w:cs="Times New Roman"/>
          <w:szCs w:val="24"/>
          <w:shd w:val="clear" w:color="auto" w:fill="FFFFFF"/>
        </w:rPr>
        <w:t>, </w:t>
      </w:r>
      <w:r w:rsidRPr="00106D02">
        <w:rPr>
          <w:rFonts w:cs="Times New Roman"/>
          <w:i/>
          <w:iCs/>
          <w:szCs w:val="24"/>
          <w:shd w:val="clear" w:color="auto" w:fill="FFFFFF"/>
        </w:rPr>
        <w:t>20</w:t>
      </w:r>
      <w:r w:rsidRPr="00106D02">
        <w:rPr>
          <w:rFonts w:cs="Times New Roman"/>
          <w:szCs w:val="24"/>
          <w:shd w:val="clear" w:color="auto" w:fill="FFFFFF"/>
        </w:rPr>
        <w:t>(3), 232-249.</w:t>
      </w:r>
    </w:p>
    <w:p w14:paraId="20B703B4"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McLeod, J., &amp; McLeod, J. (2007). </w:t>
      </w:r>
      <w:r w:rsidRPr="00106D02">
        <w:rPr>
          <w:rFonts w:cs="Times New Roman"/>
          <w:i/>
          <w:iCs/>
          <w:szCs w:val="24"/>
          <w:shd w:val="clear" w:color="auto" w:fill="FFFFFF"/>
        </w:rPr>
        <w:t>Counselling skill</w:t>
      </w:r>
      <w:r w:rsidRPr="00106D02">
        <w:rPr>
          <w:rFonts w:cs="Times New Roman"/>
          <w:szCs w:val="24"/>
          <w:shd w:val="clear" w:color="auto" w:fill="FFFFFF"/>
        </w:rPr>
        <w:t>. Maidenhead: Open University Press.</w:t>
      </w:r>
    </w:p>
    <w:p w14:paraId="20B703B5"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McLeod, J., &amp; McLeod, J. (2011). </w:t>
      </w:r>
      <w:r w:rsidRPr="00106D02">
        <w:rPr>
          <w:rFonts w:cs="Times New Roman"/>
          <w:i/>
          <w:iCs/>
          <w:szCs w:val="24"/>
          <w:shd w:val="clear" w:color="auto" w:fill="FFFFFF"/>
        </w:rPr>
        <w:t xml:space="preserve">Counselling Skills: A Practical Guide </w:t>
      </w:r>
      <w:proofErr w:type="gramStart"/>
      <w:r w:rsidRPr="00106D02">
        <w:rPr>
          <w:rFonts w:cs="Times New Roman"/>
          <w:i/>
          <w:iCs/>
          <w:szCs w:val="24"/>
          <w:shd w:val="clear" w:color="auto" w:fill="FFFFFF"/>
        </w:rPr>
        <w:t>For</w:t>
      </w:r>
      <w:proofErr w:type="gramEnd"/>
      <w:r w:rsidRPr="00106D02">
        <w:rPr>
          <w:rFonts w:cs="Times New Roman"/>
          <w:i/>
          <w:iCs/>
          <w:szCs w:val="24"/>
          <w:shd w:val="clear" w:color="auto" w:fill="FFFFFF"/>
        </w:rPr>
        <w:t xml:space="preserve"> Counsellors And Helping Professionals: A practical guide for counsellors and helping professionals</w:t>
      </w:r>
      <w:r w:rsidRPr="00106D02">
        <w:rPr>
          <w:rFonts w:cs="Times New Roman"/>
          <w:szCs w:val="24"/>
          <w:shd w:val="clear" w:color="auto" w:fill="FFFFFF"/>
        </w:rPr>
        <w:t>. McGraw-Hill Education (UK).</w:t>
      </w:r>
    </w:p>
    <w:p w14:paraId="20B703B6"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Midwinter, R., &amp; Dickson, J. (2015). </w:t>
      </w:r>
      <w:r w:rsidRPr="00106D02">
        <w:rPr>
          <w:rFonts w:cs="Times New Roman"/>
          <w:i/>
          <w:iCs/>
          <w:szCs w:val="24"/>
          <w:shd w:val="clear" w:color="auto" w:fill="FFFFFF"/>
        </w:rPr>
        <w:t>Embedding counselling and communication skills: a relational skills model</w:t>
      </w:r>
      <w:r w:rsidRPr="00106D02">
        <w:rPr>
          <w:rFonts w:cs="Times New Roman"/>
          <w:szCs w:val="24"/>
          <w:shd w:val="clear" w:color="auto" w:fill="FFFFFF"/>
        </w:rPr>
        <w:t>. Routledge.</w:t>
      </w:r>
    </w:p>
    <w:p w14:paraId="20B703B7"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lastRenderedPageBreak/>
        <w:t xml:space="preserve">Parkes, C. H., &amp; </w:t>
      </w:r>
      <w:proofErr w:type="spellStart"/>
      <w:r w:rsidRPr="00106D02">
        <w:rPr>
          <w:rFonts w:cs="Times New Roman"/>
          <w:szCs w:val="24"/>
          <w:shd w:val="clear" w:color="auto" w:fill="FFFFFF"/>
        </w:rPr>
        <w:t>Mintz</w:t>
      </w:r>
      <w:proofErr w:type="spellEnd"/>
      <w:r w:rsidRPr="00106D02">
        <w:rPr>
          <w:rFonts w:cs="Times New Roman"/>
          <w:szCs w:val="24"/>
          <w:shd w:val="clear" w:color="auto" w:fill="FFFFFF"/>
        </w:rPr>
        <w:t>, R. (2021). Finding my voice: A qualitative exploration into the perceived impact of person‐centred counsellor training upon counsellors who were adopted as a baby. </w:t>
      </w:r>
      <w:r w:rsidRPr="00106D02">
        <w:rPr>
          <w:rFonts w:cs="Times New Roman"/>
          <w:i/>
          <w:iCs/>
          <w:szCs w:val="24"/>
          <w:shd w:val="clear" w:color="auto" w:fill="FFFFFF"/>
        </w:rPr>
        <w:t>Counselling and Psychotherapy Research</w:t>
      </w:r>
      <w:r w:rsidRPr="00106D02">
        <w:rPr>
          <w:rFonts w:cs="Times New Roman"/>
          <w:szCs w:val="24"/>
          <w:shd w:val="clear" w:color="auto" w:fill="FFFFFF"/>
        </w:rPr>
        <w:t>, </w:t>
      </w:r>
      <w:r w:rsidRPr="00106D02">
        <w:rPr>
          <w:rFonts w:cs="Times New Roman"/>
          <w:i/>
          <w:iCs/>
          <w:szCs w:val="24"/>
          <w:shd w:val="clear" w:color="auto" w:fill="FFFFFF"/>
        </w:rPr>
        <w:t>21</w:t>
      </w:r>
      <w:r w:rsidRPr="00106D02">
        <w:rPr>
          <w:rFonts w:cs="Times New Roman"/>
          <w:szCs w:val="24"/>
          <w:shd w:val="clear" w:color="auto" w:fill="FFFFFF"/>
        </w:rPr>
        <w:t>(4), 992-1007.</w:t>
      </w:r>
    </w:p>
    <w:p w14:paraId="20B703B8"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Rogers, C. R. (2007). The necessary and sufficient conditions of therapeutic personality change.</w:t>
      </w:r>
    </w:p>
    <w:p w14:paraId="20B703B9" w14:textId="77777777" w:rsidR="00C7397D" w:rsidRPr="00106D02" w:rsidRDefault="00C7397D" w:rsidP="00C7397D">
      <w:pPr>
        <w:ind w:left="720" w:hanging="720"/>
        <w:rPr>
          <w:rFonts w:cs="Times New Roman"/>
          <w:szCs w:val="24"/>
          <w:shd w:val="clear" w:color="auto" w:fill="FFFFFF"/>
        </w:rPr>
      </w:pPr>
      <w:proofErr w:type="spellStart"/>
      <w:r w:rsidRPr="00106D02">
        <w:rPr>
          <w:rFonts w:cs="Times New Roman"/>
          <w:szCs w:val="24"/>
          <w:shd w:val="clear" w:color="auto" w:fill="FFFFFF"/>
        </w:rPr>
        <w:t>Sarantakis</w:t>
      </w:r>
      <w:proofErr w:type="spellEnd"/>
      <w:r w:rsidRPr="00106D02">
        <w:rPr>
          <w:rFonts w:cs="Times New Roman"/>
          <w:szCs w:val="24"/>
          <w:shd w:val="clear" w:color="auto" w:fill="FFFFFF"/>
        </w:rPr>
        <w:t>, N. (2022). Exploring the future social identity of a PhD student dealing with anxiety: A psychotherapy client study. </w:t>
      </w:r>
      <w:r w:rsidRPr="00106D02">
        <w:rPr>
          <w:rFonts w:cs="Times New Roman"/>
          <w:i/>
          <w:iCs/>
          <w:szCs w:val="24"/>
          <w:shd w:val="clear" w:color="auto" w:fill="FFFFFF"/>
        </w:rPr>
        <w:t>Psychotherapy and Counselling Journal of Australia</w:t>
      </w:r>
      <w:r w:rsidRPr="00106D02">
        <w:rPr>
          <w:rFonts w:cs="Times New Roman"/>
          <w:szCs w:val="24"/>
          <w:shd w:val="clear" w:color="auto" w:fill="FFFFFF"/>
        </w:rPr>
        <w:t>, </w:t>
      </w:r>
      <w:r w:rsidRPr="00106D02">
        <w:rPr>
          <w:rFonts w:cs="Times New Roman"/>
          <w:i/>
          <w:iCs/>
          <w:szCs w:val="24"/>
          <w:shd w:val="clear" w:color="auto" w:fill="FFFFFF"/>
        </w:rPr>
        <w:t>10</w:t>
      </w:r>
      <w:r w:rsidRPr="00106D02">
        <w:rPr>
          <w:rFonts w:cs="Times New Roman"/>
          <w:szCs w:val="24"/>
          <w:shd w:val="clear" w:color="auto" w:fill="FFFFFF"/>
        </w:rPr>
        <w:t>(2).</w:t>
      </w:r>
    </w:p>
    <w:p w14:paraId="20B703BA" w14:textId="77777777" w:rsidR="00C7397D" w:rsidRPr="00106D02" w:rsidRDefault="00C7397D" w:rsidP="00C7397D">
      <w:pPr>
        <w:ind w:left="720" w:hanging="720"/>
        <w:rPr>
          <w:rFonts w:cs="Times New Roman"/>
          <w:szCs w:val="24"/>
          <w:shd w:val="clear" w:color="auto" w:fill="FFFFFF"/>
        </w:rPr>
      </w:pPr>
      <w:r w:rsidRPr="00106D02">
        <w:rPr>
          <w:rFonts w:cs="Times New Roman"/>
          <w:szCs w:val="24"/>
          <w:shd w:val="clear" w:color="auto" w:fill="FFFFFF"/>
        </w:rPr>
        <w:t>Wilkins, P. (2000). Unconditional positive regard reconsidered. </w:t>
      </w:r>
      <w:r w:rsidRPr="00106D02">
        <w:rPr>
          <w:rFonts w:cs="Times New Roman"/>
          <w:i/>
          <w:iCs/>
          <w:szCs w:val="24"/>
          <w:shd w:val="clear" w:color="auto" w:fill="FFFFFF"/>
        </w:rPr>
        <w:t>British Journal of Guidance &amp; Counselling</w:t>
      </w:r>
      <w:r w:rsidRPr="00106D02">
        <w:rPr>
          <w:rFonts w:cs="Times New Roman"/>
          <w:szCs w:val="24"/>
          <w:shd w:val="clear" w:color="auto" w:fill="FFFFFF"/>
        </w:rPr>
        <w:t>, </w:t>
      </w:r>
      <w:r w:rsidRPr="00106D02">
        <w:rPr>
          <w:rFonts w:cs="Times New Roman"/>
          <w:i/>
          <w:iCs/>
          <w:szCs w:val="24"/>
          <w:shd w:val="clear" w:color="auto" w:fill="FFFFFF"/>
        </w:rPr>
        <w:t>28</w:t>
      </w:r>
      <w:r w:rsidRPr="00106D02">
        <w:rPr>
          <w:rFonts w:cs="Times New Roman"/>
          <w:szCs w:val="24"/>
          <w:shd w:val="clear" w:color="auto" w:fill="FFFFFF"/>
        </w:rPr>
        <w:t>(1), 23-36.</w:t>
      </w:r>
    </w:p>
    <w:p w14:paraId="20B703BB" w14:textId="77777777" w:rsidR="00C7397D" w:rsidRPr="00106D02" w:rsidRDefault="00C7397D" w:rsidP="00C7397D">
      <w:pPr>
        <w:ind w:firstLine="0"/>
        <w:rPr>
          <w:b/>
        </w:rPr>
      </w:pPr>
    </w:p>
    <w:sectPr w:rsidR="00C7397D" w:rsidRPr="00106D0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703BE" w14:textId="77777777" w:rsidR="007C38FC" w:rsidRDefault="007C38FC" w:rsidP="00567598">
      <w:pPr>
        <w:spacing w:line="240" w:lineRule="auto"/>
      </w:pPr>
      <w:r>
        <w:separator/>
      </w:r>
    </w:p>
  </w:endnote>
  <w:endnote w:type="continuationSeparator" w:id="0">
    <w:p w14:paraId="20B703BF" w14:textId="77777777" w:rsidR="007C38FC" w:rsidRDefault="007C38FC" w:rsidP="005675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703BC" w14:textId="77777777" w:rsidR="007C38FC" w:rsidRDefault="007C38FC" w:rsidP="00567598">
      <w:pPr>
        <w:spacing w:line="240" w:lineRule="auto"/>
      </w:pPr>
      <w:r>
        <w:separator/>
      </w:r>
    </w:p>
  </w:footnote>
  <w:footnote w:type="continuationSeparator" w:id="0">
    <w:p w14:paraId="20B703BD" w14:textId="77777777" w:rsidR="007C38FC" w:rsidRDefault="007C38FC" w:rsidP="005675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291895"/>
      <w:docPartObj>
        <w:docPartGallery w:val="Page Numbers (Top of Page)"/>
        <w:docPartUnique/>
      </w:docPartObj>
    </w:sdtPr>
    <w:sdtEndPr>
      <w:rPr>
        <w:noProof/>
      </w:rPr>
    </w:sdtEndPr>
    <w:sdtContent>
      <w:p w14:paraId="20B703C0" w14:textId="77777777" w:rsidR="00567598" w:rsidRDefault="00567598">
        <w:pPr>
          <w:pStyle w:val="Header"/>
          <w:jc w:val="right"/>
        </w:pPr>
        <w:r>
          <w:fldChar w:fldCharType="begin"/>
        </w:r>
        <w:r>
          <w:instrText xml:space="preserve"> PAGE   \* MERGEFORMAT </w:instrText>
        </w:r>
        <w:r>
          <w:fldChar w:fldCharType="separate"/>
        </w:r>
        <w:r w:rsidR="00106D02">
          <w:rPr>
            <w:noProof/>
          </w:rPr>
          <w:t>1</w:t>
        </w:r>
        <w:r>
          <w:rPr>
            <w:noProof/>
          </w:rPr>
          <w:fldChar w:fldCharType="end"/>
        </w:r>
      </w:p>
    </w:sdtContent>
  </w:sdt>
  <w:p w14:paraId="20B703C1" w14:textId="77777777" w:rsidR="00567598" w:rsidRDefault="005675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YwNTMzMDc2MTY0NDdV0lEKTi0uzszPAykwrAUAjMaJjiwAAAA="/>
  </w:docVars>
  <w:rsids>
    <w:rsidRoot w:val="000376F2"/>
    <w:rsid w:val="00003634"/>
    <w:rsid w:val="000376F2"/>
    <w:rsid w:val="000773D9"/>
    <w:rsid w:val="00086AF7"/>
    <w:rsid w:val="00092A30"/>
    <w:rsid w:val="000F2052"/>
    <w:rsid w:val="00106D02"/>
    <w:rsid w:val="00121B04"/>
    <w:rsid w:val="00192A33"/>
    <w:rsid w:val="001969E6"/>
    <w:rsid w:val="001B77DD"/>
    <w:rsid w:val="00214540"/>
    <w:rsid w:val="003641B6"/>
    <w:rsid w:val="004C127D"/>
    <w:rsid w:val="004E3CB9"/>
    <w:rsid w:val="004F375C"/>
    <w:rsid w:val="00542849"/>
    <w:rsid w:val="00567598"/>
    <w:rsid w:val="00582E48"/>
    <w:rsid w:val="00590A28"/>
    <w:rsid w:val="005D1B7A"/>
    <w:rsid w:val="00612280"/>
    <w:rsid w:val="00630A9D"/>
    <w:rsid w:val="00647D33"/>
    <w:rsid w:val="00670AFC"/>
    <w:rsid w:val="006F6B88"/>
    <w:rsid w:val="007C38FC"/>
    <w:rsid w:val="007D623C"/>
    <w:rsid w:val="008255E5"/>
    <w:rsid w:val="008608BA"/>
    <w:rsid w:val="008673B4"/>
    <w:rsid w:val="00885F1D"/>
    <w:rsid w:val="008A46E0"/>
    <w:rsid w:val="008B1AF4"/>
    <w:rsid w:val="00933F34"/>
    <w:rsid w:val="00957E27"/>
    <w:rsid w:val="009C3E7A"/>
    <w:rsid w:val="009C5D14"/>
    <w:rsid w:val="009E7A2A"/>
    <w:rsid w:val="00A4448D"/>
    <w:rsid w:val="00A62C4A"/>
    <w:rsid w:val="00A86282"/>
    <w:rsid w:val="00B22067"/>
    <w:rsid w:val="00B27A54"/>
    <w:rsid w:val="00B30661"/>
    <w:rsid w:val="00B77B8C"/>
    <w:rsid w:val="00B97FC6"/>
    <w:rsid w:val="00C7397D"/>
    <w:rsid w:val="00CF272E"/>
    <w:rsid w:val="00D0038A"/>
    <w:rsid w:val="00D72ED9"/>
    <w:rsid w:val="00D75169"/>
    <w:rsid w:val="00D9513E"/>
    <w:rsid w:val="00DA1F2E"/>
    <w:rsid w:val="00DC1511"/>
    <w:rsid w:val="00DD37A3"/>
    <w:rsid w:val="00DE4B84"/>
    <w:rsid w:val="00E23DC6"/>
    <w:rsid w:val="00E36854"/>
    <w:rsid w:val="00E37EDD"/>
    <w:rsid w:val="00E43098"/>
    <w:rsid w:val="00E9545C"/>
    <w:rsid w:val="00EC4A46"/>
    <w:rsid w:val="00F01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70377"/>
  <w15:chartTrackingRefBased/>
  <w15:docId w15:val="{726CEC0C-0373-4BF6-A5F1-0D3AFEEC5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13E"/>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paragraph" w:styleId="TOCHeading">
    <w:name w:val="TOC Heading"/>
    <w:basedOn w:val="Heading1"/>
    <w:next w:val="Normal"/>
    <w:uiPriority w:val="39"/>
    <w:unhideWhenUsed/>
    <w:qFormat/>
    <w:rsid w:val="00567598"/>
    <w:pPr>
      <w:spacing w:before="240" w:line="259" w:lineRule="auto"/>
      <w:ind w:left="0" w:firstLine="0"/>
      <w:jc w:val="left"/>
      <w:outlineLvl w:val="9"/>
    </w:pPr>
    <w:rPr>
      <w:rFonts w:asciiTheme="majorHAnsi" w:hAnsiTheme="majorHAnsi"/>
      <w:b w:val="0"/>
      <w:i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567598"/>
    <w:pPr>
      <w:spacing w:after="100"/>
    </w:pPr>
  </w:style>
  <w:style w:type="paragraph" w:styleId="TOC2">
    <w:name w:val="toc 2"/>
    <w:basedOn w:val="Normal"/>
    <w:next w:val="Normal"/>
    <w:autoRedefine/>
    <w:uiPriority w:val="39"/>
    <w:unhideWhenUsed/>
    <w:rsid w:val="00567598"/>
    <w:pPr>
      <w:spacing w:after="100"/>
      <w:ind w:left="240"/>
    </w:pPr>
  </w:style>
  <w:style w:type="character" w:styleId="Hyperlink">
    <w:name w:val="Hyperlink"/>
    <w:basedOn w:val="DefaultParagraphFont"/>
    <w:uiPriority w:val="99"/>
    <w:unhideWhenUsed/>
    <w:rsid w:val="00567598"/>
    <w:rPr>
      <w:color w:val="0563C1" w:themeColor="hyperlink"/>
      <w:u w:val="single"/>
    </w:rPr>
  </w:style>
  <w:style w:type="paragraph" w:styleId="Header">
    <w:name w:val="header"/>
    <w:basedOn w:val="Normal"/>
    <w:link w:val="HeaderChar"/>
    <w:uiPriority w:val="99"/>
    <w:unhideWhenUsed/>
    <w:rsid w:val="00567598"/>
    <w:pPr>
      <w:tabs>
        <w:tab w:val="center" w:pos="4680"/>
        <w:tab w:val="right" w:pos="9360"/>
      </w:tabs>
      <w:spacing w:line="240" w:lineRule="auto"/>
    </w:pPr>
  </w:style>
  <w:style w:type="character" w:customStyle="1" w:styleId="HeaderChar">
    <w:name w:val="Header Char"/>
    <w:basedOn w:val="DefaultParagraphFont"/>
    <w:link w:val="Header"/>
    <w:uiPriority w:val="99"/>
    <w:rsid w:val="00567598"/>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567598"/>
    <w:pPr>
      <w:tabs>
        <w:tab w:val="center" w:pos="4680"/>
        <w:tab w:val="right" w:pos="9360"/>
      </w:tabs>
      <w:spacing w:line="240" w:lineRule="auto"/>
    </w:pPr>
  </w:style>
  <w:style w:type="character" w:customStyle="1" w:styleId="FooterChar">
    <w:name w:val="Footer Char"/>
    <w:basedOn w:val="DefaultParagraphFont"/>
    <w:link w:val="Footer"/>
    <w:uiPriority w:val="99"/>
    <w:rsid w:val="00567598"/>
    <w:rPr>
      <w:rFonts w:ascii="Times New Roman" w:hAnsi="Times New Roman"/>
      <w:color w:val="000000" w:themeColor="text1"/>
      <w:kern w:val="2"/>
      <w:sz w:val="24"/>
      <w:lang w:val="en-GB"/>
      <w14:ligatures w14:val="standardContextual"/>
    </w:rPr>
  </w:style>
  <w:style w:type="paragraph" w:styleId="ListParagraph">
    <w:name w:val="List Paragraph"/>
    <w:basedOn w:val="Normal"/>
    <w:uiPriority w:val="34"/>
    <w:qFormat/>
    <w:rsid w:val="006122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1EBEC-5464-4CC4-A961-4CBA8A4B5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7</dc:creator>
  <cp:keywords/>
  <dc:description/>
  <cp:lastModifiedBy>Fanica Mazilu</cp:lastModifiedBy>
  <cp:revision>2</cp:revision>
  <dcterms:created xsi:type="dcterms:W3CDTF">2023-03-21T19:13:00Z</dcterms:created>
  <dcterms:modified xsi:type="dcterms:W3CDTF">2023-03-21T19:13:00Z</dcterms:modified>
</cp:coreProperties>
</file>