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0DC2CE" w14:textId="77777777" w:rsidR="0019379D" w:rsidRPr="00F94165" w:rsidRDefault="0019379D" w:rsidP="00F94165">
      <w:pPr>
        <w:tabs>
          <w:tab w:val="left" w:pos="720"/>
          <w:tab w:val="left" w:pos="1440"/>
          <w:tab w:val="left" w:pos="2160"/>
          <w:tab w:val="left" w:pos="2880"/>
        </w:tabs>
        <w:jc w:val="center"/>
        <w:rPr>
          <w:sz w:val="24"/>
          <w:szCs w:val="24"/>
          <w:lang w:eastAsia="en-GB"/>
        </w:rPr>
      </w:pPr>
    </w:p>
    <w:p w14:paraId="73DDAE64" w14:textId="1A782F3C" w:rsidR="00F94165" w:rsidRPr="00F94165" w:rsidRDefault="00F94165" w:rsidP="00F94165">
      <w:pPr>
        <w:keepNext/>
        <w:keepLines/>
        <w:spacing w:before="240" w:after="240"/>
        <w:jc w:val="center"/>
        <w:rPr>
          <w:b/>
          <w:sz w:val="24"/>
          <w:szCs w:val="24"/>
          <w:lang w:val="en-US"/>
        </w:rPr>
      </w:pPr>
      <w:r w:rsidRPr="00F94165">
        <w:rPr>
          <w:b/>
          <w:sz w:val="24"/>
          <w:szCs w:val="24"/>
          <w:lang w:val="en-US"/>
        </w:rPr>
        <w:t>III</w:t>
      </w:r>
    </w:p>
    <w:p w14:paraId="65C1D7B7" w14:textId="7645DFEB" w:rsidR="008C21DF" w:rsidRPr="00F94165" w:rsidRDefault="008C21DF" w:rsidP="00F94165">
      <w:pPr>
        <w:keepNext/>
        <w:keepLines/>
        <w:spacing w:before="240" w:after="240"/>
        <w:jc w:val="both"/>
        <w:rPr>
          <w:b/>
          <w:i/>
          <w:sz w:val="24"/>
          <w:szCs w:val="24"/>
          <w:lang w:val="en-US"/>
        </w:rPr>
      </w:pPr>
      <w:bookmarkStart w:id="0" w:name="_GoBack"/>
      <w:r w:rsidRPr="00F94165">
        <w:rPr>
          <w:b/>
          <w:i/>
          <w:sz w:val="24"/>
          <w:szCs w:val="24"/>
          <w:lang w:val="en-US"/>
        </w:rPr>
        <w:t>The Re-entering of the Subject</w:t>
      </w:r>
    </w:p>
    <w:bookmarkEnd w:id="0"/>
    <w:p w14:paraId="587D7DDE" w14:textId="0E5F8F33" w:rsidR="008C21DF" w:rsidRPr="00F94165" w:rsidRDefault="008C21DF" w:rsidP="00F94165">
      <w:pPr>
        <w:jc w:val="both"/>
        <w:rPr>
          <w:sz w:val="24"/>
          <w:szCs w:val="24"/>
        </w:rPr>
      </w:pPr>
      <w:r w:rsidRPr="00F94165">
        <w:rPr>
          <w:sz w:val="24"/>
          <w:szCs w:val="24"/>
        </w:rPr>
        <w:t xml:space="preserve">The </w:t>
      </w:r>
      <w:r w:rsidR="009C22B2" w:rsidRPr="00F94165">
        <w:rPr>
          <w:sz w:val="24"/>
          <w:szCs w:val="24"/>
        </w:rPr>
        <w:t>structuralism and poststructuralism</w:t>
      </w:r>
      <w:r w:rsidRPr="00F94165">
        <w:rPr>
          <w:sz w:val="24"/>
          <w:szCs w:val="24"/>
        </w:rPr>
        <w:t xml:space="preserve"> </w:t>
      </w:r>
      <w:r w:rsidR="009C22B2" w:rsidRPr="00F94165">
        <w:rPr>
          <w:sz w:val="24"/>
          <w:szCs w:val="24"/>
        </w:rPr>
        <w:t>‘deconstruction’ or ‘decentring’ act</w:t>
      </w:r>
      <w:r w:rsidRPr="00F94165">
        <w:rPr>
          <w:sz w:val="24"/>
          <w:szCs w:val="24"/>
        </w:rPr>
        <w:t xml:space="preserve"> as radical critiques  of the notion of an ‘essential self’ as predicated by the Cartesian </w:t>
      </w:r>
      <w:r w:rsidRPr="00F94165">
        <w:rPr>
          <w:i/>
          <w:sz w:val="24"/>
          <w:szCs w:val="24"/>
        </w:rPr>
        <w:t>cogito</w:t>
      </w:r>
      <w:r w:rsidRPr="00F94165">
        <w:rPr>
          <w:sz w:val="24"/>
          <w:szCs w:val="24"/>
        </w:rPr>
        <w:t xml:space="preserve"> and the  epistemological conclusions that follow from this. We have analysed and evaluated how each theory, in its way, refused to accept consciousness as a given, unitary or indivisible substance. Each described the ‘subject’ as produced or constructed by a set of processes that come to be denoted by the term ‘I’.  In this section I want  to focus on two strategies that will allow a further understanding of this deconstruction of the ‘self’.  Firstly I want to </w:t>
      </w:r>
      <w:r w:rsidR="009C22B2" w:rsidRPr="00F94165">
        <w:rPr>
          <w:sz w:val="24"/>
          <w:szCs w:val="24"/>
        </w:rPr>
        <w:t>say a little more about</w:t>
      </w:r>
      <w:r w:rsidRPr="00F94165">
        <w:rPr>
          <w:sz w:val="24"/>
          <w:szCs w:val="24"/>
        </w:rPr>
        <w:t xml:space="preserve"> the post-structural project of the ‘de-centring of the subject’.  I will raise the possibility of  reinvesting in the synthesis of being with action in a holistic notion of human agency; this we will attempt through summarising and evaluating the treatment of the ‘subject’ by  Kristeva.  Secondly,  I will concentrate on the view of the subject that while still negates the ‘I’ as  an essence or substance, retain a privileged position in the notion of  human agency. </w:t>
      </w:r>
    </w:p>
    <w:p w14:paraId="3179483B" w14:textId="11B43298" w:rsidR="008C21DF" w:rsidRPr="00F94165" w:rsidRDefault="008C21DF" w:rsidP="00F94165">
      <w:pPr>
        <w:jc w:val="both"/>
        <w:rPr>
          <w:sz w:val="24"/>
          <w:szCs w:val="24"/>
        </w:rPr>
      </w:pPr>
      <w:r w:rsidRPr="00F94165">
        <w:rPr>
          <w:sz w:val="24"/>
          <w:szCs w:val="24"/>
        </w:rPr>
        <w:t>Heavily influenced by Lacanian ideas, Kristeva’s subject is produced  through the relation of the ‘discourse of the Other’ with system of signification.  What is novel about her approach, and which distances her slightly from her post-structural influence, is the positioning of the subject,  for it emerges from a  notion of intentional consciousness that is phenomenologically driven. This is, however, still  a subject signified by the</w:t>
      </w:r>
      <w:r w:rsidRPr="00F94165">
        <w:rPr>
          <w:i/>
          <w:sz w:val="24"/>
          <w:szCs w:val="24"/>
        </w:rPr>
        <w:t xml:space="preserve"> Other</w:t>
      </w:r>
      <w:r w:rsidRPr="00F94165">
        <w:rPr>
          <w:sz w:val="24"/>
          <w:szCs w:val="24"/>
        </w:rPr>
        <w:t xml:space="preserve"> and produced by the discourse of the unconscious, a dialogue of dualism between underlying linguistic structures and ‘consciousness’.  Yet it is seen to make room  for a discriminating, acting subject:</w:t>
      </w:r>
      <w:r w:rsidR="009C22B2" w:rsidRPr="00F94165">
        <w:rPr>
          <w:sz w:val="24"/>
          <w:szCs w:val="24"/>
        </w:rPr>
        <w:t xml:space="preserve"> </w:t>
      </w:r>
      <w:r w:rsidR="009C22B2" w:rsidRPr="00F94165">
        <w:rPr>
          <w:sz w:val="24"/>
          <w:szCs w:val="24"/>
          <w:lang w:val="en-US"/>
        </w:rPr>
        <w:t>“</w:t>
      </w:r>
      <w:r w:rsidRPr="00F94165">
        <w:rPr>
          <w:sz w:val="24"/>
          <w:szCs w:val="24"/>
          <w:lang w:val="en-US"/>
        </w:rPr>
        <w:t>A critique of this [structuralist] ‘semiology of systems’ and its phenomenological foundations can only be made if it is to begin from the theory of meanings, which must necessarily be a theory of the speaking subject.</w:t>
      </w:r>
      <w:r w:rsidR="009C22B2" w:rsidRPr="00F94165">
        <w:rPr>
          <w:sz w:val="24"/>
          <w:szCs w:val="24"/>
          <w:lang w:val="en-US"/>
        </w:rPr>
        <w:t xml:space="preserve">” </w:t>
      </w:r>
      <w:r w:rsidRPr="00F94165">
        <w:rPr>
          <w:sz w:val="24"/>
          <w:szCs w:val="24"/>
        </w:rPr>
        <w:t>What she attains  by using  a modified phenomenological leaning on intentionality is a theory of consciousness, that is a consciousness of object-constituting ‘mental acts’.  This is by no means a return to essence and does remain a ‘de-centring of the subject’, but neither is this purely a return to Husserl’s ‘transcendental ego’. The positioned subject  is consciousness located in predicated activity, which is explicated through the reach of discourse, not a phenomenological  reduction or a Cartesian substance</w:t>
      </w:r>
      <w:r w:rsidRPr="00F94165">
        <w:rPr>
          <w:b/>
          <w:sz w:val="24"/>
          <w:szCs w:val="24"/>
        </w:rPr>
        <w:t>.</w:t>
      </w:r>
      <w:r w:rsidRPr="00F94165">
        <w:rPr>
          <w:sz w:val="24"/>
          <w:szCs w:val="24"/>
        </w:rPr>
        <w:t xml:space="preserve"> The subject, in other words,  is constructed by and interdependent with the disjunctive nature of the Other - the unconscious. This she maintains, ‘is a ‘fundamental divergence that separates the phenomenological ‘lived experience’ and ‘its impulses’ from the productive and/or destructive Freudian semiotic impulses which are prior to the distinction between ‘subject’ and ‘object.’</w:t>
      </w:r>
    </w:p>
    <w:p w14:paraId="14D4D947" w14:textId="77777777" w:rsidR="008C21DF" w:rsidRPr="00F94165" w:rsidRDefault="008C21DF" w:rsidP="00F94165">
      <w:pPr>
        <w:jc w:val="both"/>
        <w:rPr>
          <w:sz w:val="24"/>
          <w:szCs w:val="24"/>
        </w:rPr>
      </w:pPr>
      <w:r w:rsidRPr="00F94165">
        <w:rPr>
          <w:sz w:val="24"/>
          <w:szCs w:val="24"/>
        </w:rPr>
        <w:t xml:space="preserve">She embraces again a Lacanian account of the production of the subject, the psychoanalytical theory of the birth of the ‘I’ with its entry into the system of signification. The transference of desire for mother to other  external subjects, is the split into subject (inner) and object (external), which is coincident with the symbolisation of the ‘I’ and its difference from  the others in a series of predicates. It is also at this stage that the </w:t>
      </w:r>
      <w:r w:rsidRPr="00F94165">
        <w:rPr>
          <w:i/>
          <w:sz w:val="24"/>
          <w:szCs w:val="24"/>
        </w:rPr>
        <w:t>sign</w:t>
      </w:r>
      <w:r w:rsidRPr="00F94165">
        <w:rPr>
          <w:sz w:val="24"/>
          <w:szCs w:val="24"/>
        </w:rPr>
        <w:t xml:space="preserve"> is substituted for real relations. Kristeva is not merely rejecting the idea that our consciousness is to be identified with any particular content of experience, she goes further,  in  positing that all contents of consciousness can be </w:t>
      </w:r>
      <w:r w:rsidRPr="00F94165">
        <w:rPr>
          <w:sz w:val="24"/>
          <w:szCs w:val="24"/>
        </w:rPr>
        <w:lastRenderedPageBreak/>
        <w:t xml:space="preserve">different, ‘subjectivity here appears only as a series of moments brought about by the intersection of signifying structures’.  She distances herself from Hurrserl’s phenomenological subject, by positing that the something that accompanied all the concrete experiences of the reflexive conscious subject is the Other constructed from underlying linguistic structures. Yet this means that her method could be interpreted as retaining something of the </w:t>
      </w:r>
      <w:r w:rsidRPr="00F94165">
        <w:rPr>
          <w:i/>
          <w:sz w:val="24"/>
          <w:szCs w:val="24"/>
        </w:rPr>
        <w:t>cogito</w:t>
      </w:r>
      <w:r w:rsidRPr="00F94165">
        <w:rPr>
          <w:sz w:val="24"/>
          <w:szCs w:val="24"/>
        </w:rPr>
        <w:t>, unless that expression of  the subject in a linguistic act  is more than just signifying practices but  signifying activity  that arises and emerges from social life and social practices.  This is not made clear in Kristeva. But inferences emerge that do give us an avenue of exploration that we have not until now considered. Let us  now then look at such a view that  in rejecting the cogito still retains an interactive and dynamic agent as a description of the subject. To understand this we have to see language and discourse  as  a product of knowledge that  is its expression.  This knowledge is tacit but not unconscious and  arise out of the social milieu and its social practices.</w:t>
      </w:r>
    </w:p>
    <w:p w14:paraId="44A0241A" w14:textId="77777777" w:rsidR="008C21DF" w:rsidRPr="00F94165" w:rsidRDefault="008C21DF" w:rsidP="00F94165">
      <w:pPr>
        <w:keepNext/>
        <w:keepLines/>
        <w:spacing w:before="240" w:after="240"/>
        <w:jc w:val="both"/>
        <w:rPr>
          <w:b/>
          <w:i/>
          <w:sz w:val="24"/>
          <w:szCs w:val="24"/>
          <w:lang w:val="en-US"/>
        </w:rPr>
      </w:pPr>
      <w:r w:rsidRPr="00F94165">
        <w:rPr>
          <w:b/>
          <w:i/>
          <w:sz w:val="24"/>
          <w:szCs w:val="24"/>
          <w:lang w:val="en-US"/>
        </w:rPr>
        <w:t>Wittgenstein’s subject.</w:t>
      </w:r>
    </w:p>
    <w:p w14:paraId="4E95D2D6" w14:textId="77777777" w:rsidR="008C21DF" w:rsidRPr="00F94165" w:rsidRDefault="008C21DF" w:rsidP="00F94165">
      <w:pPr>
        <w:jc w:val="both"/>
        <w:rPr>
          <w:sz w:val="24"/>
          <w:szCs w:val="24"/>
        </w:rPr>
      </w:pPr>
      <w:r w:rsidRPr="00F94165">
        <w:rPr>
          <w:sz w:val="24"/>
          <w:szCs w:val="24"/>
        </w:rPr>
        <w:t>To begin with one has to acknowledge that some of Wittgenstein’s ideas seem to echo those of the post-structuralist’s for example on thinking he had this to say:</w:t>
      </w:r>
    </w:p>
    <w:p w14:paraId="64C629F7"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While we sometimes call it "thinking" to accompany a sentence by a mental process, that accompaniment is not what we mean by a "thought".-Say a sentence and think it; say it with understanding. And now do not say it, and just do what you accompanied it with when you said it with understanding</w:t>
      </w:r>
      <w:r w:rsidRPr="00F94165">
        <w:rPr>
          <w:sz w:val="24"/>
          <w:szCs w:val="24"/>
          <w:lang w:val="en-US"/>
        </w:rPr>
        <w:t>!</w:t>
      </w:r>
      <w:r w:rsidRPr="00F94165">
        <w:rPr>
          <w:sz w:val="24"/>
          <w:szCs w:val="24"/>
          <w:vertAlign w:val="superscript"/>
          <w:lang w:val="en-US"/>
        </w:rPr>
        <w:endnoteReference w:id="1"/>
      </w:r>
    </w:p>
    <w:p w14:paraId="2144DAD9" w14:textId="77777777" w:rsidR="008C21DF" w:rsidRPr="00F94165" w:rsidRDefault="008C21DF" w:rsidP="00F94165">
      <w:pPr>
        <w:jc w:val="both"/>
        <w:rPr>
          <w:sz w:val="24"/>
          <w:szCs w:val="24"/>
        </w:rPr>
      </w:pPr>
      <w:r w:rsidRPr="00F94165">
        <w:rPr>
          <w:sz w:val="24"/>
          <w:szCs w:val="24"/>
        </w:rPr>
        <w:t>This rejects the idea of an inner world to the subject constructed on the model of a metaphysicalized objective world. Wittgenstein maintains that, the ‘meaning’ of a word is not something tacked on, so to speak, it is:</w:t>
      </w:r>
    </w:p>
    <w:p w14:paraId="698C82CF"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We want to say "Meaning is surely essentially a mental process, a process of conscious life, not of dead matter." But what will give such a thing the specific character of what goes on?-so long as we think of it as a process.  And now it seems to us as if intending could not be any process at all, of any kind whatever.-For what we are dissatisfied with here is the grammar of process, not the specific kind of process.-It could be said: we should call any process "dead" in this sense</w:t>
      </w:r>
      <w:r w:rsidRPr="00F94165">
        <w:rPr>
          <w:sz w:val="24"/>
          <w:szCs w:val="24"/>
          <w:lang w:val="en-US"/>
        </w:rPr>
        <w:t>.</w:t>
      </w:r>
      <w:r w:rsidRPr="00F94165">
        <w:rPr>
          <w:sz w:val="24"/>
          <w:szCs w:val="24"/>
          <w:vertAlign w:val="superscript"/>
          <w:lang w:val="en-US"/>
        </w:rPr>
        <w:endnoteReference w:id="2"/>
      </w:r>
    </w:p>
    <w:p w14:paraId="4E832015" w14:textId="77777777" w:rsidR="008C21DF" w:rsidRPr="00F94165" w:rsidRDefault="008C21DF" w:rsidP="00F94165">
      <w:pPr>
        <w:jc w:val="both"/>
        <w:rPr>
          <w:sz w:val="24"/>
          <w:szCs w:val="24"/>
        </w:rPr>
      </w:pPr>
      <w:r w:rsidRPr="00F94165">
        <w:rPr>
          <w:sz w:val="24"/>
          <w:szCs w:val="24"/>
        </w:rPr>
        <w:t>He is to claim that that the nature of the image is no more and no less than the way the word ‘image’ is used, hence:</w:t>
      </w:r>
    </w:p>
    <w:p w14:paraId="17729A27" w14:textId="77777777" w:rsidR="008C21DF" w:rsidRPr="00F94165" w:rsidRDefault="008C21DF" w:rsidP="00F94165">
      <w:pPr>
        <w:keepLines/>
        <w:spacing w:after="120"/>
        <w:ind w:left="720" w:right="1440"/>
        <w:jc w:val="both"/>
        <w:rPr>
          <w:sz w:val="24"/>
          <w:szCs w:val="24"/>
          <w:lang w:val="en-US"/>
        </w:rPr>
      </w:pPr>
      <w:r w:rsidRPr="00F94165">
        <w:rPr>
          <w:sz w:val="24"/>
          <w:szCs w:val="24"/>
          <w:lang w:val="en-US"/>
        </w:rPr>
        <w:t>The image is not a picture, nor is the visual impression one.  Neither "image" nor "impression" is the concept of a picture, although in both cases there is a tie-up with a picture, and a different one in either case.</w:t>
      </w:r>
      <w:r w:rsidRPr="00F94165">
        <w:rPr>
          <w:sz w:val="24"/>
          <w:szCs w:val="24"/>
          <w:vertAlign w:val="superscript"/>
          <w:lang w:val="en-US"/>
        </w:rPr>
        <w:endnoteReference w:id="3"/>
      </w:r>
    </w:p>
    <w:p w14:paraId="22907973" w14:textId="77777777" w:rsidR="008C21DF" w:rsidRPr="00F94165" w:rsidRDefault="008C21DF" w:rsidP="00F94165">
      <w:pPr>
        <w:jc w:val="both"/>
        <w:rPr>
          <w:sz w:val="24"/>
          <w:szCs w:val="24"/>
        </w:rPr>
      </w:pPr>
      <w:r w:rsidRPr="00F94165">
        <w:rPr>
          <w:sz w:val="24"/>
          <w:szCs w:val="24"/>
        </w:rPr>
        <w:t>The claim here is that images and their objects have no comparison to pictures and their objects, furthermore, this is not realisable from introspection, this kind of investigation needs an analysis of perception itself. A further claim is that with the subject as essence and its form in the cogito is associated a particular conception of the relation between subject (human beings, ‘self’) and  its object (the world). It is the concept that perception represents the world prior to language and if there was no language, no system of signification, the world and its objects would still present as having determinate character. This  seems to explain the distance between ‘image’ and ‘picturing’, calling an image to mind, say a red car, even the red car I used to own, does not have to involve picturing the red car in my mind, so to speak. In other words, we have to believe that  there is a corollary between previous experiences, memory traces seen as picture images, and  immediate perception in the way that the former are called to mind to identify the latter and this may not be the case.  It is this model that Wittgenstein throws doubt on when he makes the following remarks:</w:t>
      </w:r>
    </w:p>
    <w:p w14:paraId="1B8FFBDC"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Supposing I teach someone the use of the word "yellow" by repeatedly pointing to a yellow patch and pronouncing the word.  On another occasion I make him apply what he has learnt by giving him the order, "choose a yellow ball out of this bag".  What was it that happened when he obeyed my order?  I say "possibly just this: he heard my words and took a yellow ball from the bag".  Now you may be inclined to think that this couldn't possibly have been all; and the kind of thing that you would suggest is that he imagined something yellow when he understood the order and then chose a ball according to his image.  To see that this is not necessary remember that I could have given him the order, "Imagine a yellow patch." Would you still be inclined to assume that he first imagines a yellow patch, just understanding my order, and then imagines a yellow patch to match the first?</w:t>
      </w:r>
      <w:r w:rsidRPr="00F94165">
        <w:rPr>
          <w:sz w:val="24"/>
          <w:szCs w:val="24"/>
          <w:lang w:val="en-US"/>
        </w:rPr>
        <w:t xml:space="preserve"> </w:t>
      </w:r>
      <w:r w:rsidRPr="00F94165">
        <w:rPr>
          <w:sz w:val="24"/>
          <w:szCs w:val="24"/>
          <w:vertAlign w:val="superscript"/>
          <w:lang w:val="en-US"/>
        </w:rPr>
        <w:endnoteReference w:id="4"/>
      </w:r>
    </w:p>
    <w:p w14:paraId="7DBDDA8B" w14:textId="77777777" w:rsidR="008C21DF" w:rsidRPr="00F94165" w:rsidRDefault="008C21DF" w:rsidP="00F94165">
      <w:pPr>
        <w:jc w:val="both"/>
        <w:rPr>
          <w:sz w:val="24"/>
          <w:szCs w:val="24"/>
        </w:rPr>
      </w:pPr>
      <w:r w:rsidRPr="00F94165">
        <w:rPr>
          <w:sz w:val="24"/>
          <w:szCs w:val="24"/>
        </w:rPr>
        <w:t xml:space="preserve">Here he is claiming that to want a kind of explanatory intermediary here can result in  an infinite regress.  The fact that we have to accept something as a criterion at some point means that we may just as well accept the immediate apprehension at the outset.  That is, to apply   a more flexible attitude to the nature of language activities is a  going to yield more rational explanations — we see  this  from acknowledging that memory perception and perceiving involves the use of language in different ways.  This articulation of an alternative  to the ‘orthodox’ model to which we have already referred is a crucial part of Wittgenstein’s move to demetaphysicalize the private ‘inner-world’ of the subject. Moreover, this move  has major implications and ramification on the concept of ‘self’. </w:t>
      </w:r>
    </w:p>
    <w:p w14:paraId="77760C77" w14:textId="77777777" w:rsidR="008C21DF" w:rsidRPr="00F94165" w:rsidRDefault="008C21DF" w:rsidP="00F94165">
      <w:pPr>
        <w:keepNext/>
        <w:keepLines/>
        <w:spacing w:before="240" w:after="240"/>
        <w:jc w:val="both"/>
        <w:rPr>
          <w:i/>
          <w:sz w:val="24"/>
          <w:szCs w:val="24"/>
          <w:lang w:val="en-US"/>
        </w:rPr>
      </w:pPr>
      <w:r w:rsidRPr="00F94165">
        <w:rPr>
          <w:i/>
          <w:sz w:val="24"/>
          <w:szCs w:val="24"/>
          <w:lang w:val="en-US"/>
        </w:rPr>
        <w:t>The Private Self: from solipsism to illusion</w:t>
      </w:r>
    </w:p>
    <w:p w14:paraId="06C928BF" w14:textId="77777777" w:rsidR="008C21DF" w:rsidRPr="00F94165" w:rsidRDefault="008C21DF" w:rsidP="00F94165">
      <w:pPr>
        <w:jc w:val="both"/>
        <w:rPr>
          <w:sz w:val="24"/>
          <w:szCs w:val="24"/>
        </w:rPr>
      </w:pPr>
      <w:r w:rsidRPr="00F94165">
        <w:rPr>
          <w:sz w:val="24"/>
          <w:szCs w:val="24"/>
        </w:rPr>
        <w:t xml:space="preserve">Wittgenstein, in the </w:t>
      </w:r>
      <w:r w:rsidRPr="00F94165">
        <w:rPr>
          <w:i/>
          <w:sz w:val="24"/>
          <w:szCs w:val="24"/>
        </w:rPr>
        <w:t>Tractatus,</w:t>
      </w:r>
      <w:r w:rsidRPr="00F94165">
        <w:rPr>
          <w:sz w:val="24"/>
          <w:szCs w:val="24"/>
        </w:rPr>
        <w:t xml:space="preserve"> seems to exhibit, what  can only be said to amount to solipsistic paradoxes in his treatment  of the self, expounded and  encapsulated in such remarks as ‘All experience is my experience’ or the “the world is my world”, “I am my world”, which, in turn seem to  mean that experiences are the property of a metaphysical private self.  In a preceding remark he claims ‘what the solipsist </w:t>
      </w:r>
      <w:r w:rsidRPr="00F94165">
        <w:rPr>
          <w:i/>
          <w:sz w:val="24"/>
          <w:szCs w:val="24"/>
        </w:rPr>
        <w:t>means</w:t>
      </w:r>
      <w:r w:rsidRPr="00F94165">
        <w:rPr>
          <w:sz w:val="24"/>
          <w:szCs w:val="24"/>
        </w:rPr>
        <w:t xml:space="preserve"> is quite correct; only it cannot be</w:t>
      </w:r>
      <w:r w:rsidRPr="00F94165">
        <w:rPr>
          <w:i/>
          <w:sz w:val="24"/>
          <w:szCs w:val="24"/>
        </w:rPr>
        <w:t xml:space="preserve"> said</w:t>
      </w:r>
      <w:r w:rsidRPr="00F94165">
        <w:rPr>
          <w:sz w:val="24"/>
          <w:szCs w:val="24"/>
        </w:rPr>
        <w:t>, but makes itself manifest.’ This remark is argued over and it is never quite clear ‘whether this notion of the self is one  he himself accepts or whether it is one he considers to reject’</w:t>
      </w:r>
      <w:r w:rsidRPr="00F94165">
        <w:rPr>
          <w:sz w:val="24"/>
          <w:szCs w:val="24"/>
          <w:vertAlign w:val="superscript"/>
        </w:rPr>
        <w:endnoteReference w:id="5"/>
      </w:r>
      <w:r w:rsidRPr="00F94165">
        <w:rPr>
          <w:sz w:val="24"/>
          <w:szCs w:val="24"/>
        </w:rPr>
        <w:t>.  This is because the notion of self talked about in this claim, and that which is  expressed in remarks immediately following seem paradoxical:</w:t>
      </w:r>
    </w:p>
    <w:p w14:paraId="6E2CD012"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5.631</w:t>
      </w:r>
      <w:r w:rsidRPr="00F94165">
        <w:rPr>
          <w:rFonts w:ascii="Times New Roman" w:hAnsi="Times New Roman"/>
          <w:lang w:val="en-US"/>
        </w:rPr>
        <w:tab/>
        <w:t xml:space="preserve"> There is no such thing as the subject that thinks or entertain ideas  . . .</w:t>
      </w:r>
    </w:p>
    <w:p w14:paraId="48373494"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5.632</w:t>
      </w:r>
      <w:r w:rsidRPr="00F94165">
        <w:rPr>
          <w:rFonts w:ascii="Times New Roman" w:hAnsi="Times New Roman"/>
          <w:lang w:val="en-US"/>
        </w:rPr>
        <w:tab/>
        <w:t>The subject does not belong to the world: rather, it is a limit  of the world</w:t>
      </w:r>
    </w:p>
    <w:p w14:paraId="08E8FD4B"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5.633</w:t>
      </w:r>
      <w:r w:rsidRPr="00F94165">
        <w:rPr>
          <w:rFonts w:ascii="Times New Roman" w:hAnsi="Times New Roman"/>
          <w:lang w:val="en-US"/>
        </w:rPr>
        <w:tab/>
        <w:t>Where in the world is a metaphysical subject to be found?</w:t>
      </w:r>
      <w:r w:rsidRPr="00F94165">
        <w:rPr>
          <w:rFonts w:ascii="Times New Roman" w:hAnsi="Times New Roman"/>
          <w:vertAlign w:val="superscript"/>
          <w:lang w:val="en-US"/>
        </w:rPr>
        <w:endnoteReference w:id="6"/>
      </w:r>
    </w:p>
    <w:p w14:paraId="6D49CC75" w14:textId="77777777" w:rsidR="008C21DF" w:rsidRPr="00F94165" w:rsidRDefault="008C21DF" w:rsidP="00F94165">
      <w:pPr>
        <w:jc w:val="both"/>
        <w:rPr>
          <w:sz w:val="24"/>
          <w:szCs w:val="24"/>
        </w:rPr>
      </w:pPr>
      <w:r w:rsidRPr="00F94165">
        <w:rPr>
          <w:sz w:val="24"/>
          <w:szCs w:val="24"/>
        </w:rPr>
        <w:t>These remarks may point to  a  notion of ‘self’  that had been mooted earlier in the work when he says that :</w:t>
      </w:r>
    </w:p>
    <w:p w14:paraId="433596C5"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 . .there is no such thing as soul - the subject etc. - as it is conceived in the superficial psychology of the present day</w:t>
      </w:r>
    </w:p>
    <w:p w14:paraId="79E5DD8D"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Indeed a composite soul would no longer be a soul.</w:t>
      </w:r>
      <w:r w:rsidRPr="00F94165">
        <w:rPr>
          <w:rFonts w:ascii="Times New Roman" w:hAnsi="Times New Roman"/>
          <w:vertAlign w:val="superscript"/>
          <w:lang w:val="en-US"/>
        </w:rPr>
        <w:endnoteReference w:id="7"/>
      </w:r>
    </w:p>
    <w:p w14:paraId="02717033" w14:textId="77777777" w:rsidR="008C21DF" w:rsidRPr="00F94165" w:rsidRDefault="008C21DF" w:rsidP="00F94165">
      <w:pPr>
        <w:jc w:val="both"/>
        <w:rPr>
          <w:sz w:val="24"/>
          <w:szCs w:val="24"/>
        </w:rPr>
      </w:pPr>
      <w:r w:rsidRPr="00F94165">
        <w:rPr>
          <w:sz w:val="24"/>
          <w:szCs w:val="24"/>
        </w:rPr>
        <w:t>This leads some, Mounce for example, to conclude that:</w:t>
      </w:r>
    </w:p>
    <w:p w14:paraId="54E9FF4F"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My self is not a simple entity; it is a bundle of psychological elements. These elements are related not to some simple entity which stands, as it were, behind them but to other psychological elements that have occurred earlier. I am just this body with that mental history. This view, or something like it, is what Wittgenstein seems to be suggesting. .  .</w:t>
      </w:r>
    </w:p>
    <w:p w14:paraId="2FF46F0A" w14:textId="6608FEBF" w:rsidR="008C21DF" w:rsidRPr="00F94165" w:rsidRDefault="008C21DF" w:rsidP="00F94165">
      <w:pPr>
        <w:jc w:val="both"/>
        <w:rPr>
          <w:sz w:val="24"/>
          <w:szCs w:val="24"/>
        </w:rPr>
      </w:pPr>
      <w:r w:rsidRPr="00F94165">
        <w:rPr>
          <w:sz w:val="24"/>
          <w:szCs w:val="24"/>
        </w:rPr>
        <w:t>Mounce seems to be attributing here a view of  personality identity to Wittgenstein, which resembles that which has recently been established by Parfit</w:t>
      </w:r>
      <w:r w:rsidRPr="00F94165">
        <w:rPr>
          <w:sz w:val="24"/>
          <w:szCs w:val="24"/>
          <w:vertAlign w:val="superscript"/>
        </w:rPr>
        <w:endnoteReference w:id="8"/>
      </w:r>
      <w:r w:rsidRPr="00F94165">
        <w:rPr>
          <w:sz w:val="24"/>
          <w:szCs w:val="24"/>
        </w:rPr>
        <w:t>. W</w:t>
      </w:r>
      <w:r w:rsidR="009C22B2" w:rsidRPr="00F94165">
        <w:rPr>
          <w:sz w:val="24"/>
          <w:szCs w:val="24"/>
        </w:rPr>
        <w:t xml:space="preserve">hile this is composite subject </w:t>
      </w:r>
      <w:r w:rsidRPr="00F94165">
        <w:rPr>
          <w:sz w:val="24"/>
          <w:szCs w:val="24"/>
        </w:rPr>
        <w:t>that Wittgenstein is introducing when he posits  a  self of psychological continuity and connectedness, it is not a ‘self’ which is empirically  verifiable, ‘Wittgenstein seems here to suggest . . . a sense of self which has not been captured in what has been said about the empirical self’</w:t>
      </w:r>
      <w:r w:rsidRPr="00F94165">
        <w:rPr>
          <w:sz w:val="24"/>
          <w:szCs w:val="24"/>
          <w:vertAlign w:val="superscript"/>
        </w:rPr>
        <w:endnoteReference w:id="9"/>
      </w:r>
      <w:r w:rsidRPr="00F94165">
        <w:rPr>
          <w:sz w:val="24"/>
          <w:szCs w:val="24"/>
        </w:rPr>
        <w:t xml:space="preserve">   In this kind of  solipsistic paradox what are we to believe? At least Mounce is clear on what Wittgenstein means by these remarks, he  claims that, ‘What Wittgenstein means is that solipsism itself is confused, and not simply that it is a confusion to try to express it.’</w:t>
      </w:r>
      <w:r w:rsidRPr="00F94165">
        <w:rPr>
          <w:sz w:val="24"/>
          <w:szCs w:val="24"/>
          <w:vertAlign w:val="superscript"/>
        </w:rPr>
        <w:endnoteReference w:id="10"/>
      </w:r>
      <w:r w:rsidRPr="00F94165">
        <w:rPr>
          <w:sz w:val="24"/>
          <w:szCs w:val="24"/>
        </w:rPr>
        <w:t xml:space="preserve">  He goes on to say:</w:t>
      </w:r>
    </w:p>
    <w:p w14:paraId="4F54AE58"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His point, I think,  is that solipsism is the confused attempt to say something else, which cannot be said and should be allowed to show itself. There is, as it were, a truth behind solipsism, but it cannot be stated and solipsism is the confused result of trying to do so. The truth is not that I alone am real but that I have a point of view on the world which is without neighbours.</w:t>
      </w:r>
    </w:p>
    <w:p w14:paraId="7EB14C64" w14:textId="77777777" w:rsidR="008C21DF" w:rsidRPr="00F94165" w:rsidRDefault="008C21DF" w:rsidP="00F94165">
      <w:pPr>
        <w:jc w:val="both"/>
        <w:rPr>
          <w:sz w:val="24"/>
          <w:szCs w:val="24"/>
        </w:rPr>
      </w:pPr>
      <w:r w:rsidRPr="00F94165">
        <w:rPr>
          <w:sz w:val="24"/>
          <w:szCs w:val="24"/>
        </w:rPr>
        <w:t>But what does this last phrase mean? It seems to  be both denying and asserting a solipsistic view of the world? Mounce is clear that these remarks do not mean that Wittgenstein is defending any form of solipsistic position. He says that Wittgenstein’s point is this:</w:t>
      </w:r>
    </w:p>
    <w:p w14:paraId="72CCA424"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What I conceive of as the world is given to me in language. This conception is the only one there is. I know this precisely because it shows itself in there being no other possibilities. For there is no language but language and therefore no conception of the world  other than the one that language gives</w:t>
      </w:r>
      <w:r w:rsidRPr="00F94165">
        <w:rPr>
          <w:sz w:val="24"/>
          <w:szCs w:val="24"/>
          <w:lang w:val="en-US"/>
        </w:rPr>
        <w:t>.</w:t>
      </w:r>
      <w:r w:rsidRPr="00F94165">
        <w:rPr>
          <w:sz w:val="24"/>
          <w:szCs w:val="24"/>
          <w:vertAlign w:val="superscript"/>
          <w:lang w:val="en-US"/>
        </w:rPr>
        <w:endnoteReference w:id="11"/>
      </w:r>
      <w:r w:rsidRPr="00F94165">
        <w:rPr>
          <w:sz w:val="24"/>
          <w:szCs w:val="24"/>
          <w:lang w:val="en-US"/>
        </w:rPr>
        <w:t xml:space="preserve">  </w:t>
      </w:r>
    </w:p>
    <w:p w14:paraId="3F349486" w14:textId="64E688E3" w:rsidR="008C21DF" w:rsidRPr="00F94165" w:rsidRDefault="008C21DF" w:rsidP="00F94165">
      <w:pPr>
        <w:jc w:val="both"/>
        <w:rPr>
          <w:sz w:val="24"/>
          <w:szCs w:val="24"/>
        </w:rPr>
      </w:pPr>
      <w:r w:rsidRPr="00F94165">
        <w:rPr>
          <w:sz w:val="24"/>
          <w:szCs w:val="24"/>
        </w:rPr>
        <w:t>A further argument following this demonstrates that Wittgenstein is neither confirming nor denying the existence of an ‘independent reality’ only that my reality can be nothing other than is given to me in language.  And it concludes, ‘</w:t>
      </w:r>
      <w:r w:rsidRPr="00F94165">
        <w:rPr>
          <w:i/>
          <w:sz w:val="24"/>
          <w:szCs w:val="24"/>
        </w:rPr>
        <w:t>it is a condition of my speech that my language refers to a reality independent of myself. If these objects are unreal then so am I, for it is only in my speech about them that myself appears’</w:t>
      </w:r>
      <w:r w:rsidRPr="00F94165">
        <w:rPr>
          <w:sz w:val="24"/>
          <w:szCs w:val="24"/>
        </w:rPr>
        <w:t>.</w:t>
      </w:r>
      <w:r w:rsidRPr="00F94165">
        <w:rPr>
          <w:sz w:val="24"/>
          <w:szCs w:val="24"/>
          <w:vertAlign w:val="superscript"/>
        </w:rPr>
        <w:endnoteReference w:id="12"/>
      </w:r>
      <w:r w:rsidRPr="00F94165">
        <w:rPr>
          <w:sz w:val="24"/>
          <w:szCs w:val="24"/>
        </w:rPr>
        <w:t xml:space="preserve"> This view of the subject, I maintain,  is not far removed from that which we have considered under the heading of post-structuralism. </w:t>
      </w:r>
      <w:r w:rsidR="009C22B2" w:rsidRPr="00F94165">
        <w:rPr>
          <w:sz w:val="24"/>
          <w:szCs w:val="24"/>
        </w:rPr>
        <w:t>But p</w:t>
      </w:r>
      <w:r w:rsidRPr="00F94165">
        <w:rPr>
          <w:sz w:val="24"/>
          <w:szCs w:val="24"/>
        </w:rPr>
        <w:t xml:space="preserve">erhaps we can glean a </w:t>
      </w:r>
      <w:r w:rsidR="009C22B2" w:rsidRPr="00F94165">
        <w:rPr>
          <w:sz w:val="24"/>
          <w:szCs w:val="24"/>
        </w:rPr>
        <w:t>different</w:t>
      </w:r>
      <w:r w:rsidRPr="00F94165">
        <w:rPr>
          <w:sz w:val="24"/>
          <w:szCs w:val="24"/>
        </w:rPr>
        <w:t xml:space="preserve"> understanding from another philosophical explication of  this type of  claim.  Evans, in his discussion of solipsism and self-identification,  asks us to consider this statement, “When I am in pain, something frightful happens to </w:t>
      </w:r>
      <w:r w:rsidRPr="00F94165">
        <w:rPr>
          <w:i/>
          <w:sz w:val="24"/>
          <w:szCs w:val="24"/>
        </w:rPr>
        <w:t>me</w:t>
      </w:r>
      <w:r w:rsidRPr="00F94165">
        <w:rPr>
          <w:sz w:val="24"/>
          <w:szCs w:val="24"/>
        </w:rPr>
        <w:t>”. As he rightly points out this is tautological.  It is used by the solipsist in an attempt to  ‘extract something informative (non-tautological about his use of “I”. ..’</w:t>
      </w:r>
      <w:r w:rsidRPr="00F94165">
        <w:rPr>
          <w:sz w:val="24"/>
          <w:szCs w:val="24"/>
          <w:vertAlign w:val="superscript"/>
        </w:rPr>
        <w:endnoteReference w:id="13"/>
      </w:r>
      <w:r w:rsidRPr="00F94165">
        <w:rPr>
          <w:sz w:val="24"/>
          <w:szCs w:val="24"/>
        </w:rPr>
        <w:t xml:space="preserve">  But he also goes further.  He says that, ‘He [the solipsist] is right that there is something substantial which must been learned by someone who uses the first-person pronoun properly, and that it is manifested in his responding differently to the kind of differences from which the solipsist begins.’</w:t>
      </w:r>
      <w:r w:rsidRPr="00F94165">
        <w:rPr>
          <w:sz w:val="24"/>
          <w:szCs w:val="24"/>
          <w:vertAlign w:val="superscript"/>
        </w:rPr>
        <w:endnoteReference w:id="14"/>
      </w:r>
      <w:r w:rsidRPr="00F94165">
        <w:rPr>
          <w:sz w:val="24"/>
          <w:szCs w:val="24"/>
        </w:rPr>
        <w:t xml:space="preserve"> Here Evans must be referring to  the solipsist ‘maintaining that only he  and his ideas are real, has the idea of his self as an object standing, as it were, over and against the real world’.</w:t>
      </w:r>
      <w:r w:rsidRPr="00F94165">
        <w:rPr>
          <w:sz w:val="24"/>
          <w:szCs w:val="24"/>
          <w:vertAlign w:val="superscript"/>
        </w:rPr>
        <w:endnoteReference w:id="15"/>
      </w:r>
      <w:r w:rsidRPr="00F94165">
        <w:rPr>
          <w:sz w:val="24"/>
          <w:szCs w:val="24"/>
        </w:rPr>
        <w:t xml:space="preserve">  This is all very well but, as we have heard, Wittgenstein rejects this only to replace it  with the idea that  it is language that  forms my conception of the world and  where  my self appears.  But from where does language emerge?  Mounce says that the ‘solipsist is wishing to deny the  independent reality of the world’ but he also has said, and I repeat,  ‘it is a condition of my speech that my language refers to a reality independent of myself’. If these objects are unreal then so am I’. But this does not give us an ‘independent reality’  it does not, as Mounce claims, collapse into realism,  only  that the  ‘self’ or ‘I’ emerges from a process and system of language.</w:t>
      </w:r>
    </w:p>
    <w:p w14:paraId="5F32B956" w14:textId="77777777" w:rsidR="008C21DF" w:rsidRPr="00F94165" w:rsidRDefault="008C21DF" w:rsidP="00F94165">
      <w:pPr>
        <w:jc w:val="both"/>
        <w:rPr>
          <w:sz w:val="24"/>
          <w:szCs w:val="24"/>
        </w:rPr>
      </w:pPr>
      <w:r w:rsidRPr="00F94165">
        <w:rPr>
          <w:sz w:val="24"/>
          <w:szCs w:val="24"/>
        </w:rPr>
        <w:t xml:space="preserve">What Wittgenstein has succeeded in doing in his discussion of solipsism, is replacing the ‘subject as essence’ with a composite subject, which has it origins in the system language. Yet in the </w:t>
      </w:r>
      <w:r w:rsidRPr="00F94165">
        <w:rPr>
          <w:i/>
          <w:sz w:val="24"/>
          <w:szCs w:val="24"/>
        </w:rPr>
        <w:t xml:space="preserve">Tractatus  </w:t>
      </w:r>
      <w:r w:rsidRPr="00F94165">
        <w:rPr>
          <w:sz w:val="24"/>
          <w:szCs w:val="24"/>
        </w:rPr>
        <w:t xml:space="preserve">it is never made clear what is the progenitor of language. It was a mistake, I believe,  he sets out to correct in his later work. It is not that this language  ‘corresponds’ to  and independent reality but that it is   a product of knowledge that  is its expression, as Evans puts it,  ‘this knowledge is </w:t>
      </w:r>
      <w:r w:rsidRPr="00F94165">
        <w:rPr>
          <w:i/>
          <w:sz w:val="24"/>
          <w:szCs w:val="24"/>
        </w:rPr>
        <w:t>practical</w:t>
      </w:r>
      <w:r w:rsidRPr="00F94165">
        <w:rPr>
          <w:sz w:val="24"/>
          <w:szCs w:val="24"/>
        </w:rPr>
        <w:t>: it cannot be transformed into a substantial account of what the subject means by “I”.’</w:t>
      </w:r>
      <w:r w:rsidRPr="00F94165">
        <w:rPr>
          <w:sz w:val="24"/>
          <w:szCs w:val="24"/>
          <w:vertAlign w:val="superscript"/>
        </w:rPr>
        <w:endnoteReference w:id="16"/>
      </w:r>
      <w:r w:rsidRPr="00F94165">
        <w:rPr>
          <w:sz w:val="24"/>
          <w:szCs w:val="24"/>
        </w:rPr>
        <w:t xml:space="preserve"> On other words, this knowledge is tacit but not unconscious and  arise out of the social milieu and its social practices. </w:t>
      </w:r>
    </w:p>
    <w:p w14:paraId="37FCFE38" w14:textId="77777777" w:rsidR="008C21DF" w:rsidRPr="00F94165" w:rsidRDefault="008C21DF" w:rsidP="00F94165">
      <w:pPr>
        <w:jc w:val="both"/>
        <w:rPr>
          <w:sz w:val="24"/>
          <w:szCs w:val="24"/>
        </w:rPr>
      </w:pPr>
    </w:p>
    <w:p w14:paraId="7FB18C59" w14:textId="77777777" w:rsidR="008C21DF" w:rsidRPr="00F94165" w:rsidRDefault="008C21DF" w:rsidP="00F94165">
      <w:pPr>
        <w:jc w:val="both"/>
        <w:rPr>
          <w:sz w:val="24"/>
          <w:szCs w:val="24"/>
        </w:rPr>
      </w:pPr>
      <w:r w:rsidRPr="00F94165">
        <w:rPr>
          <w:sz w:val="24"/>
          <w:szCs w:val="24"/>
        </w:rPr>
        <w:t>In his later work, then, Wittgenstein was to dissolve these solipsistic paradoxes. Moreover, it is in my contention that this mistake, the mistake not of a solipsistic self, but, to put it crudely,  that language emerges not from a  correspondence with objects but as an  expression of  practice, with which he was most concerned.  This is shown quite clearly in his discussion of  ‘a private language’, which he felt  led to the mistaken idea that  experiences were owned by a subject. This idea led to a kind of ‘ego hegemony’ that is underpinned by a kind of logical principle of self-identity in connection with the human subject.  This kind of principle  expressed, for example,  in the proposition “A thing is identical with itself”, was not only an anathema to Wittgenstein but literally non-sense. Thus, to explicate this fallacy a clarification of the grammatical structure of such propositions was needed. This would also  perspicuously represent the logical impossibility of a private language and  hence of ‘an essential subject’ as the owner of experiences. It would be seen that only mystification is the outcome of an attempt to ground the human subject in a metaphysic.</w:t>
      </w:r>
    </w:p>
    <w:p w14:paraId="596222A6" w14:textId="77777777" w:rsidR="008C21DF" w:rsidRPr="00F94165" w:rsidRDefault="008C21DF" w:rsidP="00F94165">
      <w:pPr>
        <w:jc w:val="both"/>
        <w:rPr>
          <w:sz w:val="24"/>
          <w:szCs w:val="24"/>
        </w:rPr>
      </w:pPr>
      <w:r w:rsidRPr="00F94165">
        <w:rPr>
          <w:sz w:val="24"/>
          <w:szCs w:val="24"/>
        </w:rPr>
        <w:t>Wittgenstein’s method began then with a ‘demetaphysicalizing’ of the private world of subject, with its ‘privileged’  access to mental processes and objects. Wittgenstein claims even in the use of primitive languages (chronologically or culturally), ‘truth’ can only be established by validating  the meanings expressed by signification independently of  the truth it claims to be reporting.</w:t>
      </w:r>
      <w:r w:rsidRPr="00F94165">
        <w:rPr>
          <w:sz w:val="24"/>
          <w:szCs w:val="24"/>
          <w:vertAlign w:val="superscript"/>
        </w:rPr>
        <w:footnoteReference w:id="1"/>
      </w:r>
      <w:r w:rsidRPr="00F94165">
        <w:rPr>
          <w:sz w:val="24"/>
          <w:szCs w:val="24"/>
        </w:rPr>
        <w:t xml:space="preserve"> As a ‘private language’ can establish </w:t>
      </w:r>
      <w:r w:rsidRPr="00F94165">
        <w:rPr>
          <w:b/>
          <w:i/>
          <w:sz w:val="24"/>
          <w:szCs w:val="24"/>
        </w:rPr>
        <w:t xml:space="preserve">no </w:t>
      </w:r>
      <w:r w:rsidRPr="00F94165">
        <w:rPr>
          <w:sz w:val="24"/>
          <w:szCs w:val="24"/>
        </w:rPr>
        <w:t>such independent validating mechanism, it cannot coherently be sustained. The deconstruction of this argument is set out by Wittgenstein in an example of a subject keeping a private diary and making a mark every time they experience a particular pain:</w:t>
      </w:r>
    </w:p>
    <w:p w14:paraId="24D81EEF"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 xml:space="preserve">Let us imagine the following case, I want to keep a diary about the recurrence of a certain sensation. To this end I associate with the sign 'S' and write the sign in a calendar for everyday on which I have the sensation. - I will remark first of all that a definition of the sign cannot be formulated.- But still I can give myself a kind of ostensive definition. - How? Can I point to the sensation? Not in the ordinary sense. But I speak, or write the sign down, and at the same time I concentrate my attention on the sensation - and so, as it were, pint to inwardly. - But what is this ceremony for? For that is all it seems to be! A definition surely serves to establish the meaning of the sign. - Well, that is done precisely by the concentrating of my attention; for in this way I impress on myself the connection between the sign and the sensation. - But ' I impress it on myself' can only mean; this process brings it about that I remember the connection right in the future. But In the present case I have no criterion of correctness. One would like to say: 'Whatever is going to seem right to me is right. And that only means that here we can't talk about right. </w:t>
      </w:r>
      <w:r w:rsidRPr="00F94165">
        <w:rPr>
          <w:sz w:val="24"/>
          <w:szCs w:val="24"/>
          <w:vertAlign w:val="superscript"/>
          <w:lang w:val="en-US"/>
        </w:rPr>
        <w:endnoteReference w:id="17"/>
      </w:r>
    </w:p>
    <w:p w14:paraId="12278E7E" w14:textId="77777777" w:rsidR="008C21DF" w:rsidRPr="00F94165" w:rsidRDefault="008C21DF" w:rsidP="00F94165">
      <w:pPr>
        <w:jc w:val="both"/>
        <w:rPr>
          <w:sz w:val="24"/>
          <w:szCs w:val="24"/>
        </w:rPr>
      </w:pPr>
      <w:r w:rsidRPr="00F94165">
        <w:rPr>
          <w:sz w:val="24"/>
          <w:szCs w:val="24"/>
        </w:rPr>
        <w:t xml:space="preserve">The crux of the issue  becomes apparent with the realisation that the diarist must fail the minimum requirements of being able to identify one pain as the same pain from  the immediate moment preceding pain or other preceding pains that occurred on previous occasions.  This is because the  subject’s memory cannot act as an independent arbiter as this is the very faculty that  is used, so to speak, to bring the sense-experience to mind. As the diary must be abandoned as ineffective due the impossibility of its task, so must the idea of a private language. In other words, ‘language here is shown to be constructed out of rules that are shared expressions of a social life and not the summation of private sensations. No private language can be created along side or outside this social existence as there are no criteria of correctness in this private sphere’. What Wittgenstein is in particular demonstrating is that language, with its signifiers, does not contain intrinsic identity, and the signified rely on social nature of language games, in forms of communication.  </w:t>
      </w:r>
    </w:p>
    <w:p w14:paraId="12923F2F" w14:textId="77777777" w:rsidR="008C21DF" w:rsidRPr="00F94165" w:rsidRDefault="008C21DF" w:rsidP="00F94165">
      <w:pPr>
        <w:jc w:val="both"/>
        <w:rPr>
          <w:sz w:val="24"/>
          <w:szCs w:val="24"/>
        </w:rPr>
      </w:pPr>
      <w:r w:rsidRPr="00F94165">
        <w:rPr>
          <w:sz w:val="24"/>
          <w:szCs w:val="24"/>
        </w:rPr>
        <w:t>The consequences of Wittgenstein’s thought experiments have devastating consequences on the idea of a sovereign subject as an owner of a sense-experiences. That is, firstly, it leads to the rejection of absolute private objects. Secondly, there are no absolutely private exhibitions in terms of sense-experience. In other words ‘impressions are not equivalents’. Take the example of pain:</w:t>
      </w:r>
    </w:p>
    <w:p w14:paraId="0F8EA586"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"Yes, but there is something there all the same, accompanying my cry of pain.  And it is on account of that that I utter it.  And this something is what is important-and frightful."-Only whom are we informing of this?  And on what occasion?</w:t>
      </w:r>
    </w:p>
    <w:p w14:paraId="6E70C90A"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 xml:space="preserve">Of course, if water boils in a pot, steam comes out of the pot and also pictured steam comes out of the pictured pot.  But what if one insisted on saying that there must also be something boiling in the picture of the pot? </w:t>
      </w:r>
      <w:r w:rsidRPr="00F94165">
        <w:rPr>
          <w:rFonts w:ascii="Times New Roman" w:hAnsi="Times New Roman"/>
          <w:vertAlign w:val="superscript"/>
          <w:lang w:val="en-US"/>
        </w:rPr>
        <w:endnoteReference w:id="18"/>
      </w:r>
    </w:p>
    <w:p w14:paraId="77DD69C8" w14:textId="77777777" w:rsidR="008C21DF" w:rsidRPr="00F94165" w:rsidRDefault="008C21DF" w:rsidP="00F94165">
      <w:pPr>
        <w:jc w:val="both"/>
        <w:rPr>
          <w:sz w:val="24"/>
          <w:szCs w:val="24"/>
        </w:rPr>
      </w:pPr>
      <w:r w:rsidRPr="00F94165">
        <w:rPr>
          <w:sz w:val="24"/>
          <w:szCs w:val="24"/>
        </w:rPr>
        <w:t>Pain, however, is not a nothing. While we can ‘locate’  the pain most of the time, and describe it to others, even ostensibly define it. Nevertheless, it is no private sensation as Wittgenstein outlines in this argument:</w:t>
      </w:r>
    </w:p>
    <w:p w14:paraId="04302641"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But you will surely admit that there is a difference between pain-behaviour accompanied by pain and pain-behaviour without any pain?"-Admit it?  What greater difference could there be?-"And yet you again and again reach the conclusion that the sensation itself is a nothing.”-Not at all.  It is not a something, but not a nothing either!  The conclusion was only that a nothing would serve just as well as a something about which nothing could be said.  We have only rejected the grammar which tries to force itself on us here.</w:t>
      </w:r>
      <w:r w:rsidRPr="00F94165">
        <w:rPr>
          <w:sz w:val="24"/>
          <w:szCs w:val="24"/>
          <w:lang w:val="en-US"/>
        </w:rPr>
        <w:t xml:space="preserve"> </w:t>
      </w:r>
      <w:r w:rsidRPr="00F94165">
        <w:rPr>
          <w:sz w:val="24"/>
          <w:szCs w:val="24"/>
          <w:vertAlign w:val="superscript"/>
          <w:lang w:val="en-US"/>
        </w:rPr>
        <w:endnoteReference w:id="19"/>
      </w:r>
    </w:p>
    <w:p w14:paraId="189FFB78" w14:textId="1D57B5B0" w:rsidR="008C21DF" w:rsidRPr="00F94165" w:rsidRDefault="008C21DF" w:rsidP="00F94165">
      <w:pPr>
        <w:jc w:val="both"/>
        <w:rPr>
          <w:sz w:val="24"/>
          <w:szCs w:val="24"/>
        </w:rPr>
      </w:pPr>
      <w:r w:rsidRPr="00F94165">
        <w:rPr>
          <w:sz w:val="24"/>
          <w:szCs w:val="24"/>
        </w:rPr>
        <w:t xml:space="preserve">We can see then how this argument  leads to a rejection  of the ‘essential self’.  We feel we can  turn our attention to something that can serve to objectify that something, create, so to speak,  a kind of subjective object. Wittgenstein is calling our attention to the mistake in this process. The subject is dependent on language and its role in social life that it inhabits and where it finds expression. . It's expression in social life is its being; we do not have a static and contained relationship to this ‘self’: learning the concept of ‘self’ expressed in the  terms ‘me’, ‘my’  or ‘I’  is comparable with learning the concept of pain. We are not given something that the word  refers to, we learn  the ‘behaviour’ that is  associates </w:t>
      </w:r>
      <w:r w:rsidR="009C22B2" w:rsidRPr="00F94165">
        <w:rPr>
          <w:sz w:val="24"/>
          <w:szCs w:val="24"/>
        </w:rPr>
        <w:t>itself with the use of the word</w:t>
      </w:r>
      <w:r w:rsidRPr="00F94165">
        <w:rPr>
          <w:sz w:val="24"/>
          <w:szCs w:val="24"/>
        </w:rPr>
        <w:t>.</w:t>
      </w:r>
      <w:r w:rsidR="009C22B2" w:rsidRPr="00F94165">
        <w:rPr>
          <w:sz w:val="24"/>
          <w:szCs w:val="24"/>
        </w:rPr>
        <w:t xml:space="preserve"> </w:t>
      </w:r>
      <w:r w:rsidRPr="00F94165">
        <w:rPr>
          <w:sz w:val="24"/>
          <w:szCs w:val="24"/>
        </w:rPr>
        <w:t>Experiences and mental states are essentially the natural expressions of human beings,  and this is what makes Wittgenstein’s later conception of the composite subject different:</w:t>
      </w:r>
    </w:p>
    <w:p w14:paraId="4C7EF6B8"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The feature of our psychological ascriptions to which Wittgenstein draws attention goes as ‘deep’ as do those reactions to others of which it is a reflection. Now there are no doubt different senses of ‘deep’, ‘basic’ and so on to be distinguished here. We can speak of what is ‘primitive’ in our reactions to others where this is to be contrasted with features of our relations to others which are the product of thought. We can speak of what is central to our form of social life</w:t>
      </w:r>
      <w:r w:rsidRPr="00F94165">
        <w:rPr>
          <w:sz w:val="24"/>
          <w:szCs w:val="24"/>
          <w:lang w:val="en-US"/>
        </w:rPr>
        <w:t>.</w:t>
      </w:r>
      <w:r w:rsidRPr="00F94165">
        <w:rPr>
          <w:sz w:val="24"/>
          <w:szCs w:val="24"/>
          <w:vertAlign w:val="superscript"/>
          <w:lang w:val="en-US"/>
        </w:rPr>
        <w:endnoteReference w:id="20"/>
      </w:r>
    </w:p>
    <w:p w14:paraId="3DCBDFAA" w14:textId="48E1DF81" w:rsidR="008C21DF" w:rsidRPr="00F94165" w:rsidRDefault="008C21DF" w:rsidP="00F94165">
      <w:pPr>
        <w:jc w:val="both"/>
        <w:rPr>
          <w:sz w:val="24"/>
          <w:szCs w:val="24"/>
        </w:rPr>
      </w:pPr>
      <w:r w:rsidRPr="00F94165">
        <w:rPr>
          <w:sz w:val="24"/>
          <w:szCs w:val="24"/>
        </w:rPr>
        <w:t xml:space="preserve">These natural expressions seem to be, on the notion of subject we have been discussing situated in the psychology of the person involved, and with their history of mental events. But what if we offer that such an explanation is inadequate and we need  a fuller notion of a human being? For example, ‘consider a mother's love for her child. Are we to say any explanation of this is must be reduced to an account of the particular psychological characteristics of the new born baby that the mother's love somehow latches on to </w:t>
      </w:r>
      <w:r w:rsidRPr="00F94165">
        <w:rPr>
          <w:i/>
          <w:sz w:val="24"/>
          <w:szCs w:val="24"/>
        </w:rPr>
        <w:t>this</w:t>
      </w:r>
      <w:r w:rsidRPr="00F94165">
        <w:rPr>
          <w:sz w:val="24"/>
          <w:szCs w:val="24"/>
        </w:rPr>
        <w:t xml:space="preserve"> individual?’</w:t>
      </w:r>
      <w:r w:rsidRPr="00F94165">
        <w:rPr>
          <w:sz w:val="24"/>
          <w:szCs w:val="24"/>
          <w:vertAlign w:val="superscript"/>
        </w:rPr>
        <w:endnoteReference w:id="21"/>
      </w:r>
      <w:r w:rsidRPr="00F94165">
        <w:rPr>
          <w:sz w:val="24"/>
          <w:szCs w:val="24"/>
        </w:rPr>
        <w:t xml:space="preserve"> The later Wittgenstein is suggesting  a deeper ontology than the narrow psychological model,  and this it is  that explains how our natural expressions  towards others ‘can survive radical psychological changes’ which take place in the life of a human being. Wittgenstein is not here, of course,  denying that we are concerned with the psychology of a subject when we refer to ourselves and to our world, indeed, if Mounce is right this is central to his earlier conception of ‘self’ and I believe remains so. It is not a  subject construed on the narrow psychological  model that  as  a body with a ‘self’ tagged on, so to speak,  that is central to our relationship to others but  apprehending others as human beings.  This is encapsulated in Wittgenstein’s remarks, ‘ </w:t>
      </w:r>
      <w:r w:rsidRPr="00F94165">
        <w:rPr>
          <w:i/>
          <w:sz w:val="24"/>
          <w:szCs w:val="24"/>
        </w:rPr>
        <w:t>My attitude towards him is an attitude towards a soul. I am not of the opinion  that he  has a soul’.  Concerning this  he enlightens us to the fact that ‘the human body  is the best picture of a soul’</w:t>
      </w:r>
      <w:r w:rsidRPr="00F94165">
        <w:rPr>
          <w:sz w:val="24"/>
          <w:szCs w:val="24"/>
        </w:rPr>
        <w:t>.</w:t>
      </w:r>
      <w:r w:rsidRPr="00F94165">
        <w:rPr>
          <w:sz w:val="24"/>
          <w:szCs w:val="24"/>
          <w:vertAlign w:val="superscript"/>
        </w:rPr>
        <w:endnoteReference w:id="22"/>
      </w:r>
      <w:r w:rsidRPr="00F94165">
        <w:rPr>
          <w:sz w:val="24"/>
          <w:szCs w:val="24"/>
        </w:rPr>
        <w:t xml:space="preserve">  </w:t>
      </w:r>
    </w:p>
    <w:p w14:paraId="51504909" w14:textId="77777777" w:rsidR="008C21DF" w:rsidRPr="00F94165" w:rsidRDefault="008C21DF" w:rsidP="00F94165">
      <w:pPr>
        <w:jc w:val="both"/>
        <w:rPr>
          <w:sz w:val="24"/>
          <w:szCs w:val="24"/>
        </w:rPr>
      </w:pPr>
      <w:r w:rsidRPr="00F94165">
        <w:rPr>
          <w:sz w:val="24"/>
          <w:szCs w:val="24"/>
        </w:rPr>
        <w:t xml:space="preserve">Now this may sound, as I have said,  as if Wittgenstein is embracing behaviourism, but if we remember his remarks ‘it is not a </w:t>
      </w:r>
      <w:r w:rsidRPr="00F94165">
        <w:rPr>
          <w:i/>
          <w:sz w:val="24"/>
          <w:szCs w:val="24"/>
        </w:rPr>
        <w:t xml:space="preserve">something’, </w:t>
      </w:r>
      <w:r w:rsidRPr="00F94165">
        <w:rPr>
          <w:sz w:val="24"/>
          <w:szCs w:val="24"/>
        </w:rPr>
        <w:t xml:space="preserve"> which encapsulate his rejection of the existence of  an inner private world of the subject,  the second part of this statement ‘but not a nothing either’ also makes it clear that he rejects the idea that a human subject is merely a psychological structure reducible behavioural disposition. As Cook points out:</w:t>
      </w:r>
    </w:p>
    <w:p w14:paraId="100EB4AA"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If we reject the idea that sensations are. . .individual substance, i.e. objects of ‘inner sense’, and acknowledge that sensations are states of living organisms, we can allow that words for sensations are tied up with the natural expression of sensations</w:t>
      </w:r>
    </w:p>
    <w:p w14:paraId="1F35A1CC"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There is, then, an essential connextion of sensations with living organisms. But to admit this is not to accept some form of behaviourism. We can avoid behaviourism while acknowledging the essential connextion if we also acknowledge a certain complexities in the creatures to which sensations words and other psychological concepts apply.</w:t>
      </w:r>
      <w:r w:rsidRPr="00F94165">
        <w:rPr>
          <w:rFonts w:ascii="Times New Roman" w:hAnsi="Times New Roman"/>
          <w:vertAlign w:val="superscript"/>
          <w:lang w:val="en-US"/>
        </w:rPr>
        <w:endnoteReference w:id="23"/>
      </w:r>
    </w:p>
    <w:p w14:paraId="678CBFE3" w14:textId="77777777" w:rsidR="008C21DF" w:rsidRPr="00F94165" w:rsidRDefault="008C21DF" w:rsidP="00F94165">
      <w:pPr>
        <w:jc w:val="both"/>
        <w:rPr>
          <w:sz w:val="24"/>
          <w:szCs w:val="24"/>
        </w:rPr>
      </w:pPr>
      <w:r w:rsidRPr="00F94165">
        <w:rPr>
          <w:sz w:val="24"/>
          <w:szCs w:val="24"/>
        </w:rPr>
        <w:t>What then is the origin and structure of this ‘composite’ subject?</w:t>
      </w:r>
    </w:p>
    <w:p w14:paraId="1DAA4AD2" w14:textId="77777777" w:rsidR="008C21DF" w:rsidRPr="00F94165" w:rsidRDefault="008C21DF" w:rsidP="00F94165">
      <w:pPr>
        <w:keepNext/>
        <w:keepLines/>
        <w:spacing w:before="240" w:after="240"/>
        <w:jc w:val="both"/>
        <w:rPr>
          <w:i/>
          <w:sz w:val="24"/>
          <w:szCs w:val="24"/>
          <w:lang w:val="en-US"/>
        </w:rPr>
      </w:pPr>
      <w:r w:rsidRPr="00F94165">
        <w:rPr>
          <w:i/>
          <w:sz w:val="24"/>
          <w:szCs w:val="24"/>
          <w:lang w:val="en-US"/>
        </w:rPr>
        <w:t>Language, discourse and the social subject.</w:t>
      </w:r>
    </w:p>
    <w:p w14:paraId="29052E96" w14:textId="24058FAF" w:rsidR="008C21DF" w:rsidRPr="00F94165" w:rsidRDefault="008C21DF" w:rsidP="00F94165">
      <w:pPr>
        <w:jc w:val="both"/>
        <w:rPr>
          <w:sz w:val="24"/>
          <w:szCs w:val="24"/>
        </w:rPr>
      </w:pPr>
      <w:r w:rsidRPr="00F94165">
        <w:rPr>
          <w:sz w:val="24"/>
          <w:szCs w:val="24"/>
        </w:rPr>
        <w:t xml:space="preserve">Thus we can concede that Wittgenstein’s ‘self’ or ‘subject’ is not the ‘something’, the sovereign subject of the </w:t>
      </w:r>
      <w:r w:rsidRPr="00F94165">
        <w:rPr>
          <w:i/>
          <w:sz w:val="24"/>
          <w:szCs w:val="24"/>
        </w:rPr>
        <w:t>cogito</w:t>
      </w:r>
      <w:r w:rsidRPr="00F94165">
        <w:rPr>
          <w:sz w:val="24"/>
          <w:szCs w:val="24"/>
        </w:rPr>
        <w:t>, or the ‘nothing’ of behaviourism. We can also know that  this ‘human being’ is  a ‘composite soul’. The product of  natural expressions (phenomenal concepts)  or primitive responses,  that  are widened elaborated by the continuing development and broadening of our knowledge base and that this expresses itself in complex concepts that are both vague and specific.  But what we must not forget is that this  relationship between  the subject and language is grounded in knowledge  that is dependent on our social life. In other words,  language is not simply read of reality, but is part of a reality creating process.  It is not that language can express  social beliefs of reality as a kind of description, but that  reality is implicit, and necessarily present in the discourse of  social life. As Winch says, ‘Reality is not what gives language sense. What is real and what is unreal shows itself in the sense that language has.’</w:t>
      </w:r>
      <w:r w:rsidRPr="00F94165">
        <w:rPr>
          <w:sz w:val="24"/>
          <w:szCs w:val="24"/>
          <w:vertAlign w:val="superscript"/>
        </w:rPr>
        <w:endnoteReference w:id="24"/>
      </w:r>
      <w:r w:rsidRPr="00F94165">
        <w:rPr>
          <w:sz w:val="24"/>
          <w:szCs w:val="24"/>
        </w:rPr>
        <w:t xml:space="preserve"> It is also this, which distances Wittgenstein from the post-structuralist notion of the subject. However, it can be conceived from this Wittgensteinian viewpoint that different societies can have different forms of life and thus have different ordinary languages, as each language of each society has its meaningfulness and legitimacy guaranteed by its practices, by its 'social life', neither can it be undermined by any other theory of reality. Hence, it defies refutation by any other cognitive world view, no matter how more discursively legitimate that view claims to be. Thus, while this may deny the charge of behaviourism, it may open up his approach to the charge of both 'idealism' and extreme relativism, not only  as described,  but in terms of the construction or production of the subject. Moreover,  while there can  different subjects, their  origins rooted in their language and their culture, their internal order, whether it be unfair or unjust, cannot change. For example, in Winch there is a rejection that there is a standpoint of Western science, which can and should be used as a critique of  other 'forms of life'; e.g. religious or cultural pract</w:t>
      </w:r>
      <w:r w:rsidR="009C22B2" w:rsidRPr="00F94165">
        <w:rPr>
          <w:sz w:val="24"/>
          <w:szCs w:val="24"/>
        </w:rPr>
        <w:t xml:space="preserve">ices. Wittgenstein is to relate </w:t>
      </w:r>
      <w:r w:rsidRPr="00F94165">
        <w:rPr>
          <w:sz w:val="24"/>
          <w:szCs w:val="24"/>
        </w:rPr>
        <w:t>this perspective to the problem of understanding a society whose members consult oracles instead of  scientists, he makes the following remarks in such a connection:</w:t>
      </w:r>
    </w:p>
    <w:p w14:paraId="4187FD75" w14:textId="77777777" w:rsidR="009C22B2" w:rsidRPr="00F94165" w:rsidRDefault="008C21DF" w:rsidP="00F94165">
      <w:pPr>
        <w:pStyle w:val="IntenseQuote"/>
        <w:rPr>
          <w:rFonts w:ascii="Times New Roman" w:hAnsi="Times New Roman"/>
          <w:lang w:val="en-US"/>
        </w:rPr>
      </w:pPr>
      <w:r w:rsidRPr="00F94165">
        <w:rPr>
          <w:rFonts w:ascii="Times New Roman" w:hAnsi="Times New Roman"/>
          <w:lang w:val="en-US"/>
        </w:rPr>
        <w:tab/>
        <w:t>Is it is wrong for me to be guided in my actions by the propositions of physics? Am I to say I have no good ground for doing so? Isn't it precisely this what we call a 'good  ground.</w:t>
      </w:r>
    </w:p>
    <w:p w14:paraId="0BAB3BE1" w14:textId="191348B9"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Supposing we met people who did not regard that as a telling reason. Now, how do we imagine this? Instead of the physicist, they consult an oracle (And for that we consider them primitive)  Is it wrong for them to consult an oracle and be guided by it? - If we call it 'wrong 'aren't we using our language game to combat theirs ?</w:t>
      </w:r>
    </w:p>
    <w:p w14:paraId="2C837D39" w14:textId="77777777" w:rsidR="009C22B2" w:rsidRPr="00F94165" w:rsidRDefault="008C21DF" w:rsidP="00F94165">
      <w:pPr>
        <w:pStyle w:val="IntenseQuote"/>
        <w:rPr>
          <w:rFonts w:ascii="Times New Roman" w:hAnsi="Times New Roman"/>
          <w:lang w:val="en-US"/>
        </w:rPr>
      </w:pPr>
      <w:r w:rsidRPr="00F94165">
        <w:rPr>
          <w:rFonts w:ascii="Times New Roman" w:hAnsi="Times New Roman"/>
          <w:lang w:val="en-US"/>
        </w:rPr>
        <w:tab/>
        <w:t xml:space="preserve">And are we right or wrong to combat it? Of course there are all sorts of slogans which can be used to support our proceedings. . . </w:t>
      </w:r>
    </w:p>
    <w:p w14:paraId="67622FBF" w14:textId="77777777" w:rsidR="009C22B2" w:rsidRPr="00F94165" w:rsidRDefault="009C22B2" w:rsidP="00F94165">
      <w:pPr>
        <w:pStyle w:val="IntenseQuote"/>
        <w:rPr>
          <w:rFonts w:ascii="Times New Roman" w:hAnsi="Times New Roman"/>
          <w:lang w:val="en-US"/>
        </w:rPr>
      </w:pPr>
    </w:p>
    <w:p w14:paraId="77AEE355" w14:textId="4B67C7A0"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 xml:space="preserve">Where two principles really do meet which cannot be reconciled with one another, then each man declares the other a fool and heretic. </w:t>
      </w:r>
    </w:p>
    <w:p w14:paraId="0B541C7B" w14:textId="77777777"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ab/>
        <w:t xml:space="preserve">I said I would 'combat' the other man, - but wouldn't I give him reasons? Certainly; but how far do they go? At the end of reasons comes persuasion. (Think what happens when missionaries convert natives). </w:t>
      </w:r>
      <w:r w:rsidRPr="00F94165">
        <w:rPr>
          <w:rFonts w:ascii="Times New Roman" w:hAnsi="Times New Roman"/>
          <w:vertAlign w:val="superscript"/>
          <w:lang w:val="en-US"/>
        </w:rPr>
        <w:endnoteReference w:id="25"/>
      </w:r>
    </w:p>
    <w:p w14:paraId="34D5640A" w14:textId="1A0EC0D7" w:rsidR="008C21DF" w:rsidRPr="00F94165" w:rsidRDefault="008C21DF" w:rsidP="00F94165">
      <w:pPr>
        <w:jc w:val="both"/>
        <w:rPr>
          <w:sz w:val="24"/>
          <w:szCs w:val="24"/>
        </w:rPr>
      </w:pPr>
      <w:r w:rsidRPr="00F94165">
        <w:rPr>
          <w:sz w:val="24"/>
          <w:szCs w:val="24"/>
        </w:rPr>
        <w:t>Implicit in Wittgenstein's remarks is the idea that  these two different world pictures may neither judge each other,  nor appeal to some standard of external rational</w:t>
      </w:r>
      <w:r w:rsidR="009C22B2" w:rsidRPr="00F94165">
        <w:rPr>
          <w:sz w:val="24"/>
          <w:szCs w:val="24"/>
        </w:rPr>
        <w:t>ity; the latter being impossible</w:t>
      </w:r>
      <w:r w:rsidRPr="00F94165">
        <w:rPr>
          <w:sz w:val="24"/>
          <w:szCs w:val="24"/>
        </w:rPr>
        <w:t>.  And it is must also true  within  a world view where individual subjects, groups, classes  or communities are in conflict. This leaves his philosophy ope</w:t>
      </w:r>
      <w:r w:rsidR="009C22B2" w:rsidRPr="00F94165">
        <w:rPr>
          <w:sz w:val="24"/>
          <w:szCs w:val="24"/>
        </w:rPr>
        <w:t>n</w:t>
      </w:r>
      <w:r w:rsidRPr="00F94165">
        <w:rPr>
          <w:sz w:val="24"/>
          <w:szCs w:val="24"/>
        </w:rPr>
        <w:t xml:space="preserve"> to the charge of being reactionary. At once describing the cultural origins and nature of the subject but ruling out any kind of ‘social change’ or a ‘change in consciousness’  brought about by knowledge that may bring the former about. This criticism is made in the light of such remarks as:</w:t>
      </w:r>
    </w:p>
    <w:p w14:paraId="560424C9" w14:textId="0A5AF94C" w:rsidR="008C21DF" w:rsidRPr="00F94165" w:rsidRDefault="008C21DF" w:rsidP="00F94165">
      <w:pPr>
        <w:pStyle w:val="IntenseQuote"/>
        <w:rPr>
          <w:rFonts w:ascii="Times New Roman" w:hAnsi="Times New Roman"/>
          <w:lang w:val="en-US"/>
        </w:rPr>
      </w:pPr>
      <w:r w:rsidRPr="00F94165">
        <w:rPr>
          <w:rFonts w:ascii="Times New Roman" w:hAnsi="Times New Roman"/>
          <w:lang w:val="en-US"/>
        </w:rPr>
        <w:t>Philosophy may in no way interfere with the actual use of language,</w:t>
      </w:r>
      <w:r w:rsidR="009C22B2" w:rsidRPr="00F94165">
        <w:rPr>
          <w:rFonts w:ascii="Times New Roman" w:hAnsi="Times New Roman"/>
          <w:lang w:val="en-US"/>
        </w:rPr>
        <w:t xml:space="preserve"> </w:t>
      </w:r>
      <w:r w:rsidRPr="00F94165">
        <w:rPr>
          <w:rFonts w:ascii="Times New Roman" w:hAnsi="Times New Roman"/>
          <w:lang w:val="en-US"/>
        </w:rPr>
        <w:t>it can in the end only describe it. For it cannot give it any foundation either.</w:t>
      </w:r>
      <w:r w:rsidR="009C22B2" w:rsidRPr="00F94165">
        <w:rPr>
          <w:rFonts w:ascii="Times New Roman" w:hAnsi="Times New Roman"/>
          <w:lang w:val="en-US"/>
        </w:rPr>
        <w:t xml:space="preserve"> </w:t>
      </w:r>
      <w:r w:rsidRPr="00F94165">
        <w:rPr>
          <w:rFonts w:ascii="Times New Roman" w:hAnsi="Times New Roman"/>
          <w:lang w:val="en-US"/>
        </w:rPr>
        <w:t>It leaves everything as it is.</w:t>
      </w:r>
      <w:r w:rsidRPr="00F94165">
        <w:rPr>
          <w:rFonts w:ascii="Times New Roman" w:hAnsi="Times New Roman"/>
          <w:vertAlign w:val="superscript"/>
          <w:lang w:val="en-US"/>
        </w:rPr>
        <w:endnoteReference w:id="26"/>
      </w:r>
    </w:p>
    <w:p w14:paraId="7D2917BF" w14:textId="2C80FEB6" w:rsidR="001F4D47" w:rsidRPr="001F4D47" w:rsidRDefault="008C21DF" w:rsidP="001F4D47">
      <w:pPr>
        <w:jc w:val="both"/>
        <w:rPr>
          <w:sz w:val="24"/>
          <w:szCs w:val="24"/>
        </w:rPr>
      </w:pPr>
      <w:r w:rsidRPr="00F94165">
        <w:rPr>
          <w:sz w:val="24"/>
          <w:szCs w:val="24"/>
        </w:rPr>
        <w:t xml:space="preserve">I want now to address these criticism and in doing so re-enter the subject. </w:t>
      </w:r>
    </w:p>
    <w:p w14:paraId="526D778E" w14:textId="77777777" w:rsidR="008C21DF" w:rsidRPr="00F94165" w:rsidRDefault="008C21DF" w:rsidP="00F94165">
      <w:pPr>
        <w:keepNext/>
        <w:keepLines/>
        <w:spacing w:before="240" w:after="240"/>
        <w:jc w:val="both"/>
        <w:rPr>
          <w:b/>
          <w:i/>
          <w:sz w:val="24"/>
          <w:szCs w:val="24"/>
          <w:lang w:val="en-US"/>
        </w:rPr>
      </w:pPr>
      <w:r w:rsidRPr="00F94165">
        <w:rPr>
          <w:b/>
          <w:i/>
          <w:sz w:val="24"/>
          <w:szCs w:val="24"/>
          <w:lang w:val="en-US"/>
        </w:rPr>
        <w:t>Idealism, relativism and reaction</w:t>
      </w:r>
      <w:r w:rsidRPr="00F94165">
        <w:rPr>
          <w:i/>
          <w:sz w:val="24"/>
          <w:szCs w:val="24"/>
          <w:lang w:val="en-US"/>
        </w:rPr>
        <w:t xml:space="preserve"> </w:t>
      </w:r>
      <w:r w:rsidRPr="00F94165">
        <w:rPr>
          <w:sz w:val="24"/>
          <w:szCs w:val="24"/>
          <w:lang w:val="en-US"/>
        </w:rPr>
        <w:t>versus</w:t>
      </w:r>
      <w:r w:rsidRPr="00F94165">
        <w:rPr>
          <w:b/>
          <w:i/>
          <w:sz w:val="24"/>
          <w:szCs w:val="24"/>
          <w:lang w:val="en-US"/>
        </w:rPr>
        <w:t xml:space="preserve"> social change and the human subject</w:t>
      </w:r>
    </w:p>
    <w:p w14:paraId="7A87A573" w14:textId="47964ACF" w:rsidR="008C21DF" w:rsidRPr="00F94165" w:rsidRDefault="008C21DF" w:rsidP="00F94165">
      <w:pPr>
        <w:jc w:val="both"/>
        <w:rPr>
          <w:sz w:val="24"/>
          <w:szCs w:val="24"/>
        </w:rPr>
      </w:pPr>
      <w:r w:rsidRPr="00F94165">
        <w:rPr>
          <w:sz w:val="24"/>
          <w:szCs w:val="24"/>
        </w:rPr>
        <w:t>The claim that there is idealist slant to Wittgenstein's position. This is generated by the fact that  world-pictures presuppose a human contribution to the determination of knowledge, and that it sees objectivity as based on shared practices and acquired skills: in Wittgenstein's words  it  'is manifested in human action.' I am not suggesting here that a critique of the Wittgensteinian position will have to go as far claiming that it rules out  the possibility of positing an objective world. However, it does offer that by treating all existing world-views as equal rules out the possibility of there ever being a transcendental epistemology. This is epitomised in</w:t>
      </w:r>
      <w:r w:rsidR="00E175E8" w:rsidRPr="00F94165">
        <w:rPr>
          <w:sz w:val="24"/>
          <w:szCs w:val="24"/>
        </w:rPr>
        <w:t xml:space="preserve"> </w:t>
      </w:r>
      <w:r w:rsidRPr="00F94165">
        <w:rPr>
          <w:sz w:val="24"/>
          <w:szCs w:val="24"/>
        </w:rPr>
        <w:t xml:space="preserve">Winch’s well-known claim that: </w:t>
      </w:r>
    </w:p>
    <w:p w14:paraId="6313EF74" w14:textId="6E264441" w:rsidR="008C21DF" w:rsidRPr="00F94165" w:rsidRDefault="008C21DF" w:rsidP="00F94165">
      <w:pPr>
        <w:pStyle w:val="IntenseQuote"/>
        <w:rPr>
          <w:rFonts w:ascii="Times New Roman" w:hAnsi="Times New Roman"/>
          <w:sz w:val="24"/>
          <w:szCs w:val="24"/>
        </w:rPr>
      </w:pPr>
      <w:r w:rsidRPr="00F94165">
        <w:rPr>
          <w:rFonts w:ascii="Times New Roman" w:hAnsi="Times New Roman"/>
          <w:lang w:val="en-US"/>
        </w:rPr>
        <w:t>What the sociologist is studying, as well as his study of it, is human activity and therefore carried on according to rules. And it is these rules, rather than those that govern the sociologist's investigation, which specify what is to count as 'doing the same thing' in relation to that kind of activity.</w:t>
      </w:r>
      <w:r w:rsidR="00E175E8" w:rsidRPr="00F94165">
        <w:rPr>
          <w:rFonts w:ascii="Times New Roman" w:hAnsi="Times New Roman"/>
          <w:lang w:val="en-US"/>
        </w:rPr>
        <w:t xml:space="preserve"> </w:t>
      </w:r>
      <w:r w:rsidR="00E175E8" w:rsidRPr="00F94165">
        <w:rPr>
          <w:rFonts w:ascii="Times New Roman" w:hAnsi="Times New Roman"/>
          <w:i w:val="0"/>
          <w:lang w:val="en-US"/>
        </w:rPr>
        <w:t xml:space="preserve">(Peter Winch, </w:t>
      </w:r>
      <w:r w:rsidR="00E175E8" w:rsidRPr="00F94165">
        <w:rPr>
          <w:rFonts w:ascii="Times New Roman" w:hAnsi="Times New Roman"/>
          <w:lang w:val="en-US"/>
        </w:rPr>
        <w:t>The Idea of a Social Science</w:t>
      </w:r>
      <w:r w:rsidR="00E175E8" w:rsidRPr="00F94165">
        <w:rPr>
          <w:rFonts w:ascii="Times New Roman" w:hAnsi="Times New Roman"/>
          <w:i w:val="0"/>
          <w:lang w:val="en-US"/>
        </w:rPr>
        <w:t xml:space="preserve">) </w:t>
      </w:r>
    </w:p>
    <w:p w14:paraId="47458B1F" w14:textId="139F7D5C" w:rsidR="008C21DF" w:rsidRPr="00F94165" w:rsidRDefault="008C21DF" w:rsidP="00F94165">
      <w:pPr>
        <w:jc w:val="both"/>
        <w:rPr>
          <w:sz w:val="24"/>
          <w:szCs w:val="24"/>
        </w:rPr>
      </w:pPr>
      <w:r w:rsidRPr="00F94165">
        <w:rPr>
          <w:sz w:val="24"/>
          <w:szCs w:val="24"/>
        </w:rPr>
        <w:t xml:space="preserve">This claim works against the  spirit of the </w:t>
      </w:r>
      <w:r w:rsidRPr="00F94165">
        <w:rPr>
          <w:i/>
          <w:sz w:val="24"/>
          <w:szCs w:val="24"/>
        </w:rPr>
        <w:t>Grande theory</w:t>
      </w:r>
      <w:r w:rsidRPr="00F94165">
        <w:rPr>
          <w:sz w:val="24"/>
          <w:szCs w:val="24"/>
        </w:rPr>
        <w:t xml:space="preserve"> that we have seen in the expositions of both Marx and Durkheim and seems reflect the pessimism of the non-theories of structuralism and post-structuralism as has been discussed. The claim of modernity much in evidence in the former pair is echoed by some modern philosophers, when it is remarked by Williams that:</w:t>
      </w:r>
    </w:p>
    <w:p w14:paraId="51F6EF30"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So far as the social sciences are concerned, it is worth mentioning a certain view held by some followers of Wittgenstein and which perhaps receives confused encouragement  from the area we are considering. This is the view that it is possible to understand and at least piece meal explain other outlooks, so long as the understanding is internalist and the explanation non-causal.</w:t>
      </w:r>
      <w:r w:rsidRPr="00F94165">
        <w:rPr>
          <w:sz w:val="24"/>
          <w:szCs w:val="24"/>
          <w:vertAlign w:val="superscript"/>
          <w:lang w:val="en-US"/>
        </w:rPr>
        <w:endnoteReference w:id="27"/>
      </w:r>
    </w:p>
    <w:p w14:paraId="0942F6DB" w14:textId="77777777" w:rsidR="008C21DF" w:rsidRPr="00F94165" w:rsidRDefault="008C21DF" w:rsidP="00F94165">
      <w:pPr>
        <w:jc w:val="both"/>
        <w:rPr>
          <w:sz w:val="24"/>
          <w:szCs w:val="24"/>
        </w:rPr>
      </w:pPr>
      <w:r w:rsidRPr="00F94165">
        <w:rPr>
          <w:sz w:val="24"/>
          <w:szCs w:val="24"/>
        </w:rPr>
        <w:t>He also argues, that if we do reject the view that science provides a superior evaluation of primitive cultures, we can still draw on our cultural experiences in understanding that society. Our cultural background embraces more than the language-game of science so the background  against which we consider alien practices need not be a scientific one.</w:t>
      </w:r>
      <w:r w:rsidRPr="00F94165">
        <w:rPr>
          <w:sz w:val="24"/>
          <w:szCs w:val="24"/>
          <w:vertAlign w:val="superscript"/>
        </w:rPr>
        <w:endnoteReference w:id="28"/>
      </w:r>
      <w:r w:rsidRPr="00F94165">
        <w:rPr>
          <w:sz w:val="24"/>
          <w:szCs w:val="24"/>
        </w:rPr>
        <w:t xml:space="preserve"> Let us pursue this criticism a little allowing that 'outlooks', includes different 'internal' views within a society, culture or community.  That is, ‘a very important segment of the subject matter of the social sciences (i.e., certain civilisations, broad movements, etc.) hold beliefs which are themselves in contradiction  with the principles which, according to Winch, must guide the social scientist.</w:t>
      </w:r>
      <w:r w:rsidRPr="00F94165">
        <w:rPr>
          <w:sz w:val="24"/>
          <w:szCs w:val="24"/>
          <w:vertAlign w:val="superscript"/>
        </w:rPr>
        <w:endnoteReference w:id="29"/>
      </w:r>
    </w:p>
    <w:p w14:paraId="6904F10B" w14:textId="77777777" w:rsidR="008C21DF" w:rsidRPr="00F94165" w:rsidRDefault="008C21DF" w:rsidP="00F94165">
      <w:pPr>
        <w:keepNext/>
        <w:keepLines/>
        <w:spacing w:before="240" w:after="240"/>
        <w:jc w:val="both"/>
        <w:rPr>
          <w:i/>
          <w:sz w:val="24"/>
          <w:szCs w:val="24"/>
          <w:lang w:val="en-US"/>
        </w:rPr>
      </w:pPr>
      <w:r w:rsidRPr="00F94165">
        <w:rPr>
          <w:i/>
          <w:sz w:val="24"/>
          <w:szCs w:val="24"/>
          <w:lang w:val="en-US"/>
        </w:rPr>
        <w:t>The reflective and the unreflective</w:t>
      </w:r>
    </w:p>
    <w:p w14:paraId="046ECD80" w14:textId="77777777" w:rsidR="008C21DF" w:rsidRPr="00F94165" w:rsidRDefault="008C21DF" w:rsidP="00F94165">
      <w:pPr>
        <w:jc w:val="both"/>
        <w:rPr>
          <w:sz w:val="24"/>
          <w:szCs w:val="24"/>
        </w:rPr>
      </w:pPr>
      <w:r w:rsidRPr="00F94165">
        <w:rPr>
          <w:sz w:val="24"/>
          <w:szCs w:val="24"/>
        </w:rPr>
        <w:t xml:space="preserve">We know from our present discussion that Winch is giving us an account of learning the  meaning of a social practice on the Wittgensteinian model of learning the meaning of a word. That is, displaying understanding in response to a command or imperative for a social action will entail performing the specific practices that are in the context and the rules that form the social action in question. The performance of a social action will generally  occur within a definition and with the expectation of some kind of response. Only a limited number of  responses will count as meaningful responses to the particular act. All outside that range indicate a failure to understand the meaning of the expected act. Simply, one would decide whether someone understands the meaning of the act if that someone successfully  carries out the social practice which the content of the social act demands. Someone who purported to be participating in a particular social act yet whose practice did not accord with the way this practice was normally carried out by others, would not be said to be participating in that social act. Now there could be a number of reasons why a person has misunderstood the expectation involved in this participation, thus is unsuccessful in the social act. There are  two  instances that we can mention, firstly,  someone could be mistaken about the meaning of a social act, which stems from the mis-perception of a physical act, this could be alikened to the misreading of a word on the Wittgensteinian model. The second would be where someone was insufficiently well socialised with the established way of life, to be able to recognise the act for what it was: this, in a Wittgensteinian sense would be analogous with having  an insufficient  grasp of the language - not being at the point to 'master the technique'. Nevertheless, if  someone was prone to constantly 'misunderstanding' such expectations, this would indicate perhaps something more significant. </w:t>
      </w:r>
    </w:p>
    <w:p w14:paraId="29CE48B2" w14:textId="56EB64A2" w:rsidR="008C21DF" w:rsidRPr="00F94165" w:rsidRDefault="008C21DF" w:rsidP="00F94165">
      <w:pPr>
        <w:jc w:val="both"/>
        <w:rPr>
          <w:sz w:val="24"/>
          <w:szCs w:val="24"/>
        </w:rPr>
      </w:pPr>
      <w:r w:rsidRPr="00F94165">
        <w:rPr>
          <w:sz w:val="24"/>
          <w:szCs w:val="24"/>
        </w:rPr>
        <w:t xml:space="preserve">What </w:t>
      </w:r>
      <w:r w:rsidR="00E175E8" w:rsidRPr="00F94165">
        <w:rPr>
          <w:sz w:val="24"/>
          <w:szCs w:val="24"/>
        </w:rPr>
        <w:t>the critics of Winch and Wittgenstein</w:t>
      </w:r>
      <w:r w:rsidRPr="00F94165">
        <w:rPr>
          <w:sz w:val="24"/>
          <w:szCs w:val="24"/>
        </w:rPr>
        <w:t xml:space="preserve"> may be worried about is that in relation to social practices, this model does not anticipate or cannot envisage a situation where all or a majority of the participators in a 'form of life'  are generally mistaken about the character of their social life.  Gellner</w:t>
      </w:r>
      <w:r w:rsidR="00E175E8" w:rsidRPr="00F94165">
        <w:rPr>
          <w:sz w:val="24"/>
          <w:szCs w:val="24"/>
        </w:rPr>
        <w:t>, for example,</w:t>
      </w:r>
      <w:r w:rsidRPr="00F94165">
        <w:rPr>
          <w:sz w:val="24"/>
          <w:szCs w:val="24"/>
        </w:rPr>
        <w:t xml:space="preserve"> claims that Winch is committed to excluding the possibility of a whole society being wrong.</w:t>
      </w:r>
      <w:r w:rsidRPr="00F94165">
        <w:rPr>
          <w:sz w:val="24"/>
          <w:szCs w:val="24"/>
          <w:vertAlign w:val="superscript"/>
        </w:rPr>
        <w:endnoteReference w:id="30"/>
      </w:r>
      <w:r w:rsidRPr="00F94165">
        <w:rPr>
          <w:sz w:val="24"/>
          <w:szCs w:val="24"/>
        </w:rPr>
        <w:t xml:space="preserve"> This is ruled out by Winch because his conception of a participant's understanding makes the final arbiter as to the quality of any social action, those to whose life the act belongs. No sense can be attached to their misunderstanding such acts since, in general,  their practice provides the criteria by which all attempts to understand their social lives  are to be judged. There are here two major implications for the nature of the subject. Firstly, if this is so Winch is ruling out </w:t>
      </w:r>
      <w:r w:rsidRPr="00F94165">
        <w:rPr>
          <w:i/>
          <w:sz w:val="24"/>
          <w:szCs w:val="24"/>
        </w:rPr>
        <w:t>a priori</w:t>
      </w:r>
      <w:r w:rsidRPr="00F94165">
        <w:rPr>
          <w:sz w:val="24"/>
          <w:szCs w:val="24"/>
        </w:rPr>
        <w:t xml:space="preserve"> that there are could be situations that come into the sphere of application of concepts such as 'false consciousness' or 'ideology'. This means he dismisses out of hand that any meaning could be given to an action construed as an attempt to transform social conditions that are the result of an application of such concepts. In other words, as we have noted earlier, the social situation could not be transformed by  the consciousness of a subject where the former accords with a ‘correct’ apprehension of socie</w:t>
      </w:r>
      <w:r w:rsidR="00E175E8" w:rsidRPr="00F94165">
        <w:rPr>
          <w:sz w:val="24"/>
          <w:szCs w:val="24"/>
        </w:rPr>
        <w:t>ty. Secondly, he could be offer</w:t>
      </w:r>
      <w:r w:rsidRPr="00F94165">
        <w:rPr>
          <w:sz w:val="24"/>
          <w:szCs w:val="24"/>
        </w:rPr>
        <w:t xml:space="preserve">ing that where someone was constantly demonstrating misunderstanding and exhibiting mis-practice over a range  of social actions,  not only could there be a marginalising of this individual, isolating him from others and exposing that subject to such  labels of  'ant-social' or 'insane'.  And the ‘subject’ would  not be able to assume a position from which </w:t>
      </w:r>
      <w:r w:rsidRPr="00F94165">
        <w:rPr>
          <w:i/>
          <w:sz w:val="24"/>
          <w:szCs w:val="24"/>
        </w:rPr>
        <w:t>re</w:t>
      </w:r>
      <w:r w:rsidR="00E175E8" w:rsidRPr="00F94165">
        <w:rPr>
          <w:i/>
          <w:sz w:val="24"/>
          <w:szCs w:val="24"/>
        </w:rPr>
        <w:t>-</w:t>
      </w:r>
      <w:r w:rsidRPr="00F94165">
        <w:rPr>
          <w:i/>
          <w:sz w:val="24"/>
          <w:szCs w:val="24"/>
        </w:rPr>
        <w:t>couperation</w:t>
      </w:r>
      <w:r w:rsidRPr="00F94165">
        <w:rPr>
          <w:sz w:val="24"/>
          <w:szCs w:val="24"/>
        </w:rPr>
        <w:t xml:space="preserve"> was possible. Both these possible interpretations lead to the idea that  the social formation is a construct and perpetuation of dominant interests facilitated only by the application of power. Are there grounds after all then for the criticism of Winch also pertinent to his teacher. Before assuming this, first of all let us consider these remarks:</w:t>
      </w:r>
    </w:p>
    <w:p w14:paraId="69C79A0C" w14:textId="77777777" w:rsidR="008C21DF" w:rsidRPr="00F94165" w:rsidRDefault="008C21DF" w:rsidP="00F94165">
      <w:pPr>
        <w:keepLines/>
        <w:spacing w:after="120"/>
        <w:ind w:left="720" w:right="1440"/>
        <w:jc w:val="both"/>
        <w:rPr>
          <w:sz w:val="24"/>
          <w:szCs w:val="24"/>
          <w:lang w:val="en-US"/>
        </w:rPr>
      </w:pPr>
      <w:r w:rsidRPr="00F94165">
        <w:rPr>
          <w:sz w:val="24"/>
          <w:szCs w:val="24"/>
          <w:lang w:val="en-US"/>
        </w:rPr>
        <w:tab/>
      </w:r>
      <w:r w:rsidRPr="00F94165">
        <w:rPr>
          <w:rStyle w:val="IntenseQuoteChar"/>
          <w:rFonts w:ascii="Times New Roman" w:hAnsi="Times New Roman"/>
        </w:rPr>
        <w:t>In the use of words one might distinguish 'surface grammar' from 'depth grammar'. What immediately impresses itself upon us about the use of a word is the way it used in the construction of the sentence, the part of its use - one might say- that can be taken in by the ear. - And now compare the depth grammar, say of the word 'to mean', with what its surface grammar would lead us to suspect. No wonder we find it difficult to know our way about</w:t>
      </w:r>
      <w:r w:rsidRPr="00F94165">
        <w:rPr>
          <w:sz w:val="24"/>
          <w:szCs w:val="24"/>
          <w:lang w:val="en-US"/>
        </w:rPr>
        <w:t>.</w:t>
      </w:r>
      <w:r w:rsidRPr="00F94165">
        <w:rPr>
          <w:sz w:val="24"/>
          <w:szCs w:val="24"/>
          <w:vertAlign w:val="superscript"/>
          <w:lang w:val="en-US"/>
        </w:rPr>
        <w:endnoteReference w:id="31"/>
      </w:r>
    </w:p>
    <w:p w14:paraId="296D9FD8" w14:textId="77777777" w:rsidR="008C21DF" w:rsidRPr="00F94165" w:rsidRDefault="008C21DF" w:rsidP="00F94165">
      <w:pPr>
        <w:jc w:val="both"/>
        <w:rPr>
          <w:sz w:val="24"/>
          <w:szCs w:val="24"/>
        </w:rPr>
      </w:pPr>
      <w:r w:rsidRPr="00F94165">
        <w:rPr>
          <w:sz w:val="24"/>
          <w:szCs w:val="24"/>
        </w:rPr>
        <w:t>These remarks are perhaps best understood in the context of the remarks that precede them:</w:t>
      </w:r>
    </w:p>
    <w:p w14:paraId="6D99E101" w14:textId="77777777" w:rsidR="008C21DF" w:rsidRPr="00F94165" w:rsidRDefault="008C21DF" w:rsidP="00F94165">
      <w:pPr>
        <w:keepLines/>
        <w:spacing w:after="120"/>
        <w:ind w:left="720" w:right="1440"/>
        <w:jc w:val="both"/>
        <w:rPr>
          <w:sz w:val="24"/>
          <w:szCs w:val="24"/>
          <w:lang w:val="en-US"/>
        </w:rPr>
      </w:pPr>
      <w:r w:rsidRPr="00F94165">
        <w:rPr>
          <w:sz w:val="24"/>
          <w:szCs w:val="24"/>
          <w:lang w:val="en-US"/>
        </w:rPr>
        <w:tab/>
      </w:r>
      <w:r w:rsidRPr="00F94165">
        <w:rPr>
          <w:rStyle w:val="IntenseQuoteChar"/>
          <w:rFonts w:ascii="Times New Roman" w:hAnsi="Times New Roman"/>
        </w:rPr>
        <w:t>If I say "I meant him" very likely a picture come to my mind perhaps how I looked at him; but the picture is just an illustration to a story. From it alone it would be impossible to conclude anything at all; only when one knows the story does one know the significance of the picture</w:t>
      </w:r>
      <w:r w:rsidRPr="00F94165">
        <w:rPr>
          <w:sz w:val="24"/>
          <w:szCs w:val="24"/>
          <w:lang w:val="en-US"/>
        </w:rPr>
        <w:t xml:space="preserve"> </w:t>
      </w:r>
      <w:r w:rsidRPr="00F94165">
        <w:rPr>
          <w:sz w:val="24"/>
          <w:szCs w:val="24"/>
          <w:vertAlign w:val="superscript"/>
          <w:lang w:val="en-US"/>
        </w:rPr>
        <w:endnoteReference w:id="32"/>
      </w:r>
    </w:p>
    <w:p w14:paraId="4359E4C4" w14:textId="77777777" w:rsidR="008C21DF" w:rsidRPr="00F94165" w:rsidRDefault="008C21DF" w:rsidP="00F94165">
      <w:pPr>
        <w:jc w:val="both"/>
        <w:rPr>
          <w:sz w:val="24"/>
          <w:szCs w:val="24"/>
        </w:rPr>
      </w:pPr>
      <w:r w:rsidRPr="00F94165">
        <w:rPr>
          <w:sz w:val="24"/>
          <w:szCs w:val="24"/>
        </w:rPr>
        <w:t>In Winch these Wittgensteinian concepts go under the semblance of 'reflective' and 'unreflective' understanding. They are characterized by being connected with the 'following of a rule' and the ability of being able to elucidate or explicate 'the rules one is following' respectively. It is this way that Winch links propositional meaning with the meaning of actions. Hence, in the present position we should consider the circumstances where the participators in social actions could be successful in their participation without having to be able to give an account of the rules that govern their practice. That they are exhibiting 'unreflective' understanding would not mean that they were unable to express 'reflective' understanding of such rules:</w:t>
      </w:r>
    </w:p>
    <w:p w14:paraId="6AAA015A" w14:textId="77777777" w:rsidR="008C21DF" w:rsidRPr="00F94165" w:rsidRDefault="008C21DF" w:rsidP="00F94165">
      <w:pPr>
        <w:keepLines/>
        <w:spacing w:after="120"/>
        <w:ind w:left="720" w:right="1440"/>
        <w:jc w:val="both"/>
        <w:rPr>
          <w:sz w:val="24"/>
          <w:szCs w:val="24"/>
          <w:lang w:val="en-US"/>
        </w:rPr>
      </w:pPr>
      <w:r w:rsidRPr="00F94165">
        <w:rPr>
          <w:sz w:val="24"/>
          <w:szCs w:val="24"/>
          <w:lang w:val="en-US"/>
        </w:rPr>
        <w:tab/>
      </w:r>
      <w:r w:rsidRPr="00F94165">
        <w:rPr>
          <w:rStyle w:val="IntenseQuoteChar"/>
          <w:rFonts w:ascii="Times New Roman" w:hAnsi="Times New Roman"/>
        </w:rPr>
        <w:t>What is 'learning a rule'- This.    What is 'making a mistake in applying it'? - This. And what is pointed to here is indeterminate</w:t>
      </w:r>
      <w:r w:rsidRPr="00F94165">
        <w:rPr>
          <w:sz w:val="24"/>
          <w:szCs w:val="24"/>
          <w:lang w:val="en-US"/>
        </w:rPr>
        <w:t>.</w:t>
      </w:r>
      <w:r w:rsidRPr="00F94165">
        <w:rPr>
          <w:sz w:val="24"/>
          <w:szCs w:val="24"/>
          <w:vertAlign w:val="superscript"/>
          <w:lang w:val="en-US"/>
        </w:rPr>
        <w:endnoteReference w:id="33"/>
      </w:r>
    </w:p>
    <w:p w14:paraId="1702C4D8" w14:textId="77777777" w:rsidR="008C21DF" w:rsidRPr="00F94165" w:rsidRDefault="008C21DF" w:rsidP="00F94165">
      <w:pPr>
        <w:jc w:val="both"/>
        <w:rPr>
          <w:sz w:val="24"/>
          <w:szCs w:val="24"/>
        </w:rPr>
      </w:pPr>
      <w:r w:rsidRPr="00F94165">
        <w:rPr>
          <w:sz w:val="24"/>
          <w:szCs w:val="24"/>
        </w:rPr>
        <w:t>Such an account can only be given by uncovering the 'depth' grammar of the term. On the Wittgensteinian model this is done  by looking into the workings of  language. This does not mean developing or discovering a theory of language. Rather, by describing and perspicuously representing language-games we come to see the part our language plays in human social interactions: that it is rooted in our forms of life. If this is so of linguistic expressions, given the way that language is seen by this approach, it must also be true that social actions too have their surface grammar and depth grammar. Thus while we perform social actions and know that we do,  such knowledge does not imply that we can give an account  of the functions such actions perform. Again, such an account can only be given by uncovering the 'depth' grammar of these social actions. If we can conceive this would it  be possible that the social scientist's task could be construed as exposing of mistaken concerning the forms of social action. The  job of giving a correct prognosis would consist in uncovering the depth grammar of these forms. Conversley, it  could be where the Wittgensteinian model provides a social 'scientific' model, where social science goes beyond  the unreflective account people give their lives and arrive at a true account  of social life.  This could lead us to answer the critics that see the Wittgensteinian model as 'unscientific' for there could be found a conception of 'understanding' in the social sciences.. But as he says:</w:t>
      </w:r>
    </w:p>
    <w:p w14:paraId="60466291"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'If I were told anything that was a theory, I would say, No! That does not interest me - it would not be the exact thing I was looking for.'</w:t>
      </w:r>
      <w:r w:rsidRPr="00F94165">
        <w:rPr>
          <w:sz w:val="24"/>
          <w:szCs w:val="24"/>
          <w:lang w:val="en-US"/>
        </w:rPr>
        <w:t xml:space="preserve"> </w:t>
      </w:r>
      <w:r w:rsidRPr="00F94165">
        <w:rPr>
          <w:sz w:val="24"/>
          <w:szCs w:val="24"/>
          <w:vertAlign w:val="superscript"/>
          <w:lang w:val="en-US"/>
        </w:rPr>
        <w:endnoteReference w:id="34"/>
      </w:r>
    </w:p>
    <w:p w14:paraId="07403530" w14:textId="77777777" w:rsidR="008C21DF" w:rsidRPr="00F94165" w:rsidRDefault="008C21DF" w:rsidP="00F94165">
      <w:pPr>
        <w:jc w:val="both"/>
        <w:rPr>
          <w:sz w:val="24"/>
          <w:szCs w:val="24"/>
        </w:rPr>
      </w:pPr>
      <w:r w:rsidRPr="00F94165">
        <w:rPr>
          <w:sz w:val="24"/>
          <w:szCs w:val="24"/>
        </w:rPr>
        <w:t>He expressed a similar view when speaking about mathematics and, I believe, it sums up his approach to language also:</w:t>
      </w:r>
    </w:p>
    <w:p w14:paraId="4545241D" w14:textId="77777777" w:rsidR="008C21DF" w:rsidRPr="00F94165" w:rsidRDefault="008C21DF" w:rsidP="00F94165">
      <w:pPr>
        <w:keepLines/>
        <w:spacing w:after="120"/>
        <w:ind w:left="720" w:right="1440"/>
        <w:jc w:val="both"/>
        <w:rPr>
          <w:sz w:val="24"/>
          <w:szCs w:val="24"/>
          <w:lang w:val="en-US"/>
        </w:rPr>
      </w:pPr>
      <w:r w:rsidRPr="00F94165">
        <w:rPr>
          <w:rStyle w:val="IntenseQuoteChar"/>
          <w:rFonts w:ascii="Times New Roman" w:hAnsi="Times New Roman"/>
        </w:rPr>
        <w:t>If I am unclear about the nature of mathematics, no proof can help me. And if I am unclear about the nature of mathematics, then the question about its consistency cannot rise at all</w:t>
      </w:r>
      <w:r w:rsidRPr="00F94165">
        <w:rPr>
          <w:sz w:val="24"/>
          <w:szCs w:val="24"/>
          <w:lang w:val="en-US"/>
        </w:rPr>
        <w:t>.</w:t>
      </w:r>
      <w:r w:rsidRPr="00F94165">
        <w:rPr>
          <w:sz w:val="24"/>
          <w:szCs w:val="24"/>
          <w:vertAlign w:val="superscript"/>
          <w:lang w:val="en-US"/>
        </w:rPr>
        <w:endnoteReference w:id="35"/>
      </w:r>
    </w:p>
    <w:p w14:paraId="088756CA" w14:textId="77777777" w:rsidR="008C21DF" w:rsidRPr="00F94165" w:rsidRDefault="008C21DF" w:rsidP="00F94165">
      <w:pPr>
        <w:jc w:val="both"/>
        <w:rPr>
          <w:sz w:val="24"/>
          <w:szCs w:val="24"/>
        </w:rPr>
      </w:pPr>
      <w:r w:rsidRPr="00F94165">
        <w:rPr>
          <w:sz w:val="24"/>
          <w:szCs w:val="24"/>
        </w:rPr>
        <w:t>In its application to representing language and its concept of the 'language-game', the Wittgensteinian model, is claiming that ‘the understanding of one game cannot depend on the construction of another.’</w:t>
      </w:r>
      <w:r w:rsidRPr="00F94165">
        <w:rPr>
          <w:sz w:val="24"/>
          <w:szCs w:val="24"/>
          <w:vertAlign w:val="superscript"/>
        </w:rPr>
        <w:endnoteReference w:id="36"/>
      </w:r>
      <w:r w:rsidRPr="00F94165">
        <w:rPr>
          <w:sz w:val="24"/>
          <w:szCs w:val="24"/>
          <w:vertAlign w:val="superscript"/>
        </w:rPr>
        <w:t xml:space="preserve"> </w:t>
      </w:r>
      <w:r w:rsidRPr="00F94165">
        <w:rPr>
          <w:sz w:val="24"/>
          <w:szCs w:val="24"/>
        </w:rPr>
        <w:t>Hence, this is  how Wittgenstein’s account would his differ from account favoured by the likes of Williams and Gellner and  any  paradigm that  gave itself the label of ‘correct’ paradigm.</w:t>
      </w:r>
    </w:p>
    <w:p w14:paraId="1EDC444E" w14:textId="13ACA8DD" w:rsidR="008C21DF" w:rsidRPr="00F94165" w:rsidRDefault="008C21DF" w:rsidP="00F94165">
      <w:pPr>
        <w:jc w:val="both"/>
        <w:rPr>
          <w:sz w:val="24"/>
          <w:szCs w:val="24"/>
        </w:rPr>
      </w:pPr>
      <w:r w:rsidRPr="00F94165">
        <w:rPr>
          <w:sz w:val="24"/>
          <w:szCs w:val="24"/>
        </w:rPr>
        <w:t xml:space="preserve"> The Wittgensteinian position could be contrued as being committed to upholding that knowledge consists of a collection of incommensurate paradigms, each paradigm provided by a particular world view with no common ground of the non-trivial sort. Furthermore, </w:t>
      </w:r>
      <w:r w:rsidR="00E175E8" w:rsidRPr="00F94165">
        <w:rPr>
          <w:sz w:val="24"/>
          <w:szCs w:val="24"/>
        </w:rPr>
        <w:t xml:space="preserve">we have relativism in this concept also, </w:t>
      </w:r>
      <w:r w:rsidRPr="00F94165">
        <w:rPr>
          <w:sz w:val="24"/>
          <w:szCs w:val="24"/>
        </w:rPr>
        <w:t xml:space="preserve">as it is knowledge that constructs and is expressed in language which in turn produces the subject. </w:t>
      </w:r>
      <w:r w:rsidR="00E175E8" w:rsidRPr="00F94165">
        <w:rPr>
          <w:sz w:val="24"/>
          <w:szCs w:val="24"/>
        </w:rPr>
        <w:t xml:space="preserve"> </w:t>
      </w:r>
      <w:r w:rsidRPr="00F94165">
        <w:rPr>
          <w:sz w:val="24"/>
          <w:szCs w:val="24"/>
        </w:rPr>
        <w:t>Well, of course, this will depend on what is meant by non-trivial. One conclusion that could be drawn from this would be that at a fundamental level social practices are drawn from their correspondence with an objective social reality that make them necessarily dependent on all participants in that social practice. Another conclusion would be that there is no such correspondence between an objective social reality and social practice as the former is relative to or even arbitrarily dependent on the nature of the latter. But even if the latter were true,  this does not mean that the world is somehow unreal. It may mean simply, that whilst there are independent, objective facts,  even ‘scientific’,  our knowledge of them is only acquired as we learn to participate with others in the world: as we develop our world view. Such objective facts may be explained in terms of objective laws, yet we can only talk of them if people show in their activities and way of life that it is  meaningful to do so. The objects of knowledge may exist independently of human beings, but our knowledge of them is a human product. Wittgenstein’s approach does not deny that there is a connection between an objective social reality and social practice. For instance, in understanding 'alien' societies we can take as a starting point the notions of birth, death and sex, and consider the social institutions revolving around these activities. The fact that rituals concerning birth, death and sex may be found in all forms of social life means that we are not insensitive to their meaning in primitive societies. Are we to argue that an understanding of this sort is 'trivial'?.</w:t>
      </w:r>
    </w:p>
    <w:p w14:paraId="159BF9BE" w14:textId="37E073C4" w:rsidR="005F7B37" w:rsidRPr="00F94165" w:rsidRDefault="008C21DF" w:rsidP="00F94165">
      <w:pPr>
        <w:jc w:val="both"/>
        <w:rPr>
          <w:sz w:val="24"/>
          <w:szCs w:val="24"/>
        </w:rPr>
      </w:pPr>
      <w:r w:rsidRPr="00F94165">
        <w:rPr>
          <w:sz w:val="24"/>
          <w:szCs w:val="24"/>
        </w:rPr>
        <w:t xml:space="preserve">We have a tendency to suppose, it seems, that if we can turn our attention upon something, this act itself serves to objectify it, or turn it into a "subjective object." Wittgenstein is calling our attention to the point that this is not so and that there are life-happenings, which can only be expressed and to which we do not have an aboutness-relation.  He points out that in the construction of the ‘subject’ by a knowledge that is expressed in discourse and stems from the social life, that the latter contains  and finds expression a common humanity. The ability and disposition to feel emotions, feelings and passions that  are present in the consciousness where the subject is born. The expression of phenomenal concepts is the entry into language, in which access entails learning that what is signified by unconsciously learning the meaning of a sign is possible only in its difference from other signs. Yet language for Wittgenstein is an activity in which one engages when interacting with others in social relations.  This it is that imposes a structure on social life. Our social life may be presented to us in an organised fashion but the way in which it is classified and organised is undertaken and acquired in learning the language, which is at once inseparable from this practice.  Hence, the meaning of a word cannot be reduced to the object it signifies nor to the intention on part of the speaker. Yet, both the social and the primitive has a role to play. This means that, on this model, the relationship between the individual and the structures that order his social world rely  on individual  qualities and characteristics being generalised into structural principles, which ultimately act as a framework for human behaviour. There is in the production of the subject a </w:t>
      </w:r>
      <w:r w:rsidRPr="00F94165">
        <w:rPr>
          <w:i/>
          <w:sz w:val="24"/>
          <w:szCs w:val="24"/>
        </w:rPr>
        <w:t xml:space="preserve">symbiosis, </w:t>
      </w:r>
      <w:r w:rsidRPr="00F94165">
        <w:rPr>
          <w:sz w:val="24"/>
          <w:szCs w:val="24"/>
        </w:rPr>
        <w:t>a balance, between his intellectual: the structure of the psychological and social, on the one hand, and his emotional and sensational nature on the other. In other words, there is no contradiction in claiming that the subject is both relative and sovereign. This is a kind of individualism that accepts  that such premises are capable of positing that the social formation is more than the sum of its subjects and, whats more, the ‘more’ is, is provide by the human being is the Wittgensteinian sense. Furthermore, it leaves in place  the idea  of an interconnectedness and reciprocity in the relation between the s</w:t>
      </w:r>
      <w:r w:rsidR="00E175E8" w:rsidRPr="00F94165">
        <w:rPr>
          <w:sz w:val="24"/>
          <w:szCs w:val="24"/>
        </w:rPr>
        <w:t>ubject and the social phenomena.</w:t>
      </w:r>
    </w:p>
    <w:sectPr w:rsidR="005F7B37" w:rsidRPr="00F94165">
      <w:footerReference w:type="even" r:id="rId7"/>
      <w:footerReference w:type="default" r:id="rId8"/>
      <w:pgSz w:w="11906" w:h="16838"/>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F23DEC5" w14:textId="77777777" w:rsidR="001F4D47" w:rsidRDefault="001F4D47" w:rsidP="008C21DF">
      <w:r>
        <w:separator/>
      </w:r>
    </w:p>
  </w:endnote>
  <w:endnote w:type="continuationSeparator" w:id="0">
    <w:p w14:paraId="28394406" w14:textId="77777777" w:rsidR="001F4D47" w:rsidRDefault="001F4D47" w:rsidP="008C21DF">
      <w:r>
        <w:continuationSeparator/>
      </w:r>
    </w:p>
  </w:endnote>
  <w:endnote w:id="1">
    <w:p w14:paraId="2EA62D01"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L. (1967) </w:t>
      </w:r>
      <w:r w:rsidRPr="00B842E2">
        <w:rPr>
          <w:i/>
          <w:sz w:val="20"/>
          <w:szCs w:val="20"/>
        </w:rPr>
        <w:t xml:space="preserve">Philosophical Investigations, </w:t>
      </w:r>
      <w:r w:rsidRPr="00B842E2">
        <w:rPr>
          <w:sz w:val="20"/>
          <w:szCs w:val="20"/>
        </w:rPr>
        <w:t>§332, Blackwell</w:t>
      </w:r>
    </w:p>
  </w:endnote>
  <w:endnote w:id="2">
    <w:p w14:paraId="38193ED4"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L. (1967a) </w:t>
      </w:r>
      <w:r w:rsidRPr="00B842E2">
        <w:rPr>
          <w:i/>
          <w:sz w:val="20"/>
          <w:szCs w:val="20"/>
        </w:rPr>
        <w:t xml:space="preserve">Zettel, </w:t>
      </w:r>
      <w:r w:rsidRPr="00B842E2">
        <w:rPr>
          <w:sz w:val="20"/>
          <w:szCs w:val="20"/>
        </w:rPr>
        <w:t>§236, Blackwell</w:t>
      </w:r>
    </w:p>
  </w:endnote>
  <w:endnote w:id="3">
    <w:p w14:paraId="3B8C1F16"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 § 658</w:t>
      </w:r>
    </w:p>
  </w:endnote>
  <w:endnote w:id="4">
    <w:p w14:paraId="09916131"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L. (1969a) </w:t>
      </w:r>
      <w:r w:rsidRPr="00B842E2">
        <w:rPr>
          <w:i/>
          <w:sz w:val="20"/>
          <w:szCs w:val="20"/>
        </w:rPr>
        <w:t>The Blue and Brown Books,</w:t>
      </w:r>
      <w:r w:rsidRPr="00B842E2">
        <w:rPr>
          <w:sz w:val="20"/>
          <w:szCs w:val="20"/>
        </w:rPr>
        <w:t xml:space="preserve"> p.p. 11-12, Blackwells</w:t>
      </w:r>
    </w:p>
  </w:endnote>
  <w:endnote w:id="5">
    <w:p w14:paraId="294A523E"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Mounce, H.O. (1981) </w:t>
      </w:r>
      <w:r w:rsidRPr="00B842E2">
        <w:rPr>
          <w:i/>
          <w:sz w:val="20"/>
          <w:szCs w:val="20"/>
        </w:rPr>
        <w:t>Wittgenstein’s Tractatus</w:t>
      </w:r>
      <w:r w:rsidRPr="00B842E2">
        <w:rPr>
          <w:sz w:val="20"/>
          <w:szCs w:val="20"/>
        </w:rPr>
        <w:t>, p.p89-90, Blackwells</w:t>
      </w:r>
    </w:p>
  </w:endnote>
  <w:endnote w:id="6">
    <w:p w14:paraId="2341EC44"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L. (1961) </w:t>
      </w:r>
      <w:r w:rsidRPr="00B842E2">
        <w:rPr>
          <w:i/>
          <w:sz w:val="20"/>
          <w:szCs w:val="20"/>
        </w:rPr>
        <w:t>Tractatus Logico-Philosophicus</w:t>
      </w:r>
      <w:r w:rsidRPr="00B842E2">
        <w:rPr>
          <w:sz w:val="20"/>
          <w:szCs w:val="20"/>
        </w:rPr>
        <w:t>, p.57, Routledge, Kegan and Paul</w:t>
      </w:r>
    </w:p>
  </w:endnote>
  <w:endnote w:id="7">
    <w:p w14:paraId="3311BB14"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 § 5.5421</w:t>
      </w:r>
    </w:p>
  </w:endnote>
  <w:endnote w:id="8">
    <w:p w14:paraId="4A42C7F4"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see Parfit, D. (1984), </w:t>
      </w:r>
      <w:r w:rsidRPr="00B842E2">
        <w:rPr>
          <w:i/>
          <w:sz w:val="20"/>
          <w:szCs w:val="20"/>
        </w:rPr>
        <w:t>Reasons and Persons</w:t>
      </w:r>
      <w:r w:rsidRPr="00B842E2">
        <w:rPr>
          <w:sz w:val="20"/>
          <w:szCs w:val="20"/>
        </w:rPr>
        <w:t>, Oxford University Press.</w:t>
      </w:r>
    </w:p>
  </w:endnote>
  <w:endnote w:id="9">
    <w:p w14:paraId="7EFDC5BC"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Mounce, op.cit., p.89</w:t>
      </w:r>
    </w:p>
  </w:endnote>
  <w:endnote w:id="10">
    <w:p w14:paraId="6897C54A"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 p.91 and also the succeeding remarks.</w:t>
      </w:r>
    </w:p>
  </w:endnote>
  <w:endnote w:id="11">
    <w:p w14:paraId="21789BCD"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 p.92</w:t>
      </w:r>
    </w:p>
  </w:endnote>
  <w:endnote w:id="12">
    <w:p w14:paraId="2AFDBAE0"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w:t>
      </w:r>
    </w:p>
  </w:endnote>
  <w:endnote w:id="13">
    <w:p w14:paraId="62F6EE14"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Evans, G. (1982) </w:t>
      </w:r>
      <w:r w:rsidRPr="00B842E2">
        <w:rPr>
          <w:i/>
          <w:sz w:val="20"/>
          <w:szCs w:val="20"/>
        </w:rPr>
        <w:t>The Varieties of Reference</w:t>
      </w:r>
      <w:r w:rsidRPr="00B842E2">
        <w:rPr>
          <w:sz w:val="20"/>
          <w:szCs w:val="20"/>
        </w:rPr>
        <w:t>, p234, Claredon Press (New york)</w:t>
      </w:r>
    </w:p>
  </w:endnote>
  <w:endnote w:id="14">
    <w:p w14:paraId="361852C7"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w:t>
      </w:r>
    </w:p>
  </w:endnote>
  <w:endnote w:id="15">
    <w:p w14:paraId="5E2C6A24"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Mounce, op. cit. p.92 and also the succeeding remarks.</w:t>
      </w:r>
    </w:p>
  </w:endnote>
  <w:endnote w:id="16">
    <w:p w14:paraId="68F0DCB7"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Evans (1982), op. cit. p.234</w:t>
      </w:r>
    </w:p>
  </w:endnote>
  <w:endnote w:id="17">
    <w:p w14:paraId="7B50390F"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(1976) §258</w:t>
      </w:r>
    </w:p>
  </w:endnote>
  <w:endnote w:id="18">
    <w:p w14:paraId="4FA9F9D2"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 § 296-7</w:t>
      </w:r>
    </w:p>
  </w:endnote>
  <w:endnote w:id="19">
    <w:p w14:paraId="46E1D36B"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 § 304</w:t>
      </w:r>
    </w:p>
  </w:endnote>
  <w:endnote w:id="20">
    <w:p w14:paraId="2EBF4F61"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Cockburn D.(1989), ‘Commitment to Persons’, in Phillips, D.Z. &amp; Winch, P. (ed.) </w:t>
      </w:r>
      <w:r w:rsidRPr="00B842E2">
        <w:rPr>
          <w:i/>
          <w:sz w:val="20"/>
          <w:szCs w:val="20"/>
        </w:rPr>
        <w:t>Wittgenstein; Attention to Particulars</w:t>
      </w:r>
      <w:r w:rsidRPr="00B842E2">
        <w:rPr>
          <w:sz w:val="20"/>
          <w:szCs w:val="20"/>
        </w:rPr>
        <w:t>, p.86, Macmillan, (London).</w:t>
      </w:r>
    </w:p>
  </w:endnote>
  <w:endnote w:id="21">
    <w:p w14:paraId="7C551626"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Cockburn, (1987) op. cit. p.66</w:t>
      </w:r>
    </w:p>
  </w:endnote>
  <w:endnote w:id="22">
    <w:p w14:paraId="673FAECE"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(1967) op. cit. p. 178</w:t>
      </w:r>
    </w:p>
  </w:endnote>
  <w:endnote w:id="23">
    <w:p w14:paraId="1122108C"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Cook, J.W. ‘Human Beings’ in Winch. P. (ed) </w:t>
      </w:r>
      <w:r w:rsidRPr="00B842E2">
        <w:rPr>
          <w:i/>
          <w:sz w:val="20"/>
          <w:szCs w:val="20"/>
        </w:rPr>
        <w:t>Studies in the Philosophy of Wittgenstein,</w:t>
      </w:r>
    </w:p>
  </w:endnote>
  <w:endnote w:id="24">
    <w:p w14:paraId="62E17A10"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Winch, P. (1958), </w:t>
      </w:r>
      <w:r w:rsidRPr="00B842E2">
        <w:rPr>
          <w:i/>
          <w:sz w:val="20"/>
          <w:szCs w:val="20"/>
        </w:rPr>
        <w:t xml:space="preserve">The Idea of a Social Science and its Relation to Philosophy, </w:t>
      </w:r>
      <w:r w:rsidRPr="00B842E2">
        <w:rPr>
          <w:sz w:val="20"/>
          <w:szCs w:val="20"/>
        </w:rPr>
        <w:t>Routledge, Kegan &amp; Paul, (London)</w:t>
      </w:r>
    </w:p>
  </w:endnote>
  <w:endnote w:id="25">
    <w:p w14:paraId="7F14A248"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L. (1969) </w:t>
      </w:r>
      <w:r w:rsidRPr="00B842E2">
        <w:rPr>
          <w:i/>
          <w:sz w:val="20"/>
          <w:szCs w:val="20"/>
        </w:rPr>
        <w:t>On Certainty</w:t>
      </w:r>
      <w:r w:rsidRPr="00B842E2">
        <w:rPr>
          <w:sz w:val="20"/>
          <w:szCs w:val="20"/>
        </w:rPr>
        <w:t>, § 608-612, Blackwells, (Oxford)</w:t>
      </w:r>
    </w:p>
  </w:endnote>
  <w:endnote w:id="26">
    <w:p w14:paraId="55A2A8A1"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(1967) op. cit., §124</w:t>
      </w:r>
    </w:p>
  </w:endnote>
  <w:endnote w:id="27">
    <w:p w14:paraId="5C2C07B9"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Williams, B. (1972). ‘Wittgenstein and Idealism’ in Vesey, G. (ed.) </w:t>
      </w:r>
      <w:r w:rsidRPr="00B842E2">
        <w:rPr>
          <w:i/>
          <w:sz w:val="20"/>
          <w:szCs w:val="20"/>
        </w:rPr>
        <w:t>Understanding Wittgenstein</w:t>
      </w:r>
      <w:r w:rsidRPr="00B842E2">
        <w:rPr>
          <w:sz w:val="20"/>
          <w:szCs w:val="20"/>
        </w:rPr>
        <w:t>, p 77 -95, (Royal Institute of Philosophy)</w:t>
      </w:r>
    </w:p>
  </w:endnote>
  <w:endnote w:id="28">
    <w:p w14:paraId="203118E1"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w:t>
      </w:r>
    </w:p>
  </w:endnote>
  <w:endnote w:id="29">
    <w:p w14:paraId="16942CF5"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Gellner, E.  (1974) ‘The New Idealism —Cause and  Meaning in the Social Sciences in </w:t>
      </w:r>
      <w:r w:rsidRPr="00B842E2">
        <w:rPr>
          <w:i/>
          <w:sz w:val="20"/>
          <w:szCs w:val="20"/>
        </w:rPr>
        <w:t>The Problems in the Philosophy of Science,</w:t>
      </w:r>
      <w:r w:rsidRPr="00B842E2">
        <w:rPr>
          <w:sz w:val="20"/>
          <w:szCs w:val="20"/>
        </w:rPr>
        <w:t xml:space="preserve"> p.142)</w:t>
      </w:r>
    </w:p>
  </w:endnote>
  <w:endnote w:id="30">
    <w:p w14:paraId="4D8D75D7"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w:t>
      </w:r>
    </w:p>
  </w:endnote>
  <w:endnote w:id="31">
    <w:p w14:paraId="46EE93D8"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(1967), op.cit,.§664</w:t>
      </w:r>
    </w:p>
  </w:endnote>
  <w:endnote w:id="32">
    <w:p w14:paraId="49AA9E09"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Ibid. § 663</w:t>
      </w:r>
    </w:p>
  </w:endnote>
  <w:endnote w:id="33">
    <w:p w14:paraId="317D8D92" w14:textId="77777777" w:rsidR="001F4D47" w:rsidRPr="00B842E2" w:rsidRDefault="001F4D47" w:rsidP="008C21DF">
      <w:pPr>
        <w:pStyle w:val="EndnoteText"/>
        <w:rPr>
          <w:sz w:val="20"/>
          <w:szCs w:val="20"/>
        </w:rPr>
      </w:pPr>
      <w:r w:rsidRPr="00B842E2">
        <w:rPr>
          <w:rStyle w:val="EndnoteReference"/>
          <w:sz w:val="20"/>
          <w:szCs w:val="20"/>
        </w:rPr>
        <w:endnoteRef/>
      </w:r>
      <w:r w:rsidRPr="00B842E2">
        <w:rPr>
          <w:sz w:val="20"/>
          <w:szCs w:val="20"/>
        </w:rPr>
        <w:t xml:space="preserve"> Wittgenstein, (1969), op. cit. §603</w:t>
      </w:r>
    </w:p>
  </w:endnote>
  <w:endnote w:id="34">
    <w:p w14:paraId="38ACECC3" w14:textId="77777777" w:rsidR="001F4D47" w:rsidRDefault="001F4D47" w:rsidP="008C21DF">
      <w:pPr>
        <w:pStyle w:val="EndnoteText"/>
      </w:pPr>
      <w:r w:rsidRPr="00B842E2">
        <w:rPr>
          <w:rStyle w:val="EndnoteReference"/>
          <w:sz w:val="20"/>
          <w:szCs w:val="20"/>
        </w:rPr>
        <w:endnoteRef/>
      </w:r>
      <w:r w:rsidRPr="00B842E2">
        <w:rPr>
          <w:sz w:val="20"/>
          <w:szCs w:val="20"/>
        </w:rPr>
        <w:t xml:space="preserve">  quoted in Monk, R.(1990)  </w:t>
      </w:r>
      <w:r w:rsidRPr="00B842E2">
        <w:rPr>
          <w:i/>
          <w:sz w:val="20"/>
          <w:szCs w:val="20"/>
        </w:rPr>
        <w:t>Ludwig Wittgenstein: The Duty of Genius</w:t>
      </w:r>
      <w:r w:rsidRPr="00B842E2">
        <w:rPr>
          <w:sz w:val="20"/>
          <w:szCs w:val="20"/>
        </w:rPr>
        <w:t>, pp. 305, Vintage (London).</w:t>
      </w:r>
    </w:p>
  </w:endnote>
  <w:endnote w:id="35">
    <w:p w14:paraId="5D03BCB2" w14:textId="77777777" w:rsidR="001F4D47" w:rsidRDefault="001F4D47" w:rsidP="008C21DF">
      <w:pPr>
        <w:pStyle w:val="EndnoteText"/>
      </w:pPr>
      <w:r>
        <w:rPr>
          <w:rStyle w:val="EndnoteReference"/>
          <w:sz w:val="20"/>
        </w:rPr>
        <w:endnoteRef/>
      </w:r>
      <w:r>
        <w:t xml:space="preserve"> Ibid. p. 307</w:t>
      </w:r>
    </w:p>
  </w:endnote>
  <w:endnote w:id="36">
    <w:p w14:paraId="736AD9EB" w14:textId="77777777" w:rsidR="001F4D47" w:rsidRDefault="001F4D47" w:rsidP="008C21DF">
      <w:pPr>
        <w:pStyle w:val="EndnoteText"/>
      </w:pPr>
      <w:r>
        <w:rPr>
          <w:rStyle w:val="EndnoteReference"/>
          <w:sz w:val="20"/>
        </w:rPr>
        <w:endnoteRef/>
      </w:r>
      <w:r>
        <w:t xml:space="preserve"> Ibid.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ＭＳ 明朝">
    <w:charset w:val="4E"/>
    <w:family w:val="auto"/>
    <w:pitch w:val="variable"/>
    <w:sig w:usb0="00000001" w:usb1="08070000" w:usb2="00000010" w:usb3="00000000" w:csb0="00020000" w:csb1="00000000"/>
  </w:font>
  <w:font w:name="Century Schoolbook">
    <w:panose1 w:val="020406040505050203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Lucida Grande">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A00002EF" w:usb1="4000004B" w:usb2="00000000" w:usb3="00000000" w:csb0="000000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451104" w14:textId="77777777" w:rsidR="001F4D47" w:rsidRDefault="001F4D47" w:rsidP="005E5C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0AAB5DF" w14:textId="77777777" w:rsidR="001F4D47" w:rsidRDefault="001F4D47" w:rsidP="005E5C3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FE745" w14:textId="77777777" w:rsidR="001F4D47" w:rsidRDefault="001F4D47" w:rsidP="005E5C3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4716">
      <w:rPr>
        <w:rStyle w:val="PageNumber"/>
        <w:noProof/>
      </w:rPr>
      <w:t>1</w:t>
    </w:r>
    <w:r>
      <w:rPr>
        <w:rStyle w:val="PageNumber"/>
      </w:rPr>
      <w:fldChar w:fldCharType="end"/>
    </w:r>
  </w:p>
  <w:p w14:paraId="5E682F76" w14:textId="77777777" w:rsidR="001F4D47" w:rsidRDefault="001F4D47" w:rsidP="005E5C3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318C58" w14:textId="77777777" w:rsidR="001F4D47" w:rsidRDefault="001F4D47" w:rsidP="008C21DF">
      <w:r>
        <w:separator/>
      </w:r>
    </w:p>
  </w:footnote>
  <w:footnote w:type="continuationSeparator" w:id="0">
    <w:p w14:paraId="440443E1" w14:textId="77777777" w:rsidR="001F4D47" w:rsidRDefault="001F4D47" w:rsidP="008C21DF">
      <w:r>
        <w:continuationSeparator/>
      </w:r>
    </w:p>
  </w:footnote>
  <w:footnote w:id="1">
    <w:p w14:paraId="565A2A37" w14:textId="77777777" w:rsidR="001F4D47" w:rsidRDefault="001F4D47" w:rsidP="008C21DF">
      <w:pPr>
        <w:pStyle w:val="EndnoteText"/>
      </w:pPr>
      <w:r>
        <w:rPr>
          <w:rStyle w:val="FootnoteReference"/>
        </w:rPr>
        <w:footnoteRef/>
      </w:r>
      <w:r>
        <w:t xml:space="preserve"> However, the system of validation does not have to include a correspondence with objects to which the signs act as representations.</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1DF"/>
    <w:rsid w:val="0005524D"/>
    <w:rsid w:val="001245F8"/>
    <w:rsid w:val="0019379D"/>
    <w:rsid w:val="001F4D47"/>
    <w:rsid w:val="00270630"/>
    <w:rsid w:val="002F49B9"/>
    <w:rsid w:val="00384716"/>
    <w:rsid w:val="003F5700"/>
    <w:rsid w:val="0044301A"/>
    <w:rsid w:val="005E5C3C"/>
    <w:rsid w:val="005F7B37"/>
    <w:rsid w:val="006B29AC"/>
    <w:rsid w:val="006F7FC6"/>
    <w:rsid w:val="0074380E"/>
    <w:rsid w:val="00802118"/>
    <w:rsid w:val="008C21DF"/>
    <w:rsid w:val="009C22B2"/>
    <w:rsid w:val="00B842E2"/>
    <w:rsid w:val="00BD20D5"/>
    <w:rsid w:val="00C30AD0"/>
    <w:rsid w:val="00C71E50"/>
    <w:rsid w:val="00E175E8"/>
    <w:rsid w:val="00E37975"/>
    <w:rsid w:val="00E54B79"/>
    <w:rsid w:val="00EA45FB"/>
    <w:rsid w:val="00F22171"/>
    <w:rsid w:val="00F94165"/>
    <w:rsid w:val="00F9731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5E91041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1DF"/>
    <w:pPr>
      <w:overflowPunct w:val="0"/>
      <w:autoSpaceDE w:val="0"/>
      <w:autoSpaceDN w:val="0"/>
      <w:adjustRightInd w:val="0"/>
      <w:textAlignment w:val="baseline"/>
    </w:pPr>
    <w:rPr>
      <w:rFonts w:eastAsia="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B04657"/>
    <w:pPr>
      <w:widowControl w:val="0"/>
      <w:overflowPunct/>
      <w:spacing w:before="100" w:after="120"/>
      <w:ind w:left="720" w:right="1440"/>
      <w:textAlignment w:val="auto"/>
    </w:pPr>
    <w:rPr>
      <w:rFonts w:ascii="Century Schoolbook" w:hAnsi="Century Schoolbook"/>
      <w:lang w:eastAsia="en-GB"/>
    </w:rPr>
  </w:style>
  <w:style w:type="paragraph" w:styleId="CommentText">
    <w:name w:val="annotation text"/>
    <w:basedOn w:val="Normal"/>
    <w:autoRedefine/>
    <w:semiHidden/>
    <w:rsid w:val="002F0DDD"/>
    <w:pPr>
      <w:overflowPunct/>
      <w:autoSpaceDE/>
      <w:autoSpaceDN/>
      <w:adjustRightInd/>
      <w:spacing w:before="100" w:after="100"/>
      <w:textAlignment w:val="auto"/>
    </w:pPr>
    <w:rPr>
      <w:rFonts w:ascii="Arial" w:hAnsi="Arial"/>
      <w:sz w:val="24"/>
      <w:lang w:val="en-AU" w:eastAsia="en-GB"/>
    </w:rPr>
  </w:style>
  <w:style w:type="paragraph" w:styleId="Quote">
    <w:name w:val="Quote"/>
    <w:basedOn w:val="Normal"/>
    <w:next w:val="Normal"/>
    <w:link w:val="QuoteChar"/>
    <w:uiPriority w:val="29"/>
    <w:qFormat/>
    <w:rsid w:val="006B29AC"/>
    <w:pPr>
      <w:overflowPunct/>
      <w:autoSpaceDE/>
      <w:autoSpaceDN/>
      <w:adjustRightInd/>
      <w:spacing w:before="100" w:after="100"/>
      <w:textAlignment w:val="auto"/>
    </w:pPr>
    <w:rPr>
      <w:rFonts w:ascii="Century Schoolbook" w:hAnsi="Century Schoolbook"/>
      <w:i/>
      <w:iCs/>
      <w:color w:val="000000" w:themeColor="text1"/>
    </w:rPr>
  </w:style>
  <w:style w:type="character" w:customStyle="1" w:styleId="QuoteChar">
    <w:name w:val="Quote Char"/>
    <w:basedOn w:val="DefaultParagraphFont"/>
    <w:link w:val="Quote"/>
    <w:uiPriority w:val="29"/>
    <w:rsid w:val="006B29AC"/>
    <w:rPr>
      <w:rFonts w:eastAsia="Times New Roman"/>
      <w:i/>
      <w:iCs/>
      <w:color w:val="000000" w:themeColor="text1"/>
      <w:lang w:eastAsia="en-US"/>
    </w:rPr>
  </w:style>
  <w:style w:type="paragraph" w:styleId="BalloonText">
    <w:name w:val="Balloon Text"/>
    <w:basedOn w:val="Normal"/>
    <w:link w:val="BalloonTextChar"/>
    <w:uiPriority w:val="99"/>
    <w:semiHidden/>
    <w:unhideWhenUsed/>
    <w:rsid w:val="00C30AD0"/>
    <w:pPr>
      <w:overflowPunct/>
      <w:autoSpaceDE/>
      <w:autoSpaceDN/>
      <w:adjustRightInd/>
      <w:spacing w:before="100" w:after="100"/>
      <w:textAlignment w:val="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0AD0"/>
    <w:rPr>
      <w:rFonts w:ascii="Lucida Grande" w:eastAsia="Times New Roman" w:hAnsi="Lucida Grande" w:cs="Lucida Grande"/>
      <w:color w:val="1F497D" w:themeColor="text2"/>
      <w:sz w:val="18"/>
      <w:szCs w:val="18"/>
      <w:lang w:eastAsia="en-US"/>
    </w:rPr>
  </w:style>
  <w:style w:type="paragraph" w:styleId="FootnoteText">
    <w:name w:val="footnote text"/>
    <w:basedOn w:val="Normal"/>
    <w:link w:val="FootnoteTextChar"/>
    <w:autoRedefine/>
    <w:uiPriority w:val="99"/>
    <w:unhideWhenUsed/>
    <w:qFormat/>
    <w:rsid w:val="00E54B79"/>
    <w:pPr>
      <w:jc w:val="both"/>
    </w:pPr>
    <w:rPr>
      <w:rFonts w:ascii="Century Schoolbook" w:eastAsiaTheme="minorEastAsia" w:hAnsi="Century Schoolbook"/>
      <w:szCs w:val="24"/>
      <w:lang w:eastAsia="ja-JP"/>
    </w:rPr>
  </w:style>
  <w:style w:type="character" w:customStyle="1" w:styleId="FootnoteTextChar">
    <w:name w:val="Footnote Text Char"/>
    <w:basedOn w:val="DefaultParagraphFont"/>
    <w:link w:val="FootnoteText"/>
    <w:uiPriority w:val="99"/>
    <w:rsid w:val="00E54B79"/>
    <w:rPr>
      <w:rFonts w:ascii="Century Schoolbook" w:hAnsi="Century Schoolbook"/>
      <w:szCs w:val="24"/>
    </w:rPr>
  </w:style>
  <w:style w:type="paragraph" w:customStyle="1" w:styleId="BlockQuotation">
    <w:name w:val="Block Quotation"/>
    <w:basedOn w:val="BodyText"/>
    <w:autoRedefine/>
    <w:qFormat/>
    <w:rsid w:val="00E54B79"/>
    <w:pPr>
      <w:keepLines/>
      <w:overflowPunct w:val="0"/>
      <w:autoSpaceDE w:val="0"/>
      <w:autoSpaceDN w:val="0"/>
      <w:adjustRightInd w:val="0"/>
      <w:spacing w:before="0"/>
      <w:ind w:left="720" w:right="1440"/>
      <w:jc w:val="both"/>
      <w:textAlignment w:val="baseline"/>
    </w:pPr>
    <w:rPr>
      <w:sz w:val="20"/>
    </w:rPr>
  </w:style>
  <w:style w:type="paragraph" w:styleId="BodyText">
    <w:name w:val="Body Text"/>
    <w:basedOn w:val="Normal"/>
    <w:link w:val="BodyTextChar"/>
    <w:uiPriority w:val="99"/>
    <w:semiHidden/>
    <w:unhideWhenUsed/>
    <w:rsid w:val="00E54B79"/>
    <w:pPr>
      <w:overflowPunct/>
      <w:autoSpaceDE/>
      <w:autoSpaceDN/>
      <w:adjustRightInd/>
      <w:spacing w:before="100" w:after="120"/>
      <w:textAlignment w:val="auto"/>
    </w:pPr>
    <w:rPr>
      <w:rFonts w:ascii="Century Schoolbook" w:hAnsi="Century Schoolbook"/>
      <w:sz w:val="24"/>
    </w:rPr>
  </w:style>
  <w:style w:type="character" w:customStyle="1" w:styleId="BodyTextChar">
    <w:name w:val="Body Text Char"/>
    <w:basedOn w:val="DefaultParagraphFont"/>
    <w:link w:val="BodyText"/>
    <w:uiPriority w:val="99"/>
    <w:semiHidden/>
    <w:rsid w:val="00E54B79"/>
    <w:rPr>
      <w:rFonts w:ascii="Century Schoolbook" w:eastAsia="Times New Roman" w:hAnsi="Century Schoolbook"/>
      <w:sz w:val="24"/>
      <w:lang w:val="en-US" w:eastAsia="en-US"/>
    </w:rPr>
  </w:style>
  <w:style w:type="character" w:styleId="FootnoteReference">
    <w:name w:val="footnote reference"/>
    <w:basedOn w:val="DefaultParagraphFont"/>
    <w:semiHidden/>
    <w:rsid w:val="008C21DF"/>
    <w:rPr>
      <w:vertAlign w:val="superscript"/>
    </w:rPr>
  </w:style>
  <w:style w:type="paragraph" w:styleId="EndnoteText">
    <w:name w:val="endnote text"/>
    <w:basedOn w:val="Normal"/>
    <w:link w:val="EndnoteTextChar"/>
    <w:semiHidden/>
    <w:unhideWhenUsed/>
    <w:rsid w:val="008C21DF"/>
    <w:rPr>
      <w:sz w:val="24"/>
      <w:szCs w:val="24"/>
    </w:rPr>
  </w:style>
  <w:style w:type="character" w:customStyle="1" w:styleId="EndnoteTextChar">
    <w:name w:val="Endnote Text Char"/>
    <w:basedOn w:val="DefaultParagraphFont"/>
    <w:link w:val="EndnoteText"/>
    <w:uiPriority w:val="99"/>
    <w:semiHidden/>
    <w:rsid w:val="008C21DF"/>
    <w:rPr>
      <w:rFonts w:eastAsia="Times New Roman"/>
      <w:sz w:val="24"/>
      <w:szCs w:val="24"/>
      <w:lang w:eastAsia="en-US"/>
    </w:rPr>
  </w:style>
  <w:style w:type="character" w:styleId="EndnoteReference">
    <w:name w:val="endnote reference"/>
    <w:semiHidden/>
    <w:rsid w:val="008C21DF"/>
    <w:rPr>
      <w:vertAlign w:val="superscript"/>
    </w:rPr>
  </w:style>
  <w:style w:type="character" w:styleId="CommentReference">
    <w:name w:val="annotation reference"/>
    <w:semiHidden/>
    <w:rsid w:val="008C21DF"/>
    <w:rPr>
      <w:sz w:val="16"/>
    </w:rPr>
  </w:style>
  <w:style w:type="paragraph" w:styleId="Header">
    <w:name w:val="header"/>
    <w:basedOn w:val="Normal"/>
    <w:link w:val="HeaderChar"/>
    <w:uiPriority w:val="99"/>
    <w:unhideWhenUsed/>
    <w:rsid w:val="0019379D"/>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9379D"/>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19379D"/>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9379D"/>
    <w:rPr>
      <w:rFonts w:asciiTheme="minorHAnsi" w:eastAsiaTheme="minorHAnsi" w:hAnsiTheme="minorHAnsi" w:cstheme="minorBidi"/>
      <w:sz w:val="22"/>
      <w:szCs w:val="22"/>
      <w:lang w:eastAsia="en-US"/>
    </w:rPr>
  </w:style>
  <w:style w:type="character" w:styleId="PageNumber">
    <w:name w:val="page number"/>
    <w:basedOn w:val="DefaultParagraphFont"/>
    <w:uiPriority w:val="99"/>
    <w:semiHidden/>
    <w:unhideWhenUsed/>
    <w:rsid w:val="0019379D"/>
  </w:style>
  <w:style w:type="paragraph" w:styleId="IntenseQuote">
    <w:name w:val="Intense Quote"/>
    <w:basedOn w:val="Normal"/>
    <w:next w:val="Normal"/>
    <w:link w:val="IntenseQuoteChar"/>
    <w:autoRedefine/>
    <w:uiPriority w:val="30"/>
    <w:qFormat/>
    <w:rsid w:val="0044301A"/>
    <w:pPr>
      <w:spacing w:before="200" w:after="280"/>
      <w:ind w:left="936" w:right="936"/>
      <w:jc w:val="both"/>
    </w:pPr>
    <w:rPr>
      <w:rFonts w:ascii="Century Schoolbook" w:hAnsi="Century Schoolbook"/>
      <w:bCs/>
      <w:i/>
      <w:iCs/>
      <w:sz w:val="22"/>
    </w:rPr>
  </w:style>
  <w:style w:type="character" w:customStyle="1" w:styleId="IntenseQuoteChar">
    <w:name w:val="Intense Quote Char"/>
    <w:basedOn w:val="DefaultParagraphFont"/>
    <w:link w:val="IntenseQuote"/>
    <w:uiPriority w:val="30"/>
    <w:rsid w:val="0044301A"/>
    <w:rPr>
      <w:rFonts w:ascii="Century Schoolbook" w:eastAsia="Times New Roman" w:hAnsi="Century Schoolbook"/>
      <w:bCs/>
      <w:i/>
      <w:iCs/>
      <w:sz w:val="22"/>
      <w:lang w:eastAsia="en-US"/>
    </w:rPr>
  </w:style>
  <w:style w:type="character" w:styleId="IntenseEmphasis">
    <w:name w:val="Intense Emphasis"/>
    <w:basedOn w:val="DefaultParagraphFont"/>
    <w:uiPriority w:val="21"/>
    <w:qFormat/>
    <w:rsid w:val="0044301A"/>
    <w:rPr>
      <w:b/>
      <w:bCs/>
      <w:i/>
      <w:iCs/>
      <w:color w:val="4F81BD" w:themeColor="accent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1DF"/>
    <w:pPr>
      <w:overflowPunct w:val="0"/>
      <w:autoSpaceDE w:val="0"/>
      <w:autoSpaceDN w:val="0"/>
      <w:adjustRightInd w:val="0"/>
      <w:textAlignment w:val="baseline"/>
    </w:pPr>
    <w:rPr>
      <w:rFonts w:eastAsia="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B04657"/>
    <w:pPr>
      <w:widowControl w:val="0"/>
      <w:overflowPunct/>
      <w:spacing w:before="100" w:after="120"/>
      <w:ind w:left="720" w:right="1440"/>
      <w:textAlignment w:val="auto"/>
    </w:pPr>
    <w:rPr>
      <w:rFonts w:ascii="Century Schoolbook" w:hAnsi="Century Schoolbook"/>
      <w:lang w:eastAsia="en-GB"/>
    </w:rPr>
  </w:style>
  <w:style w:type="paragraph" w:styleId="CommentText">
    <w:name w:val="annotation text"/>
    <w:basedOn w:val="Normal"/>
    <w:autoRedefine/>
    <w:semiHidden/>
    <w:rsid w:val="002F0DDD"/>
    <w:pPr>
      <w:overflowPunct/>
      <w:autoSpaceDE/>
      <w:autoSpaceDN/>
      <w:adjustRightInd/>
      <w:spacing w:before="100" w:after="100"/>
      <w:textAlignment w:val="auto"/>
    </w:pPr>
    <w:rPr>
      <w:rFonts w:ascii="Arial" w:hAnsi="Arial"/>
      <w:sz w:val="24"/>
      <w:lang w:val="en-AU" w:eastAsia="en-GB"/>
    </w:rPr>
  </w:style>
  <w:style w:type="paragraph" w:styleId="Quote">
    <w:name w:val="Quote"/>
    <w:basedOn w:val="Normal"/>
    <w:next w:val="Normal"/>
    <w:link w:val="QuoteChar"/>
    <w:uiPriority w:val="29"/>
    <w:qFormat/>
    <w:rsid w:val="006B29AC"/>
    <w:pPr>
      <w:overflowPunct/>
      <w:autoSpaceDE/>
      <w:autoSpaceDN/>
      <w:adjustRightInd/>
      <w:spacing w:before="100" w:after="100"/>
      <w:textAlignment w:val="auto"/>
    </w:pPr>
    <w:rPr>
      <w:rFonts w:ascii="Century Schoolbook" w:hAnsi="Century Schoolbook"/>
      <w:i/>
      <w:iCs/>
      <w:color w:val="000000" w:themeColor="text1"/>
    </w:rPr>
  </w:style>
  <w:style w:type="character" w:customStyle="1" w:styleId="QuoteChar">
    <w:name w:val="Quote Char"/>
    <w:basedOn w:val="DefaultParagraphFont"/>
    <w:link w:val="Quote"/>
    <w:uiPriority w:val="29"/>
    <w:rsid w:val="006B29AC"/>
    <w:rPr>
      <w:rFonts w:eastAsia="Times New Roman"/>
      <w:i/>
      <w:iCs/>
      <w:color w:val="000000" w:themeColor="text1"/>
      <w:lang w:eastAsia="en-US"/>
    </w:rPr>
  </w:style>
  <w:style w:type="paragraph" w:styleId="BalloonText">
    <w:name w:val="Balloon Text"/>
    <w:basedOn w:val="Normal"/>
    <w:link w:val="BalloonTextChar"/>
    <w:uiPriority w:val="99"/>
    <w:semiHidden/>
    <w:unhideWhenUsed/>
    <w:rsid w:val="00C30AD0"/>
    <w:pPr>
      <w:overflowPunct/>
      <w:autoSpaceDE/>
      <w:autoSpaceDN/>
      <w:adjustRightInd/>
      <w:spacing w:before="100" w:after="100"/>
      <w:textAlignment w:val="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0AD0"/>
    <w:rPr>
      <w:rFonts w:ascii="Lucida Grande" w:eastAsia="Times New Roman" w:hAnsi="Lucida Grande" w:cs="Lucida Grande"/>
      <w:color w:val="1F497D" w:themeColor="text2"/>
      <w:sz w:val="18"/>
      <w:szCs w:val="18"/>
      <w:lang w:eastAsia="en-US"/>
    </w:rPr>
  </w:style>
  <w:style w:type="paragraph" w:styleId="FootnoteText">
    <w:name w:val="footnote text"/>
    <w:basedOn w:val="Normal"/>
    <w:link w:val="FootnoteTextChar"/>
    <w:autoRedefine/>
    <w:uiPriority w:val="99"/>
    <w:unhideWhenUsed/>
    <w:qFormat/>
    <w:rsid w:val="00E54B79"/>
    <w:pPr>
      <w:jc w:val="both"/>
    </w:pPr>
    <w:rPr>
      <w:rFonts w:ascii="Century Schoolbook" w:eastAsiaTheme="minorEastAsia" w:hAnsi="Century Schoolbook"/>
      <w:szCs w:val="24"/>
      <w:lang w:eastAsia="ja-JP"/>
    </w:rPr>
  </w:style>
  <w:style w:type="character" w:customStyle="1" w:styleId="FootnoteTextChar">
    <w:name w:val="Footnote Text Char"/>
    <w:basedOn w:val="DefaultParagraphFont"/>
    <w:link w:val="FootnoteText"/>
    <w:uiPriority w:val="99"/>
    <w:rsid w:val="00E54B79"/>
    <w:rPr>
      <w:rFonts w:ascii="Century Schoolbook" w:hAnsi="Century Schoolbook"/>
      <w:szCs w:val="24"/>
    </w:rPr>
  </w:style>
  <w:style w:type="paragraph" w:customStyle="1" w:styleId="BlockQuotation">
    <w:name w:val="Block Quotation"/>
    <w:basedOn w:val="BodyText"/>
    <w:autoRedefine/>
    <w:qFormat/>
    <w:rsid w:val="00E54B79"/>
    <w:pPr>
      <w:keepLines/>
      <w:overflowPunct w:val="0"/>
      <w:autoSpaceDE w:val="0"/>
      <w:autoSpaceDN w:val="0"/>
      <w:adjustRightInd w:val="0"/>
      <w:spacing w:before="0"/>
      <w:ind w:left="720" w:right="1440"/>
      <w:jc w:val="both"/>
      <w:textAlignment w:val="baseline"/>
    </w:pPr>
    <w:rPr>
      <w:sz w:val="20"/>
    </w:rPr>
  </w:style>
  <w:style w:type="paragraph" w:styleId="BodyText">
    <w:name w:val="Body Text"/>
    <w:basedOn w:val="Normal"/>
    <w:link w:val="BodyTextChar"/>
    <w:uiPriority w:val="99"/>
    <w:semiHidden/>
    <w:unhideWhenUsed/>
    <w:rsid w:val="00E54B79"/>
    <w:pPr>
      <w:overflowPunct/>
      <w:autoSpaceDE/>
      <w:autoSpaceDN/>
      <w:adjustRightInd/>
      <w:spacing w:before="100" w:after="120"/>
      <w:textAlignment w:val="auto"/>
    </w:pPr>
    <w:rPr>
      <w:rFonts w:ascii="Century Schoolbook" w:hAnsi="Century Schoolbook"/>
      <w:sz w:val="24"/>
    </w:rPr>
  </w:style>
  <w:style w:type="character" w:customStyle="1" w:styleId="BodyTextChar">
    <w:name w:val="Body Text Char"/>
    <w:basedOn w:val="DefaultParagraphFont"/>
    <w:link w:val="BodyText"/>
    <w:uiPriority w:val="99"/>
    <w:semiHidden/>
    <w:rsid w:val="00E54B79"/>
    <w:rPr>
      <w:rFonts w:ascii="Century Schoolbook" w:eastAsia="Times New Roman" w:hAnsi="Century Schoolbook"/>
      <w:sz w:val="24"/>
      <w:lang w:val="en-US" w:eastAsia="en-US"/>
    </w:rPr>
  </w:style>
  <w:style w:type="character" w:styleId="FootnoteReference">
    <w:name w:val="footnote reference"/>
    <w:basedOn w:val="DefaultParagraphFont"/>
    <w:semiHidden/>
    <w:rsid w:val="008C21DF"/>
    <w:rPr>
      <w:vertAlign w:val="superscript"/>
    </w:rPr>
  </w:style>
  <w:style w:type="paragraph" w:styleId="EndnoteText">
    <w:name w:val="endnote text"/>
    <w:basedOn w:val="Normal"/>
    <w:link w:val="EndnoteTextChar"/>
    <w:semiHidden/>
    <w:unhideWhenUsed/>
    <w:rsid w:val="008C21DF"/>
    <w:rPr>
      <w:sz w:val="24"/>
      <w:szCs w:val="24"/>
    </w:rPr>
  </w:style>
  <w:style w:type="character" w:customStyle="1" w:styleId="EndnoteTextChar">
    <w:name w:val="Endnote Text Char"/>
    <w:basedOn w:val="DefaultParagraphFont"/>
    <w:link w:val="EndnoteText"/>
    <w:uiPriority w:val="99"/>
    <w:semiHidden/>
    <w:rsid w:val="008C21DF"/>
    <w:rPr>
      <w:rFonts w:eastAsia="Times New Roman"/>
      <w:sz w:val="24"/>
      <w:szCs w:val="24"/>
      <w:lang w:eastAsia="en-US"/>
    </w:rPr>
  </w:style>
  <w:style w:type="character" w:styleId="EndnoteReference">
    <w:name w:val="endnote reference"/>
    <w:semiHidden/>
    <w:rsid w:val="008C21DF"/>
    <w:rPr>
      <w:vertAlign w:val="superscript"/>
    </w:rPr>
  </w:style>
  <w:style w:type="character" w:styleId="CommentReference">
    <w:name w:val="annotation reference"/>
    <w:semiHidden/>
    <w:rsid w:val="008C21DF"/>
    <w:rPr>
      <w:sz w:val="16"/>
    </w:rPr>
  </w:style>
  <w:style w:type="paragraph" w:styleId="Header">
    <w:name w:val="header"/>
    <w:basedOn w:val="Normal"/>
    <w:link w:val="HeaderChar"/>
    <w:uiPriority w:val="99"/>
    <w:unhideWhenUsed/>
    <w:rsid w:val="0019379D"/>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19379D"/>
    <w:rPr>
      <w:rFonts w:asciiTheme="minorHAnsi" w:eastAsiaTheme="minorHAnsi" w:hAnsiTheme="minorHAnsi" w:cstheme="minorBidi"/>
      <w:sz w:val="22"/>
      <w:szCs w:val="22"/>
      <w:lang w:eastAsia="en-US"/>
    </w:rPr>
  </w:style>
  <w:style w:type="paragraph" w:styleId="Footer">
    <w:name w:val="footer"/>
    <w:basedOn w:val="Normal"/>
    <w:link w:val="FooterChar"/>
    <w:uiPriority w:val="99"/>
    <w:unhideWhenUsed/>
    <w:rsid w:val="0019379D"/>
    <w:pPr>
      <w:tabs>
        <w:tab w:val="center" w:pos="4513"/>
        <w:tab w:val="right" w:pos="9026"/>
      </w:tabs>
      <w:overflowPunct/>
      <w:autoSpaceDE/>
      <w:autoSpaceDN/>
      <w:adjustRightInd/>
      <w:textAlignment w:val="auto"/>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19379D"/>
    <w:rPr>
      <w:rFonts w:asciiTheme="minorHAnsi" w:eastAsiaTheme="minorHAnsi" w:hAnsiTheme="minorHAnsi" w:cstheme="minorBidi"/>
      <w:sz w:val="22"/>
      <w:szCs w:val="22"/>
      <w:lang w:eastAsia="en-US"/>
    </w:rPr>
  </w:style>
  <w:style w:type="character" w:styleId="PageNumber">
    <w:name w:val="page number"/>
    <w:basedOn w:val="DefaultParagraphFont"/>
    <w:uiPriority w:val="99"/>
    <w:semiHidden/>
    <w:unhideWhenUsed/>
    <w:rsid w:val="0019379D"/>
  </w:style>
  <w:style w:type="paragraph" w:styleId="IntenseQuote">
    <w:name w:val="Intense Quote"/>
    <w:basedOn w:val="Normal"/>
    <w:next w:val="Normal"/>
    <w:link w:val="IntenseQuoteChar"/>
    <w:autoRedefine/>
    <w:uiPriority w:val="30"/>
    <w:qFormat/>
    <w:rsid w:val="0044301A"/>
    <w:pPr>
      <w:spacing w:before="200" w:after="280"/>
      <w:ind w:left="936" w:right="936"/>
      <w:jc w:val="both"/>
    </w:pPr>
    <w:rPr>
      <w:rFonts w:ascii="Century Schoolbook" w:hAnsi="Century Schoolbook"/>
      <w:bCs/>
      <w:i/>
      <w:iCs/>
      <w:sz w:val="22"/>
    </w:rPr>
  </w:style>
  <w:style w:type="character" w:customStyle="1" w:styleId="IntenseQuoteChar">
    <w:name w:val="Intense Quote Char"/>
    <w:basedOn w:val="DefaultParagraphFont"/>
    <w:link w:val="IntenseQuote"/>
    <w:uiPriority w:val="30"/>
    <w:rsid w:val="0044301A"/>
    <w:rPr>
      <w:rFonts w:ascii="Century Schoolbook" w:eastAsia="Times New Roman" w:hAnsi="Century Schoolbook"/>
      <w:bCs/>
      <w:i/>
      <w:iCs/>
      <w:sz w:val="22"/>
      <w:lang w:eastAsia="en-US"/>
    </w:rPr>
  </w:style>
  <w:style w:type="character" w:styleId="IntenseEmphasis">
    <w:name w:val="Intense Emphasis"/>
    <w:basedOn w:val="DefaultParagraphFont"/>
    <w:uiPriority w:val="21"/>
    <w:qFormat/>
    <w:rsid w:val="0044301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6754</Words>
  <Characters>38499</Characters>
  <Application>Microsoft Macintosh Word</Application>
  <DocSecurity>0</DocSecurity>
  <Lines>320</Lines>
  <Paragraphs>90</Paragraphs>
  <ScaleCrop>false</ScaleCrop>
  <Company/>
  <LinksUpToDate>false</LinksUpToDate>
  <CharactersWithSpaces>45163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Morgans User</dc:creator>
  <cp:keywords/>
  <dc:description/>
  <cp:lastModifiedBy>D. Morgans User</cp:lastModifiedBy>
  <cp:revision>2</cp:revision>
  <cp:lastPrinted>2012-03-09T17:32:00Z</cp:lastPrinted>
  <dcterms:created xsi:type="dcterms:W3CDTF">2013-08-06T12:41:00Z</dcterms:created>
  <dcterms:modified xsi:type="dcterms:W3CDTF">2013-08-06T12:41:00Z</dcterms:modified>
</cp:coreProperties>
</file>