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6799D9" w14:textId="77777777" w:rsidR="00FE67EF" w:rsidRPr="002A40C6" w:rsidRDefault="00FE67EF">
      <w:pPr>
        <w:pStyle w:val="Normal1"/>
        <w:spacing w:line="360" w:lineRule="auto"/>
        <w:jc w:val="center"/>
        <w:rPr>
          <w:b/>
          <w:sz w:val="32"/>
          <w:szCs w:val="32"/>
          <w:lang w:val="en-GB"/>
        </w:rPr>
      </w:pPr>
    </w:p>
    <w:p w14:paraId="0985C226" w14:textId="77777777" w:rsidR="00FE67EF" w:rsidRPr="002A40C6" w:rsidRDefault="00FE67EF">
      <w:pPr>
        <w:pStyle w:val="Normal1"/>
        <w:spacing w:line="360" w:lineRule="auto"/>
        <w:jc w:val="center"/>
        <w:rPr>
          <w:b/>
          <w:sz w:val="32"/>
          <w:szCs w:val="32"/>
          <w:lang w:val="en-GB"/>
        </w:rPr>
      </w:pPr>
    </w:p>
    <w:p w14:paraId="6B75D4A3" w14:textId="77777777" w:rsidR="00FE67EF" w:rsidRPr="002A40C6" w:rsidRDefault="00FE67EF">
      <w:pPr>
        <w:pStyle w:val="Normal1"/>
        <w:spacing w:line="360" w:lineRule="auto"/>
        <w:jc w:val="center"/>
        <w:rPr>
          <w:b/>
          <w:sz w:val="32"/>
          <w:szCs w:val="32"/>
          <w:lang w:val="en-GB"/>
        </w:rPr>
      </w:pPr>
    </w:p>
    <w:p w14:paraId="226B7132" w14:textId="77777777" w:rsidR="00FE67EF" w:rsidRPr="002A40C6" w:rsidRDefault="00FE67EF">
      <w:pPr>
        <w:pStyle w:val="Normal1"/>
        <w:spacing w:line="360" w:lineRule="auto"/>
        <w:jc w:val="center"/>
        <w:rPr>
          <w:b/>
          <w:sz w:val="32"/>
          <w:szCs w:val="32"/>
          <w:lang w:val="en-GB"/>
        </w:rPr>
      </w:pPr>
    </w:p>
    <w:p w14:paraId="0EE247EF" w14:textId="77777777" w:rsidR="00FE67EF" w:rsidRPr="002A40C6" w:rsidRDefault="00FE67EF">
      <w:pPr>
        <w:pStyle w:val="Normal1"/>
        <w:spacing w:line="360" w:lineRule="auto"/>
        <w:jc w:val="center"/>
        <w:rPr>
          <w:b/>
          <w:sz w:val="32"/>
          <w:szCs w:val="32"/>
          <w:lang w:val="en-GB"/>
        </w:rPr>
      </w:pPr>
    </w:p>
    <w:p w14:paraId="19EE5B37" w14:textId="77777777" w:rsidR="00FE67EF" w:rsidRPr="002A40C6" w:rsidRDefault="00FE67EF">
      <w:pPr>
        <w:pStyle w:val="Normal1"/>
        <w:spacing w:line="360" w:lineRule="auto"/>
        <w:jc w:val="center"/>
        <w:rPr>
          <w:b/>
          <w:sz w:val="32"/>
          <w:szCs w:val="32"/>
          <w:lang w:val="en-GB"/>
        </w:rPr>
      </w:pPr>
    </w:p>
    <w:p w14:paraId="682E1A14" w14:textId="77777777" w:rsidR="00FE67EF" w:rsidRPr="002A40C6" w:rsidRDefault="00FE67EF">
      <w:pPr>
        <w:pStyle w:val="Normal1"/>
        <w:spacing w:line="360" w:lineRule="auto"/>
        <w:jc w:val="center"/>
        <w:rPr>
          <w:b/>
          <w:sz w:val="32"/>
          <w:szCs w:val="32"/>
          <w:lang w:val="en-GB"/>
        </w:rPr>
      </w:pPr>
    </w:p>
    <w:p w14:paraId="4BAB6DF2" w14:textId="77777777" w:rsidR="00002063" w:rsidRPr="002A40C6" w:rsidRDefault="00002063">
      <w:pPr>
        <w:pStyle w:val="Normal1"/>
        <w:spacing w:line="360" w:lineRule="auto"/>
        <w:jc w:val="center"/>
        <w:rPr>
          <w:b/>
          <w:sz w:val="32"/>
          <w:szCs w:val="32"/>
          <w:lang w:val="en-GB"/>
        </w:rPr>
      </w:pPr>
    </w:p>
    <w:p w14:paraId="0AA5C059" w14:textId="77777777" w:rsidR="00FE67EF" w:rsidRPr="002A40C6" w:rsidRDefault="00CA4531">
      <w:pPr>
        <w:pStyle w:val="Normal1"/>
        <w:spacing w:line="360" w:lineRule="auto"/>
        <w:jc w:val="center"/>
        <w:rPr>
          <w:b/>
          <w:sz w:val="32"/>
          <w:szCs w:val="32"/>
          <w:lang w:val="en-GB"/>
        </w:rPr>
      </w:pPr>
      <w:r w:rsidRPr="002A40C6">
        <w:rPr>
          <w:b/>
          <w:sz w:val="32"/>
          <w:szCs w:val="32"/>
          <w:lang w:val="en-GB"/>
        </w:rPr>
        <w:t>INTRODUCTION TO PHYSIOLOGY</w:t>
      </w:r>
    </w:p>
    <w:p w14:paraId="13D0CB3C" w14:textId="77777777" w:rsidR="00FE67EF" w:rsidRPr="002A40C6" w:rsidRDefault="00CA4531">
      <w:pPr>
        <w:pStyle w:val="Normal1"/>
        <w:spacing w:line="360" w:lineRule="auto"/>
        <w:jc w:val="center"/>
        <w:rPr>
          <w:b/>
          <w:sz w:val="32"/>
          <w:szCs w:val="32"/>
          <w:lang w:val="en-GB"/>
        </w:rPr>
      </w:pPr>
      <w:r w:rsidRPr="002A40C6">
        <w:rPr>
          <w:b/>
          <w:sz w:val="32"/>
          <w:szCs w:val="32"/>
          <w:lang w:val="en-GB"/>
        </w:rPr>
        <w:t>COMPONENT 1: WRITTEN ASSIGNMENT (CASE STUDY REPORT)</w:t>
      </w:r>
    </w:p>
    <w:p w14:paraId="4C11796A" w14:textId="77777777" w:rsidR="00002063" w:rsidRDefault="00CA4531">
      <w:pPr>
        <w:pStyle w:val="Normal1"/>
        <w:spacing w:line="360" w:lineRule="auto"/>
        <w:jc w:val="center"/>
        <w:rPr>
          <w:b/>
          <w:sz w:val="32"/>
          <w:szCs w:val="32"/>
          <w:lang w:val="en-GB"/>
        </w:rPr>
      </w:pPr>
      <w:r w:rsidRPr="002A40C6">
        <w:rPr>
          <w:b/>
          <w:sz w:val="32"/>
          <w:szCs w:val="32"/>
          <w:lang w:val="en-GB"/>
        </w:rPr>
        <w:t>CASE STUDY 1</w:t>
      </w:r>
    </w:p>
    <w:p w14:paraId="29B71FB6" w14:textId="77777777" w:rsidR="00920B22" w:rsidRDefault="00920B22">
      <w:pPr>
        <w:pStyle w:val="Normal1"/>
        <w:spacing w:line="360" w:lineRule="auto"/>
        <w:jc w:val="center"/>
        <w:rPr>
          <w:b/>
          <w:sz w:val="32"/>
          <w:szCs w:val="32"/>
          <w:lang w:val="en-GB"/>
        </w:rPr>
      </w:pPr>
    </w:p>
    <w:p w14:paraId="213624AB" w14:textId="77777777" w:rsidR="00923056" w:rsidRPr="00923056" w:rsidRDefault="00923056" w:rsidP="00923056">
      <w:pPr>
        <w:spacing w:after="160"/>
        <w:rPr>
          <w:rFonts w:ascii="Aptos" w:eastAsia="Aptos" w:hAnsi="Aptos" w:cs="Aptos"/>
          <w:color w:val="000000" w:themeColor="text1"/>
          <w:sz w:val="24"/>
          <w:szCs w:val="24"/>
          <w:lang w:eastAsia="ja-JP" w:bidi="ar-SA"/>
        </w:rPr>
      </w:pPr>
      <w:r w:rsidRPr="00923056">
        <w:rPr>
          <w:rFonts w:ascii="Aptos" w:eastAsia="Aptos" w:hAnsi="Aptos" w:cs="Aptos"/>
          <w:color w:val="000000" w:themeColor="text1"/>
          <w:sz w:val="24"/>
          <w:szCs w:val="24"/>
          <w:lang w:eastAsia="ja-JP" w:bidi="ar-SA"/>
        </w:rPr>
        <w:t>Name: Bernice Takyi</w:t>
      </w:r>
    </w:p>
    <w:p w14:paraId="3529850B" w14:textId="77777777" w:rsidR="00923056" w:rsidRPr="00FA4FB4" w:rsidRDefault="00923056" w:rsidP="00923056">
      <w:pPr>
        <w:spacing w:after="160"/>
        <w:rPr>
          <w:rFonts w:ascii="Aptos" w:eastAsia="Aptos" w:hAnsi="Aptos" w:cs="Aptos"/>
          <w:b/>
          <w:bCs/>
          <w:color w:val="000000" w:themeColor="text1"/>
          <w:sz w:val="24"/>
          <w:szCs w:val="24"/>
          <w:lang w:eastAsia="ja-JP" w:bidi="ar-SA"/>
        </w:rPr>
      </w:pPr>
      <w:r w:rsidRPr="00923056">
        <w:rPr>
          <w:rFonts w:ascii="Aptos" w:eastAsia="Aptos" w:hAnsi="Aptos" w:cs="Aptos"/>
          <w:color w:val="000000" w:themeColor="text1"/>
          <w:sz w:val="24"/>
          <w:szCs w:val="24"/>
          <w:lang w:eastAsia="ja-JP" w:bidi="ar-SA"/>
        </w:rPr>
        <w:t>ID: 2330845</w:t>
      </w:r>
    </w:p>
    <w:p w14:paraId="14E1D76F" w14:textId="06BD9903" w:rsidR="00923056" w:rsidRPr="00923056" w:rsidRDefault="00923056" w:rsidP="00923056">
      <w:pPr>
        <w:spacing w:after="160"/>
        <w:rPr>
          <w:rFonts w:ascii="Segoe UI" w:eastAsia="Segoe UI" w:hAnsi="Segoe UI" w:cs="Segoe UI"/>
          <w:color w:val="FFFFFF" w:themeColor="background1"/>
          <w:sz w:val="24"/>
          <w:szCs w:val="24"/>
          <w:lang w:eastAsia="ja-JP" w:bidi="ar-SA"/>
        </w:rPr>
      </w:pPr>
      <w:r w:rsidRPr="00923056">
        <w:rPr>
          <w:rFonts w:ascii="Aptos" w:eastAsia="Aptos" w:hAnsi="Aptos" w:cs="Aptos"/>
          <w:color w:val="000000" w:themeColor="text1"/>
          <w:sz w:val="24"/>
          <w:szCs w:val="24"/>
          <w:lang w:eastAsia="ja-JP" w:bidi="ar-SA"/>
        </w:rPr>
        <w:t xml:space="preserve">Module: </w:t>
      </w:r>
      <w:r w:rsidR="00FA4FB4" w:rsidRPr="00FA4FB4">
        <w:rPr>
          <w:bCs/>
          <w:lang w:bidi="ar-SA"/>
        </w:rPr>
        <w:t>BMHP5023</w:t>
      </w:r>
    </w:p>
    <w:p w14:paraId="37126809" w14:textId="6EE86070" w:rsidR="00923056" w:rsidRPr="00923056" w:rsidRDefault="00923056" w:rsidP="00923056">
      <w:pPr>
        <w:keepNext/>
        <w:spacing w:line="360" w:lineRule="auto"/>
        <w:rPr>
          <w:rFonts w:ascii="Times New Roman" w:eastAsia="Times New Roman" w:hAnsi="Times New Roman" w:cs="Times New Roman"/>
          <w:bCs/>
          <w:sz w:val="32"/>
          <w:szCs w:val="32"/>
          <w:lang w:val="en-GB" w:bidi="ar-SA"/>
        </w:rPr>
      </w:pPr>
      <w:r w:rsidRPr="00923056">
        <w:rPr>
          <w:rFonts w:ascii="Aptos" w:eastAsia="Aptos" w:hAnsi="Aptos" w:cs="Aptos"/>
          <w:color w:val="000000" w:themeColor="text1"/>
          <w:sz w:val="24"/>
          <w:szCs w:val="24"/>
          <w:lang w:eastAsia="ja-JP" w:bidi="ar-SA"/>
        </w:rPr>
        <w:t>Module Title</w:t>
      </w:r>
      <w:r w:rsidR="00FA4FB4">
        <w:rPr>
          <w:rFonts w:ascii="Aptos" w:eastAsia="Aptos" w:hAnsi="Aptos" w:cs="Aptos"/>
          <w:color w:val="000000" w:themeColor="text1"/>
          <w:sz w:val="24"/>
          <w:szCs w:val="24"/>
          <w:lang w:eastAsia="ja-JP" w:bidi="ar-SA"/>
        </w:rPr>
        <w:t xml:space="preserve">: Introduction to Physiology </w:t>
      </w:r>
    </w:p>
    <w:p w14:paraId="556BAF53" w14:textId="1C61C99D" w:rsidR="00002063" w:rsidRDefault="00002063">
      <w:pPr>
        <w:rPr>
          <w:b/>
          <w:sz w:val="32"/>
          <w:szCs w:val="32"/>
          <w:lang w:val="en-GB"/>
        </w:rPr>
      </w:pPr>
    </w:p>
    <w:p w14:paraId="7FE799F9" w14:textId="77777777" w:rsidR="00862BDD" w:rsidRPr="002A40C6" w:rsidRDefault="00862BDD">
      <w:pPr>
        <w:rPr>
          <w:b/>
          <w:sz w:val="32"/>
          <w:szCs w:val="32"/>
          <w:lang w:val="en-GB"/>
        </w:rPr>
      </w:pPr>
    </w:p>
    <w:sdt>
      <w:sdtPr>
        <w:rPr>
          <w:rFonts w:ascii="Arial" w:eastAsia="Arial" w:hAnsi="Arial" w:cs="Arial"/>
          <w:b w:val="0"/>
          <w:bCs w:val="0"/>
          <w:color w:val="auto"/>
          <w:sz w:val="22"/>
          <w:szCs w:val="22"/>
          <w:lang w:val="en-GB" w:bidi="bn-IN"/>
        </w:rPr>
        <w:id w:val="2373611"/>
        <w:docPartObj>
          <w:docPartGallery w:val="Table of Contents"/>
          <w:docPartUnique/>
        </w:docPartObj>
      </w:sdtPr>
      <w:sdtEndPr/>
      <w:sdtContent>
        <w:p w14:paraId="1F31D87F" w14:textId="77777777" w:rsidR="00C80FA8" w:rsidRPr="002A40C6" w:rsidRDefault="00C80FA8" w:rsidP="00C80FA8">
          <w:pPr>
            <w:pStyle w:val="TOCHeading"/>
            <w:jc w:val="center"/>
            <w:rPr>
              <w:lang w:val="en-GB"/>
            </w:rPr>
          </w:pPr>
          <w:r w:rsidRPr="002A40C6">
            <w:rPr>
              <w:rFonts w:ascii="Arial" w:hAnsi="Arial" w:cs="Arial"/>
              <w:color w:val="000000" w:themeColor="text1"/>
              <w:lang w:val="en-GB"/>
            </w:rPr>
            <w:t>Table of Contents</w:t>
          </w:r>
        </w:p>
        <w:p w14:paraId="564B55B4" w14:textId="77777777" w:rsidR="00C80FA8" w:rsidRPr="002A40C6" w:rsidRDefault="00C80FA8" w:rsidP="00C80FA8">
          <w:pPr>
            <w:pStyle w:val="TOC1"/>
            <w:tabs>
              <w:tab w:val="right" w:leader="dot" w:pos="9350"/>
            </w:tabs>
            <w:spacing w:line="360" w:lineRule="auto"/>
            <w:jc w:val="both"/>
            <w:rPr>
              <w:noProof/>
              <w:lang w:val="en-GB"/>
            </w:rPr>
          </w:pPr>
          <w:r w:rsidRPr="002A40C6">
            <w:rPr>
              <w:lang w:val="en-GB"/>
            </w:rPr>
            <w:fldChar w:fldCharType="begin"/>
          </w:r>
          <w:r w:rsidRPr="002A40C6">
            <w:rPr>
              <w:lang w:val="en-GB"/>
            </w:rPr>
            <w:instrText xml:space="preserve"> TOC \o "1-3" \h \z \u </w:instrText>
          </w:r>
          <w:r w:rsidRPr="002A40C6">
            <w:rPr>
              <w:lang w:val="en-GB"/>
            </w:rPr>
            <w:fldChar w:fldCharType="separate"/>
          </w:r>
          <w:hyperlink w:anchor="_Toc212673723" w:history="1">
            <w:r w:rsidRPr="002A40C6">
              <w:rPr>
                <w:rStyle w:val="Hyperlink"/>
                <w:noProof/>
                <w:lang w:val="en-GB"/>
              </w:rPr>
              <w:t>Introduction</w:t>
            </w:r>
            <w:r w:rsidRPr="002A40C6">
              <w:rPr>
                <w:noProof/>
                <w:webHidden/>
                <w:lang w:val="en-GB"/>
              </w:rPr>
              <w:tab/>
            </w:r>
            <w:r w:rsidRPr="002A40C6">
              <w:rPr>
                <w:noProof/>
                <w:webHidden/>
                <w:lang w:val="en-GB"/>
              </w:rPr>
              <w:fldChar w:fldCharType="begin"/>
            </w:r>
            <w:r w:rsidRPr="002A40C6">
              <w:rPr>
                <w:noProof/>
                <w:webHidden/>
                <w:lang w:val="en-GB"/>
              </w:rPr>
              <w:instrText xml:space="preserve"> PAGEREF _Toc212673723 \h </w:instrText>
            </w:r>
            <w:r w:rsidRPr="002A40C6">
              <w:rPr>
                <w:noProof/>
                <w:webHidden/>
                <w:lang w:val="en-GB"/>
              </w:rPr>
            </w:r>
            <w:r w:rsidRPr="002A40C6">
              <w:rPr>
                <w:noProof/>
                <w:webHidden/>
                <w:lang w:val="en-GB"/>
              </w:rPr>
              <w:fldChar w:fldCharType="separate"/>
            </w:r>
            <w:r w:rsidRPr="002A40C6">
              <w:rPr>
                <w:noProof/>
                <w:webHidden/>
                <w:lang w:val="en-GB"/>
              </w:rPr>
              <w:t>3</w:t>
            </w:r>
            <w:r w:rsidRPr="002A40C6">
              <w:rPr>
                <w:noProof/>
                <w:webHidden/>
                <w:lang w:val="en-GB"/>
              </w:rPr>
              <w:fldChar w:fldCharType="end"/>
            </w:r>
          </w:hyperlink>
        </w:p>
        <w:p w14:paraId="2E443066" w14:textId="4649548A" w:rsidR="00C80FA8" w:rsidRPr="002A40C6" w:rsidRDefault="00C80FA8" w:rsidP="00C80FA8">
          <w:pPr>
            <w:pStyle w:val="TOC1"/>
            <w:tabs>
              <w:tab w:val="right" w:leader="dot" w:pos="9350"/>
            </w:tabs>
            <w:spacing w:line="360" w:lineRule="auto"/>
            <w:jc w:val="both"/>
            <w:rPr>
              <w:noProof/>
              <w:lang w:val="en-GB"/>
            </w:rPr>
          </w:pPr>
          <w:hyperlink w:anchor="_Toc212673725" w:history="1">
            <w:r w:rsidRPr="002A40C6">
              <w:rPr>
                <w:rStyle w:val="Hyperlink"/>
                <w:noProof/>
                <w:lang w:val="en-GB"/>
              </w:rPr>
              <w:t>Use of Glucose and Oxygen to Generate Energy via Cell Metabolism</w:t>
            </w:r>
            <w:r w:rsidRPr="002A40C6">
              <w:rPr>
                <w:noProof/>
                <w:webHidden/>
                <w:lang w:val="en-GB"/>
              </w:rPr>
              <w:tab/>
            </w:r>
            <w:r w:rsidRPr="002A40C6">
              <w:rPr>
                <w:noProof/>
                <w:webHidden/>
                <w:lang w:val="en-GB"/>
              </w:rPr>
              <w:fldChar w:fldCharType="begin"/>
            </w:r>
            <w:r w:rsidRPr="002A40C6">
              <w:rPr>
                <w:noProof/>
                <w:webHidden/>
                <w:lang w:val="en-GB"/>
              </w:rPr>
              <w:instrText xml:space="preserve"> PAGEREF _Toc212673725 \h </w:instrText>
            </w:r>
            <w:r w:rsidRPr="002A40C6">
              <w:rPr>
                <w:noProof/>
                <w:webHidden/>
                <w:lang w:val="en-GB"/>
              </w:rPr>
            </w:r>
            <w:r w:rsidRPr="002A40C6">
              <w:rPr>
                <w:noProof/>
                <w:webHidden/>
                <w:lang w:val="en-GB"/>
              </w:rPr>
              <w:fldChar w:fldCharType="separate"/>
            </w:r>
            <w:r w:rsidRPr="002A40C6">
              <w:rPr>
                <w:noProof/>
                <w:webHidden/>
                <w:lang w:val="en-GB"/>
              </w:rPr>
              <w:t>4</w:t>
            </w:r>
            <w:r w:rsidRPr="002A40C6">
              <w:rPr>
                <w:noProof/>
                <w:webHidden/>
                <w:lang w:val="en-GB"/>
              </w:rPr>
              <w:fldChar w:fldCharType="end"/>
            </w:r>
          </w:hyperlink>
        </w:p>
        <w:p w14:paraId="090171EE" w14:textId="77777777" w:rsidR="00C80FA8" w:rsidRPr="002A40C6" w:rsidRDefault="00C80FA8" w:rsidP="00C80FA8">
          <w:pPr>
            <w:pStyle w:val="TOC1"/>
            <w:tabs>
              <w:tab w:val="right" w:leader="dot" w:pos="9350"/>
            </w:tabs>
            <w:spacing w:line="360" w:lineRule="auto"/>
            <w:jc w:val="both"/>
            <w:rPr>
              <w:noProof/>
              <w:lang w:val="en-GB"/>
            </w:rPr>
          </w:pPr>
          <w:hyperlink w:anchor="_Toc212673726" w:history="1">
            <w:r w:rsidRPr="002A40C6">
              <w:rPr>
                <w:rStyle w:val="Hyperlink"/>
                <w:noProof/>
                <w:lang w:val="en-GB"/>
              </w:rPr>
              <w:t>The Significance of Recording and Tracking Blood Sugar Levels to Manage Type 2 Diabetes</w:t>
            </w:r>
            <w:r w:rsidRPr="002A40C6">
              <w:rPr>
                <w:noProof/>
                <w:webHidden/>
                <w:lang w:val="en-GB"/>
              </w:rPr>
              <w:tab/>
            </w:r>
            <w:r w:rsidRPr="002A40C6">
              <w:rPr>
                <w:noProof/>
                <w:webHidden/>
                <w:lang w:val="en-GB"/>
              </w:rPr>
              <w:fldChar w:fldCharType="begin"/>
            </w:r>
            <w:r w:rsidRPr="002A40C6">
              <w:rPr>
                <w:noProof/>
                <w:webHidden/>
                <w:lang w:val="en-GB"/>
              </w:rPr>
              <w:instrText xml:space="preserve"> PAGEREF _Toc212673726 \h </w:instrText>
            </w:r>
            <w:r w:rsidRPr="002A40C6">
              <w:rPr>
                <w:noProof/>
                <w:webHidden/>
                <w:lang w:val="en-GB"/>
              </w:rPr>
            </w:r>
            <w:r w:rsidRPr="002A40C6">
              <w:rPr>
                <w:noProof/>
                <w:webHidden/>
                <w:lang w:val="en-GB"/>
              </w:rPr>
              <w:fldChar w:fldCharType="separate"/>
            </w:r>
            <w:r w:rsidRPr="002A40C6">
              <w:rPr>
                <w:noProof/>
                <w:webHidden/>
                <w:lang w:val="en-GB"/>
              </w:rPr>
              <w:t>6</w:t>
            </w:r>
            <w:r w:rsidRPr="002A40C6">
              <w:rPr>
                <w:noProof/>
                <w:webHidden/>
                <w:lang w:val="en-GB"/>
              </w:rPr>
              <w:fldChar w:fldCharType="end"/>
            </w:r>
          </w:hyperlink>
        </w:p>
        <w:p w14:paraId="177C65C5" w14:textId="77777777" w:rsidR="00C80FA8" w:rsidRPr="002A40C6" w:rsidRDefault="00C80FA8" w:rsidP="00C80FA8">
          <w:pPr>
            <w:pStyle w:val="TOC1"/>
            <w:tabs>
              <w:tab w:val="right" w:leader="dot" w:pos="9350"/>
            </w:tabs>
            <w:spacing w:line="360" w:lineRule="auto"/>
            <w:jc w:val="both"/>
            <w:rPr>
              <w:noProof/>
              <w:lang w:val="en-GB"/>
            </w:rPr>
          </w:pPr>
          <w:hyperlink w:anchor="_Toc212673727" w:history="1">
            <w:r w:rsidRPr="002A40C6">
              <w:rPr>
                <w:rStyle w:val="Hyperlink"/>
                <w:noProof/>
                <w:lang w:val="en-GB"/>
              </w:rPr>
              <w:t>Evidence-based Recommendations</w:t>
            </w:r>
            <w:r w:rsidRPr="002A40C6">
              <w:rPr>
                <w:noProof/>
                <w:webHidden/>
                <w:lang w:val="en-GB"/>
              </w:rPr>
              <w:tab/>
            </w:r>
            <w:r w:rsidRPr="002A40C6">
              <w:rPr>
                <w:noProof/>
                <w:webHidden/>
                <w:lang w:val="en-GB"/>
              </w:rPr>
              <w:fldChar w:fldCharType="begin"/>
            </w:r>
            <w:r w:rsidRPr="002A40C6">
              <w:rPr>
                <w:noProof/>
                <w:webHidden/>
                <w:lang w:val="en-GB"/>
              </w:rPr>
              <w:instrText xml:space="preserve"> PAGEREF _Toc212673727 \h </w:instrText>
            </w:r>
            <w:r w:rsidRPr="002A40C6">
              <w:rPr>
                <w:noProof/>
                <w:webHidden/>
                <w:lang w:val="en-GB"/>
              </w:rPr>
            </w:r>
            <w:r w:rsidRPr="002A40C6">
              <w:rPr>
                <w:noProof/>
                <w:webHidden/>
                <w:lang w:val="en-GB"/>
              </w:rPr>
              <w:fldChar w:fldCharType="separate"/>
            </w:r>
            <w:r w:rsidRPr="002A40C6">
              <w:rPr>
                <w:noProof/>
                <w:webHidden/>
                <w:lang w:val="en-GB"/>
              </w:rPr>
              <w:t>7</w:t>
            </w:r>
            <w:r w:rsidRPr="002A40C6">
              <w:rPr>
                <w:noProof/>
                <w:webHidden/>
                <w:lang w:val="en-GB"/>
              </w:rPr>
              <w:fldChar w:fldCharType="end"/>
            </w:r>
          </w:hyperlink>
        </w:p>
        <w:p w14:paraId="1A58F3C9" w14:textId="77777777" w:rsidR="00C80FA8" w:rsidRPr="002A40C6" w:rsidRDefault="00C80FA8" w:rsidP="00C80FA8">
          <w:pPr>
            <w:pStyle w:val="TOC2"/>
            <w:tabs>
              <w:tab w:val="right" w:leader="dot" w:pos="9350"/>
            </w:tabs>
            <w:spacing w:line="360" w:lineRule="auto"/>
            <w:jc w:val="both"/>
            <w:rPr>
              <w:noProof/>
              <w:lang w:val="en-GB"/>
            </w:rPr>
          </w:pPr>
          <w:hyperlink w:anchor="_Toc212673728" w:history="1">
            <w:r w:rsidRPr="002A40C6">
              <w:rPr>
                <w:rStyle w:val="Hyperlink"/>
                <w:noProof/>
                <w:lang w:val="en-GB"/>
              </w:rPr>
              <w:t>Diet Maintenance</w:t>
            </w:r>
            <w:r w:rsidRPr="002A40C6">
              <w:rPr>
                <w:noProof/>
                <w:webHidden/>
                <w:lang w:val="en-GB"/>
              </w:rPr>
              <w:tab/>
            </w:r>
            <w:r w:rsidRPr="002A40C6">
              <w:rPr>
                <w:noProof/>
                <w:webHidden/>
                <w:lang w:val="en-GB"/>
              </w:rPr>
              <w:fldChar w:fldCharType="begin"/>
            </w:r>
            <w:r w:rsidRPr="002A40C6">
              <w:rPr>
                <w:noProof/>
                <w:webHidden/>
                <w:lang w:val="en-GB"/>
              </w:rPr>
              <w:instrText xml:space="preserve"> PAGEREF _Toc212673728 \h </w:instrText>
            </w:r>
            <w:r w:rsidRPr="002A40C6">
              <w:rPr>
                <w:noProof/>
                <w:webHidden/>
                <w:lang w:val="en-GB"/>
              </w:rPr>
            </w:r>
            <w:r w:rsidRPr="002A40C6">
              <w:rPr>
                <w:noProof/>
                <w:webHidden/>
                <w:lang w:val="en-GB"/>
              </w:rPr>
              <w:fldChar w:fldCharType="separate"/>
            </w:r>
            <w:r w:rsidRPr="002A40C6">
              <w:rPr>
                <w:noProof/>
                <w:webHidden/>
                <w:lang w:val="en-GB"/>
              </w:rPr>
              <w:t>7</w:t>
            </w:r>
            <w:r w:rsidRPr="002A40C6">
              <w:rPr>
                <w:noProof/>
                <w:webHidden/>
                <w:lang w:val="en-GB"/>
              </w:rPr>
              <w:fldChar w:fldCharType="end"/>
            </w:r>
          </w:hyperlink>
        </w:p>
        <w:p w14:paraId="618D28DB" w14:textId="77777777" w:rsidR="00C80FA8" w:rsidRPr="002A40C6" w:rsidRDefault="00C80FA8" w:rsidP="00C80FA8">
          <w:pPr>
            <w:pStyle w:val="TOC2"/>
            <w:tabs>
              <w:tab w:val="right" w:leader="dot" w:pos="9350"/>
            </w:tabs>
            <w:spacing w:line="360" w:lineRule="auto"/>
            <w:jc w:val="both"/>
            <w:rPr>
              <w:noProof/>
              <w:lang w:val="en-GB"/>
            </w:rPr>
          </w:pPr>
          <w:hyperlink w:anchor="_Toc212673729" w:history="1">
            <w:r w:rsidRPr="002A40C6">
              <w:rPr>
                <w:rStyle w:val="Hyperlink"/>
                <w:noProof/>
                <w:lang w:val="en-GB"/>
              </w:rPr>
              <w:t>Physical Activity</w:t>
            </w:r>
            <w:r w:rsidRPr="002A40C6">
              <w:rPr>
                <w:noProof/>
                <w:webHidden/>
                <w:lang w:val="en-GB"/>
              </w:rPr>
              <w:tab/>
            </w:r>
            <w:r w:rsidRPr="002A40C6">
              <w:rPr>
                <w:noProof/>
                <w:webHidden/>
                <w:lang w:val="en-GB"/>
              </w:rPr>
              <w:fldChar w:fldCharType="begin"/>
            </w:r>
            <w:r w:rsidRPr="002A40C6">
              <w:rPr>
                <w:noProof/>
                <w:webHidden/>
                <w:lang w:val="en-GB"/>
              </w:rPr>
              <w:instrText xml:space="preserve"> PAGEREF _Toc212673729 \h </w:instrText>
            </w:r>
            <w:r w:rsidRPr="002A40C6">
              <w:rPr>
                <w:noProof/>
                <w:webHidden/>
                <w:lang w:val="en-GB"/>
              </w:rPr>
            </w:r>
            <w:r w:rsidRPr="002A40C6">
              <w:rPr>
                <w:noProof/>
                <w:webHidden/>
                <w:lang w:val="en-GB"/>
              </w:rPr>
              <w:fldChar w:fldCharType="separate"/>
            </w:r>
            <w:r w:rsidRPr="002A40C6">
              <w:rPr>
                <w:noProof/>
                <w:webHidden/>
                <w:lang w:val="en-GB"/>
              </w:rPr>
              <w:t>8</w:t>
            </w:r>
            <w:r w:rsidRPr="002A40C6">
              <w:rPr>
                <w:noProof/>
                <w:webHidden/>
                <w:lang w:val="en-GB"/>
              </w:rPr>
              <w:fldChar w:fldCharType="end"/>
            </w:r>
          </w:hyperlink>
        </w:p>
        <w:p w14:paraId="7F65344B" w14:textId="77777777" w:rsidR="00C80FA8" w:rsidRPr="002A40C6" w:rsidRDefault="00C80FA8" w:rsidP="00C80FA8">
          <w:pPr>
            <w:pStyle w:val="TOC2"/>
            <w:tabs>
              <w:tab w:val="right" w:leader="dot" w:pos="9350"/>
            </w:tabs>
            <w:spacing w:line="360" w:lineRule="auto"/>
            <w:jc w:val="both"/>
            <w:rPr>
              <w:noProof/>
              <w:lang w:val="en-GB"/>
            </w:rPr>
          </w:pPr>
          <w:hyperlink w:anchor="_Toc212673730" w:history="1">
            <w:r w:rsidRPr="002A40C6">
              <w:rPr>
                <w:rStyle w:val="Hyperlink"/>
                <w:noProof/>
                <w:lang w:val="en-GB"/>
              </w:rPr>
              <w:t>Avoid Smoking and Alcohol Consumption</w:t>
            </w:r>
            <w:r w:rsidRPr="002A40C6">
              <w:rPr>
                <w:noProof/>
                <w:webHidden/>
                <w:lang w:val="en-GB"/>
              </w:rPr>
              <w:tab/>
            </w:r>
            <w:r w:rsidRPr="002A40C6">
              <w:rPr>
                <w:noProof/>
                <w:webHidden/>
                <w:lang w:val="en-GB"/>
              </w:rPr>
              <w:fldChar w:fldCharType="begin"/>
            </w:r>
            <w:r w:rsidRPr="002A40C6">
              <w:rPr>
                <w:noProof/>
                <w:webHidden/>
                <w:lang w:val="en-GB"/>
              </w:rPr>
              <w:instrText xml:space="preserve"> PAGEREF _Toc212673730 \h </w:instrText>
            </w:r>
            <w:r w:rsidRPr="002A40C6">
              <w:rPr>
                <w:noProof/>
                <w:webHidden/>
                <w:lang w:val="en-GB"/>
              </w:rPr>
            </w:r>
            <w:r w:rsidRPr="002A40C6">
              <w:rPr>
                <w:noProof/>
                <w:webHidden/>
                <w:lang w:val="en-GB"/>
              </w:rPr>
              <w:fldChar w:fldCharType="separate"/>
            </w:r>
            <w:r w:rsidRPr="002A40C6">
              <w:rPr>
                <w:noProof/>
                <w:webHidden/>
                <w:lang w:val="en-GB"/>
              </w:rPr>
              <w:t>8</w:t>
            </w:r>
            <w:r w:rsidRPr="002A40C6">
              <w:rPr>
                <w:noProof/>
                <w:webHidden/>
                <w:lang w:val="en-GB"/>
              </w:rPr>
              <w:fldChar w:fldCharType="end"/>
            </w:r>
          </w:hyperlink>
        </w:p>
        <w:p w14:paraId="6894202C" w14:textId="77777777" w:rsidR="00C80FA8" w:rsidRPr="002A40C6" w:rsidRDefault="00C80FA8" w:rsidP="00C80FA8">
          <w:pPr>
            <w:pStyle w:val="TOC2"/>
            <w:tabs>
              <w:tab w:val="right" w:leader="dot" w:pos="9350"/>
            </w:tabs>
            <w:spacing w:line="360" w:lineRule="auto"/>
            <w:jc w:val="both"/>
            <w:rPr>
              <w:noProof/>
              <w:lang w:val="en-GB"/>
            </w:rPr>
          </w:pPr>
          <w:hyperlink w:anchor="_Toc212673731" w:history="1">
            <w:r w:rsidRPr="002A40C6">
              <w:rPr>
                <w:rStyle w:val="Hyperlink"/>
                <w:noProof/>
                <w:lang w:val="en-GB"/>
              </w:rPr>
              <w:t>Offering Peer Support and Follow-up</w:t>
            </w:r>
            <w:r w:rsidRPr="002A40C6">
              <w:rPr>
                <w:noProof/>
                <w:webHidden/>
                <w:lang w:val="en-GB"/>
              </w:rPr>
              <w:tab/>
            </w:r>
            <w:r w:rsidRPr="002A40C6">
              <w:rPr>
                <w:noProof/>
                <w:webHidden/>
                <w:lang w:val="en-GB"/>
              </w:rPr>
              <w:fldChar w:fldCharType="begin"/>
            </w:r>
            <w:r w:rsidRPr="002A40C6">
              <w:rPr>
                <w:noProof/>
                <w:webHidden/>
                <w:lang w:val="en-GB"/>
              </w:rPr>
              <w:instrText xml:space="preserve"> PAGEREF _Toc212673731 \h </w:instrText>
            </w:r>
            <w:r w:rsidRPr="002A40C6">
              <w:rPr>
                <w:noProof/>
                <w:webHidden/>
                <w:lang w:val="en-GB"/>
              </w:rPr>
            </w:r>
            <w:r w:rsidRPr="002A40C6">
              <w:rPr>
                <w:noProof/>
                <w:webHidden/>
                <w:lang w:val="en-GB"/>
              </w:rPr>
              <w:fldChar w:fldCharType="separate"/>
            </w:r>
            <w:r w:rsidRPr="002A40C6">
              <w:rPr>
                <w:noProof/>
                <w:webHidden/>
                <w:lang w:val="en-GB"/>
              </w:rPr>
              <w:t>8</w:t>
            </w:r>
            <w:r w:rsidRPr="002A40C6">
              <w:rPr>
                <w:noProof/>
                <w:webHidden/>
                <w:lang w:val="en-GB"/>
              </w:rPr>
              <w:fldChar w:fldCharType="end"/>
            </w:r>
          </w:hyperlink>
        </w:p>
        <w:p w14:paraId="15A32CA7" w14:textId="77777777" w:rsidR="00C80FA8" w:rsidRPr="002A40C6" w:rsidRDefault="00C80FA8" w:rsidP="00C80FA8">
          <w:pPr>
            <w:pStyle w:val="TOC1"/>
            <w:tabs>
              <w:tab w:val="right" w:leader="dot" w:pos="9350"/>
            </w:tabs>
            <w:spacing w:line="360" w:lineRule="auto"/>
            <w:jc w:val="both"/>
            <w:rPr>
              <w:noProof/>
              <w:lang w:val="en-GB"/>
            </w:rPr>
          </w:pPr>
          <w:hyperlink w:anchor="_Toc212673732" w:history="1">
            <w:r w:rsidRPr="002A40C6">
              <w:rPr>
                <w:rStyle w:val="Hyperlink"/>
                <w:noProof/>
                <w:lang w:val="en-GB"/>
              </w:rPr>
              <w:t>Conclusion</w:t>
            </w:r>
            <w:r w:rsidRPr="002A40C6">
              <w:rPr>
                <w:noProof/>
                <w:webHidden/>
                <w:lang w:val="en-GB"/>
              </w:rPr>
              <w:tab/>
            </w:r>
            <w:r w:rsidRPr="002A40C6">
              <w:rPr>
                <w:noProof/>
                <w:webHidden/>
                <w:lang w:val="en-GB"/>
              </w:rPr>
              <w:fldChar w:fldCharType="begin"/>
            </w:r>
            <w:r w:rsidRPr="002A40C6">
              <w:rPr>
                <w:noProof/>
                <w:webHidden/>
                <w:lang w:val="en-GB"/>
              </w:rPr>
              <w:instrText xml:space="preserve"> PAGEREF _Toc212673732 \h </w:instrText>
            </w:r>
            <w:r w:rsidRPr="002A40C6">
              <w:rPr>
                <w:noProof/>
                <w:webHidden/>
                <w:lang w:val="en-GB"/>
              </w:rPr>
            </w:r>
            <w:r w:rsidRPr="002A40C6">
              <w:rPr>
                <w:noProof/>
                <w:webHidden/>
                <w:lang w:val="en-GB"/>
              </w:rPr>
              <w:fldChar w:fldCharType="separate"/>
            </w:r>
            <w:r w:rsidRPr="002A40C6">
              <w:rPr>
                <w:noProof/>
                <w:webHidden/>
                <w:lang w:val="en-GB"/>
              </w:rPr>
              <w:t>8</w:t>
            </w:r>
            <w:r w:rsidRPr="002A40C6">
              <w:rPr>
                <w:noProof/>
                <w:webHidden/>
                <w:lang w:val="en-GB"/>
              </w:rPr>
              <w:fldChar w:fldCharType="end"/>
            </w:r>
          </w:hyperlink>
        </w:p>
        <w:p w14:paraId="2FF4AF07" w14:textId="77777777" w:rsidR="00C80FA8" w:rsidRPr="002A40C6" w:rsidRDefault="00C80FA8" w:rsidP="00C80FA8">
          <w:pPr>
            <w:pStyle w:val="TOC1"/>
            <w:tabs>
              <w:tab w:val="right" w:leader="dot" w:pos="9350"/>
            </w:tabs>
            <w:spacing w:line="360" w:lineRule="auto"/>
            <w:jc w:val="both"/>
            <w:rPr>
              <w:noProof/>
              <w:lang w:val="en-GB"/>
            </w:rPr>
          </w:pPr>
          <w:hyperlink w:anchor="_Toc212673733" w:history="1">
            <w:r w:rsidRPr="002A40C6">
              <w:rPr>
                <w:rStyle w:val="Hyperlink"/>
                <w:noProof/>
                <w:lang w:val="en-GB"/>
              </w:rPr>
              <w:t>References</w:t>
            </w:r>
            <w:r w:rsidRPr="002A40C6">
              <w:rPr>
                <w:noProof/>
                <w:webHidden/>
                <w:lang w:val="en-GB"/>
              </w:rPr>
              <w:tab/>
            </w:r>
            <w:r w:rsidRPr="002A40C6">
              <w:rPr>
                <w:noProof/>
                <w:webHidden/>
                <w:lang w:val="en-GB"/>
              </w:rPr>
              <w:fldChar w:fldCharType="begin"/>
            </w:r>
            <w:r w:rsidRPr="002A40C6">
              <w:rPr>
                <w:noProof/>
                <w:webHidden/>
                <w:lang w:val="en-GB"/>
              </w:rPr>
              <w:instrText xml:space="preserve"> PAGEREF _Toc212673733 \h </w:instrText>
            </w:r>
            <w:r w:rsidRPr="002A40C6">
              <w:rPr>
                <w:noProof/>
                <w:webHidden/>
                <w:lang w:val="en-GB"/>
              </w:rPr>
            </w:r>
            <w:r w:rsidRPr="002A40C6">
              <w:rPr>
                <w:noProof/>
                <w:webHidden/>
                <w:lang w:val="en-GB"/>
              </w:rPr>
              <w:fldChar w:fldCharType="separate"/>
            </w:r>
            <w:r w:rsidRPr="002A40C6">
              <w:rPr>
                <w:noProof/>
                <w:webHidden/>
                <w:lang w:val="en-GB"/>
              </w:rPr>
              <w:t>9</w:t>
            </w:r>
            <w:r w:rsidRPr="002A40C6">
              <w:rPr>
                <w:noProof/>
                <w:webHidden/>
                <w:lang w:val="en-GB"/>
              </w:rPr>
              <w:fldChar w:fldCharType="end"/>
            </w:r>
          </w:hyperlink>
        </w:p>
        <w:p w14:paraId="58EB6766" w14:textId="77777777" w:rsidR="00C80FA8" w:rsidRPr="002A40C6" w:rsidRDefault="00C80FA8" w:rsidP="00C80FA8">
          <w:pPr>
            <w:spacing w:line="360" w:lineRule="auto"/>
            <w:jc w:val="both"/>
            <w:rPr>
              <w:lang w:val="en-GB"/>
            </w:rPr>
          </w:pPr>
          <w:r w:rsidRPr="002A40C6">
            <w:rPr>
              <w:lang w:val="en-GB"/>
            </w:rPr>
            <w:fldChar w:fldCharType="end"/>
          </w:r>
        </w:p>
      </w:sdtContent>
    </w:sdt>
    <w:p w14:paraId="59EA954F" w14:textId="77777777" w:rsidR="00FE67EF" w:rsidRPr="002A40C6" w:rsidRDefault="00CA4531">
      <w:pPr>
        <w:pStyle w:val="Normal1"/>
        <w:spacing w:line="360" w:lineRule="auto"/>
        <w:jc w:val="center"/>
        <w:rPr>
          <w:b/>
          <w:sz w:val="32"/>
          <w:szCs w:val="32"/>
          <w:lang w:val="en-GB"/>
        </w:rPr>
      </w:pPr>
      <w:r w:rsidRPr="002A40C6">
        <w:rPr>
          <w:lang w:val="en-GB"/>
        </w:rPr>
        <w:br w:type="page"/>
      </w:r>
    </w:p>
    <w:p w14:paraId="176EEF10" w14:textId="77777777" w:rsidR="00FE67EF" w:rsidRPr="002A40C6" w:rsidRDefault="00CA4531" w:rsidP="00002063">
      <w:pPr>
        <w:pStyle w:val="Heading1"/>
        <w:rPr>
          <w:lang w:val="en-GB"/>
        </w:rPr>
      </w:pPr>
      <w:bookmarkStart w:id="0" w:name="_Toc212673723"/>
      <w:r w:rsidRPr="002A40C6">
        <w:rPr>
          <w:lang w:val="en-GB"/>
        </w:rPr>
        <w:t>Introduction</w:t>
      </w:r>
      <w:bookmarkEnd w:id="0"/>
    </w:p>
    <w:p w14:paraId="15D5F9DA" w14:textId="77777777" w:rsidR="00FE67EF" w:rsidRPr="002A40C6" w:rsidRDefault="00CA4531">
      <w:pPr>
        <w:pStyle w:val="Normal1"/>
        <w:spacing w:line="360" w:lineRule="auto"/>
        <w:jc w:val="both"/>
        <w:rPr>
          <w:lang w:val="en-GB"/>
        </w:rPr>
      </w:pPr>
      <w:r w:rsidRPr="002A40C6">
        <w:rPr>
          <w:lang w:val="en-GB"/>
        </w:rPr>
        <w:t>The chronic metabolic disease diabetes occurs due to higher levels of blood glucose or sugar, which causes significant damage to blood vessels, heart, kidneys, eyes and nerves as defined by the World Health Organisation [WHO], (2025). It is generally 2 types: Type 1 and Type 2, with the latter recognised as the most prevalent type of diabetes in adults. Type 1 diabetes is recognised as insulin-dependent diabetes, as the pancreas generates little to no insulin itself. In contrast, Type 2 diabetes can occur due to significant insulin resistance or major insulin deficiency, along with insulin resistance (Pleus et al., 2024; WHO, 2025). About 830 million people are living with diabetes globally, with more than half of these people not receiving proper treatment (WHO, 2025).</w:t>
      </w:r>
    </w:p>
    <w:p w14:paraId="4CDEED25" w14:textId="77777777" w:rsidR="00FE67EF" w:rsidRPr="002A40C6" w:rsidRDefault="00CA4531">
      <w:pPr>
        <w:pStyle w:val="Normal1"/>
        <w:spacing w:line="360" w:lineRule="auto"/>
        <w:jc w:val="both"/>
        <w:rPr>
          <w:lang w:val="en-GB"/>
        </w:rPr>
      </w:pPr>
      <w:r w:rsidRPr="002A40C6">
        <w:rPr>
          <w:lang w:val="en-GB"/>
        </w:rPr>
        <w:t xml:space="preserve">Over 95% of the global population with diabetes suffers from Type 2 diabetes, which is generally preventable via changes in lifestyle, daily exercise and healthy eating habits (WHO, 2024). The risks of diabetes have increased in the UK as 5.8 million people have been diagnosed to have diabetes in the UK, with more than 90% of diagnoses reported to be of Type 2 diabetes (Diabetes UK, 2025). Diabetes UK (2025) further estimates that about 1.3 million people in the UK are experiencing Type 2 diabetes but have yet to be diagnosed, particularly in low-income settings. Family history of diabetes, poor eating habits, hypertension, and physical inactivity contribute to this risk and people of Asian and Black African and Caribbean ethnicities are shown to have 2-4 times more risk of developing Type 2 diabetes (Diabetes UK, 2025). </w:t>
      </w:r>
    </w:p>
    <w:p w14:paraId="1F3C9330" w14:textId="77777777" w:rsidR="00FE67EF" w:rsidRPr="002A40C6" w:rsidRDefault="00CA4531">
      <w:pPr>
        <w:pStyle w:val="Normal1"/>
        <w:spacing w:line="360" w:lineRule="auto"/>
        <w:jc w:val="both"/>
        <w:rPr>
          <w:lang w:val="en-GB"/>
        </w:rPr>
      </w:pPr>
      <w:r w:rsidRPr="002A40C6">
        <w:rPr>
          <w:lang w:val="en-GB"/>
        </w:rPr>
        <w:t>Thus, the current case study report focuses on gathering and evaluating data on diabetes, particularly Type 2 diabetes, whose prevalence is greater in the UK and can be managed by an individual with diabetes by maintaining blood sugar levels and making a few lifestyle changes. Education on diabetes management, particularly via blood glucose monitoring, has thus become essential in nursing education to promote effective diabetes management.</w:t>
      </w:r>
    </w:p>
    <w:p w14:paraId="71E75DBE" w14:textId="77777777" w:rsidR="00FE67EF" w:rsidRPr="002A40C6" w:rsidRDefault="00CA4531" w:rsidP="00002063">
      <w:pPr>
        <w:pStyle w:val="Heading1"/>
        <w:rPr>
          <w:lang w:val="en-GB"/>
        </w:rPr>
      </w:pPr>
      <w:bookmarkStart w:id="1" w:name="_Toc212673724"/>
      <w:r w:rsidRPr="002A40C6">
        <w:rPr>
          <w:lang w:val="en-GB"/>
        </w:rPr>
        <w:t>Maintenance of Blood Sugar Levels at a Safe and Effective Level</w:t>
      </w:r>
      <w:bookmarkEnd w:id="1"/>
    </w:p>
    <w:p w14:paraId="540442E6" w14:textId="77777777" w:rsidR="00FE67EF" w:rsidRPr="002A40C6" w:rsidRDefault="00CA4531">
      <w:pPr>
        <w:pStyle w:val="Normal1"/>
        <w:spacing w:line="360" w:lineRule="auto"/>
        <w:jc w:val="both"/>
        <w:rPr>
          <w:lang w:val="en-GB"/>
        </w:rPr>
      </w:pPr>
      <w:r w:rsidRPr="002A40C6">
        <w:rPr>
          <w:lang w:val="en-GB"/>
        </w:rPr>
        <w:t>Monitoring of blood glucose assists in recognising the differences in blood glucose levels in response to diet, medications, exercise and diabetes mellitus (Mathew and Tadi, 2020). Glucose is generally stored as a polymer, glycogen, in the human body and is observed at higher levels in muscle and liver tissues (Hantzidiamantis et al., 2024). This glycogen or glucose is managed by the peptide hormones glucagon and insulin, produced from the α-cells and β-cells, respectively, from the pancreatic islet of Langerhans. Hantzidiamantis et al., (2024), noted that the balance between these 2 hormones largely depends on the metabolic state of the body, with insulin and glucagon secreted during energy-rich and fasting states, respectively. Insulin further facilitates glucose transportation from the bloodstream to body cells and prevents gluconeogenesis in the liver, signifying the importance of the insulin hormone in maintaining the health of critical organs like the liver, pancreas, adrenal gland, and thyroid gland and prevents diabetes (Mathew and Tadi, 2020).</w:t>
      </w:r>
    </w:p>
    <w:p w14:paraId="42875B94" w14:textId="77777777" w:rsidR="00FE67EF" w:rsidRPr="002A40C6" w:rsidRDefault="00CA4531">
      <w:pPr>
        <w:pStyle w:val="Normal1"/>
        <w:spacing w:line="360" w:lineRule="auto"/>
        <w:jc w:val="both"/>
        <w:rPr>
          <w:lang w:val="en-GB"/>
        </w:rPr>
      </w:pPr>
      <w:r w:rsidRPr="002A40C6">
        <w:rPr>
          <w:lang w:val="en-GB"/>
        </w:rPr>
        <w:t xml:space="preserve">Homeostasis or relative stability of internal organisms in the human body in response to negative outcomes of external and internal stimuli is generally maintained in the human body by maintaining blood glucose level (72 to 108 mg/dL); however, this process is affected by several factors, like cellular responses to insulin and functional characteristics of beta-cells (Mathew and Tadi, 2020). In diabetes mellitus, insulin production is either reduced or the body fails to respond to the insulin produced, leading to failure of cellular usage of glucose or storage. This condition poses a great threat to the health of human organs like the liver, kidneys, brain and erythrocytes. To manage insulin resistance, the pancreas attempts to produce more insulin, which causes exhaustion in β-cells, resulting in hyperglycaemia (Dludla et al., 2023). </w:t>
      </w:r>
    </w:p>
    <w:p w14:paraId="5DD1176D" w14:textId="77777777" w:rsidR="00FE67EF" w:rsidRPr="002A40C6" w:rsidRDefault="00CA4531">
      <w:pPr>
        <w:pStyle w:val="Normal1"/>
        <w:spacing w:line="360" w:lineRule="auto"/>
        <w:jc w:val="both"/>
        <w:rPr>
          <w:lang w:val="en-GB"/>
        </w:rPr>
      </w:pPr>
      <w:r w:rsidRPr="002A40C6">
        <w:rPr>
          <w:lang w:val="en-GB"/>
        </w:rPr>
        <w:t xml:space="preserve">Thus, maintaining homeostasis of blood glucose is extremely important for patients with diabetes, which can be managed via the “blood glucose monitoring” (BGM) framework, whose accuracy is maintained via ISO 15197:2013 standards (Freckmann et al., 2019). A1C test is one of the blood testing measures apart from the general blood sugar test that measures the average level of sugar in the bloodstream for the past 2-3 months without needing fasting (MayoClinic, 2024). It measures the level of blood sugar linked to haemoglobin because higher blood sugar levels generally lead to a higher number of sugar molecules attached to the haemoglobin. </w:t>
      </w:r>
      <w:r w:rsidR="00002063" w:rsidRPr="002A40C6">
        <w:rPr>
          <w:lang w:val="en-GB"/>
        </w:rPr>
        <w:t>A1C</w:t>
      </w:r>
      <w:r w:rsidRPr="002A40C6">
        <w:rPr>
          <w:lang w:val="en-GB"/>
        </w:rPr>
        <w:t xml:space="preserve"> level of 6.5% or higher on 2 different tests indicates diabetes in the patient. </w:t>
      </w:r>
    </w:p>
    <w:p w14:paraId="397CA88F" w14:textId="77777777" w:rsidR="00FE67EF" w:rsidRPr="002A40C6" w:rsidRDefault="00CA4531" w:rsidP="00002063">
      <w:pPr>
        <w:pStyle w:val="Heading1"/>
        <w:rPr>
          <w:lang w:val="en-GB"/>
        </w:rPr>
      </w:pPr>
      <w:bookmarkStart w:id="2" w:name="_Toc212673725"/>
      <w:r w:rsidRPr="002A40C6">
        <w:rPr>
          <w:lang w:val="en-GB"/>
        </w:rPr>
        <w:t>Use of Glucose and Oxygen to Generate Energy via Cell Metabolism</w:t>
      </w:r>
      <w:bookmarkEnd w:id="2"/>
    </w:p>
    <w:p w14:paraId="7E5B485E" w14:textId="77777777" w:rsidR="00FE67EF" w:rsidRPr="002A40C6" w:rsidRDefault="00CA4531">
      <w:pPr>
        <w:pStyle w:val="Normal1"/>
        <w:spacing w:line="360" w:lineRule="auto"/>
        <w:jc w:val="both"/>
        <w:rPr>
          <w:lang w:val="en-GB"/>
        </w:rPr>
      </w:pPr>
      <w:r w:rsidRPr="002A40C6">
        <w:rPr>
          <w:lang w:val="en-GB"/>
        </w:rPr>
        <w:t xml:space="preserve">Glucose serves as a foundation for energy consumption in the human body, as proteins and carbohydrates generally break down into glucose and is responsible for maintaining health and promoting growth (Nakrani et al., 2020). Glucose supports the biochemical process called cellular respiration, which generally occurs within cells to transfer oxygen and glucose into energy with the help of adenosine triphosphate (ATP), water (H20) and carbon dioxide (CO2) (Rigoulet et al., 2020; Parker, 2020). Nakrani et al., (2020), argue that ATP act as an energy currency in the body, and it mainly facilitates molecule transportation across cell membranes, functioning of mechanical activities, muscle contractions and synthetic reactions to help generate cell membranes, hormones, cell division and development, and conduction of nerve impulses. Parker (2020), acknowledged that energy metabolism is controlled by a network of energy, nutrient sensors and other secondary sensors that recognise high and low conditions of nutrients and energy and promote transition between catabolic and anabolic pathways to manage energy balance and maintain homeostasis [See Figure 1]. During cell energy metabolism, anabolic pathways consume ATP and produce NADH, while the mitochondrial oxidative phosphorylation oxidises NADH to NAD+ and generates ATP from ADP+Pi in the catabolic pathways (Rigoulet et al., 2020). </w:t>
      </w:r>
    </w:p>
    <w:p w14:paraId="0EF436DC" w14:textId="77777777" w:rsidR="00FE67EF" w:rsidRPr="002A40C6" w:rsidRDefault="00CA4531">
      <w:pPr>
        <w:pStyle w:val="Normal1"/>
        <w:spacing w:line="360" w:lineRule="auto"/>
        <w:jc w:val="center"/>
        <w:rPr>
          <w:lang w:val="en-GB"/>
        </w:rPr>
      </w:pPr>
      <w:r w:rsidRPr="002A40C6">
        <w:rPr>
          <w:noProof/>
          <w:lang w:val="en-GB" w:bidi="ar-SA"/>
        </w:rPr>
        <w:drawing>
          <wp:inline distT="114300" distB="114300" distL="114300" distR="114300" wp14:anchorId="2994AE83" wp14:editId="47F7A059">
            <wp:extent cx="5305425" cy="299085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305425" cy="2990850"/>
                    </a:xfrm>
                    <a:prstGeom prst="rect">
                      <a:avLst/>
                    </a:prstGeom>
                    <a:ln/>
                  </pic:spPr>
                </pic:pic>
              </a:graphicData>
            </a:graphic>
          </wp:inline>
        </w:drawing>
      </w:r>
    </w:p>
    <w:p w14:paraId="49E96160" w14:textId="77777777" w:rsidR="00FE67EF" w:rsidRPr="002A40C6" w:rsidRDefault="00CA4531">
      <w:pPr>
        <w:pStyle w:val="Normal1"/>
        <w:spacing w:line="360" w:lineRule="auto"/>
        <w:jc w:val="center"/>
        <w:rPr>
          <w:b/>
          <w:lang w:val="en-GB"/>
        </w:rPr>
      </w:pPr>
      <w:r w:rsidRPr="002A40C6">
        <w:rPr>
          <w:b/>
          <w:lang w:val="en-GB"/>
        </w:rPr>
        <w:t xml:space="preserve">Figure 1: Nutrient and Energy Sensors Detecting Energy and Nutrient Levels in the Energy Pathways under Different Physiological Situations, like Fasting, Feeding, and Exercising </w:t>
      </w:r>
    </w:p>
    <w:p w14:paraId="19497658" w14:textId="77777777" w:rsidR="00FE67EF" w:rsidRPr="002A40C6" w:rsidRDefault="00CA4531">
      <w:pPr>
        <w:pStyle w:val="Normal1"/>
        <w:spacing w:line="360" w:lineRule="auto"/>
        <w:jc w:val="center"/>
        <w:rPr>
          <w:lang w:val="en-GB"/>
        </w:rPr>
      </w:pPr>
      <w:r w:rsidRPr="002A40C6">
        <w:rPr>
          <w:lang w:val="en-GB"/>
        </w:rPr>
        <w:t>(Source: Parker, 2020)</w:t>
      </w:r>
    </w:p>
    <w:p w14:paraId="324DD8F9" w14:textId="77777777" w:rsidR="00FE67EF" w:rsidRPr="002A40C6" w:rsidRDefault="00CA4531">
      <w:pPr>
        <w:pStyle w:val="Normal1"/>
        <w:spacing w:line="360" w:lineRule="auto"/>
        <w:jc w:val="both"/>
        <w:rPr>
          <w:lang w:val="en-GB"/>
        </w:rPr>
      </w:pPr>
      <w:r w:rsidRPr="002A40C6">
        <w:rPr>
          <w:lang w:val="en-GB"/>
        </w:rPr>
        <w:t>As per Parker (2020), although the process occurs in individual cells across the body, the process is completely coordinated to maintain homeostatic control, which is located at the hypothalamus centre. It is important to note that the hypothalamic energy routes are similar to glycolysis, the electron transport chain, the Krebs’ cycle and oxidative phosphorylation pathways in peripheral cells that are influenced by energy and nutrients sensors like acetyl-CoA, SIRT1, mTOR and AMPK. As per the above figure, mTOR (glucose and amino acids) and Acetyl CoA (fats, proteins and carbohydrates) serve as nutrient sensors, while SIRT1 and AMPK serve as the energy sensors whose activities become affected during diabetes. This is because the level of glucose or carbohydrate use in the cytoplasm is influenced by the level of insulin secretions from the pancreas (Nakrani et al., 2020).</w:t>
      </w:r>
    </w:p>
    <w:p w14:paraId="6F899B7A" w14:textId="77777777" w:rsidR="00FE67EF" w:rsidRPr="002A40C6" w:rsidRDefault="00CA4531">
      <w:pPr>
        <w:pStyle w:val="Normal1"/>
        <w:spacing w:line="360" w:lineRule="auto"/>
        <w:jc w:val="center"/>
        <w:rPr>
          <w:lang w:val="en-GB"/>
        </w:rPr>
      </w:pPr>
      <w:r w:rsidRPr="002A40C6">
        <w:rPr>
          <w:noProof/>
          <w:lang w:val="en-GB" w:bidi="ar-SA"/>
        </w:rPr>
        <w:drawing>
          <wp:inline distT="114300" distB="114300" distL="114300" distR="114300" wp14:anchorId="01CF43A0" wp14:editId="0761FF5C">
            <wp:extent cx="4481513" cy="394286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481513" cy="3942869"/>
                    </a:xfrm>
                    <a:prstGeom prst="rect">
                      <a:avLst/>
                    </a:prstGeom>
                    <a:ln/>
                  </pic:spPr>
                </pic:pic>
              </a:graphicData>
            </a:graphic>
          </wp:inline>
        </w:drawing>
      </w:r>
    </w:p>
    <w:p w14:paraId="0D1E7B0E" w14:textId="77777777" w:rsidR="00FE67EF" w:rsidRPr="002A40C6" w:rsidRDefault="00CA4531">
      <w:pPr>
        <w:pStyle w:val="Normal1"/>
        <w:spacing w:line="360" w:lineRule="auto"/>
        <w:jc w:val="center"/>
        <w:rPr>
          <w:b/>
          <w:lang w:val="en-GB"/>
        </w:rPr>
      </w:pPr>
      <w:r w:rsidRPr="002A40C6">
        <w:rPr>
          <w:b/>
          <w:lang w:val="en-GB"/>
        </w:rPr>
        <w:t>Figure 2: Insulin Resistance Model</w:t>
      </w:r>
    </w:p>
    <w:p w14:paraId="65637291" w14:textId="77777777" w:rsidR="00FE67EF" w:rsidRPr="002A40C6" w:rsidRDefault="00CA4531">
      <w:pPr>
        <w:pStyle w:val="Normal1"/>
        <w:spacing w:line="360" w:lineRule="auto"/>
        <w:jc w:val="center"/>
        <w:rPr>
          <w:lang w:val="en-GB"/>
        </w:rPr>
      </w:pPr>
      <w:r w:rsidRPr="002A40C6">
        <w:rPr>
          <w:lang w:val="en-GB"/>
        </w:rPr>
        <w:t>(Source: Ormazabal et al., 2018)</w:t>
      </w:r>
    </w:p>
    <w:p w14:paraId="332F2481" w14:textId="77777777" w:rsidR="00FE67EF" w:rsidRPr="002A40C6" w:rsidRDefault="00CA4531">
      <w:pPr>
        <w:pStyle w:val="Normal1"/>
        <w:spacing w:line="360" w:lineRule="auto"/>
        <w:jc w:val="both"/>
        <w:rPr>
          <w:lang w:val="en-GB"/>
        </w:rPr>
      </w:pPr>
      <w:r w:rsidRPr="002A40C6">
        <w:rPr>
          <w:lang w:val="en-GB"/>
        </w:rPr>
        <w:t xml:space="preserve">The effects of insulin resistance are quite high, as it reduces the level of synthesis of hepatic glycogen due to reduced activation of glycogen synthase, higher hepatic gluconeogenesis and the delivery of glucose by the liver, causing hyperglycemia [See Figure 2]. Most of these instances of insulin resistance are due to genetic defects, obesity, physical inactivity and inflammation (Ormazabal et al., 2018). </w:t>
      </w:r>
    </w:p>
    <w:p w14:paraId="32983E0F" w14:textId="77777777" w:rsidR="00FE67EF" w:rsidRPr="002A40C6" w:rsidRDefault="00CA4531" w:rsidP="00002063">
      <w:pPr>
        <w:pStyle w:val="Heading1"/>
        <w:rPr>
          <w:lang w:val="en-GB"/>
        </w:rPr>
      </w:pPr>
      <w:bookmarkStart w:id="3" w:name="_Toc212673726"/>
      <w:r w:rsidRPr="002A40C6">
        <w:rPr>
          <w:lang w:val="en-GB"/>
        </w:rPr>
        <w:t>The Significance of Recording and Tracking Blood Sugar Levels to Manage Type 2 Diabetes</w:t>
      </w:r>
      <w:bookmarkEnd w:id="3"/>
    </w:p>
    <w:p w14:paraId="15918D15" w14:textId="77777777" w:rsidR="00FE67EF" w:rsidRPr="002A40C6" w:rsidRDefault="00CA4531">
      <w:pPr>
        <w:pStyle w:val="Normal1"/>
        <w:spacing w:line="360" w:lineRule="auto"/>
        <w:jc w:val="both"/>
        <w:rPr>
          <w:lang w:val="en-GB"/>
        </w:rPr>
      </w:pPr>
      <w:r w:rsidRPr="002A40C6">
        <w:rPr>
          <w:lang w:val="en-GB"/>
        </w:rPr>
        <w:t xml:space="preserve">Research has shown that effective self-management practices for individuals with Type 2 diabetes can assist in glycaemic control and avoid frequent complications as compared to people who do not take any initiatives towards self-care (Lee et al., 2019; Maina et al., 2023). Health care professionals largely support the autonomy of patients in controlling diabetes, as noted by Lee et al., (2019), because autonomy given by healthcare professionals indicates the way professionals trust the judgment of individuals in controlling their blood sugar levels, leading to significant confidence development in individuals regarding self-management of diabetes through adherence to medication and “self-monitoring of blood glucose” (SMBG) and hemoglobin A1c (HbA1c). Maina et al., (2023) argued that self-management practices for diabetes control must be tailored to promote positive behaviour among individuals with Type 2 diabetes, particularly among people from low-income backgrounds. Self-management practices of these people must be supported with basic diabetes-related knowledge, changes in lifestyle and skills to monitor blood sugars and the accessibility of psychological assistance. </w:t>
      </w:r>
    </w:p>
    <w:p w14:paraId="0BDE2AFC" w14:textId="77777777" w:rsidR="00FE67EF" w:rsidRPr="002A40C6" w:rsidRDefault="00CA4531">
      <w:pPr>
        <w:pStyle w:val="Normal1"/>
        <w:spacing w:line="360" w:lineRule="auto"/>
        <w:jc w:val="both"/>
        <w:rPr>
          <w:lang w:val="en-GB"/>
        </w:rPr>
      </w:pPr>
      <w:r w:rsidRPr="002A40C6">
        <w:rPr>
          <w:lang w:val="en-GB"/>
        </w:rPr>
        <w:t>Ahmad and Joshi (2023), in this context, have suggested seven self-care practices for people suffering from Type 2 Diabetes to achieve a good outcome. These practices involve assessing blood sugar levels, daily exercise, consuming healthy foods, taking medications, maintaining a healthy lifestyle, etc., which contribute to reducing blood glucose levels. Daily exercise and diet maintenance are one of the main self-management practices that can contribute to controlling blood sugar levels in patients with Type 2 diabetes (Maina et al., 2023; Ahmad and Joshi, 2023). Adequate nutrition therapy, for instance, is reported to minimise HbA1c levels by 0.3–2.0% in Type-2 diabetes patients (Yeh et al., 2023). However, daily exercise and diet alone cannot control the disease, particularly if the patient has a habit of smoking and alcohol consumption. In this scenario, consumption of alcohol and smoking must be avoided through a major lifestyle intervention program (Yeh et al., 2023; Ahmad and Joshi, 2023; Andrew et al., 2023). Routine blood sugar assessment is also prioritised as part of self-management practices, the data of which can be utilised to make evidence-based decisions in the public healthcare sector.</w:t>
      </w:r>
    </w:p>
    <w:p w14:paraId="6523BC8B" w14:textId="77777777" w:rsidR="00FE67EF" w:rsidRPr="002A40C6" w:rsidRDefault="00CA4531" w:rsidP="00002063">
      <w:pPr>
        <w:pStyle w:val="Heading1"/>
        <w:rPr>
          <w:lang w:val="en-GB"/>
        </w:rPr>
      </w:pPr>
      <w:bookmarkStart w:id="4" w:name="_Toc212673727"/>
      <w:r w:rsidRPr="002A40C6">
        <w:rPr>
          <w:lang w:val="en-GB"/>
        </w:rPr>
        <w:t>Evidence-based Recommendations</w:t>
      </w:r>
      <w:bookmarkEnd w:id="4"/>
    </w:p>
    <w:p w14:paraId="270506C6" w14:textId="77777777" w:rsidR="00FE67EF" w:rsidRPr="002A40C6" w:rsidRDefault="00CA4531" w:rsidP="00002063">
      <w:pPr>
        <w:pStyle w:val="Heading2"/>
        <w:rPr>
          <w:lang w:val="en-GB"/>
        </w:rPr>
      </w:pPr>
      <w:bookmarkStart w:id="5" w:name="_Toc212673728"/>
      <w:r w:rsidRPr="002A40C6">
        <w:rPr>
          <w:lang w:val="en-GB"/>
        </w:rPr>
        <w:t>Diet Maintenance</w:t>
      </w:r>
      <w:bookmarkEnd w:id="5"/>
    </w:p>
    <w:p w14:paraId="06E1B173" w14:textId="77777777" w:rsidR="00FE67EF" w:rsidRPr="002A40C6" w:rsidRDefault="00CA4531">
      <w:pPr>
        <w:pStyle w:val="Normal1"/>
        <w:spacing w:line="360" w:lineRule="auto"/>
        <w:jc w:val="both"/>
        <w:rPr>
          <w:lang w:val="en-GB"/>
        </w:rPr>
      </w:pPr>
      <w:r w:rsidRPr="002A40C6">
        <w:rPr>
          <w:lang w:val="en-GB"/>
        </w:rPr>
        <w:t>Diet management is considered a critical part of diabetes management since Yeh et al., (2023), observed that adequate nutrition therapy reduced HbA1c levels by 0.3–2.0% in type 2 diabetes patients. Although there are no mandated requirements for food consumption when it comes to controlling diabetes, balanced diets are generally referred to by professionals who suggest eating complex carbohydrates like legumes, whole grains, vegetables and fruits, which take time to digest (Mayo Clinic, 2024). Thus, diabetics are encouraged to reduce carbohydrate intake, particularly sugary beverages, to reduce diabetes risks.</w:t>
      </w:r>
    </w:p>
    <w:p w14:paraId="1B614240" w14:textId="77777777" w:rsidR="00FE67EF" w:rsidRPr="002A40C6" w:rsidRDefault="00CA4531" w:rsidP="00002063">
      <w:pPr>
        <w:pStyle w:val="Heading2"/>
        <w:rPr>
          <w:lang w:val="en-GB"/>
        </w:rPr>
      </w:pPr>
      <w:bookmarkStart w:id="6" w:name="_Toc212673729"/>
      <w:r w:rsidRPr="002A40C6">
        <w:rPr>
          <w:lang w:val="en-GB"/>
        </w:rPr>
        <w:t>Physical Activity</w:t>
      </w:r>
      <w:bookmarkEnd w:id="6"/>
      <w:r w:rsidRPr="002A40C6">
        <w:rPr>
          <w:lang w:val="en-GB"/>
        </w:rPr>
        <w:t xml:space="preserve"> </w:t>
      </w:r>
    </w:p>
    <w:p w14:paraId="7D3750F0" w14:textId="77777777" w:rsidR="00FE67EF" w:rsidRPr="002A40C6" w:rsidRDefault="00CA4531">
      <w:pPr>
        <w:pStyle w:val="Normal1"/>
        <w:spacing w:line="360" w:lineRule="auto"/>
        <w:jc w:val="both"/>
        <w:rPr>
          <w:lang w:val="en-GB"/>
        </w:rPr>
      </w:pPr>
      <w:r w:rsidRPr="002A40C6">
        <w:rPr>
          <w:lang w:val="en-GB"/>
        </w:rPr>
        <w:t xml:space="preserve">Alongside diet, physical activity has a great impact on Type 2 diabetes management, as past research has shown that physical exercise for at least 8 weeks can result in a decline of 0.66% in HbA1c levels in diabetes patients (Yeh et al., 2023). Wake (2020) similarly acknowledged that physical activity has a significant role in controlling blood glucose levels by reducing insulin resistance, minimising “visceral adipose tissue” (VAT), enhancing the generation of “glucose transporter type 4” (GLUT-4) and the functions of pancreatic β-cells. Thus, physical activity must be a standard requirement for at least 150-300 minutes on average per week (Yang, 2019).  </w:t>
      </w:r>
    </w:p>
    <w:p w14:paraId="4E28F029" w14:textId="77777777" w:rsidR="00FE67EF" w:rsidRPr="002A40C6" w:rsidRDefault="00CA4531" w:rsidP="00002063">
      <w:pPr>
        <w:pStyle w:val="Heading2"/>
        <w:rPr>
          <w:lang w:val="en-GB"/>
        </w:rPr>
      </w:pPr>
      <w:bookmarkStart w:id="7" w:name="_Toc212673730"/>
      <w:r w:rsidRPr="002A40C6">
        <w:rPr>
          <w:lang w:val="en-GB"/>
        </w:rPr>
        <w:t>Avoid Smoking and Alcohol Consumption</w:t>
      </w:r>
      <w:bookmarkEnd w:id="7"/>
    </w:p>
    <w:p w14:paraId="1392412B" w14:textId="77777777" w:rsidR="00FE67EF" w:rsidRPr="002A40C6" w:rsidRDefault="00CA4531">
      <w:pPr>
        <w:pStyle w:val="Normal1"/>
        <w:spacing w:line="360" w:lineRule="auto"/>
        <w:jc w:val="both"/>
        <w:rPr>
          <w:lang w:val="en-GB"/>
        </w:rPr>
      </w:pPr>
      <w:r w:rsidRPr="002A40C6">
        <w:rPr>
          <w:lang w:val="en-GB"/>
        </w:rPr>
        <w:t xml:space="preserve">Smoking and alcohol consumption of patients with diabetes must be avoided, as Yeh et al. (2023) observed that alcohol consumption increases the potential of hypoglycemia in diabetes patients. Ahmad and Joshi (2023), on the other hand, suggest that diabetes patients must quit smoking as smoking narrows blood vessels, leading to a decline in blood circulation. The CDC-supported “National Diabetes Prevention Program” (National DPP), for instance, focuses on developing healthy habits, including quitting smoking because smoking is one of the leading causes of Type 2 diabetes (CDC, 2023). </w:t>
      </w:r>
    </w:p>
    <w:p w14:paraId="6CDAD427" w14:textId="77777777" w:rsidR="00FE67EF" w:rsidRPr="002A40C6" w:rsidRDefault="00CA4531" w:rsidP="00002063">
      <w:pPr>
        <w:pStyle w:val="Heading2"/>
        <w:rPr>
          <w:lang w:val="en-GB"/>
        </w:rPr>
      </w:pPr>
      <w:bookmarkStart w:id="8" w:name="_Toc212673731"/>
      <w:r w:rsidRPr="002A40C6">
        <w:rPr>
          <w:lang w:val="en-GB"/>
        </w:rPr>
        <w:t>Offering Peer Support and Follow-up</w:t>
      </w:r>
      <w:bookmarkEnd w:id="8"/>
    </w:p>
    <w:p w14:paraId="2209CB97" w14:textId="77777777" w:rsidR="00FE67EF" w:rsidRPr="002A40C6" w:rsidRDefault="00CA4531">
      <w:pPr>
        <w:pStyle w:val="Normal1"/>
        <w:spacing w:line="360" w:lineRule="auto"/>
        <w:jc w:val="both"/>
        <w:rPr>
          <w:lang w:val="en-GB"/>
        </w:rPr>
      </w:pPr>
      <w:r w:rsidRPr="002A40C6">
        <w:rPr>
          <w:lang w:val="en-GB"/>
        </w:rPr>
        <w:t>In terms of self-management of diabetes, face-to-face peer support is reported to offer significant positive outcomes in terms of diastolic blood pressure in patients with Type 2 diabetes, as noted by Pienaar and Reid (2020). On the other hand, the significance of follow-up strategies lies in the fact that they help avoid diabetic related health complications by conducting frequent blood glucose monitoring and food checking (Maina et al., 2023). Nguyen et al. (2019) have suggested combining foot care education with follow-up phone calls for 6 months to reduce the risks of ulceration in the feet due to Type -2 diabetes. Thus, peer support and follow-up intervention can be prioritised in this context.</w:t>
      </w:r>
    </w:p>
    <w:p w14:paraId="6CD4173A" w14:textId="77777777" w:rsidR="00FE67EF" w:rsidRPr="002A40C6" w:rsidRDefault="00CA4531" w:rsidP="00002063">
      <w:pPr>
        <w:pStyle w:val="Heading1"/>
        <w:rPr>
          <w:lang w:val="en-GB"/>
        </w:rPr>
      </w:pPr>
      <w:bookmarkStart w:id="9" w:name="_Toc212673732"/>
      <w:r w:rsidRPr="002A40C6">
        <w:rPr>
          <w:lang w:val="en-GB"/>
        </w:rPr>
        <w:t>Conclusion</w:t>
      </w:r>
      <w:bookmarkEnd w:id="9"/>
    </w:p>
    <w:p w14:paraId="1F8BEED4" w14:textId="77777777" w:rsidR="00FE67EF" w:rsidRPr="002A40C6" w:rsidRDefault="00CA4531">
      <w:pPr>
        <w:pStyle w:val="Normal1"/>
        <w:spacing w:line="360" w:lineRule="auto"/>
        <w:jc w:val="both"/>
        <w:rPr>
          <w:lang w:val="en-GB"/>
        </w:rPr>
      </w:pPr>
      <w:r w:rsidRPr="002A40C6">
        <w:rPr>
          <w:lang w:val="en-GB"/>
        </w:rPr>
        <w:t xml:space="preserve">From the above case study evaluation on Type 2 diabetes, it has been noticed that Type 2 diabetes is a prevalent chronic disease in the UK that has a significant influence on public health model outlook and nursing education, as it prevents UK citizens from living a quality life. Considering glucose influences cell mechanisms in the body, it is important to measure blood glucose levels and make informed decisions to manage diabetes. Diet maintenance, physical activities, peer support groups and fostering healthy behaviours are some of the evidence-based strategies that can help patients control diabetes by improving insulin functionality. </w:t>
      </w:r>
    </w:p>
    <w:p w14:paraId="5655FDED" w14:textId="77777777" w:rsidR="002A40C6" w:rsidRPr="002A40C6" w:rsidRDefault="002A40C6">
      <w:pPr>
        <w:rPr>
          <w:b/>
          <w:sz w:val="28"/>
          <w:szCs w:val="40"/>
          <w:lang w:val="en-GB"/>
        </w:rPr>
      </w:pPr>
      <w:bookmarkStart w:id="10" w:name="_Toc212673733"/>
      <w:r w:rsidRPr="002A40C6">
        <w:rPr>
          <w:lang w:val="en-GB"/>
        </w:rPr>
        <w:br w:type="page"/>
      </w:r>
    </w:p>
    <w:p w14:paraId="3BFB4ECE" w14:textId="77777777" w:rsidR="00FE67EF" w:rsidRPr="002A40C6" w:rsidRDefault="00CA4531" w:rsidP="00002063">
      <w:pPr>
        <w:pStyle w:val="Heading1"/>
        <w:rPr>
          <w:lang w:val="en-GB"/>
        </w:rPr>
      </w:pPr>
      <w:r w:rsidRPr="002A40C6">
        <w:rPr>
          <w:lang w:val="en-GB"/>
        </w:rPr>
        <w:t>References</w:t>
      </w:r>
      <w:bookmarkEnd w:id="10"/>
    </w:p>
    <w:p w14:paraId="330B0948" w14:textId="77777777" w:rsidR="00002063" w:rsidRPr="002A40C6" w:rsidRDefault="00002063" w:rsidP="00002063">
      <w:pPr>
        <w:spacing w:line="360" w:lineRule="auto"/>
        <w:jc w:val="both"/>
        <w:rPr>
          <w:color w:val="000000" w:themeColor="text1"/>
          <w:lang w:val="en-GB"/>
        </w:rPr>
      </w:pPr>
      <w:r w:rsidRPr="002A40C6">
        <w:rPr>
          <w:color w:val="000000" w:themeColor="text1"/>
          <w:lang w:val="en-GB"/>
        </w:rPr>
        <w:t>Ahmad, F. and Joshi, S.H., (2023). Self-care practices and their role in the control of diabetes: a narrative review. </w:t>
      </w:r>
      <w:r w:rsidRPr="002A40C6">
        <w:rPr>
          <w:i/>
          <w:iCs/>
          <w:color w:val="000000" w:themeColor="text1"/>
          <w:lang w:val="en-GB"/>
        </w:rPr>
        <w:t>Cureus</w:t>
      </w:r>
      <w:r w:rsidRPr="002A40C6">
        <w:rPr>
          <w:color w:val="000000" w:themeColor="text1"/>
          <w:lang w:val="en-GB"/>
        </w:rPr>
        <w:t>, </w:t>
      </w:r>
      <w:r w:rsidRPr="002A40C6">
        <w:rPr>
          <w:i/>
          <w:iCs/>
          <w:color w:val="000000" w:themeColor="text1"/>
          <w:lang w:val="en-GB"/>
        </w:rPr>
        <w:t>15</w:t>
      </w:r>
      <w:r w:rsidRPr="002A40C6">
        <w:rPr>
          <w:color w:val="000000" w:themeColor="text1"/>
          <w:lang w:val="en-GB"/>
        </w:rPr>
        <w:t>(7). doi: 10.7759/cureus.41409</w:t>
      </w:r>
    </w:p>
    <w:p w14:paraId="496FDDD5" w14:textId="77777777" w:rsidR="00002063" w:rsidRPr="002A40C6" w:rsidRDefault="00002063" w:rsidP="00002063">
      <w:pPr>
        <w:spacing w:line="360" w:lineRule="auto"/>
        <w:jc w:val="both"/>
        <w:rPr>
          <w:color w:val="000000" w:themeColor="text1"/>
          <w:lang w:val="en-GB"/>
        </w:rPr>
      </w:pPr>
      <w:r w:rsidRPr="002A40C6">
        <w:rPr>
          <w:color w:val="000000" w:themeColor="text1"/>
          <w:lang w:val="en-GB"/>
        </w:rPr>
        <w:t>CDC, (2023). Diabetes. Available at: https://www.cdc.gov/tobacco/campaign/tips/diseases/diabetes.html [Accessed on 28/10/2025]</w:t>
      </w:r>
    </w:p>
    <w:p w14:paraId="639E0394" w14:textId="77777777" w:rsidR="00002063" w:rsidRPr="002A40C6" w:rsidRDefault="00002063" w:rsidP="00002063">
      <w:pPr>
        <w:spacing w:line="360" w:lineRule="auto"/>
        <w:jc w:val="both"/>
        <w:rPr>
          <w:color w:val="000000" w:themeColor="text1"/>
          <w:lang w:val="en-GB"/>
        </w:rPr>
      </w:pPr>
      <w:r w:rsidRPr="002A40C6">
        <w:rPr>
          <w:color w:val="000000" w:themeColor="text1"/>
          <w:lang w:val="en-GB"/>
        </w:rPr>
        <w:t>Diabetes UK, (2025). How many people in the UK have diabetes? Available at: https://www.diabetes.org.uk/about-us/about-the-charity/our-strategy/statistics [Accessed on 28/10/2025]</w:t>
      </w:r>
    </w:p>
    <w:p w14:paraId="3FFC1E61" w14:textId="77777777" w:rsidR="00002063" w:rsidRPr="002A40C6" w:rsidRDefault="00002063" w:rsidP="00002063">
      <w:pPr>
        <w:spacing w:line="360" w:lineRule="auto"/>
        <w:jc w:val="both"/>
        <w:rPr>
          <w:color w:val="000000" w:themeColor="text1"/>
          <w:lang w:val="en-GB"/>
        </w:rPr>
      </w:pPr>
      <w:r w:rsidRPr="002A40C6">
        <w:rPr>
          <w:color w:val="000000" w:themeColor="text1"/>
          <w:lang w:val="en-GB"/>
        </w:rPr>
        <w:t>Dludla, P.V., Mabhida, S.E., Ziqubu, K., Nkambule, B.B., Mazibuko-Mbeje, S.E., Hanser, S., Basson, A.K., Pheiffer, C. and Kengne, A.P., 2023. Pancreatic β-cell dysfunction in type 2 diabetes: Implications of inflammation and oxidative stress. </w:t>
      </w:r>
      <w:r w:rsidRPr="002A40C6">
        <w:rPr>
          <w:i/>
          <w:iCs/>
          <w:color w:val="000000" w:themeColor="text1"/>
          <w:lang w:val="en-GB"/>
        </w:rPr>
        <w:t>World journal of diabetes</w:t>
      </w:r>
      <w:r w:rsidRPr="002A40C6">
        <w:rPr>
          <w:color w:val="000000" w:themeColor="text1"/>
          <w:lang w:val="en-GB"/>
        </w:rPr>
        <w:t>, </w:t>
      </w:r>
      <w:r w:rsidRPr="002A40C6">
        <w:rPr>
          <w:i/>
          <w:iCs/>
          <w:color w:val="000000" w:themeColor="text1"/>
          <w:lang w:val="en-GB"/>
        </w:rPr>
        <w:t>14</w:t>
      </w:r>
      <w:r w:rsidRPr="002A40C6">
        <w:rPr>
          <w:color w:val="000000" w:themeColor="text1"/>
          <w:lang w:val="en-GB"/>
        </w:rPr>
        <w:t>(3), p.130. doi: 10.4239/wjd.v14.i3.130</w:t>
      </w:r>
    </w:p>
    <w:p w14:paraId="4626525E" w14:textId="77777777" w:rsidR="00002063" w:rsidRPr="002A40C6" w:rsidRDefault="00002063" w:rsidP="00002063">
      <w:pPr>
        <w:spacing w:line="360" w:lineRule="auto"/>
        <w:jc w:val="both"/>
        <w:rPr>
          <w:color w:val="000000" w:themeColor="text1"/>
          <w:lang w:val="en-GB"/>
        </w:rPr>
      </w:pPr>
      <w:r w:rsidRPr="002A40C6">
        <w:rPr>
          <w:color w:val="000000" w:themeColor="text1"/>
          <w:lang w:val="en-GB"/>
        </w:rPr>
        <w:t>Freckmann, G., Pleus, S., Grady, M., Setford, S. and Levy, B., (2019). Measures of accuracy for continuous glucose monitoring and blood glucose monitoring devices. </w:t>
      </w:r>
      <w:r w:rsidRPr="002A40C6">
        <w:rPr>
          <w:i/>
          <w:iCs/>
          <w:color w:val="000000" w:themeColor="text1"/>
          <w:lang w:val="en-GB"/>
        </w:rPr>
        <w:t>Journal of diabetes science and technology</w:t>
      </w:r>
      <w:r w:rsidRPr="002A40C6">
        <w:rPr>
          <w:color w:val="000000" w:themeColor="text1"/>
          <w:lang w:val="en-GB"/>
        </w:rPr>
        <w:t>, </w:t>
      </w:r>
      <w:r w:rsidRPr="002A40C6">
        <w:rPr>
          <w:i/>
          <w:iCs/>
          <w:color w:val="000000" w:themeColor="text1"/>
          <w:lang w:val="en-GB"/>
        </w:rPr>
        <w:t>13</w:t>
      </w:r>
      <w:r w:rsidRPr="002A40C6">
        <w:rPr>
          <w:color w:val="000000" w:themeColor="text1"/>
          <w:lang w:val="en-GB"/>
        </w:rPr>
        <w:t>(3), pp.575-583. DOI: 10.1177/1932296818812062</w:t>
      </w:r>
    </w:p>
    <w:p w14:paraId="4732C5E7" w14:textId="77777777" w:rsidR="00002063" w:rsidRPr="002A40C6" w:rsidRDefault="00002063" w:rsidP="00002063">
      <w:pPr>
        <w:spacing w:line="360" w:lineRule="auto"/>
        <w:jc w:val="both"/>
        <w:rPr>
          <w:color w:val="000000" w:themeColor="text1"/>
          <w:lang w:val="en-GB"/>
        </w:rPr>
      </w:pPr>
      <w:r w:rsidRPr="002A40C6">
        <w:rPr>
          <w:color w:val="000000" w:themeColor="text1"/>
          <w:lang w:val="en-GB"/>
        </w:rPr>
        <w:t>Hantzidiamantis, P.J., Awosika, A.O. and Lappin, S.L., (2024). Physiology, glucose. In </w:t>
      </w:r>
      <w:r w:rsidRPr="002A40C6">
        <w:rPr>
          <w:i/>
          <w:iCs/>
          <w:color w:val="000000" w:themeColor="text1"/>
          <w:lang w:val="en-GB"/>
        </w:rPr>
        <w:t>StatPearls [Internet]</w:t>
      </w:r>
      <w:r w:rsidRPr="002A40C6">
        <w:rPr>
          <w:color w:val="000000" w:themeColor="text1"/>
          <w:lang w:val="en-GB"/>
        </w:rPr>
        <w:t>. StatPearls Publishing.</w:t>
      </w:r>
    </w:p>
    <w:p w14:paraId="01DEFC06" w14:textId="77777777" w:rsidR="00002063" w:rsidRPr="002A40C6" w:rsidRDefault="00002063" w:rsidP="00002063">
      <w:pPr>
        <w:spacing w:line="360" w:lineRule="auto"/>
        <w:jc w:val="both"/>
        <w:rPr>
          <w:color w:val="000000" w:themeColor="text1"/>
          <w:lang w:val="en-GB"/>
        </w:rPr>
      </w:pPr>
      <w:r w:rsidRPr="002A40C6">
        <w:rPr>
          <w:color w:val="000000" w:themeColor="text1"/>
          <w:lang w:val="en-GB"/>
        </w:rPr>
        <w:t>Lee, A.A., Piette, J.D., Heisler, M., Janevic, M.R. and Rosland, A.M., (2019). Diabetes self-management and glycemic control: The role of autonomy support from informal health supporters. </w:t>
      </w:r>
      <w:r w:rsidRPr="002A40C6">
        <w:rPr>
          <w:i/>
          <w:iCs/>
          <w:color w:val="000000" w:themeColor="text1"/>
          <w:lang w:val="en-GB"/>
        </w:rPr>
        <w:t>Health psychology</w:t>
      </w:r>
      <w:r w:rsidRPr="002A40C6">
        <w:rPr>
          <w:color w:val="000000" w:themeColor="text1"/>
          <w:lang w:val="en-GB"/>
        </w:rPr>
        <w:t>, </w:t>
      </w:r>
      <w:r w:rsidRPr="002A40C6">
        <w:rPr>
          <w:i/>
          <w:iCs/>
          <w:color w:val="000000" w:themeColor="text1"/>
          <w:lang w:val="en-GB"/>
        </w:rPr>
        <w:t>38</w:t>
      </w:r>
      <w:r w:rsidRPr="002A40C6">
        <w:rPr>
          <w:color w:val="000000" w:themeColor="text1"/>
          <w:lang w:val="en-GB"/>
        </w:rPr>
        <w:t>(2), p.122. doi: 10.1037/hea0000710</w:t>
      </w:r>
    </w:p>
    <w:p w14:paraId="62772222" w14:textId="77777777" w:rsidR="00002063" w:rsidRPr="002A40C6" w:rsidRDefault="00002063" w:rsidP="00002063">
      <w:pPr>
        <w:spacing w:line="360" w:lineRule="auto"/>
        <w:jc w:val="both"/>
        <w:rPr>
          <w:color w:val="000000" w:themeColor="text1"/>
          <w:lang w:val="en-GB"/>
        </w:rPr>
      </w:pPr>
      <w:r w:rsidRPr="002A40C6">
        <w:rPr>
          <w:color w:val="000000" w:themeColor="text1"/>
          <w:lang w:val="en-GB"/>
        </w:rPr>
        <w:t>Maina, P.M., Pienaar, M. and Reid, M., (2023). Self-management practices for preventing complications of type II diabetes mellitus in low and middle-income countries: A scoping review. </w:t>
      </w:r>
      <w:r w:rsidRPr="002A40C6">
        <w:rPr>
          <w:i/>
          <w:iCs/>
          <w:color w:val="000000" w:themeColor="text1"/>
          <w:lang w:val="en-GB"/>
        </w:rPr>
        <w:t>International journal of nursing studies advances</w:t>
      </w:r>
      <w:r w:rsidRPr="002A40C6">
        <w:rPr>
          <w:color w:val="000000" w:themeColor="text1"/>
          <w:lang w:val="en-GB"/>
        </w:rPr>
        <w:t>, </w:t>
      </w:r>
      <w:r w:rsidRPr="002A40C6">
        <w:rPr>
          <w:i/>
          <w:iCs/>
          <w:color w:val="000000" w:themeColor="text1"/>
          <w:lang w:val="en-GB"/>
        </w:rPr>
        <w:t>5</w:t>
      </w:r>
      <w:r w:rsidRPr="002A40C6">
        <w:rPr>
          <w:color w:val="000000" w:themeColor="text1"/>
          <w:lang w:val="en-GB"/>
        </w:rPr>
        <w:t xml:space="preserve">, p.100136. </w:t>
      </w:r>
      <w:hyperlink r:id="rId10" w:history="1">
        <w:r w:rsidRPr="002A40C6">
          <w:rPr>
            <w:rStyle w:val="Hyperlink"/>
            <w:color w:val="000000" w:themeColor="text1"/>
            <w:u w:val="none"/>
            <w:lang w:val="en-GB"/>
          </w:rPr>
          <w:t>https://doi.org/10.1016/j.ijnsa.2023.100136</w:t>
        </w:r>
      </w:hyperlink>
    </w:p>
    <w:p w14:paraId="0F6555C9" w14:textId="77777777" w:rsidR="00002063" w:rsidRPr="002A40C6" w:rsidRDefault="00002063" w:rsidP="00002063">
      <w:pPr>
        <w:spacing w:line="360" w:lineRule="auto"/>
        <w:jc w:val="both"/>
        <w:rPr>
          <w:color w:val="000000" w:themeColor="text1"/>
          <w:lang w:val="en-GB"/>
        </w:rPr>
      </w:pPr>
      <w:r w:rsidRPr="002A40C6">
        <w:rPr>
          <w:color w:val="000000" w:themeColor="text1"/>
          <w:lang w:val="en-GB"/>
        </w:rPr>
        <w:t xml:space="preserve">Mathew, T.K. and Tadi, P., (2020). Blood glucose monitoring. </w:t>
      </w:r>
      <w:hyperlink r:id="rId11" w:history="1">
        <w:r w:rsidRPr="002A40C6">
          <w:rPr>
            <w:rStyle w:val="Hyperlink"/>
            <w:color w:val="000000" w:themeColor="text1"/>
            <w:u w:val="none"/>
            <w:lang w:val="en-GB"/>
          </w:rPr>
          <w:t>https://europepmc.org/books/nbk555976</w:t>
        </w:r>
      </w:hyperlink>
    </w:p>
    <w:p w14:paraId="3D98CBEC" w14:textId="77777777" w:rsidR="00002063" w:rsidRPr="002A40C6" w:rsidRDefault="00002063" w:rsidP="00002063">
      <w:pPr>
        <w:spacing w:line="360" w:lineRule="auto"/>
        <w:jc w:val="both"/>
        <w:rPr>
          <w:color w:val="000000" w:themeColor="text1"/>
          <w:lang w:val="en-GB"/>
        </w:rPr>
      </w:pPr>
      <w:r w:rsidRPr="002A40C6">
        <w:rPr>
          <w:color w:val="000000" w:themeColor="text1"/>
          <w:lang w:val="en-GB"/>
        </w:rPr>
        <w:t>MayoClinic, (2024). Diabetes. Available at: https://www.mayoclinic.org/diseases-conditions/diabetes/diagnosis-treatment/drc-20371451 [Accessed on 28/10/2025]</w:t>
      </w:r>
    </w:p>
    <w:p w14:paraId="29D3F6A6" w14:textId="77777777" w:rsidR="00002063" w:rsidRPr="002A40C6" w:rsidRDefault="00002063" w:rsidP="00002063">
      <w:pPr>
        <w:spacing w:line="360" w:lineRule="auto"/>
        <w:jc w:val="both"/>
        <w:rPr>
          <w:color w:val="000000" w:themeColor="text1"/>
          <w:lang w:val="en-GB"/>
        </w:rPr>
      </w:pPr>
      <w:r w:rsidRPr="002A40C6">
        <w:rPr>
          <w:color w:val="000000" w:themeColor="text1"/>
          <w:lang w:val="en-GB"/>
        </w:rPr>
        <w:t xml:space="preserve">Nakrani, M. N., Wineland, R. H., &amp; Anjum, F. (2020). Physiology, glucose metabolism. </w:t>
      </w:r>
      <w:hyperlink r:id="rId12" w:history="1">
        <w:r w:rsidRPr="002A40C6">
          <w:rPr>
            <w:rStyle w:val="Hyperlink"/>
            <w:color w:val="000000" w:themeColor="text1"/>
            <w:u w:val="none"/>
            <w:lang w:val="en-GB"/>
          </w:rPr>
          <w:t>https://europepmc.org/books/nbk560599</w:t>
        </w:r>
      </w:hyperlink>
    </w:p>
    <w:p w14:paraId="43AA16F2" w14:textId="77777777" w:rsidR="00002063" w:rsidRPr="002A40C6" w:rsidRDefault="00002063" w:rsidP="00002063">
      <w:pPr>
        <w:spacing w:line="360" w:lineRule="auto"/>
        <w:jc w:val="both"/>
        <w:rPr>
          <w:color w:val="000000" w:themeColor="text1"/>
          <w:lang w:val="en-GB"/>
        </w:rPr>
      </w:pPr>
      <w:r w:rsidRPr="002A40C6">
        <w:rPr>
          <w:color w:val="000000" w:themeColor="text1"/>
          <w:lang w:val="en-GB"/>
        </w:rPr>
        <w:t>Nguyen, T.P.L., Edwards, H., Do, T.N.D. and Finlayson, K., (2019). Effectiveness of a theory-based foot care education program (3STEPFUN) in improving foot self-care behaviours and foot risk factors for ulceration in people with type 2 diabetes. </w:t>
      </w:r>
      <w:r w:rsidRPr="002A40C6">
        <w:rPr>
          <w:i/>
          <w:iCs/>
          <w:color w:val="000000" w:themeColor="text1"/>
          <w:lang w:val="en-GB"/>
        </w:rPr>
        <w:t>Diabetes research and clinical practice</w:t>
      </w:r>
      <w:r w:rsidRPr="002A40C6">
        <w:rPr>
          <w:color w:val="000000" w:themeColor="text1"/>
          <w:lang w:val="en-GB"/>
        </w:rPr>
        <w:t>, </w:t>
      </w:r>
      <w:r w:rsidRPr="002A40C6">
        <w:rPr>
          <w:i/>
          <w:iCs/>
          <w:color w:val="000000" w:themeColor="text1"/>
          <w:lang w:val="en-GB"/>
        </w:rPr>
        <w:t>152</w:t>
      </w:r>
      <w:r w:rsidRPr="002A40C6">
        <w:rPr>
          <w:color w:val="000000" w:themeColor="text1"/>
          <w:lang w:val="en-GB"/>
        </w:rPr>
        <w:t xml:space="preserve">, pp.29-38. </w:t>
      </w:r>
      <w:hyperlink r:id="rId13" w:history="1">
        <w:r w:rsidRPr="002A40C6">
          <w:rPr>
            <w:rStyle w:val="Hyperlink"/>
            <w:color w:val="000000" w:themeColor="text1"/>
            <w:u w:val="none"/>
            <w:lang w:val="en-GB"/>
          </w:rPr>
          <w:t>https://doi.org/10.1016/j.diabres.2019.05.003</w:t>
        </w:r>
      </w:hyperlink>
    </w:p>
    <w:p w14:paraId="6F3F172E" w14:textId="77777777" w:rsidR="00002063" w:rsidRPr="002A40C6" w:rsidRDefault="00002063" w:rsidP="00002063">
      <w:pPr>
        <w:spacing w:line="360" w:lineRule="auto"/>
        <w:jc w:val="both"/>
        <w:rPr>
          <w:color w:val="000000" w:themeColor="text1"/>
          <w:lang w:val="en-GB"/>
        </w:rPr>
      </w:pPr>
      <w:r w:rsidRPr="002A40C6">
        <w:rPr>
          <w:color w:val="000000" w:themeColor="text1"/>
          <w:lang w:val="en-GB"/>
        </w:rPr>
        <w:t>Ormazabal, V., Nair, S., Elfeky, O., Aguayo, C., Salomon, C. and Zuñiga, F.A., (2018). Association between insulin resistance and the development of cardiovascular disease. </w:t>
      </w:r>
      <w:r w:rsidRPr="002A40C6">
        <w:rPr>
          <w:i/>
          <w:iCs/>
          <w:color w:val="000000" w:themeColor="text1"/>
          <w:lang w:val="en-GB"/>
        </w:rPr>
        <w:t>Cardiovascular diabetology</w:t>
      </w:r>
      <w:r w:rsidRPr="002A40C6">
        <w:rPr>
          <w:color w:val="000000" w:themeColor="text1"/>
          <w:lang w:val="en-GB"/>
        </w:rPr>
        <w:t>, </w:t>
      </w:r>
      <w:r w:rsidRPr="002A40C6">
        <w:rPr>
          <w:i/>
          <w:iCs/>
          <w:color w:val="000000" w:themeColor="text1"/>
          <w:lang w:val="en-GB"/>
        </w:rPr>
        <w:t>17</w:t>
      </w:r>
      <w:r w:rsidRPr="002A40C6">
        <w:rPr>
          <w:color w:val="000000" w:themeColor="text1"/>
          <w:lang w:val="en-GB"/>
        </w:rPr>
        <w:t xml:space="preserve">(1), p.122. </w:t>
      </w:r>
      <w:hyperlink r:id="rId14" w:history="1">
        <w:r w:rsidRPr="002A40C6">
          <w:rPr>
            <w:rStyle w:val="Hyperlink"/>
            <w:color w:val="000000" w:themeColor="text1"/>
            <w:u w:val="none"/>
            <w:lang w:val="en-GB"/>
          </w:rPr>
          <w:t>https://doi.org/10.1186/s12933-018-0762-4</w:t>
        </w:r>
      </w:hyperlink>
    </w:p>
    <w:p w14:paraId="626934AC" w14:textId="77777777" w:rsidR="00002063" w:rsidRPr="002A40C6" w:rsidRDefault="00002063" w:rsidP="00002063">
      <w:pPr>
        <w:spacing w:line="360" w:lineRule="auto"/>
        <w:jc w:val="both"/>
        <w:rPr>
          <w:color w:val="000000" w:themeColor="text1"/>
          <w:lang w:val="en-GB"/>
        </w:rPr>
      </w:pPr>
      <w:r w:rsidRPr="002A40C6">
        <w:rPr>
          <w:color w:val="000000" w:themeColor="text1"/>
          <w:lang w:val="en-GB"/>
        </w:rPr>
        <w:t>Parker, J. (2020). Glucose metabolism, energy production and regulation of cellular and whole-body metabolism. </w:t>
      </w:r>
      <w:r w:rsidRPr="002A40C6">
        <w:rPr>
          <w:i/>
          <w:iCs/>
          <w:color w:val="000000" w:themeColor="text1"/>
          <w:lang w:val="en-GB"/>
        </w:rPr>
        <w:t>Journal of the Australasian College of Nutritional and Environmental Medicine</w:t>
      </w:r>
      <w:r w:rsidRPr="002A40C6">
        <w:rPr>
          <w:color w:val="000000" w:themeColor="text1"/>
          <w:lang w:val="en-GB"/>
        </w:rPr>
        <w:t>, </w:t>
      </w:r>
      <w:r w:rsidRPr="002A40C6">
        <w:rPr>
          <w:i/>
          <w:iCs/>
          <w:color w:val="000000" w:themeColor="text1"/>
          <w:lang w:val="en-GB"/>
        </w:rPr>
        <w:t>39</w:t>
      </w:r>
      <w:r w:rsidRPr="002A40C6">
        <w:rPr>
          <w:color w:val="000000" w:themeColor="text1"/>
          <w:lang w:val="en-GB"/>
        </w:rPr>
        <w:t xml:space="preserve">(1), 29-33. </w:t>
      </w:r>
      <w:hyperlink r:id="rId15" w:history="1">
        <w:r w:rsidRPr="002A40C6">
          <w:rPr>
            <w:rStyle w:val="Hyperlink"/>
            <w:color w:val="000000" w:themeColor="text1"/>
            <w:u w:val="none"/>
            <w:lang w:val="en-GB"/>
          </w:rPr>
          <w:t>https://search.informit.org/doi/abs/10.3316/INFORMIT.154784110868319</w:t>
        </w:r>
      </w:hyperlink>
    </w:p>
    <w:p w14:paraId="79169926" w14:textId="77777777" w:rsidR="00002063" w:rsidRPr="002A40C6" w:rsidRDefault="00002063" w:rsidP="00002063">
      <w:pPr>
        <w:spacing w:line="360" w:lineRule="auto"/>
        <w:jc w:val="both"/>
        <w:rPr>
          <w:color w:val="000000" w:themeColor="text1"/>
          <w:lang w:val="en-GB"/>
        </w:rPr>
      </w:pPr>
      <w:r w:rsidRPr="002A40C6">
        <w:rPr>
          <w:color w:val="000000" w:themeColor="text1"/>
          <w:lang w:val="en-GB"/>
        </w:rPr>
        <w:t>Pienaar, M. and Reid, M., (2020). Self-management in face-to-face peer support for adults with type 2 diabetes living in low-or middle-income countries: a systematic review. </w:t>
      </w:r>
      <w:r w:rsidRPr="002A40C6">
        <w:rPr>
          <w:i/>
          <w:iCs/>
          <w:color w:val="000000" w:themeColor="text1"/>
          <w:lang w:val="en-GB"/>
        </w:rPr>
        <w:t>BMC Public Health</w:t>
      </w:r>
      <w:r w:rsidRPr="002A40C6">
        <w:rPr>
          <w:color w:val="000000" w:themeColor="text1"/>
          <w:lang w:val="en-GB"/>
        </w:rPr>
        <w:t>, </w:t>
      </w:r>
      <w:r w:rsidRPr="002A40C6">
        <w:rPr>
          <w:i/>
          <w:iCs/>
          <w:color w:val="000000" w:themeColor="text1"/>
          <w:lang w:val="en-GB"/>
        </w:rPr>
        <w:t>20</w:t>
      </w:r>
      <w:r w:rsidRPr="002A40C6">
        <w:rPr>
          <w:color w:val="000000" w:themeColor="text1"/>
          <w:lang w:val="en-GB"/>
        </w:rPr>
        <w:t>(1), p.1834. 10.1186/s12889-020-09954-1</w:t>
      </w:r>
    </w:p>
    <w:p w14:paraId="72FE51DE" w14:textId="77777777" w:rsidR="00002063" w:rsidRPr="002A40C6" w:rsidRDefault="00002063" w:rsidP="00002063">
      <w:pPr>
        <w:spacing w:line="360" w:lineRule="auto"/>
        <w:jc w:val="both"/>
        <w:rPr>
          <w:color w:val="000000" w:themeColor="text1"/>
          <w:lang w:val="en-GB"/>
        </w:rPr>
      </w:pPr>
      <w:r w:rsidRPr="002A40C6">
        <w:rPr>
          <w:color w:val="000000" w:themeColor="text1"/>
          <w:lang w:val="en-GB"/>
        </w:rPr>
        <w:t>Pleus, S., Tytko, A., Landgraf, R., Heinemann, L., Werner, C., Mueller-Wieland, D., ... and Petersmann, A. (2024). Definition, classification, diagnosis and differential diagnosis of diabetes mellitus: update 2023. </w:t>
      </w:r>
      <w:r w:rsidRPr="002A40C6">
        <w:rPr>
          <w:i/>
          <w:iCs/>
          <w:color w:val="000000" w:themeColor="text1"/>
          <w:lang w:val="en-GB"/>
        </w:rPr>
        <w:t>Experimental and Clinical Endocrinology &amp; Diabetes</w:t>
      </w:r>
      <w:r w:rsidRPr="002A40C6">
        <w:rPr>
          <w:color w:val="000000" w:themeColor="text1"/>
          <w:lang w:val="en-GB"/>
        </w:rPr>
        <w:t>, </w:t>
      </w:r>
      <w:r w:rsidRPr="002A40C6">
        <w:rPr>
          <w:i/>
          <w:iCs/>
          <w:color w:val="000000" w:themeColor="text1"/>
          <w:lang w:val="en-GB"/>
        </w:rPr>
        <w:t>132</w:t>
      </w:r>
      <w:r w:rsidRPr="002A40C6">
        <w:rPr>
          <w:color w:val="000000" w:themeColor="text1"/>
          <w:lang w:val="en-GB"/>
        </w:rPr>
        <w:t xml:space="preserve">(03), 112-124. </w:t>
      </w:r>
      <w:hyperlink r:id="rId16" w:history="1">
        <w:r w:rsidRPr="002A40C6">
          <w:rPr>
            <w:rStyle w:val="Hyperlink"/>
            <w:color w:val="000000" w:themeColor="text1"/>
            <w:u w:val="none"/>
            <w:lang w:val="en-GB"/>
          </w:rPr>
          <w:t>https://www.thieme-connect.com/products/ejournals/pdf/10.1055/a-2166-6643.pdf</w:t>
        </w:r>
      </w:hyperlink>
    </w:p>
    <w:p w14:paraId="2197B6A6" w14:textId="77777777" w:rsidR="00002063" w:rsidRPr="002A40C6" w:rsidRDefault="00002063" w:rsidP="00002063">
      <w:pPr>
        <w:spacing w:line="360" w:lineRule="auto"/>
        <w:jc w:val="both"/>
        <w:rPr>
          <w:color w:val="000000" w:themeColor="text1"/>
          <w:lang w:val="en-GB"/>
        </w:rPr>
      </w:pPr>
      <w:r w:rsidRPr="002A40C6">
        <w:rPr>
          <w:color w:val="000000" w:themeColor="text1"/>
          <w:lang w:val="en-GB"/>
        </w:rPr>
        <w:t>Rigoulet, M., Bouchez, C.L., Paumard, P., Ransac, S., Cuvellier, S., Duvezin-Caubet, S., Mazat, J.P. and Devin, A., (2020). Cell energy metabolism: An update. </w:t>
      </w:r>
      <w:r w:rsidRPr="002A40C6">
        <w:rPr>
          <w:i/>
          <w:iCs/>
          <w:color w:val="000000" w:themeColor="text1"/>
          <w:lang w:val="en-GB"/>
        </w:rPr>
        <w:t>Biochimica et Biophysica Acta (BBA)-Bioenergetics</w:t>
      </w:r>
      <w:r w:rsidRPr="002A40C6">
        <w:rPr>
          <w:color w:val="000000" w:themeColor="text1"/>
          <w:lang w:val="en-GB"/>
        </w:rPr>
        <w:t>, </w:t>
      </w:r>
      <w:r w:rsidRPr="002A40C6">
        <w:rPr>
          <w:i/>
          <w:iCs/>
          <w:color w:val="000000" w:themeColor="text1"/>
          <w:lang w:val="en-GB"/>
        </w:rPr>
        <w:t>1861</w:t>
      </w:r>
      <w:r w:rsidRPr="002A40C6">
        <w:rPr>
          <w:color w:val="000000" w:themeColor="text1"/>
          <w:lang w:val="en-GB"/>
        </w:rPr>
        <w:t xml:space="preserve">(11), p.148276. </w:t>
      </w:r>
      <w:hyperlink r:id="rId17" w:history="1">
        <w:r w:rsidRPr="002A40C6">
          <w:rPr>
            <w:rStyle w:val="Hyperlink"/>
            <w:color w:val="000000" w:themeColor="text1"/>
            <w:u w:val="none"/>
            <w:lang w:val="en-GB"/>
          </w:rPr>
          <w:t>https://doi.org/10.1016/j.bbabio.2020.148276</w:t>
        </w:r>
      </w:hyperlink>
    </w:p>
    <w:p w14:paraId="5446C1AA" w14:textId="77777777" w:rsidR="00002063" w:rsidRPr="002A40C6" w:rsidRDefault="00002063" w:rsidP="00002063">
      <w:pPr>
        <w:spacing w:line="360" w:lineRule="auto"/>
        <w:jc w:val="both"/>
        <w:rPr>
          <w:color w:val="000000" w:themeColor="text1"/>
          <w:lang w:val="en-GB"/>
        </w:rPr>
      </w:pPr>
      <w:r w:rsidRPr="002A40C6">
        <w:rPr>
          <w:color w:val="000000" w:themeColor="text1"/>
          <w:lang w:val="en-GB"/>
        </w:rPr>
        <w:t>Wake, A. D. (2020). Antidiabetic effects of physical activity: how it helps to control type 2 diabetes. </w:t>
      </w:r>
      <w:r w:rsidRPr="002A40C6">
        <w:rPr>
          <w:i/>
          <w:iCs/>
          <w:color w:val="000000" w:themeColor="text1"/>
          <w:lang w:val="en-GB"/>
        </w:rPr>
        <w:t>Diabetes, Metabolic Syndrome and Obesity</w:t>
      </w:r>
      <w:r w:rsidRPr="002A40C6">
        <w:rPr>
          <w:color w:val="000000" w:themeColor="text1"/>
          <w:lang w:val="en-GB"/>
        </w:rPr>
        <w:t>, 2909-2923. DOI: 10.2147/DMSO.S262289</w:t>
      </w:r>
    </w:p>
    <w:p w14:paraId="39807BE9" w14:textId="77777777" w:rsidR="00002063" w:rsidRPr="002A40C6" w:rsidRDefault="00002063" w:rsidP="00002063">
      <w:pPr>
        <w:spacing w:line="360" w:lineRule="auto"/>
        <w:jc w:val="both"/>
        <w:rPr>
          <w:color w:val="000000" w:themeColor="text1"/>
          <w:lang w:val="en-GB"/>
        </w:rPr>
      </w:pPr>
      <w:r w:rsidRPr="002A40C6">
        <w:rPr>
          <w:color w:val="000000" w:themeColor="text1"/>
          <w:lang w:val="en-GB"/>
        </w:rPr>
        <w:t>WHO, (2024). ‘Diabetes’, 14 November Available at: https://www.who.int/news-room/fact-sheets/detail/diabetes [Accessed on 28/10/2025]</w:t>
      </w:r>
    </w:p>
    <w:p w14:paraId="111E7BBB" w14:textId="77777777" w:rsidR="00002063" w:rsidRPr="002A40C6" w:rsidRDefault="00002063" w:rsidP="00002063">
      <w:pPr>
        <w:spacing w:line="360" w:lineRule="auto"/>
        <w:jc w:val="both"/>
        <w:rPr>
          <w:color w:val="000000" w:themeColor="text1"/>
          <w:lang w:val="en-GB"/>
        </w:rPr>
      </w:pPr>
      <w:r w:rsidRPr="002A40C6">
        <w:rPr>
          <w:color w:val="000000" w:themeColor="text1"/>
          <w:lang w:val="en-GB"/>
        </w:rPr>
        <w:t xml:space="preserve">WHO, (2025). ‘Diabetes’, Available at: </w:t>
      </w:r>
      <w:hyperlink r:id="rId18" w:anchor="tab=tab_1" w:history="1">
        <w:r w:rsidRPr="002A40C6">
          <w:rPr>
            <w:rStyle w:val="Hyperlink"/>
            <w:color w:val="000000" w:themeColor="text1"/>
            <w:u w:val="none"/>
            <w:lang w:val="en-GB"/>
          </w:rPr>
          <w:t>https://www.who.int/health-topics/diabetes#tab=tab_1</w:t>
        </w:r>
      </w:hyperlink>
      <w:r w:rsidRPr="002A40C6">
        <w:rPr>
          <w:color w:val="000000" w:themeColor="text1"/>
          <w:lang w:val="en-GB"/>
        </w:rPr>
        <w:t>. [Accessed on 28/10/2025]</w:t>
      </w:r>
    </w:p>
    <w:p w14:paraId="597D5F7E" w14:textId="77777777" w:rsidR="00002063" w:rsidRPr="002A40C6" w:rsidRDefault="00002063" w:rsidP="00002063">
      <w:pPr>
        <w:spacing w:line="360" w:lineRule="auto"/>
        <w:jc w:val="both"/>
        <w:rPr>
          <w:color w:val="000000" w:themeColor="text1"/>
          <w:lang w:val="en-GB"/>
        </w:rPr>
      </w:pPr>
      <w:r w:rsidRPr="002A40C6">
        <w:rPr>
          <w:color w:val="000000" w:themeColor="text1"/>
          <w:lang w:val="en-GB"/>
        </w:rPr>
        <w:t>Yang, Y. J. (2019). An overview of current physical activity recommendations in primary care. </w:t>
      </w:r>
      <w:r w:rsidRPr="002A40C6">
        <w:rPr>
          <w:i/>
          <w:iCs/>
          <w:color w:val="000000" w:themeColor="text1"/>
          <w:lang w:val="en-GB"/>
        </w:rPr>
        <w:t>Korean journal of family medicine</w:t>
      </w:r>
      <w:r w:rsidRPr="002A40C6">
        <w:rPr>
          <w:color w:val="000000" w:themeColor="text1"/>
          <w:lang w:val="en-GB"/>
        </w:rPr>
        <w:t>, </w:t>
      </w:r>
      <w:r w:rsidRPr="002A40C6">
        <w:rPr>
          <w:i/>
          <w:iCs/>
          <w:color w:val="000000" w:themeColor="text1"/>
          <w:lang w:val="en-GB"/>
        </w:rPr>
        <w:t>40</w:t>
      </w:r>
      <w:r w:rsidRPr="002A40C6">
        <w:rPr>
          <w:color w:val="000000" w:themeColor="text1"/>
          <w:lang w:val="en-GB"/>
        </w:rPr>
        <w:t>(3), 135. doi: 10.4082/kjfm.19.0038</w:t>
      </w:r>
    </w:p>
    <w:p w14:paraId="39C54535" w14:textId="77777777" w:rsidR="00002063" w:rsidRPr="002A40C6" w:rsidRDefault="00002063" w:rsidP="00002063">
      <w:pPr>
        <w:spacing w:line="360" w:lineRule="auto"/>
        <w:jc w:val="both"/>
        <w:rPr>
          <w:color w:val="000000" w:themeColor="text1"/>
          <w:lang w:val="en-GB"/>
        </w:rPr>
      </w:pPr>
      <w:r w:rsidRPr="002A40C6">
        <w:rPr>
          <w:color w:val="000000" w:themeColor="text1"/>
          <w:lang w:val="en-GB"/>
        </w:rPr>
        <w:t>Yeh, Y.K., Yen, F.S. and Hwu, C.M., (2023). Diet and exercise are a fundamental part of comprehensive care for type 2 diabetes. </w:t>
      </w:r>
      <w:r w:rsidRPr="002A40C6">
        <w:rPr>
          <w:i/>
          <w:iCs/>
          <w:color w:val="000000" w:themeColor="text1"/>
          <w:lang w:val="en-GB"/>
        </w:rPr>
        <w:t>Journal of diabetes investigation</w:t>
      </w:r>
      <w:r w:rsidRPr="002A40C6">
        <w:rPr>
          <w:color w:val="000000" w:themeColor="text1"/>
          <w:lang w:val="en-GB"/>
        </w:rPr>
        <w:t>, </w:t>
      </w:r>
      <w:r w:rsidRPr="002A40C6">
        <w:rPr>
          <w:i/>
          <w:iCs/>
          <w:color w:val="000000" w:themeColor="text1"/>
          <w:lang w:val="en-GB"/>
        </w:rPr>
        <w:t>14</w:t>
      </w:r>
      <w:r w:rsidRPr="002A40C6">
        <w:rPr>
          <w:color w:val="000000" w:themeColor="text1"/>
          <w:lang w:val="en-GB"/>
        </w:rPr>
        <w:t xml:space="preserve">(8), p.936. </w:t>
      </w:r>
      <w:hyperlink r:id="rId19" w:history="1">
        <w:r w:rsidRPr="002A40C6">
          <w:rPr>
            <w:rStyle w:val="Hyperlink"/>
            <w:color w:val="000000" w:themeColor="text1"/>
            <w:u w:val="none"/>
            <w:lang w:val="en-GB"/>
          </w:rPr>
          <w:t>https://pmc.ncbi.nlm.nih.gov/articles/PMC10360374/pdf/JDI-14-936.pdf</w:t>
        </w:r>
      </w:hyperlink>
    </w:p>
    <w:p w14:paraId="5FFCD353" w14:textId="77777777" w:rsidR="00FE67EF" w:rsidRPr="002A40C6" w:rsidRDefault="00FE67EF">
      <w:pPr>
        <w:pStyle w:val="Normal1"/>
        <w:spacing w:line="360" w:lineRule="auto"/>
        <w:rPr>
          <w:b/>
          <w:lang w:val="en-GB"/>
        </w:rPr>
      </w:pPr>
    </w:p>
    <w:p w14:paraId="01440587" w14:textId="77777777" w:rsidR="00FE67EF" w:rsidRPr="002A40C6" w:rsidRDefault="00FE67EF">
      <w:pPr>
        <w:pStyle w:val="Normal1"/>
        <w:rPr>
          <w:b/>
          <w:lang w:val="en-GB"/>
        </w:rPr>
      </w:pPr>
    </w:p>
    <w:sectPr w:rsidR="00FE67EF" w:rsidRPr="002A40C6" w:rsidSect="00002063">
      <w:headerReference w:type="default" r:id="rId2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324A13" w14:textId="77777777" w:rsidR="00F70976" w:rsidRDefault="00F70976" w:rsidP="00FE67EF">
      <w:pPr>
        <w:spacing w:line="240" w:lineRule="auto"/>
      </w:pPr>
      <w:r>
        <w:separator/>
      </w:r>
    </w:p>
  </w:endnote>
  <w:endnote w:type="continuationSeparator" w:id="0">
    <w:p w14:paraId="21F9D39D" w14:textId="77777777" w:rsidR="00F70976" w:rsidRDefault="00F70976" w:rsidP="00FE67E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27A86196-5EEC-44B8-8070-3CF8456A006F}"/>
  </w:font>
  <w:font w:name="Calibri">
    <w:panose1 w:val="020F0502020204030204"/>
    <w:charset w:val="00"/>
    <w:family w:val="swiss"/>
    <w:pitch w:val="variable"/>
    <w:sig w:usb0="E4002EFF" w:usb1="C000ACFF" w:usb2="00000009" w:usb3="00000000" w:csb0="000001FF" w:csb1="00000000"/>
    <w:embedRegular r:id="rId2" w:fontKey="{1191317B-A7AE-4D23-9359-C5E183986C75}"/>
    <w:embedBold r:id="rId3" w:fontKey="{A4784FF4-493E-42F5-A319-26F0CB9AF4CA}"/>
  </w:font>
  <w:font w:name="Vrinda">
    <w:panose1 w:val="020B0502040204020203"/>
    <w:charset w:val="00"/>
    <w:family w:val="swiss"/>
    <w:pitch w:val="variable"/>
    <w:sig w:usb0="00010003" w:usb1="00000000" w:usb2="00000000" w:usb3="00000000" w:csb0="00000001" w:csb1="00000000"/>
  </w:font>
  <w:font w:name="Aptos">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embedRegular r:id="rId6" w:fontKey="{BCAF1A2F-2C84-4FEC-B27C-4BD937C168E9}"/>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F0F130" w14:textId="77777777" w:rsidR="00F70976" w:rsidRDefault="00F70976" w:rsidP="00FE67EF">
      <w:pPr>
        <w:spacing w:line="240" w:lineRule="auto"/>
      </w:pPr>
      <w:r>
        <w:separator/>
      </w:r>
    </w:p>
  </w:footnote>
  <w:footnote w:type="continuationSeparator" w:id="0">
    <w:p w14:paraId="52671824" w14:textId="77777777" w:rsidR="00F70976" w:rsidRDefault="00F70976" w:rsidP="00FE67E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73610"/>
      <w:docPartObj>
        <w:docPartGallery w:val="Page Numbers (Top of Page)"/>
        <w:docPartUnique/>
      </w:docPartObj>
    </w:sdtPr>
    <w:sdtEndPr/>
    <w:sdtContent>
      <w:p w14:paraId="0429759F" w14:textId="77777777" w:rsidR="00002063" w:rsidRDefault="00AD1B3C">
        <w:pPr>
          <w:pStyle w:val="Header"/>
          <w:jc w:val="right"/>
        </w:pPr>
        <w:r>
          <w:fldChar w:fldCharType="begin"/>
        </w:r>
        <w:r>
          <w:instrText xml:space="preserve"> PAGE   \* MERGEFORMAT </w:instrText>
        </w:r>
        <w:r>
          <w:fldChar w:fldCharType="separate"/>
        </w:r>
        <w:r w:rsidR="002A40C6">
          <w:rPr>
            <w:noProof/>
          </w:rPr>
          <w:t>3</w:t>
        </w:r>
        <w:r>
          <w:rPr>
            <w:noProof/>
          </w:rPr>
          <w:fldChar w:fldCharType="end"/>
        </w:r>
      </w:p>
    </w:sdtContent>
  </w:sdt>
  <w:p w14:paraId="4592076A" w14:textId="77777777" w:rsidR="00002063" w:rsidRDefault="000020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D49FF"/>
    <w:multiLevelType w:val="multilevel"/>
    <w:tmpl w:val="E954C42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16cid:durableId="12303880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7"/>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7EF"/>
    <w:rsid w:val="00002063"/>
    <w:rsid w:val="00140280"/>
    <w:rsid w:val="002A40C6"/>
    <w:rsid w:val="006A2834"/>
    <w:rsid w:val="008327DF"/>
    <w:rsid w:val="00862BDD"/>
    <w:rsid w:val="00920B22"/>
    <w:rsid w:val="00923056"/>
    <w:rsid w:val="00AD1B3C"/>
    <w:rsid w:val="00C80FA8"/>
    <w:rsid w:val="00CA4531"/>
    <w:rsid w:val="00F70976"/>
    <w:rsid w:val="00FA14ED"/>
    <w:rsid w:val="00FA4FB4"/>
    <w:rsid w:val="00FE67EF"/>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42481"/>
  <w15:docId w15:val="{6568F4B5-733B-4DAF-9B47-470CEEB28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bn-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002063"/>
    <w:pPr>
      <w:keepNext/>
      <w:keepLines/>
      <w:spacing w:before="400" w:after="120" w:line="360" w:lineRule="auto"/>
      <w:outlineLvl w:val="0"/>
    </w:pPr>
    <w:rPr>
      <w:b/>
      <w:sz w:val="28"/>
      <w:szCs w:val="40"/>
    </w:rPr>
  </w:style>
  <w:style w:type="paragraph" w:styleId="Heading2">
    <w:name w:val="heading 2"/>
    <w:basedOn w:val="Normal1"/>
    <w:next w:val="Normal1"/>
    <w:rsid w:val="00002063"/>
    <w:pPr>
      <w:keepNext/>
      <w:keepLines/>
      <w:spacing w:before="360" w:after="120" w:line="360" w:lineRule="auto"/>
      <w:outlineLvl w:val="1"/>
    </w:pPr>
    <w:rPr>
      <w:b/>
      <w:sz w:val="26"/>
      <w:szCs w:val="32"/>
    </w:rPr>
  </w:style>
  <w:style w:type="paragraph" w:styleId="Heading3">
    <w:name w:val="heading 3"/>
    <w:basedOn w:val="Normal1"/>
    <w:next w:val="Normal1"/>
    <w:rsid w:val="00FE67EF"/>
    <w:pPr>
      <w:keepNext/>
      <w:keepLines/>
      <w:spacing w:before="320" w:after="80"/>
      <w:outlineLvl w:val="2"/>
    </w:pPr>
    <w:rPr>
      <w:color w:val="434343"/>
      <w:sz w:val="28"/>
      <w:szCs w:val="28"/>
    </w:rPr>
  </w:style>
  <w:style w:type="paragraph" w:styleId="Heading4">
    <w:name w:val="heading 4"/>
    <w:basedOn w:val="Normal1"/>
    <w:next w:val="Normal1"/>
    <w:rsid w:val="00FE67EF"/>
    <w:pPr>
      <w:keepNext/>
      <w:keepLines/>
      <w:spacing w:before="280" w:after="80"/>
      <w:outlineLvl w:val="3"/>
    </w:pPr>
    <w:rPr>
      <w:color w:val="666666"/>
      <w:sz w:val="24"/>
      <w:szCs w:val="24"/>
    </w:rPr>
  </w:style>
  <w:style w:type="paragraph" w:styleId="Heading5">
    <w:name w:val="heading 5"/>
    <w:basedOn w:val="Normal1"/>
    <w:next w:val="Normal1"/>
    <w:rsid w:val="00FE67EF"/>
    <w:pPr>
      <w:keepNext/>
      <w:keepLines/>
      <w:spacing w:before="240" w:after="80"/>
      <w:outlineLvl w:val="4"/>
    </w:pPr>
    <w:rPr>
      <w:color w:val="666666"/>
    </w:rPr>
  </w:style>
  <w:style w:type="paragraph" w:styleId="Heading6">
    <w:name w:val="heading 6"/>
    <w:basedOn w:val="Normal1"/>
    <w:next w:val="Normal1"/>
    <w:rsid w:val="00FE67E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FE67EF"/>
    <w:tblPr>
      <w:tblCellMar>
        <w:top w:w="100" w:type="dxa"/>
        <w:left w:w="100" w:type="dxa"/>
        <w:bottom w:w="100" w:type="dxa"/>
        <w:right w:w="100" w:type="dxa"/>
      </w:tblCellMar>
    </w:tblPr>
  </w:style>
  <w:style w:type="paragraph" w:customStyle="1" w:styleId="Normal1">
    <w:name w:val="Normal1"/>
    <w:rsid w:val="00FE67EF"/>
  </w:style>
  <w:style w:type="paragraph" w:styleId="Title">
    <w:name w:val="Title"/>
    <w:basedOn w:val="Normal1"/>
    <w:next w:val="Normal1"/>
    <w:rsid w:val="00FE67EF"/>
    <w:pPr>
      <w:keepNext/>
      <w:keepLines/>
      <w:spacing w:after="60"/>
    </w:pPr>
    <w:rPr>
      <w:sz w:val="52"/>
      <w:szCs w:val="52"/>
    </w:rPr>
  </w:style>
  <w:style w:type="paragraph" w:styleId="Subtitle">
    <w:name w:val="Subtitle"/>
    <w:basedOn w:val="Normal1"/>
    <w:next w:val="Normal1"/>
    <w:rsid w:val="00FE67EF"/>
    <w:pPr>
      <w:keepNext/>
      <w:keepLines/>
      <w:spacing w:after="320"/>
    </w:pPr>
    <w:rPr>
      <w:color w:val="666666"/>
      <w:sz w:val="30"/>
      <w:szCs w:val="30"/>
    </w:rPr>
  </w:style>
  <w:style w:type="paragraph" w:styleId="Header">
    <w:name w:val="header"/>
    <w:basedOn w:val="Normal"/>
    <w:link w:val="HeaderChar"/>
    <w:uiPriority w:val="99"/>
    <w:unhideWhenUsed/>
    <w:rsid w:val="00002063"/>
    <w:pPr>
      <w:tabs>
        <w:tab w:val="center" w:pos="4680"/>
        <w:tab w:val="right" w:pos="9360"/>
      </w:tabs>
      <w:spacing w:line="240" w:lineRule="auto"/>
    </w:pPr>
    <w:rPr>
      <w:szCs w:val="28"/>
    </w:rPr>
  </w:style>
  <w:style w:type="character" w:customStyle="1" w:styleId="HeaderChar">
    <w:name w:val="Header Char"/>
    <w:basedOn w:val="DefaultParagraphFont"/>
    <w:link w:val="Header"/>
    <w:uiPriority w:val="99"/>
    <w:rsid w:val="00002063"/>
    <w:rPr>
      <w:szCs w:val="28"/>
    </w:rPr>
  </w:style>
  <w:style w:type="paragraph" w:styleId="Footer">
    <w:name w:val="footer"/>
    <w:basedOn w:val="Normal"/>
    <w:link w:val="FooterChar"/>
    <w:uiPriority w:val="99"/>
    <w:semiHidden/>
    <w:unhideWhenUsed/>
    <w:rsid w:val="00002063"/>
    <w:pPr>
      <w:tabs>
        <w:tab w:val="center" w:pos="4680"/>
        <w:tab w:val="right" w:pos="9360"/>
      </w:tabs>
      <w:spacing w:line="240" w:lineRule="auto"/>
    </w:pPr>
    <w:rPr>
      <w:szCs w:val="28"/>
    </w:rPr>
  </w:style>
  <w:style w:type="character" w:customStyle="1" w:styleId="FooterChar">
    <w:name w:val="Footer Char"/>
    <w:basedOn w:val="DefaultParagraphFont"/>
    <w:link w:val="Footer"/>
    <w:uiPriority w:val="99"/>
    <w:semiHidden/>
    <w:rsid w:val="00002063"/>
    <w:rPr>
      <w:szCs w:val="28"/>
    </w:rPr>
  </w:style>
  <w:style w:type="paragraph" w:styleId="BalloonText">
    <w:name w:val="Balloon Text"/>
    <w:basedOn w:val="Normal"/>
    <w:link w:val="BalloonTextChar"/>
    <w:uiPriority w:val="99"/>
    <w:semiHidden/>
    <w:unhideWhenUsed/>
    <w:rsid w:val="00002063"/>
    <w:pPr>
      <w:spacing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002063"/>
    <w:rPr>
      <w:rFonts w:ascii="Tahoma" w:hAnsi="Tahoma" w:cs="Tahoma"/>
      <w:sz w:val="16"/>
      <w:szCs w:val="20"/>
    </w:rPr>
  </w:style>
  <w:style w:type="character" w:styleId="Hyperlink">
    <w:name w:val="Hyperlink"/>
    <w:basedOn w:val="DefaultParagraphFont"/>
    <w:uiPriority w:val="99"/>
    <w:unhideWhenUsed/>
    <w:rsid w:val="00002063"/>
    <w:rPr>
      <w:color w:val="0000FF" w:themeColor="hyperlink"/>
      <w:u w:val="single"/>
    </w:rPr>
  </w:style>
  <w:style w:type="paragraph" w:styleId="TOCHeading">
    <w:name w:val="TOC Heading"/>
    <w:basedOn w:val="Heading1"/>
    <w:next w:val="Normal"/>
    <w:uiPriority w:val="39"/>
    <w:semiHidden/>
    <w:unhideWhenUsed/>
    <w:qFormat/>
    <w:rsid w:val="00C80FA8"/>
    <w:pPr>
      <w:spacing w:before="480" w:after="0" w:line="276" w:lineRule="auto"/>
      <w:outlineLvl w:val="9"/>
    </w:pPr>
    <w:rPr>
      <w:rFonts w:asciiTheme="majorHAnsi" w:eastAsiaTheme="majorEastAsia" w:hAnsiTheme="majorHAnsi" w:cstheme="majorBidi"/>
      <w:bCs/>
      <w:color w:val="365F91" w:themeColor="accent1" w:themeShade="BF"/>
      <w:szCs w:val="28"/>
      <w:lang w:bidi="ar-SA"/>
    </w:rPr>
  </w:style>
  <w:style w:type="paragraph" w:styleId="TOC1">
    <w:name w:val="toc 1"/>
    <w:basedOn w:val="Normal"/>
    <w:next w:val="Normal"/>
    <w:autoRedefine/>
    <w:uiPriority w:val="39"/>
    <w:unhideWhenUsed/>
    <w:rsid w:val="00C80FA8"/>
    <w:pPr>
      <w:spacing w:after="100"/>
    </w:pPr>
    <w:rPr>
      <w:szCs w:val="28"/>
    </w:rPr>
  </w:style>
  <w:style w:type="paragraph" w:styleId="TOC2">
    <w:name w:val="toc 2"/>
    <w:basedOn w:val="Normal"/>
    <w:next w:val="Normal"/>
    <w:autoRedefine/>
    <w:uiPriority w:val="39"/>
    <w:unhideWhenUsed/>
    <w:rsid w:val="00C80FA8"/>
    <w:pPr>
      <w:spacing w:after="100"/>
      <w:ind w:left="220"/>
    </w:pPr>
    <w:rPr>
      <w:szCs w:val="28"/>
    </w:rPr>
  </w:style>
  <w:style w:type="character" w:styleId="FollowedHyperlink">
    <w:name w:val="FollowedHyperlink"/>
    <w:basedOn w:val="DefaultParagraphFont"/>
    <w:uiPriority w:val="99"/>
    <w:semiHidden/>
    <w:unhideWhenUsed/>
    <w:rsid w:val="00FA4FB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diabres.2019.05.003" TargetMode="External"/><Relationship Id="rId18" Type="http://schemas.openxmlformats.org/officeDocument/2006/relationships/hyperlink" Target="https://www.who.int/health-topics/diabete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europepmc.org/books/nbk560599" TargetMode="External"/><Relationship Id="rId17" Type="http://schemas.openxmlformats.org/officeDocument/2006/relationships/hyperlink" Target="https://doi.org/10.1016/j.bbabio.2020.148276" TargetMode="External"/><Relationship Id="rId2" Type="http://schemas.openxmlformats.org/officeDocument/2006/relationships/numbering" Target="numbering.xml"/><Relationship Id="rId16" Type="http://schemas.openxmlformats.org/officeDocument/2006/relationships/hyperlink" Target="https://www.thieme-connect.com/products/ejournals/pdf/10.1055/a-2166-6643.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opepmc.org/books/nbk555976" TargetMode="External"/><Relationship Id="rId5" Type="http://schemas.openxmlformats.org/officeDocument/2006/relationships/webSettings" Target="webSettings.xml"/><Relationship Id="rId15" Type="http://schemas.openxmlformats.org/officeDocument/2006/relationships/hyperlink" Target="https://search.informit.org/doi/abs/10.3316/INFORMIT.154784110868319" TargetMode="External"/><Relationship Id="rId10" Type="http://schemas.openxmlformats.org/officeDocument/2006/relationships/hyperlink" Target="https://doi.org/10.1016/j.ijnsa.2023.100136" TargetMode="External"/><Relationship Id="rId19" Type="http://schemas.openxmlformats.org/officeDocument/2006/relationships/hyperlink" Target="https://pmc.ncbi.nlm.nih.gov/articles/PMC10360374/pdf/JDI-14-936.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86/s12933-018-0762-4" TargetMode="Externa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ADE214-B520-40A9-8E30-FB71540DC08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3027</Words>
  <Characters>17257</Characters>
  <Application>Microsoft Office Word</Application>
  <DocSecurity>0</DocSecurity>
  <Lines>143</Lines>
  <Paragraphs>40</Paragraphs>
  <ScaleCrop>false</ScaleCrop>
  <Company/>
  <LinksUpToDate>false</LinksUpToDate>
  <CharactersWithSpaces>20244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Bernice Takyi (2330845)</cp:lastModifiedBy>
  <cp:revision>2</cp:revision>
  <dcterms:created xsi:type="dcterms:W3CDTF">2025-11-09T19:10:00Z</dcterms:created>
  <dcterms:modified xsi:type="dcterms:W3CDTF">2025-11-09T19:10:00Z</dcterms:modified>
</cp:coreProperties>
</file>