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650F" w:rsidRDefault="005B650F" w:rsidP="00452F42"/>
    <w:p w:rsidR="005B650F" w:rsidRDefault="005B650F" w:rsidP="005B650F">
      <w:pPr>
        <w:jc w:val="center"/>
        <w:rPr>
          <w:rFonts w:ascii="Arial" w:hAnsi="Arial" w:cs="Arial"/>
          <w:b/>
          <w:i/>
          <w:sz w:val="28"/>
        </w:rPr>
      </w:pPr>
    </w:p>
    <w:p w:rsidR="005B650F" w:rsidRDefault="005B650F" w:rsidP="005B650F">
      <w:pPr>
        <w:jc w:val="center"/>
        <w:rPr>
          <w:rFonts w:ascii="Arial" w:hAnsi="Arial" w:cs="Arial"/>
          <w:b/>
          <w:i/>
          <w:sz w:val="28"/>
        </w:rPr>
      </w:pPr>
    </w:p>
    <w:p w:rsidR="005B650F" w:rsidRDefault="005B650F" w:rsidP="005B650F">
      <w:pPr>
        <w:jc w:val="center"/>
        <w:rPr>
          <w:rFonts w:ascii="Arial" w:hAnsi="Arial" w:cs="Arial"/>
          <w:b/>
          <w:i/>
          <w:sz w:val="28"/>
        </w:rPr>
      </w:pPr>
    </w:p>
    <w:p w:rsidR="005B650F" w:rsidRDefault="005B650F" w:rsidP="005B650F">
      <w:pPr>
        <w:jc w:val="center"/>
        <w:rPr>
          <w:rFonts w:ascii="Arial" w:hAnsi="Arial" w:cs="Arial"/>
          <w:b/>
          <w:i/>
          <w:sz w:val="28"/>
        </w:rPr>
      </w:pPr>
    </w:p>
    <w:p w:rsidR="005B650F" w:rsidRPr="005B650F" w:rsidRDefault="005B650F" w:rsidP="005B650F">
      <w:pPr>
        <w:jc w:val="center"/>
        <w:rPr>
          <w:rFonts w:ascii="Arial" w:hAnsi="Arial" w:cs="Arial"/>
          <w:b/>
          <w:i/>
          <w:sz w:val="28"/>
        </w:rPr>
      </w:pPr>
      <w:r w:rsidRPr="005B650F">
        <w:rPr>
          <w:rFonts w:ascii="Arial" w:hAnsi="Arial" w:cs="Arial"/>
          <w:b/>
          <w:i/>
          <w:sz w:val="28"/>
        </w:rPr>
        <w:t xml:space="preserve">Student Name : </w:t>
      </w:r>
      <w:proofErr w:type="spellStart"/>
      <w:r w:rsidRPr="005B650F">
        <w:rPr>
          <w:rFonts w:ascii="Arial" w:hAnsi="Arial" w:cs="Arial"/>
          <w:b/>
          <w:i/>
          <w:sz w:val="28"/>
        </w:rPr>
        <w:t>Abishek</w:t>
      </w:r>
      <w:proofErr w:type="spellEnd"/>
    </w:p>
    <w:p w:rsidR="005B650F" w:rsidRDefault="005B650F" w:rsidP="005B650F">
      <w:pPr>
        <w:jc w:val="center"/>
      </w:pPr>
      <w:r w:rsidRPr="005B650F">
        <w:rPr>
          <w:rFonts w:ascii="Arial" w:hAnsi="Arial" w:cs="Arial"/>
          <w:b/>
          <w:i/>
          <w:sz w:val="28"/>
        </w:rPr>
        <w:t>Student ID : 2230880</w:t>
      </w:r>
      <w:r>
        <w:br w:type="page"/>
      </w:r>
    </w:p>
    <w:p w:rsidR="00452F42" w:rsidRDefault="00452F42" w:rsidP="00452F42"/>
    <w:sdt>
      <w:sdtPr>
        <w:rPr>
          <w:rFonts w:asciiTheme="minorHAnsi" w:eastAsiaTheme="minorHAnsi" w:hAnsiTheme="minorHAnsi" w:cstheme="minorBidi"/>
          <w:b w:val="0"/>
          <w:bCs w:val="0"/>
          <w:color w:val="auto"/>
          <w:sz w:val="22"/>
          <w:szCs w:val="22"/>
          <w:lang w:eastAsia="en-US"/>
        </w:rPr>
        <w:id w:val="609945950"/>
        <w:docPartObj>
          <w:docPartGallery w:val="Table of Contents"/>
          <w:docPartUnique/>
        </w:docPartObj>
      </w:sdtPr>
      <w:sdtEndPr>
        <w:rPr>
          <w:noProof/>
        </w:rPr>
      </w:sdtEndPr>
      <w:sdtContent>
        <w:p w:rsidR="00452F42" w:rsidRDefault="00452F42">
          <w:pPr>
            <w:pStyle w:val="TOCHeading"/>
          </w:pPr>
          <w:r>
            <w:t>Contents</w:t>
          </w:r>
        </w:p>
        <w:p w:rsidR="00452F42" w:rsidRPr="00452F42" w:rsidRDefault="00452F42">
          <w:pPr>
            <w:pStyle w:val="TOC1"/>
            <w:tabs>
              <w:tab w:val="right" w:leader="dot" w:pos="9350"/>
            </w:tabs>
            <w:rPr>
              <w:rFonts w:ascii="Arial" w:eastAsiaTheme="minorEastAsia" w:hAnsi="Arial" w:cs="Arial"/>
              <w:b/>
              <w:i/>
              <w:noProof/>
              <w:sz w:val="24"/>
              <w:szCs w:val="24"/>
            </w:rPr>
          </w:pPr>
          <w:r>
            <w:fldChar w:fldCharType="begin"/>
          </w:r>
          <w:r>
            <w:instrText xml:space="preserve"> TOC \o "1-3" \h \z \u </w:instrText>
          </w:r>
          <w:r>
            <w:fldChar w:fldCharType="separate"/>
          </w:r>
          <w:hyperlink w:anchor="_Toc140887165" w:history="1">
            <w:r w:rsidRPr="00452F42">
              <w:rPr>
                <w:rStyle w:val="Hyperlink"/>
                <w:rFonts w:ascii="Arial" w:hAnsi="Arial" w:cs="Arial"/>
                <w:b/>
                <w:i/>
                <w:noProof/>
                <w:sz w:val="24"/>
                <w:szCs w:val="24"/>
              </w:rPr>
              <w:t>Executive Summary</w:t>
            </w:r>
            <w:r w:rsidRPr="00452F42">
              <w:rPr>
                <w:rFonts w:ascii="Arial" w:hAnsi="Arial" w:cs="Arial"/>
                <w:b/>
                <w:i/>
                <w:noProof/>
                <w:webHidden/>
                <w:sz w:val="24"/>
                <w:szCs w:val="24"/>
              </w:rPr>
              <w:tab/>
            </w:r>
            <w:r w:rsidRPr="00452F42">
              <w:rPr>
                <w:rFonts w:ascii="Arial" w:hAnsi="Arial" w:cs="Arial"/>
                <w:b/>
                <w:i/>
                <w:noProof/>
                <w:webHidden/>
                <w:sz w:val="24"/>
                <w:szCs w:val="24"/>
              </w:rPr>
              <w:fldChar w:fldCharType="begin"/>
            </w:r>
            <w:r w:rsidRPr="00452F42">
              <w:rPr>
                <w:rFonts w:ascii="Arial" w:hAnsi="Arial" w:cs="Arial"/>
                <w:b/>
                <w:i/>
                <w:noProof/>
                <w:webHidden/>
                <w:sz w:val="24"/>
                <w:szCs w:val="24"/>
              </w:rPr>
              <w:instrText xml:space="preserve"> PAGEREF _Toc140887165 \h </w:instrText>
            </w:r>
            <w:r w:rsidRPr="00452F42">
              <w:rPr>
                <w:rFonts w:ascii="Arial" w:hAnsi="Arial" w:cs="Arial"/>
                <w:b/>
                <w:i/>
                <w:noProof/>
                <w:webHidden/>
                <w:sz w:val="24"/>
                <w:szCs w:val="24"/>
              </w:rPr>
            </w:r>
            <w:r w:rsidRPr="00452F42">
              <w:rPr>
                <w:rFonts w:ascii="Arial" w:hAnsi="Arial" w:cs="Arial"/>
                <w:b/>
                <w:i/>
                <w:noProof/>
                <w:webHidden/>
                <w:sz w:val="24"/>
                <w:szCs w:val="24"/>
              </w:rPr>
              <w:fldChar w:fldCharType="separate"/>
            </w:r>
            <w:r w:rsidRPr="00452F42">
              <w:rPr>
                <w:rFonts w:ascii="Arial" w:hAnsi="Arial" w:cs="Arial"/>
                <w:b/>
                <w:i/>
                <w:noProof/>
                <w:webHidden/>
                <w:sz w:val="24"/>
                <w:szCs w:val="24"/>
              </w:rPr>
              <w:t>2</w:t>
            </w:r>
            <w:r w:rsidRPr="00452F42">
              <w:rPr>
                <w:rFonts w:ascii="Arial" w:hAnsi="Arial" w:cs="Arial"/>
                <w:b/>
                <w:i/>
                <w:noProof/>
                <w:webHidden/>
                <w:sz w:val="24"/>
                <w:szCs w:val="24"/>
              </w:rPr>
              <w:fldChar w:fldCharType="end"/>
            </w:r>
          </w:hyperlink>
        </w:p>
        <w:p w:rsidR="00452F42" w:rsidRPr="00452F42" w:rsidRDefault="007269E8">
          <w:pPr>
            <w:pStyle w:val="TOC1"/>
            <w:tabs>
              <w:tab w:val="right" w:leader="dot" w:pos="9350"/>
            </w:tabs>
            <w:rPr>
              <w:rFonts w:ascii="Arial" w:eastAsiaTheme="minorEastAsia" w:hAnsi="Arial" w:cs="Arial"/>
              <w:b/>
              <w:i/>
              <w:noProof/>
              <w:sz w:val="24"/>
              <w:szCs w:val="24"/>
            </w:rPr>
          </w:pPr>
          <w:hyperlink w:anchor="_Toc140887166" w:history="1">
            <w:r w:rsidR="00452F42" w:rsidRPr="00452F42">
              <w:rPr>
                <w:rStyle w:val="Hyperlink"/>
                <w:rFonts w:ascii="Arial" w:hAnsi="Arial" w:cs="Arial"/>
                <w:b/>
                <w:i/>
                <w:noProof/>
                <w:sz w:val="24"/>
                <w:szCs w:val="24"/>
              </w:rPr>
              <w:t>Introduction</w:t>
            </w:r>
            <w:r w:rsidR="00452F42" w:rsidRPr="00452F42">
              <w:rPr>
                <w:rFonts w:ascii="Arial" w:hAnsi="Arial" w:cs="Arial"/>
                <w:b/>
                <w:i/>
                <w:noProof/>
                <w:webHidden/>
                <w:sz w:val="24"/>
                <w:szCs w:val="24"/>
              </w:rPr>
              <w:tab/>
            </w:r>
            <w:r w:rsidR="00452F42" w:rsidRPr="00452F42">
              <w:rPr>
                <w:rFonts w:ascii="Arial" w:hAnsi="Arial" w:cs="Arial"/>
                <w:b/>
                <w:i/>
                <w:noProof/>
                <w:webHidden/>
                <w:sz w:val="24"/>
                <w:szCs w:val="24"/>
              </w:rPr>
              <w:fldChar w:fldCharType="begin"/>
            </w:r>
            <w:r w:rsidR="00452F42" w:rsidRPr="00452F42">
              <w:rPr>
                <w:rFonts w:ascii="Arial" w:hAnsi="Arial" w:cs="Arial"/>
                <w:b/>
                <w:i/>
                <w:noProof/>
                <w:webHidden/>
                <w:sz w:val="24"/>
                <w:szCs w:val="24"/>
              </w:rPr>
              <w:instrText xml:space="preserve"> PAGEREF _Toc140887166 \h </w:instrText>
            </w:r>
            <w:r w:rsidR="00452F42" w:rsidRPr="00452F42">
              <w:rPr>
                <w:rFonts w:ascii="Arial" w:hAnsi="Arial" w:cs="Arial"/>
                <w:b/>
                <w:i/>
                <w:noProof/>
                <w:webHidden/>
                <w:sz w:val="24"/>
                <w:szCs w:val="24"/>
              </w:rPr>
            </w:r>
            <w:r w:rsidR="00452F42" w:rsidRPr="00452F42">
              <w:rPr>
                <w:rFonts w:ascii="Arial" w:hAnsi="Arial" w:cs="Arial"/>
                <w:b/>
                <w:i/>
                <w:noProof/>
                <w:webHidden/>
                <w:sz w:val="24"/>
                <w:szCs w:val="24"/>
              </w:rPr>
              <w:fldChar w:fldCharType="separate"/>
            </w:r>
            <w:r w:rsidR="00452F42" w:rsidRPr="00452F42">
              <w:rPr>
                <w:rFonts w:ascii="Arial" w:hAnsi="Arial" w:cs="Arial"/>
                <w:b/>
                <w:i/>
                <w:noProof/>
                <w:webHidden/>
                <w:sz w:val="24"/>
                <w:szCs w:val="24"/>
              </w:rPr>
              <w:t>2</w:t>
            </w:r>
            <w:r w:rsidR="00452F42" w:rsidRPr="00452F42">
              <w:rPr>
                <w:rFonts w:ascii="Arial" w:hAnsi="Arial" w:cs="Arial"/>
                <w:b/>
                <w:i/>
                <w:noProof/>
                <w:webHidden/>
                <w:sz w:val="24"/>
                <w:szCs w:val="24"/>
              </w:rPr>
              <w:fldChar w:fldCharType="end"/>
            </w:r>
          </w:hyperlink>
        </w:p>
        <w:p w:rsidR="00452F42" w:rsidRPr="00452F42" w:rsidRDefault="007269E8">
          <w:pPr>
            <w:pStyle w:val="TOC2"/>
            <w:tabs>
              <w:tab w:val="right" w:leader="dot" w:pos="9350"/>
            </w:tabs>
            <w:rPr>
              <w:rFonts w:ascii="Arial" w:eastAsiaTheme="minorEastAsia" w:hAnsi="Arial" w:cs="Arial"/>
              <w:b/>
              <w:i/>
              <w:noProof/>
              <w:sz w:val="24"/>
              <w:szCs w:val="24"/>
            </w:rPr>
          </w:pPr>
          <w:hyperlink w:anchor="_Toc140887167" w:history="1">
            <w:r w:rsidR="00452F42" w:rsidRPr="00452F42">
              <w:rPr>
                <w:rStyle w:val="Hyperlink"/>
                <w:rFonts w:ascii="Arial" w:hAnsi="Arial" w:cs="Arial"/>
                <w:b/>
                <w:i/>
                <w:noProof/>
                <w:sz w:val="24"/>
                <w:szCs w:val="24"/>
              </w:rPr>
              <w:t>Main Findings of Strategic Analysis</w:t>
            </w:r>
            <w:r w:rsidR="00452F42" w:rsidRPr="00452F42">
              <w:rPr>
                <w:rFonts w:ascii="Arial" w:hAnsi="Arial" w:cs="Arial"/>
                <w:b/>
                <w:i/>
                <w:noProof/>
                <w:webHidden/>
                <w:sz w:val="24"/>
                <w:szCs w:val="24"/>
              </w:rPr>
              <w:tab/>
            </w:r>
            <w:r w:rsidR="00452F42" w:rsidRPr="00452F42">
              <w:rPr>
                <w:rFonts w:ascii="Arial" w:hAnsi="Arial" w:cs="Arial"/>
                <w:b/>
                <w:i/>
                <w:noProof/>
                <w:webHidden/>
                <w:sz w:val="24"/>
                <w:szCs w:val="24"/>
              </w:rPr>
              <w:fldChar w:fldCharType="begin"/>
            </w:r>
            <w:r w:rsidR="00452F42" w:rsidRPr="00452F42">
              <w:rPr>
                <w:rFonts w:ascii="Arial" w:hAnsi="Arial" w:cs="Arial"/>
                <w:b/>
                <w:i/>
                <w:noProof/>
                <w:webHidden/>
                <w:sz w:val="24"/>
                <w:szCs w:val="24"/>
              </w:rPr>
              <w:instrText xml:space="preserve"> PAGEREF _Toc140887167 \h </w:instrText>
            </w:r>
            <w:r w:rsidR="00452F42" w:rsidRPr="00452F42">
              <w:rPr>
                <w:rFonts w:ascii="Arial" w:hAnsi="Arial" w:cs="Arial"/>
                <w:b/>
                <w:i/>
                <w:noProof/>
                <w:webHidden/>
                <w:sz w:val="24"/>
                <w:szCs w:val="24"/>
              </w:rPr>
            </w:r>
            <w:r w:rsidR="00452F42" w:rsidRPr="00452F42">
              <w:rPr>
                <w:rFonts w:ascii="Arial" w:hAnsi="Arial" w:cs="Arial"/>
                <w:b/>
                <w:i/>
                <w:noProof/>
                <w:webHidden/>
                <w:sz w:val="24"/>
                <w:szCs w:val="24"/>
              </w:rPr>
              <w:fldChar w:fldCharType="separate"/>
            </w:r>
            <w:r w:rsidR="00452F42" w:rsidRPr="00452F42">
              <w:rPr>
                <w:rFonts w:ascii="Arial" w:hAnsi="Arial" w:cs="Arial"/>
                <w:b/>
                <w:i/>
                <w:noProof/>
                <w:webHidden/>
                <w:sz w:val="24"/>
                <w:szCs w:val="24"/>
              </w:rPr>
              <w:t>4</w:t>
            </w:r>
            <w:r w:rsidR="00452F42" w:rsidRPr="00452F42">
              <w:rPr>
                <w:rFonts w:ascii="Arial" w:hAnsi="Arial" w:cs="Arial"/>
                <w:b/>
                <w:i/>
                <w:noProof/>
                <w:webHidden/>
                <w:sz w:val="24"/>
                <w:szCs w:val="24"/>
              </w:rPr>
              <w:fldChar w:fldCharType="end"/>
            </w:r>
          </w:hyperlink>
        </w:p>
        <w:p w:rsidR="00452F42" w:rsidRPr="00452F42" w:rsidRDefault="007269E8">
          <w:pPr>
            <w:pStyle w:val="TOC2"/>
            <w:tabs>
              <w:tab w:val="right" w:leader="dot" w:pos="9350"/>
            </w:tabs>
            <w:rPr>
              <w:rFonts w:ascii="Arial" w:eastAsiaTheme="minorEastAsia" w:hAnsi="Arial" w:cs="Arial"/>
              <w:b/>
              <w:i/>
              <w:noProof/>
              <w:sz w:val="24"/>
              <w:szCs w:val="24"/>
            </w:rPr>
          </w:pPr>
          <w:hyperlink w:anchor="_Toc140887168" w:history="1">
            <w:r w:rsidR="00452F42" w:rsidRPr="00452F42">
              <w:rPr>
                <w:rStyle w:val="Hyperlink"/>
                <w:rFonts w:ascii="Arial" w:hAnsi="Arial" w:cs="Arial"/>
                <w:b/>
                <w:i/>
                <w:noProof/>
                <w:sz w:val="24"/>
                <w:szCs w:val="24"/>
              </w:rPr>
              <w:t>Evaluation of Strategic Options</w:t>
            </w:r>
            <w:r w:rsidR="00452F42" w:rsidRPr="00452F42">
              <w:rPr>
                <w:rFonts w:ascii="Arial" w:hAnsi="Arial" w:cs="Arial"/>
                <w:b/>
                <w:i/>
                <w:noProof/>
                <w:webHidden/>
                <w:sz w:val="24"/>
                <w:szCs w:val="24"/>
              </w:rPr>
              <w:tab/>
            </w:r>
            <w:r w:rsidR="00452F42" w:rsidRPr="00452F42">
              <w:rPr>
                <w:rFonts w:ascii="Arial" w:hAnsi="Arial" w:cs="Arial"/>
                <w:b/>
                <w:i/>
                <w:noProof/>
                <w:webHidden/>
                <w:sz w:val="24"/>
                <w:szCs w:val="24"/>
              </w:rPr>
              <w:fldChar w:fldCharType="begin"/>
            </w:r>
            <w:r w:rsidR="00452F42" w:rsidRPr="00452F42">
              <w:rPr>
                <w:rFonts w:ascii="Arial" w:hAnsi="Arial" w:cs="Arial"/>
                <w:b/>
                <w:i/>
                <w:noProof/>
                <w:webHidden/>
                <w:sz w:val="24"/>
                <w:szCs w:val="24"/>
              </w:rPr>
              <w:instrText xml:space="preserve"> PAGEREF _Toc140887168 \h </w:instrText>
            </w:r>
            <w:r w:rsidR="00452F42" w:rsidRPr="00452F42">
              <w:rPr>
                <w:rFonts w:ascii="Arial" w:hAnsi="Arial" w:cs="Arial"/>
                <w:b/>
                <w:i/>
                <w:noProof/>
                <w:webHidden/>
                <w:sz w:val="24"/>
                <w:szCs w:val="24"/>
              </w:rPr>
            </w:r>
            <w:r w:rsidR="00452F42" w:rsidRPr="00452F42">
              <w:rPr>
                <w:rFonts w:ascii="Arial" w:hAnsi="Arial" w:cs="Arial"/>
                <w:b/>
                <w:i/>
                <w:noProof/>
                <w:webHidden/>
                <w:sz w:val="24"/>
                <w:szCs w:val="24"/>
              </w:rPr>
              <w:fldChar w:fldCharType="separate"/>
            </w:r>
            <w:r w:rsidR="00452F42" w:rsidRPr="00452F42">
              <w:rPr>
                <w:rFonts w:ascii="Arial" w:hAnsi="Arial" w:cs="Arial"/>
                <w:b/>
                <w:i/>
                <w:noProof/>
                <w:webHidden/>
                <w:sz w:val="24"/>
                <w:szCs w:val="24"/>
              </w:rPr>
              <w:t>11</w:t>
            </w:r>
            <w:r w:rsidR="00452F42" w:rsidRPr="00452F42">
              <w:rPr>
                <w:rFonts w:ascii="Arial" w:hAnsi="Arial" w:cs="Arial"/>
                <w:b/>
                <w:i/>
                <w:noProof/>
                <w:webHidden/>
                <w:sz w:val="24"/>
                <w:szCs w:val="24"/>
              </w:rPr>
              <w:fldChar w:fldCharType="end"/>
            </w:r>
          </w:hyperlink>
        </w:p>
        <w:p w:rsidR="00452F42" w:rsidRPr="00452F42" w:rsidRDefault="007269E8">
          <w:pPr>
            <w:pStyle w:val="TOC1"/>
            <w:tabs>
              <w:tab w:val="right" w:leader="dot" w:pos="9350"/>
            </w:tabs>
            <w:rPr>
              <w:rFonts w:ascii="Arial" w:eastAsiaTheme="minorEastAsia" w:hAnsi="Arial" w:cs="Arial"/>
              <w:b/>
              <w:i/>
              <w:noProof/>
              <w:sz w:val="24"/>
              <w:szCs w:val="24"/>
            </w:rPr>
          </w:pPr>
          <w:hyperlink w:anchor="_Toc140887169" w:history="1">
            <w:r w:rsidR="00452F42" w:rsidRPr="00452F42">
              <w:rPr>
                <w:rStyle w:val="Hyperlink"/>
                <w:rFonts w:ascii="Arial" w:hAnsi="Arial" w:cs="Arial"/>
                <w:b/>
                <w:i/>
                <w:noProof/>
                <w:sz w:val="24"/>
                <w:szCs w:val="24"/>
              </w:rPr>
              <w:t>Conclusion</w:t>
            </w:r>
            <w:r w:rsidR="00452F42" w:rsidRPr="00452F42">
              <w:rPr>
                <w:rFonts w:ascii="Arial" w:hAnsi="Arial" w:cs="Arial"/>
                <w:b/>
                <w:i/>
                <w:noProof/>
                <w:webHidden/>
                <w:sz w:val="24"/>
                <w:szCs w:val="24"/>
              </w:rPr>
              <w:tab/>
            </w:r>
            <w:r w:rsidR="00452F42" w:rsidRPr="00452F42">
              <w:rPr>
                <w:rFonts w:ascii="Arial" w:hAnsi="Arial" w:cs="Arial"/>
                <w:b/>
                <w:i/>
                <w:noProof/>
                <w:webHidden/>
                <w:sz w:val="24"/>
                <w:szCs w:val="24"/>
              </w:rPr>
              <w:fldChar w:fldCharType="begin"/>
            </w:r>
            <w:r w:rsidR="00452F42" w:rsidRPr="00452F42">
              <w:rPr>
                <w:rFonts w:ascii="Arial" w:hAnsi="Arial" w:cs="Arial"/>
                <w:b/>
                <w:i/>
                <w:noProof/>
                <w:webHidden/>
                <w:sz w:val="24"/>
                <w:szCs w:val="24"/>
              </w:rPr>
              <w:instrText xml:space="preserve"> PAGEREF _Toc140887169 \h </w:instrText>
            </w:r>
            <w:r w:rsidR="00452F42" w:rsidRPr="00452F42">
              <w:rPr>
                <w:rFonts w:ascii="Arial" w:hAnsi="Arial" w:cs="Arial"/>
                <w:b/>
                <w:i/>
                <w:noProof/>
                <w:webHidden/>
                <w:sz w:val="24"/>
                <w:szCs w:val="24"/>
              </w:rPr>
            </w:r>
            <w:r w:rsidR="00452F42" w:rsidRPr="00452F42">
              <w:rPr>
                <w:rFonts w:ascii="Arial" w:hAnsi="Arial" w:cs="Arial"/>
                <w:b/>
                <w:i/>
                <w:noProof/>
                <w:webHidden/>
                <w:sz w:val="24"/>
                <w:szCs w:val="24"/>
              </w:rPr>
              <w:fldChar w:fldCharType="separate"/>
            </w:r>
            <w:r w:rsidR="00452F42" w:rsidRPr="00452F42">
              <w:rPr>
                <w:rFonts w:ascii="Arial" w:hAnsi="Arial" w:cs="Arial"/>
                <w:b/>
                <w:i/>
                <w:noProof/>
                <w:webHidden/>
                <w:sz w:val="24"/>
                <w:szCs w:val="24"/>
              </w:rPr>
              <w:t>15</w:t>
            </w:r>
            <w:r w:rsidR="00452F42" w:rsidRPr="00452F42">
              <w:rPr>
                <w:rFonts w:ascii="Arial" w:hAnsi="Arial" w:cs="Arial"/>
                <w:b/>
                <w:i/>
                <w:noProof/>
                <w:webHidden/>
                <w:sz w:val="24"/>
                <w:szCs w:val="24"/>
              </w:rPr>
              <w:fldChar w:fldCharType="end"/>
            </w:r>
          </w:hyperlink>
        </w:p>
        <w:p w:rsidR="00452F42" w:rsidRPr="00452F42" w:rsidRDefault="007269E8">
          <w:pPr>
            <w:pStyle w:val="TOC2"/>
            <w:tabs>
              <w:tab w:val="right" w:leader="dot" w:pos="9350"/>
            </w:tabs>
            <w:rPr>
              <w:rFonts w:ascii="Arial" w:eastAsiaTheme="minorEastAsia" w:hAnsi="Arial" w:cs="Arial"/>
              <w:b/>
              <w:i/>
              <w:noProof/>
              <w:sz w:val="24"/>
              <w:szCs w:val="24"/>
            </w:rPr>
          </w:pPr>
          <w:hyperlink w:anchor="_Toc140887170" w:history="1">
            <w:r w:rsidR="00452F42" w:rsidRPr="00452F42">
              <w:rPr>
                <w:rStyle w:val="Hyperlink"/>
                <w:rFonts w:ascii="Arial" w:hAnsi="Arial" w:cs="Arial"/>
                <w:b/>
                <w:i/>
                <w:noProof/>
                <w:sz w:val="24"/>
                <w:szCs w:val="24"/>
              </w:rPr>
              <w:t>Recommendation using Ansoff matrix</w:t>
            </w:r>
            <w:r w:rsidR="00452F42" w:rsidRPr="00452F42">
              <w:rPr>
                <w:rFonts w:ascii="Arial" w:hAnsi="Arial" w:cs="Arial"/>
                <w:b/>
                <w:i/>
                <w:noProof/>
                <w:webHidden/>
                <w:sz w:val="24"/>
                <w:szCs w:val="24"/>
              </w:rPr>
              <w:tab/>
            </w:r>
            <w:r w:rsidR="00452F42" w:rsidRPr="00452F42">
              <w:rPr>
                <w:rFonts w:ascii="Arial" w:hAnsi="Arial" w:cs="Arial"/>
                <w:b/>
                <w:i/>
                <w:noProof/>
                <w:webHidden/>
                <w:sz w:val="24"/>
                <w:szCs w:val="24"/>
              </w:rPr>
              <w:fldChar w:fldCharType="begin"/>
            </w:r>
            <w:r w:rsidR="00452F42" w:rsidRPr="00452F42">
              <w:rPr>
                <w:rFonts w:ascii="Arial" w:hAnsi="Arial" w:cs="Arial"/>
                <w:b/>
                <w:i/>
                <w:noProof/>
                <w:webHidden/>
                <w:sz w:val="24"/>
                <w:szCs w:val="24"/>
              </w:rPr>
              <w:instrText xml:space="preserve"> PAGEREF _Toc140887170 \h </w:instrText>
            </w:r>
            <w:r w:rsidR="00452F42" w:rsidRPr="00452F42">
              <w:rPr>
                <w:rFonts w:ascii="Arial" w:hAnsi="Arial" w:cs="Arial"/>
                <w:b/>
                <w:i/>
                <w:noProof/>
                <w:webHidden/>
                <w:sz w:val="24"/>
                <w:szCs w:val="24"/>
              </w:rPr>
            </w:r>
            <w:r w:rsidR="00452F42" w:rsidRPr="00452F42">
              <w:rPr>
                <w:rFonts w:ascii="Arial" w:hAnsi="Arial" w:cs="Arial"/>
                <w:b/>
                <w:i/>
                <w:noProof/>
                <w:webHidden/>
                <w:sz w:val="24"/>
                <w:szCs w:val="24"/>
              </w:rPr>
              <w:fldChar w:fldCharType="separate"/>
            </w:r>
            <w:r w:rsidR="00452F42" w:rsidRPr="00452F42">
              <w:rPr>
                <w:rFonts w:ascii="Arial" w:hAnsi="Arial" w:cs="Arial"/>
                <w:b/>
                <w:i/>
                <w:noProof/>
                <w:webHidden/>
                <w:sz w:val="24"/>
                <w:szCs w:val="24"/>
              </w:rPr>
              <w:t>15</w:t>
            </w:r>
            <w:r w:rsidR="00452F42" w:rsidRPr="00452F42">
              <w:rPr>
                <w:rFonts w:ascii="Arial" w:hAnsi="Arial" w:cs="Arial"/>
                <w:b/>
                <w:i/>
                <w:noProof/>
                <w:webHidden/>
                <w:sz w:val="24"/>
                <w:szCs w:val="24"/>
              </w:rPr>
              <w:fldChar w:fldCharType="end"/>
            </w:r>
          </w:hyperlink>
        </w:p>
        <w:p w:rsidR="00452F42" w:rsidRPr="00452F42" w:rsidRDefault="007269E8">
          <w:pPr>
            <w:pStyle w:val="TOC1"/>
            <w:tabs>
              <w:tab w:val="right" w:leader="dot" w:pos="9350"/>
            </w:tabs>
            <w:rPr>
              <w:rFonts w:ascii="Arial" w:eastAsiaTheme="minorEastAsia" w:hAnsi="Arial" w:cs="Arial"/>
              <w:b/>
              <w:i/>
              <w:noProof/>
              <w:sz w:val="24"/>
              <w:szCs w:val="24"/>
            </w:rPr>
          </w:pPr>
          <w:hyperlink w:anchor="_Toc140887171" w:history="1">
            <w:r w:rsidR="00452F42" w:rsidRPr="00452F42">
              <w:rPr>
                <w:rStyle w:val="Hyperlink"/>
                <w:rFonts w:ascii="Arial" w:hAnsi="Arial" w:cs="Arial"/>
                <w:b/>
                <w:i/>
                <w:noProof/>
                <w:sz w:val="24"/>
                <w:szCs w:val="24"/>
              </w:rPr>
              <w:t>References</w:t>
            </w:r>
            <w:r w:rsidR="00452F42" w:rsidRPr="00452F42">
              <w:rPr>
                <w:rFonts w:ascii="Arial" w:hAnsi="Arial" w:cs="Arial"/>
                <w:b/>
                <w:i/>
                <w:noProof/>
                <w:webHidden/>
                <w:sz w:val="24"/>
                <w:szCs w:val="24"/>
              </w:rPr>
              <w:tab/>
            </w:r>
            <w:r w:rsidR="00452F42" w:rsidRPr="00452F42">
              <w:rPr>
                <w:rFonts w:ascii="Arial" w:hAnsi="Arial" w:cs="Arial"/>
                <w:b/>
                <w:i/>
                <w:noProof/>
                <w:webHidden/>
                <w:sz w:val="24"/>
                <w:szCs w:val="24"/>
              </w:rPr>
              <w:fldChar w:fldCharType="begin"/>
            </w:r>
            <w:r w:rsidR="00452F42" w:rsidRPr="00452F42">
              <w:rPr>
                <w:rFonts w:ascii="Arial" w:hAnsi="Arial" w:cs="Arial"/>
                <w:b/>
                <w:i/>
                <w:noProof/>
                <w:webHidden/>
                <w:sz w:val="24"/>
                <w:szCs w:val="24"/>
              </w:rPr>
              <w:instrText xml:space="preserve"> PAGEREF _Toc140887171 \h </w:instrText>
            </w:r>
            <w:r w:rsidR="00452F42" w:rsidRPr="00452F42">
              <w:rPr>
                <w:rFonts w:ascii="Arial" w:hAnsi="Arial" w:cs="Arial"/>
                <w:b/>
                <w:i/>
                <w:noProof/>
                <w:webHidden/>
                <w:sz w:val="24"/>
                <w:szCs w:val="24"/>
              </w:rPr>
            </w:r>
            <w:r w:rsidR="00452F42" w:rsidRPr="00452F42">
              <w:rPr>
                <w:rFonts w:ascii="Arial" w:hAnsi="Arial" w:cs="Arial"/>
                <w:b/>
                <w:i/>
                <w:noProof/>
                <w:webHidden/>
                <w:sz w:val="24"/>
                <w:szCs w:val="24"/>
              </w:rPr>
              <w:fldChar w:fldCharType="separate"/>
            </w:r>
            <w:r w:rsidR="00452F42" w:rsidRPr="00452F42">
              <w:rPr>
                <w:rFonts w:ascii="Arial" w:hAnsi="Arial" w:cs="Arial"/>
                <w:b/>
                <w:i/>
                <w:noProof/>
                <w:webHidden/>
                <w:sz w:val="24"/>
                <w:szCs w:val="24"/>
              </w:rPr>
              <w:t>17</w:t>
            </w:r>
            <w:r w:rsidR="00452F42" w:rsidRPr="00452F42">
              <w:rPr>
                <w:rFonts w:ascii="Arial" w:hAnsi="Arial" w:cs="Arial"/>
                <w:b/>
                <w:i/>
                <w:noProof/>
                <w:webHidden/>
                <w:sz w:val="24"/>
                <w:szCs w:val="24"/>
              </w:rPr>
              <w:fldChar w:fldCharType="end"/>
            </w:r>
          </w:hyperlink>
        </w:p>
        <w:p w:rsidR="00452F42" w:rsidRDefault="00452F42">
          <w:r>
            <w:rPr>
              <w:b/>
              <w:bCs/>
              <w:noProof/>
            </w:rPr>
            <w:fldChar w:fldCharType="end"/>
          </w:r>
        </w:p>
      </w:sdtContent>
    </w:sdt>
    <w:p w:rsidR="00452F42" w:rsidRDefault="00452F42">
      <w:r>
        <w:br w:type="page"/>
      </w:r>
    </w:p>
    <w:p w:rsidR="00452F42" w:rsidRDefault="00452F42" w:rsidP="00452F42"/>
    <w:p w:rsidR="0071509A" w:rsidRDefault="00DE7263" w:rsidP="005B650F">
      <w:pPr>
        <w:pStyle w:val="Heading1"/>
        <w:spacing w:line="360" w:lineRule="auto"/>
        <w:jc w:val="both"/>
        <w:rPr>
          <w:rFonts w:ascii="Arial" w:hAnsi="Arial" w:cs="Arial"/>
          <w:sz w:val="32"/>
          <w:szCs w:val="32"/>
        </w:rPr>
      </w:pPr>
      <w:bookmarkStart w:id="0" w:name="_Toc140887165"/>
      <w:r w:rsidRPr="00DE7263">
        <w:rPr>
          <w:rFonts w:ascii="Arial" w:hAnsi="Arial" w:cs="Arial"/>
          <w:sz w:val="32"/>
          <w:szCs w:val="32"/>
        </w:rPr>
        <w:t>Executive Summary</w:t>
      </w:r>
      <w:bookmarkEnd w:id="0"/>
    </w:p>
    <w:p w:rsidR="00DE7263" w:rsidRPr="00DE7263" w:rsidRDefault="00DE7263" w:rsidP="005B650F">
      <w:pPr>
        <w:spacing w:line="360" w:lineRule="auto"/>
        <w:jc w:val="both"/>
      </w:pPr>
    </w:p>
    <w:p w:rsidR="0071509A" w:rsidRPr="0071509A" w:rsidRDefault="00DE7263" w:rsidP="005B650F">
      <w:pPr>
        <w:tabs>
          <w:tab w:val="left" w:pos="1830"/>
        </w:tabs>
        <w:spacing w:line="360" w:lineRule="auto"/>
        <w:jc w:val="both"/>
        <w:rPr>
          <w:rFonts w:ascii="Arial" w:hAnsi="Arial" w:cs="Arial"/>
          <w:sz w:val="24"/>
          <w:szCs w:val="24"/>
        </w:rPr>
      </w:pPr>
      <w:r w:rsidRPr="00DE7263">
        <w:rPr>
          <w:rFonts w:ascii="Arial" w:hAnsi="Arial" w:cs="Arial"/>
          <w:sz w:val="24"/>
          <w:szCs w:val="24"/>
        </w:rPr>
        <w:t xml:space="preserve">This report provides a strategic analysis of Toyota Motor Corporation in light of the establishment of a "sudden onset emergency project team" to combat the impacts of a global pandemic on business operations. The necessity to provide innovative customer service and to maintain a competitive edge in a difficult environment supports the report's </w:t>
      </w:r>
      <w:proofErr w:type="spellStart"/>
      <w:r w:rsidRPr="00DE7263">
        <w:rPr>
          <w:rFonts w:ascii="Arial" w:hAnsi="Arial" w:cs="Arial"/>
          <w:sz w:val="24"/>
          <w:szCs w:val="24"/>
        </w:rPr>
        <w:t>objective.We</w:t>
      </w:r>
      <w:proofErr w:type="spellEnd"/>
      <w:r w:rsidRPr="00DE7263">
        <w:rPr>
          <w:rFonts w:ascii="Arial" w:hAnsi="Arial" w:cs="Arial"/>
          <w:sz w:val="24"/>
          <w:szCs w:val="24"/>
        </w:rPr>
        <w:t xml:space="preserve"> start by using Porter's Five Forces to analyze Toyota's external competitive environment. The implications of supplier and buyer bargaining power, dangers from substitutes and new rivals, and the degree of fierce competition in the automobile industry are all examined. The present global pandemic has had a tremendous effect on these forces, necessitating tactical changes.</w:t>
      </w:r>
      <w:r w:rsidR="009540DE">
        <w:rPr>
          <w:rFonts w:ascii="Arial" w:hAnsi="Arial" w:cs="Arial"/>
          <w:sz w:val="24"/>
          <w:szCs w:val="24"/>
        </w:rPr>
        <w:t xml:space="preserve"> </w:t>
      </w:r>
      <w:r w:rsidRPr="00DE7263">
        <w:rPr>
          <w:rFonts w:ascii="Arial" w:hAnsi="Arial" w:cs="Arial"/>
          <w:sz w:val="24"/>
          <w:szCs w:val="24"/>
        </w:rPr>
        <w:t xml:space="preserve">Toyota uses the VRIO framework internally to assess its unique resources and skills that might be leveraged to enhance customer service. We can understand the value, scarcity, copyability, and ability of the organization to </w:t>
      </w:r>
      <w:proofErr w:type="spellStart"/>
      <w:r w:rsidRPr="00DE7263">
        <w:rPr>
          <w:rFonts w:ascii="Arial" w:hAnsi="Arial" w:cs="Arial"/>
          <w:sz w:val="24"/>
          <w:szCs w:val="24"/>
        </w:rPr>
        <w:t>utilise</w:t>
      </w:r>
      <w:proofErr w:type="spellEnd"/>
      <w:r w:rsidRPr="00DE7263">
        <w:rPr>
          <w:rFonts w:ascii="Arial" w:hAnsi="Arial" w:cs="Arial"/>
          <w:sz w:val="24"/>
          <w:szCs w:val="24"/>
        </w:rPr>
        <w:t xml:space="preserve"> these resources thanks to this framework. Toyota's technological competence, efficient supply chain management, and great brand awareness are identified as major factors in our analysis. However, we equally agree that there is room for development in terms of consumer engagement online, which is essential in a world where pandemics are rife.</w:t>
      </w:r>
      <w:r w:rsidR="009540DE">
        <w:rPr>
          <w:rFonts w:ascii="Arial" w:hAnsi="Arial" w:cs="Arial"/>
          <w:sz w:val="24"/>
          <w:szCs w:val="24"/>
        </w:rPr>
        <w:t xml:space="preserve"> </w:t>
      </w:r>
      <w:r w:rsidRPr="00DE7263">
        <w:rPr>
          <w:rFonts w:ascii="Arial" w:hAnsi="Arial" w:cs="Arial"/>
          <w:sz w:val="24"/>
          <w:szCs w:val="24"/>
        </w:rPr>
        <w:t xml:space="preserve">Several tactical strategies are being examined to improve customer service, with an emphasis on hyper-personalization, technology integration, and investment in eco-friendly and electric vehicles. Our analysis indicates that Toyota has the ability to set the standard for customer service innovation in the automobile industry if these strategies are </w:t>
      </w:r>
      <w:proofErr w:type="spellStart"/>
      <w:r w:rsidRPr="00DE7263">
        <w:rPr>
          <w:rFonts w:ascii="Arial" w:hAnsi="Arial" w:cs="Arial"/>
          <w:sz w:val="24"/>
          <w:szCs w:val="24"/>
        </w:rPr>
        <w:t>skilfully</w:t>
      </w:r>
      <w:proofErr w:type="spellEnd"/>
      <w:r w:rsidRPr="00DE7263">
        <w:rPr>
          <w:rFonts w:ascii="Arial" w:hAnsi="Arial" w:cs="Arial"/>
          <w:sz w:val="24"/>
          <w:szCs w:val="24"/>
        </w:rPr>
        <w:t xml:space="preserve"> put into practice.</w:t>
      </w:r>
      <w:r w:rsidR="009540DE">
        <w:rPr>
          <w:rFonts w:ascii="Arial" w:hAnsi="Arial" w:cs="Arial"/>
          <w:sz w:val="24"/>
          <w:szCs w:val="24"/>
        </w:rPr>
        <w:t xml:space="preserve"> </w:t>
      </w:r>
      <w:r w:rsidRPr="00DE7263">
        <w:rPr>
          <w:rFonts w:ascii="Arial" w:hAnsi="Arial" w:cs="Arial"/>
          <w:sz w:val="24"/>
          <w:szCs w:val="24"/>
        </w:rPr>
        <w:t>The report's concluding recommendations highlight the significance of strategic technological integration, efficient data management for customized experiences, and significant investment in environmentally friendly and electric cars. Through these tactics, Toyota hopes to strengthen its position in the market and improve its customer service both during and after the present epidemic.</w:t>
      </w:r>
    </w:p>
    <w:p w:rsidR="00176A75" w:rsidRDefault="00DE7263" w:rsidP="005B650F">
      <w:pPr>
        <w:pStyle w:val="Heading1"/>
        <w:spacing w:line="360" w:lineRule="auto"/>
        <w:jc w:val="both"/>
        <w:rPr>
          <w:rFonts w:ascii="Arial" w:hAnsi="Arial" w:cs="Arial"/>
          <w:sz w:val="32"/>
          <w:szCs w:val="32"/>
        </w:rPr>
      </w:pPr>
      <w:bookmarkStart w:id="1" w:name="_Toc140887166"/>
      <w:r>
        <w:rPr>
          <w:rFonts w:ascii="Arial" w:hAnsi="Arial" w:cs="Arial"/>
          <w:sz w:val="32"/>
          <w:szCs w:val="32"/>
        </w:rPr>
        <w:lastRenderedPageBreak/>
        <w:t>Introduction</w:t>
      </w:r>
      <w:bookmarkEnd w:id="1"/>
    </w:p>
    <w:p w:rsidR="00DE7263" w:rsidRPr="00DE7263" w:rsidRDefault="00DE7263" w:rsidP="005B650F">
      <w:pPr>
        <w:spacing w:line="360" w:lineRule="auto"/>
        <w:jc w:val="both"/>
      </w:pPr>
    </w:p>
    <w:p w:rsidR="00DE7263" w:rsidRDefault="00DE7263" w:rsidP="005B650F">
      <w:pPr>
        <w:tabs>
          <w:tab w:val="left" w:pos="1830"/>
        </w:tabs>
        <w:spacing w:line="360" w:lineRule="auto"/>
        <w:jc w:val="both"/>
        <w:rPr>
          <w:rFonts w:ascii="Arial" w:hAnsi="Arial" w:cs="Arial"/>
          <w:sz w:val="24"/>
          <w:szCs w:val="24"/>
        </w:rPr>
      </w:pPr>
      <w:r w:rsidRPr="00DE7263">
        <w:rPr>
          <w:rFonts w:ascii="Arial" w:hAnsi="Arial" w:cs="Arial"/>
          <w:sz w:val="24"/>
          <w:szCs w:val="24"/>
        </w:rPr>
        <w:t>A comprehensive strategic analysis of Toyota Motor Corporation, a well-known leader in the automotive sec</w:t>
      </w:r>
      <w:r w:rsidR="00E10517">
        <w:rPr>
          <w:rFonts w:ascii="Arial" w:hAnsi="Arial" w:cs="Arial"/>
          <w:sz w:val="24"/>
          <w:szCs w:val="24"/>
        </w:rPr>
        <w:t xml:space="preserve">tor, is provided in this report </w:t>
      </w:r>
      <w:r w:rsidR="00E10517" w:rsidRPr="00E10517">
        <w:rPr>
          <w:rFonts w:ascii="Arial" w:hAnsi="Arial" w:cs="Arial"/>
          <w:sz w:val="24"/>
          <w:szCs w:val="24"/>
        </w:rPr>
        <w:t>(Baber, 2018)</w:t>
      </w:r>
      <w:r w:rsidR="00E10517">
        <w:rPr>
          <w:rFonts w:ascii="Arial" w:hAnsi="Arial" w:cs="Arial"/>
          <w:sz w:val="24"/>
          <w:szCs w:val="24"/>
        </w:rPr>
        <w:t>.</w:t>
      </w:r>
      <w:r w:rsidRPr="00DE7263">
        <w:rPr>
          <w:rFonts w:ascii="Arial" w:hAnsi="Arial" w:cs="Arial"/>
          <w:sz w:val="24"/>
          <w:szCs w:val="24"/>
        </w:rPr>
        <w:t xml:space="preserve"> It looks at the particular difficulties and possibilities the business has as it adjusts its customer-care strategy in light of the widespread epidemic. Finding strong tactics that can support Toyota in preserving its competitive edge and ensuring resilience during</w:t>
      </w:r>
      <w:r>
        <w:rPr>
          <w:rFonts w:ascii="Arial" w:hAnsi="Arial" w:cs="Arial"/>
          <w:sz w:val="24"/>
          <w:szCs w:val="24"/>
        </w:rPr>
        <w:t xml:space="preserve"> these trying times is the aim.</w:t>
      </w:r>
      <w:r w:rsidR="009540DE">
        <w:rPr>
          <w:rFonts w:ascii="Arial" w:hAnsi="Arial" w:cs="Arial"/>
          <w:sz w:val="24"/>
          <w:szCs w:val="24"/>
        </w:rPr>
        <w:t xml:space="preserve"> </w:t>
      </w:r>
      <w:proofErr w:type="gramStart"/>
      <w:r w:rsidRPr="00DE7263">
        <w:rPr>
          <w:rFonts w:ascii="Arial" w:hAnsi="Arial" w:cs="Arial"/>
          <w:sz w:val="24"/>
          <w:szCs w:val="24"/>
        </w:rPr>
        <w:t>A</w:t>
      </w:r>
      <w:proofErr w:type="gramEnd"/>
      <w:r w:rsidRPr="00DE7263">
        <w:rPr>
          <w:rFonts w:ascii="Arial" w:hAnsi="Arial" w:cs="Arial"/>
          <w:sz w:val="24"/>
          <w:szCs w:val="24"/>
        </w:rPr>
        <w:t xml:space="preserve"> evaluation of the internal and external strategic elements is part of the process. The Porter's Five Forces model is used to examine the external environment, offering insights into the competitive dynamics and </w:t>
      </w:r>
      <w:r w:rsidR="00E10517">
        <w:rPr>
          <w:rFonts w:ascii="Arial" w:hAnsi="Arial" w:cs="Arial"/>
          <w:sz w:val="24"/>
          <w:szCs w:val="24"/>
        </w:rPr>
        <w:t xml:space="preserve">industry structure </w:t>
      </w:r>
      <w:r w:rsidR="00E10517" w:rsidRPr="00E10517">
        <w:rPr>
          <w:rFonts w:ascii="Arial" w:hAnsi="Arial" w:cs="Arial"/>
          <w:sz w:val="24"/>
          <w:szCs w:val="24"/>
        </w:rPr>
        <w:t>(Dess, Eisner &amp; McNamara, 2016)</w:t>
      </w:r>
      <w:r w:rsidR="00E10517">
        <w:rPr>
          <w:rFonts w:ascii="Arial" w:hAnsi="Arial" w:cs="Arial"/>
          <w:sz w:val="24"/>
          <w:szCs w:val="24"/>
        </w:rPr>
        <w:t>.</w:t>
      </w:r>
      <w:r w:rsidRPr="00DE7263">
        <w:rPr>
          <w:rFonts w:ascii="Arial" w:hAnsi="Arial" w:cs="Arial"/>
          <w:sz w:val="24"/>
          <w:szCs w:val="24"/>
        </w:rPr>
        <w:t xml:space="preserve"> The VRIO framework is used in the report's internal study to evaluate Toyota's resources and skills and identify its strengths and possible improvement areas.</w:t>
      </w:r>
      <w:r w:rsidR="009540DE">
        <w:rPr>
          <w:rFonts w:ascii="Arial" w:hAnsi="Arial" w:cs="Arial"/>
          <w:sz w:val="24"/>
          <w:szCs w:val="24"/>
        </w:rPr>
        <w:t xml:space="preserve"> </w:t>
      </w:r>
      <w:r w:rsidRPr="00DE7263">
        <w:rPr>
          <w:rFonts w:ascii="Arial" w:hAnsi="Arial" w:cs="Arial"/>
          <w:sz w:val="24"/>
          <w:szCs w:val="24"/>
        </w:rPr>
        <w:t xml:space="preserve">This </w:t>
      </w:r>
      <w:r w:rsidR="00E10517">
        <w:rPr>
          <w:rFonts w:ascii="Arial" w:hAnsi="Arial" w:cs="Arial"/>
          <w:sz w:val="24"/>
          <w:szCs w:val="24"/>
        </w:rPr>
        <w:t>r</w:t>
      </w:r>
      <w:r w:rsidRPr="00DE7263">
        <w:rPr>
          <w:rFonts w:ascii="Arial" w:hAnsi="Arial" w:cs="Arial"/>
          <w:sz w:val="24"/>
          <w:szCs w:val="24"/>
        </w:rPr>
        <w:t xml:space="preserve">eport assesses strategic options for improving Toyota's customer service while taking into account the increasing need for </w:t>
      </w:r>
      <w:proofErr w:type="spellStart"/>
      <w:r w:rsidRPr="00DE7263">
        <w:rPr>
          <w:rFonts w:ascii="Arial" w:hAnsi="Arial" w:cs="Arial"/>
          <w:sz w:val="24"/>
          <w:szCs w:val="24"/>
        </w:rPr>
        <w:t>personalisation</w:t>
      </w:r>
      <w:proofErr w:type="spellEnd"/>
      <w:r w:rsidRPr="00DE7263">
        <w:rPr>
          <w:rFonts w:ascii="Arial" w:hAnsi="Arial" w:cs="Arial"/>
          <w:sz w:val="24"/>
          <w:szCs w:val="24"/>
        </w:rPr>
        <w:t xml:space="preserve"> and digital transformation. It is notable that the emphasis is on hyper-personalization and technology integration in customer service, which are viewed as crucial areas for fostering customer pleasure and loyalty in the new </w:t>
      </w:r>
      <w:proofErr w:type="spellStart"/>
      <w:r w:rsidRPr="00DE7263">
        <w:rPr>
          <w:rFonts w:ascii="Arial" w:hAnsi="Arial" w:cs="Arial"/>
          <w:sz w:val="24"/>
          <w:szCs w:val="24"/>
        </w:rPr>
        <w:t>normal.The</w:t>
      </w:r>
      <w:proofErr w:type="spellEnd"/>
      <w:r w:rsidRPr="00DE7263">
        <w:rPr>
          <w:rFonts w:ascii="Arial" w:hAnsi="Arial" w:cs="Arial"/>
          <w:sz w:val="24"/>
          <w:szCs w:val="24"/>
        </w:rPr>
        <w:t xml:space="preserve"> report looks at the possibility of making more investments in green and electric cars, a move that would be in line with current environmental trends and might provide businesses a substantial competitive edge.</w:t>
      </w:r>
      <w:r w:rsidR="009540DE">
        <w:rPr>
          <w:rFonts w:ascii="Arial" w:hAnsi="Arial" w:cs="Arial"/>
          <w:sz w:val="24"/>
          <w:szCs w:val="24"/>
        </w:rPr>
        <w:t xml:space="preserve"> </w:t>
      </w:r>
      <w:bookmarkStart w:id="2" w:name="_GoBack"/>
      <w:bookmarkEnd w:id="2"/>
      <w:r w:rsidRPr="00DE7263">
        <w:rPr>
          <w:rFonts w:ascii="Arial" w:hAnsi="Arial" w:cs="Arial"/>
          <w:sz w:val="24"/>
          <w:szCs w:val="24"/>
        </w:rPr>
        <w:t>The report concludes with a critical findings analysis and practical recommendations. The latter aims to aid Toyota in navigating the challenging environment created by the epidemic, positioning it for success in the future, and assisting it in its quest of innovation and excellence in customer service.</w:t>
      </w:r>
    </w:p>
    <w:p w:rsidR="00BB5D08" w:rsidRDefault="00BB5D08" w:rsidP="005B650F">
      <w:pPr>
        <w:tabs>
          <w:tab w:val="left" w:pos="1830"/>
        </w:tabs>
        <w:spacing w:line="360" w:lineRule="auto"/>
        <w:jc w:val="both"/>
        <w:rPr>
          <w:rFonts w:ascii="Arial" w:hAnsi="Arial" w:cs="Arial"/>
          <w:sz w:val="24"/>
          <w:szCs w:val="24"/>
        </w:rPr>
      </w:pPr>
      <w:r w:rsidRPr="00BB5D08">
        <w:rPr>
          <w:rFonts w:ascii="Arial" w:hAnsi="Arial" w:cs="Arial"/>
          <w:noProof/>
          <w:sz w:val="24"/>
          <w:szCs w:val="24"/>
        </w:rPr>
        <w:lastRenderedPageBreak/>
        <w:drawing>
          <wp:inline distT="0" distB="0" distL="0" distR="0" wp14:anchorId="1CC2E452" wp14:editId="7BBDF06F">
            <wp:extent cx="5943600" cy="3343275"/>
            <wp:effectExtent l="0" t="0" r="0" b="9525"/>
            <wp:docPr id="6" name="Picture 6" descr="Toyota Car Prices in Pakistan (March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oyota Car Prices in Pakistan (March 20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274FA2" w:rsidRDefault="00274FA2" w:rsidP="005B650F">
      <w:pPr>
        <w:pStyle w:val="Heading2"/>
        <w:spacing w:line="360" w:lineRule="auto"/>
        <w:jc w:val="both"/>
        <w:rPr>
          <w:rFonts w:ascii="Arial" w:hAnsi="Arial" w:cs="Arial"/>
          <w:sz w:val="28"/>
          <w:szCs w:val="28"/>
        </w:rPr>
      </w:pPr>
      <w:bookmarkStart w:id="3" w:name="_Toc140887167"/>
      <w:r w:rsidRPr="00DE7263">
        <w:rPr>
          <w:rFonts w:ascii="Arial" w:hAnsi="Arial" w:cs="Arial"/>
          <w:sz w:val="28"/>
          <w:szCs w:val="28"/>
        </w:rPr>
        <w:t>Main</w:t>
      </w:r>
      <w:r w:rsidR="00DE7263">
        <w:rPr>
          <w:rFonts w:ascii="Arial" w:hAnsi="Arial" w:cs="Arial"/>
          <w:sz w:val="28"/>
          <w:szCs w:val="28"/>
        </w:rPr>
        <w:t xml:space="preserve"> Findings of Strategic Analysis</w:t>
      </w:r>
      <w:bookmarkEnd w:id="3"/>
    </w:p>
    <w:p w:rsidR="00DE7263" w:rsidRPr="00DE7263" w:rsidRDefault="00DE7263" w:rsidP="005B650F">
      <w:pPr>
        <w:spacing w:line="360" w:lineRule="auto"/>
        <w:jc w:val="both"/>
      </w:pPr>
    </w:p>
    <w:p w:rsidR="0027742C" w:rsidRPr="0027742C" w:rsidRDefault="0027742C" w:rsidP="005B650F">
      <w:pPr>
        <w:tabs>
          <w:tab w:val="left" w:pos="1830"/>
        </w:tabs>
        <w:spacing w:line="360" w:lineRule="auto"/>
        <w:jc w:val="both"/>
        <w:rPr>
          <w:rFonts w:ascii="Arial" w:hAnsi="Arial" w:cs="Arial"/>
          <w:b/>
          <w:sz w:val="24"/>
          <w:szCs w:val="24"/>
          <w:u w:val="single"/>
        </w:rPr>
      </w:pPr>
      <w:r w:rsidRPr="0027742C">
        <w:rPr>
          <w:rFonts w:ascii="Arial" w:hAnsi="Arial" w:cs="Arial"/>
          <w:b/>
          <w:sz w:val="24"/>
          <w:szCs w:val="24"/>
          <w:u w:val="single"/>
        </w:rPr>
        <w:t>External Analysis - Porter's Five Forces:</w:t>
      </w:r>
    </w:p>
    <w:p w:rsidR="00EC20BE" w:rsidRPr="00EC20BE" w:rsidRDefault="00EC20BE" w:rsidP="005B650F">
      <w:pPr>
        <w:tabs>
          <w:tab w:val="left" w:pos="1830"/>
        </w:tabs>
        <w:spacing w:line="360" w:lineRule="auto"/>
        <w:jc w:val="both"/>
        <w:rPr>
          <w:rFonts w:ascii="Arial" w:hAnsi="Arial" w:cs="Arial"/>
          <w:b/>
          <w:sz w:val="24"/>
          <w:szCs w:val="24"/>
        </w:rPr>
      </w:pPr>
      <w:r w:rsidRPr="00EC20BE">
        <w:rPr>
          <w:rFonts w:ascii="Arial" w:hAnsi="Arial" w:cs="Arial"/>
          <w:b/>
          <w:sz w:val="24"/>
          <w:szCs w:val="24"/>
        </w:rPr>
        <w:t>Threat of New Entrants: </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Due to a number of important variables, the danger of new competitors entering the automobile sector is typically minimal. First and foremost, a major hurdle is the need for large capital expenditures for production facilities, resear</w:t>
      </w:r>
      <w:r w:rsidR="00E10517">
        <w:rPr>
          <w:rFonts w:ascii="Arial" w:hAnsi="Arial" w:cs="Arial"/>
          <w:sz w:val="24"/>
          <w:szCs w:val="24"/>
        </w:rPr>
        <w:t xml:space="preserve">ch &amp; development, and marketing </w:t>
      </w:r>
      <w:r w:rsidR="00E10517" w:rsidRPr="00E10517">
        <w:rPr>
          <w:rFonts w:ascii="Arial" w:hAnsi="Arial" w:cs="Arial"/>
          <w:sz w:val="24"/>
          <w:szCs w:val="24"/>
        </w:rPr>
        <w:t>(</w:t>
      </w:r>
      <w:proofErr w:type="spellStart"/>
      <w:r w:rsidR="00E10517" w:rsidRPr="00E10517">
        <w:rPr>
          <w:rFonts w:ascii="Arial" w:hAnsi="Arial" w:cs="Arial"/>
          <w:sz w:val="24"/>
          <w:szCs w:val="24"/>
        </w:rPr>
        <w:t>Yuksel</w:t>
      </w:r>
      <w:proofErr w:type="spellEnd"/>
      <w:r w:rsidR="00E10517" w:rsidRPr="00E10517">
        <w:rPr>
          <w:rFonts w:ascii="Arial" w:hAnsi="Arial" w:cs="Arial"/>
          <w:sz w:val="24"/>
          <w:szCs w:val="24"/>
        </w:rPr>
        <w:t>, 2019)</w:t>
      </w:r>
      <w:r w:rsidR="00E10517">
        <w:rPr>
          <w:rFonts w:ascii="Arial" w:hAnsi="Arial" w:cs="Arial"/>
          <w:sz w:val="24"/>
          <w:szCs w:val="24"/>
        </w:rPr>
        <w:t>.</w:t>
      </w:r>
      <w:r w:rsidRPr="00EC20BE">
        <w:rPr>
          <w:rFonts w:ascii="Arial" w:hAnsi="Arial" w:cs="Arial"/>
          <w:sz w:val="24"/>
          <w:szCs w:val="24"/>
        </w:rPr>
        <w:t xml:space="preserve"> The automobile business is less appealing for new entrants since startups need a significant infusion of cash to compete with established brands like Toyota.</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Stringent regulatory requirements and complicated supply chain management are further characteristics of the sector</w:t>
      </w:r>
      <w:r w:rsidR="00303715" w:rsidRPr="00303715">
        <w:t xml:space="preserve"> </w:t>
      </w:r>
      <w:r w:rsidR="00303715" w:rsidRPr="00303715">
        <w:rPr>
          <w:rFonts w:ascii="Arial" w:hAnsi="Arial" w:cs="Arial"/>
          <w:sz w:val="24"/>
          <w:szCs w:val="24"/>
        </w:rPr>
        <w:t>(Govindan, Shaw and Majumdar, 2020)</w:t>
      </w:r>
      <w:r w:rsidRPr="00EC20BE">
        <w:rPr>
          <w:rFonts w:ascii="Arial" w:hAnsi="Arial" w:cs="Arial"/>
          <w:sz w:val="24"/>
          <w:szCs w:val="24"/>
        </w:rPr>
        <w:t xml:space="preserve">. The entrance hurdle is raised since compliance with safety, pollution, and fuel economy regulations across nations calls for extensive knowledge and expertise. Additionally, </w:t>
      </w:r>
      <w:r w:rsidRPr="00EC20BE">
        <w:rPr>
          <w:rFonts w:ascii="Arial" w:hAnsi="Arial" w:cs="Arial"/>
          <w:sz w:val="24"/>
          <w:szCs w:val="24"/>
        </w:rPr>
        <w:lastRenderedPageBreak/>
        <w:t>people give brand reputation a lot of consideration when making auto purchases, which makes it difficult for new competitors to swiftly capture market share.</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These difficulties have been made worse by the epidemic</w:t>
      </w:r>
      <w:r w:rsidR="00303715" w:rsidRPr="00303715">
        <w:t xml:space="preserve"> </w:t>
      </w:r>
      <w:r w:rsidR="00303715" w:rsidRPr="00303715">
        <w:rPr>
          <w:rFonts w:ascii="Arial" w:hAnsi="Arial" w:cs="Arial"/>
          <w:sz w:val="24"/>
          <w:szCs w:val="24"/>
        </w:rPr>
        <w:t>(Raj et al., 2022)</w:t>
      </w:r>
      <w:r w:rsidRPr="00EC20BE">
        <w:rPr>
          <w:rFonts w:ascii="Arial" w:hAnsi="Arial" w:cs="Arial"/>
          <w:sz w:val="24"/>
          <w:szCs w:val="24"/>
        </w:rPr>
        <w:t>. Securing the required capital investment to join the automobile business has become more challenging as a result of the global economic slump and overall financial uncertainties. Global supply chain disruptions have made the dynamics of manufacturing even more complex.</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However, the emergence of electric cars (EVs) is also causing a paradigm change in the sector. Capitalizing on consumers' rising demand for eco-friendly and sustainable transportation, new EV-focused businesses have begun to enter the market. Tesla is one of the brands that has done well to establish itself in this industry.</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Toyota confronts potential risks from these more recent, more specialized competitors in the electric car industry, despite its investments in hybrid and electric technologies</w:t>
      </w:r>
      <w:r w:rsidR="00303715" w:rsidRPr="00303715">
        <w:t xml:space="preserve"> </w:t>
      </w:r>
      <w:r w:rsidR="00303715" w:rsidRPr="00303715">
        <w:rPr>
          <w:rFonts w:ascii="Arial" w:hAnsi="Arial" w:cs="Arial"/>
          <w:sz w:val="24"/>
          <w:szCs w:val="24"/>
        </w:rPr>
        <w:t>(</w:t>
      </w:r>
      <w:proofErr w:type="spellStart"/>
      <w:r w:rsidR="00303715" w:rsidRPr="00303715">
        <w:rPr>
          <w:rFonts w:ascii="Arial" w:hAnsi="Arial" w:cs="Arial"/>
          <w:sz w:val="24"/>
          <w:szCs w:val="24"/>
        </w:rPr>
        <w:t>Mohd</w:t>
      </w:r>
      <w:proofErr w:type="spellEnd"/>
      <w:r w:rsidR="00303715" w:rsidRPr="00303715">
        <w:rPr>
          <w:rFonts w:ascii="Arial" w:hAnsi="Arial" w:cs="Arial"/>
          <w:sz w:val="24"/>
          <w:szCs w:val="24"/>
        </w:rPr>
        <w:t xml:space="preserve"> </w:t>
      </w:r>
      <w:proofErr w:type="spellStart"/>
      <w:r w:rsidR="00303715" w:rsidRPr="00303715">
        <w:rPr>
          <w:rFonts w:ascii="Arial" w:hAnsi="Arial" w:cs="Arial"/>
          <w:sz w:val="24"/>
          <w:szCs w:val="24"/>
        </w:rPr>
        <w:t>Fazi</w:t>
      </w:r>
      <w:proofErr w:type="spellEnd"/>
      <w:r w:rsidR="00303715" w:rsidRPr="00303715">
        <w:rPr>
          <w:rFonts w:ascii="Arial" w:hAnsi="Arial" w:cs="Arial"/>
          <w:sz w:val="24"/>
          <w:szCs w:val="24"/>
        </w:rPr>
        <w:t xml:space="preserve">, B Nik Mohamed and Bin </w:t>
      </w:r>
      <w:proofErr w:type="spellStart"/>
      <w:r w:rsidR="00303715" w:rsidRPr="00303715">
        <w:rPr>
          <w:rFonts w:ascii="Arial" w:hAnsi="Arial" w:cs="Arial"/>
          <w:sz w:val="24"/>
          <w:szCs w:val="24"/>
        </w:rPr>
        <w:t>Basri</w:t>
      </w:r>
      <w:proofErr w:type="spellEnd"/>
      <w:r w:rsidR="00303715" w:rsidRPr="00303715">
        <w:rPr>
          <w:rFonts w:ascii="Arial" w:hAnsi="Arial" w:cs="Arial"/>
          <w:sz w:val="24"/>
          <w:szCs w:val="24"/>
        </w:rPr>
        <w:t>, 2019)</w:t>
      </w:r>
      <w:r w:rsidRPr="00EC20BE">
        <w:rPr>
          <w:rFonts w:ascii="Arial" w:hAnsi="Arial" w:cs="Arial"/>
          <w:sz w:val="24"/>
          <w:szCs w:val="24"/>
        </w:rPr>
        <w:t>. To preserve its competitive advantage and ensure its continued dominance in the market, Toyota must continue to innovate and adapt to these industry trends.</w:t>
      </w:r>
    </w:p>
    <w:p w:rsidR="00EC20BE" w:rsidRPr="00EC20BE" w:rsidRDefault="00EC20BE" w:rsidP="005B650F">
      <w:pPr>
        <w:tabs>
          <w:tab w:val="left" w:pos="1830"/>
        </w:tabs>
        <w:spacing w:line="360" w:lineRule="auto"/>
        <w:jc w:val="both"/>
        <w:rPr>
          <w:rFonts w:ascii="Arial" w:hAnsi="Arial" w:cs="Arial"/>
          <w:b/>
          <w:sz w:val="24"/>
          <w:szCs w:val="24"/>
        </w:rPr>
      </w:pPr>
      <w:r>
        <w:rPr>
          <w:rFonts w:ascii="Arial" w:hAnsi="Arial" w:cs="Arial"/>
          <w:b/>
          <w:sz w:val="24"/>
          <w:szCs w:val="24"/>
        </w:rPr>
        <w:t>Bargaining Power of Suppliers: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Toyota's procurement approach is based on a 'Just in Time' manufacturing method, which lowers inventory costs and boosts productivity. This plan largely depends on a broad network of suppliers who must provide components as and when they are necessary</w:t>
      </w:r>
      <w:r w:rsidR="00303715" w:rsidRPr="00303715">
        <w:rPr>
          <w:rFonts w:ascii="Arial" w:hAnsi="Arial" w:cs="Arial"/>
          <w:sz w:val="24"/>
          <w:szCs w:val="24"/>
        </w:rPr>
        <w:t xml:space="preserve"> (Larsen and Zhang, 2021)</w:t>
      </w:r>
      <w:r w:rsidRPr="00EC20BE">
        <w:rPr>
          <w:rFonts w:ascii="Arial" w:hAnsi="Arial" w:cs="Arial"/>
          <w:sz w:val="24"/>
          <w:szCs w:val="24"/>
        </w:rPr>
        <w:t>. Given Toyota's reputation and high volume purchases, suppliers often have a difficult time negotiating. Their authority is further diminished by the competitive auto parts industry and Toyota's flexibility in changing suppliers as required.</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 xml:space="preserve">The COVID-19 pandemic, however, has shown how weak this approach is. Production delays brought on by disruptions in global supply networks have shown the important influence suppliers may have on Toyota's operations. Suppliers with </w:t>
      </w:r>
      <w:proofErr w:type="spellStart"/>
      <w:r w:rsidRPr="00EC20BE">
        <w:rPr>
          <w:rFonts w:ascii="Arial" w:hAnsi="Arial" w:cs="Arial"/>
          <w:sz w:val="24"/>
          <w:szCs w:val="24"/>
        </w:rPr>
        <w:t>favourable</w:t>
      </w:r>
      <w:proofErr w:type="spellEnd"/>
      <w:r w:rsidRPr="00EC20BE">
        <w:rPr>
          <w:rFonts w:ascii="Arial" w:hAnsi="Arial" w:cs="Arial"/>
          <w:sz w:val="24"/>
          <w:szCs w:val="24"/>
        </w:rPr>
        <w:t xml:space="preserve"> </w:t>
      </w:r>
      <w:r w:rsidRPr="00EC20BE">
        <w:rPr>
          <w:rFonts w:ascii="Arial" w:hAnsi="Arial" w:cs="Arial"/>
          <w:sz w:val="24"/>
          <w:szCs w:val="24"/>
        </w:rPr>
        <w:lastRenderedPageBreak/>
        <w:t>locations or exceptional skills for navigating the crisis may momentarily benefit from these interruptions in their ability to negotiate better prices.</w:t>
      </w:r>
    </w:p>
    <w:p w:rsidR="00EC20BE" w:rsidRPr="00EC20BE" w:rsidRDefault="00EC20BE" w:rsidP="005B650F">
      <w:pPr>
        <w:tabs>
          <w:tab w:val="left" w:pos="1830"/>
        </w:tabs>
        <w:spacing w:line="360" w:lineRule="auto"/>
        <w:jc w:val="both"/>
        <w:rPr>
          <w:rFonts w:ascii="Arial" w:hAnsi="Arial" w:cs="Arial"/>
          <w:b/>
          <w:sz w:val="24"/>
          <w:szCs w:val="24"/>
        </w:rPr>
      </w:pPr>
      <w:r w:rsidRPr="00EC20BE">
        <w:rPr>
          <w:rFonts w:ascii="Arial" w:hAnsi="Arial" w:cs="Arial"/>
          <w:sz w:val="24"/>
          <w:szCs w:val="24"/>
        </w:rPr>
        <w:t>Additionally, as Toyota and the automotive sector as a whole transition to electric and hybrid cars, the supply of advanced parts like batteries becomes essential. Because there aren't many suppliers of these components, buyers have more negotiating leverage. For Toyota to enter the electric car industry, it will be crucial to find these components at reasonable rates while maintaining quality. As a result, despite the fact that suppliers' total power is modest, it is increasing in certain sectors as a result of changes in the market and other external factors</w:t>
      </w:r>
      <w:r>
        <w:rPr>
          <w:rFonts w:ascii="Arial" w:hAnsi="Arial" w:cs="Arial"/>
          <w:b/>
          <w:sz w:val="24"/>
          <w:szCs w:val="24"/>
        </w:rPr>
        <w:t>.</w:t>
      </w:r>
    </w:p>
    <w:p w:rsidR="00EC20BE" w:rsidRPr="00EC20BE" w:rsidRDefault="00EC20BE" w:rsidP="005B650F">
      <w:pPr>
        <w:tabs>
          <w:tab w:val="left" w:pos="1830"/>
        </w:tabs>
        <w:spacing w:line="360" w:lineRule="auto"/>
        <w:jc w:val="both"/>
        <w:rPr>
          <w:rFonts w:ascii="Arial" w:hAnsi="Arial" w:cs="Arial"/>
          <w:b/>
          <w:sz w:val="24"/>
          <w:szCs w:val="24"/>
        </w:rPr>
      </w:pPr>
      <w:r w:rsidRPr="00EC20BE">
        <w:rPr>
          <w:rFonts w:ascii="Arial" w:hAnsi="Arial" w:cs="Arial"/>
          <w:b/>
          <w:sz w:val="24"/>
          <w:szCs w:val="24"/>
        </w:rPr>
        <w:t>Threat of S</w:t>
      </w:r>
      <w:r>
        <w:rPr>
          <w:rFonts w:ascii="Arial" w:hAnsi="Arial" w:cs="Arial"/>
          <w:b/>
          <w:sz w:val="24"/>
          <w:szCs w:val="24"/>
        </w:rPr>
        <w:t>ubstitute Products or Services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risk of Toyota's goods or services being replaced might be categorized as modest. From a general standpoint, alternatives to having a personal automobile include things like public transit, car sharing programs, cycling, and even walking</w:t>
      </w:r>
      <w:r w:rsidR="00303715" w:rsidRPr="00303715">
        <w:t xml:space="preserve"> </w:t>
      </w:r>
      <w:r w:rsidR="00303715" w:rsidRPr="00303715">
        <w:rPr>
          <w:rFonts w:ascii="Arial" w:hAnsi="Arial" w:cs="Arial"/>
          <w:sz w:val="24"/>
          <w:szCs w:val="24"/>
        </w:rPr>
        <w:t>(</w:t>
      </w:r>
      <w:proofErr w:type="spellStart"/>
      <w:r w:rsidR="00303715" w:rsidRPr="00303715">
        <w:rPr>
          <w:rFonts w:ascii="Arial" w:hAnsi="Arial" w:cs="Arial"/>
          <w:sz w:val="24"/>
          <w:szCs w:val="24"/>
        </w:rPr>
        <w:t>Camuffo</w:t>
      </w:r>
      <w:proofErr w:type="spellEnd"/>
      <w:r w:rsidR="00303715" w:rsidRPr="00303715">
        <w:rPr>
          <w:rFonts w:ascii="Arial" w:hAnsi="Arial" w:cs="Arial"/>
          <w:sz w:val="24"/>
          <w:szCs w:val="24"/>
        </w:rPr>
        <w:t xml:space="preserve"> and Wilhelm, 2016)</w:t>
      </w:r>
      <w:r w:rsidRPr="00EC20BE">
        <w:rPr>
          <w:rFonts w:ascii="Arial" w:hAnsi="Arial" w:cs="Arial"/>
          <w:sz w:val="24"/>
          <w:szCs w:val="24"/>
        </w:rPr>
        <w:t>. However, owning a personal car offers more comfort, convenience, and personal independence than other modes of transportation, especially in places with poor public transit.</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danger of alternatives may be greater in highly populated metropolitan regions with well-developed public transportation networks and a large concentration of services like Uber and Lyft. Additionally, the population in these regions is often more environmentally concerned, which increases their propensity to choose cleaner forms of transportation. For instance, the increased popularity of cycling may be attributed to its favorable health effects and worries about the environment</w:t>
      </w:r>
      <w:r w:rsidR="00303715" w:rsidRPr="00303715">
        <w:t xml:space="preserve"> </w:t>
      </w:r>
      <w:r w:rsidR="00303715" w:rsidRPr="00303715">
        <w:rPr>
          <w:rFonts w:ascii="Arial" w:hAnsi="Arial" w:cs="Arial"/>
          <w:sz w:val="24"/>
          <w:szCs w:val="24"/>
        </w:rPr>
        <w:t>(Li, 2018)</w:t>
      </w:r>
      <w:r w:rsidRPr="00EC20BE">
        <w:rPr>
          <w:rFonts w:ascii="Arial" w:hAnsi="Arial" w:cs="Arial"/>
          <w:sz w:val="24"/>
          <w:szCs w:val="24"/>
        </w:rPr>
        <w:t>.</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danger posed by replacements has expanded with the arrival of the pandemic. Due to the widespread adoption of remote working, fewer people commute, which eliminates the requirement for owning a personal car. Furthermore, when individuals try to escape congested public transit networks, worries about public health and safety have in certain circumstances increased demand for private vehicles. However, when immunization rates rise and public transportation is once again regarded safe, this pattern could alter.</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lastRenderedPageBreak/>
        <w:t>The development of electric cars as an alternative inside the auto industry itself is also notable</w:t>
      </w:r>
      <w:r w:rsidR="00303715" w:rsidRPr="00303715">
        <w:t xml:space="preserve"> </w:t>
      </w:r>
      <w:r w:rsidR="00303715" w:rsidRPr="00303715">
        <w:rPr>
          <w:rFonts w:ascii="Arial" w:hAnsi="Arial" w:cs="Arial"/>
          <w:sz w:val="24"/>
          <w:szCs w:val="24"/>
        </w:rPr>
        <w:t>(</w:t>
      </w:r>
      <w:proofErr w:type="spellStart"/>
      <w:r w:rsidR="00303715" w:rsidRPr="00303715">
        <w:rPr>
          <w:rFonts w:ascii="Arial" w:hAnsi="Arial" w:cs="Arial"/>
          <w:sz w:val="24"/>
          <w:szCs w:val="24"/>
        </w:rPr>
        <w:t>Razmjoo</w:t>
      </w:r>
      <w:proofErr w:type="spellEnd"/>
      <w:r w:rsidR="00303715" w:rsidRPr="00303715">
        <w:rPr>
          <w:rFonts w:ascii="Arial" w:hAnsi="Arial" w:cs="Arial"/>
          <w:sz w:val="24"/>
          <w:szCs w:val="24"/>
        </w:rPr>
        <w:t xml:space="preserve"> et al., 2022)</w:t>
      </w:r>
      <w:r w:rsidRPr="00EC20BE">
        <w:rPr>
          <w:rFonts w:ascii="Arial" w:hAnsi="Arial" w:cs="Arial"/>
          <w:sz w:val="24"/>
          <w:szCs w:val="24"/>
        </w:rPr>
        <w:t>. Companies like Toyota that are still in the transition face a serious threat from electric vehicle makers like Tesla as conventional internal combustion engines are eventually phased out in favor of cleaner technologies.</w:t>
      </w:r>
    </w:p>
    <w:p w:rsidR="00EC20BE" w:rsidRPr="00BB5D08"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Toyota must strategically evolve in response to these forces. To keep its competitive advantage in the shifting market, the corporation might increase its emphasis on creating competitive electric and hybrid vehicles while also looking into cutting-edge alternatives like car sharing or subscription services. Toyota's ability to reduce the danger of substitutes will depend on its focus on customer service, which the pandemic has ren</w:t>
      </w:r>
      <w:r w:rsidR="00BB5D08">
        <w:rPr>
          <w:rFonts w:ascii="Arial" w:hAnsi="Arial" w:cs="Arial"/>
          <w:sz w:val="24"/>
          <w:szCs w:val="24"/>
        </w:rPr>
        <w:t>dered more important than ever.</w:t>
      </w:r>
    </w:p>
    <w:p w:rsidR="00EC20BE" w:rsidRPr="00EC20BE" w:rsidRDefault="00EC20BE" w:rsidP="005B650F">
      <w:pPr>
        <w:tabs>
          <w:tab w:val="left" w:pos="1830"/>
        </w:tabs>
        <w:spacing w:line="360" w:lineRule="auto"/>
        <w:jc w:val="both"/>
        <w:rPr>
          <w:rFonts w:ascii="Arial" w:hAnsi="Arial" w:cs="Arial"/>
          <w:b/>
          <w:sz w:val="24"/>
          <w:szCs w:val="24"/>
        </w:rPr>
      </w:pPr>
      <w:r w:rsidRPr="00EC20BE">
        <w:rPr>
          <w:rFonts w:ascii="Arial" w:hAnsi="Arial" w:cs="Arial"/>
          <w:b/>
          <w:sz w:val="24"/>
          <w:szCs w:val="24"/>
        </w:rPr>
        <w:t>Riva</w:t>
      </w:r>
      <w:r>
        <w:rPr>
          <w:rFonts w:ascii="Arial" w:hAnsi="Arial" w:cs="Arial"/>
          <w:b/>
          <w:sz w:val="24"/>
          <w:szCs w:val="24"/>
        </w:rPr>
        <w:t>lry Among Existing Competitors: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competition amongst the industry's current rivals is severe and complex, driven by a wide range of reasons. As the industry leader on a worldwide scale, Toyota is up against fierce competition from both established manufacturers and recent newcomers.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Toyota competes with conventional manufacturers like General Motors, Ford, and Honda on a number of levels, including cost, fuel economy, technical advancement, safety feature</w:t>
      </w:r>
      <w:r w:rsidR="00E10517">
        <w:rPr>
          <w:rFonts w:ascii="Arial" w:hAnsi="Arial" w:cs="Arial"/>
          <w:sz w:val="24"/>
          <w:szCs w:val="24"/>
        </w:rPr>
        <w:t xml:space="preserve">s, design, and customer service </w:t>
      </w:r>
      <w:r w:rsidR="00E10517" w:rsidRPr="00E10517">
        <w:rPr>
          <w:rFonts w:ascii="Arial" w:hAnsi="Arial" w:cs="Arial"/>
          <w:sz w:val="24"/>
          <w:szCs w:val="24"/>
        </w:rPr>
        <w:t>(Garner, Stead &amp; Stead, 2014)</w:t>
      </w:r>
      <w:r w:rsidR="00E10517">
        <w:rPr>
          <w:rFonts w:ascii="Arial" w:hAnsi="Arial" w:cs="Arial"/>
          <w:sz w:val="24"/>
          <w:szCs w:val="24"/>
        </w:rPr>
        <w:t>.</w:t>
      </w:r>
      <w:r w:rsidRPr="00EC20BE">
        <w:rPr>
          <w:rFonts w:ascii="Arial" w:hAnsi="Arial" w:cs="Arial"/>
          <w:sz w:val="24"/>
          <w:szCs w:val="24"/>
        </w:rPr>
        <w:t xml:space="preserve"> Each of these rivals has a solid grasp on specific market niches and offers a unique value proposition, creating a fierce competition for market share. Toyota has been able to hold its own against these rivals because to its dedication to quality, innovation, and customer happiness.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emergence of electric cars (EVs), however, is changing the market environment. EV-focused newcomers like Tesla provide a novel problem. Tesla's performance has shown that EVs are a viable future for the business and are not only a niche product. The trend toward EVs is anticipated to pick up speed as pollution standards are tightened by governments across the globe and customers grow more environmentally concerned. Toyota was a pioneer in hybrid technology, but it has to develop much more to remain competitive in the quickly expanding EV industry.</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lastRenderedPageBreak/>
        <w:t>The COVID-19 epidemic has made the competition much more difficult. Along with upsetting supply chains and lowering revenues, it has altered customer expectations and behavior</w:t>
      </w:r>
      <w:r w:rsidR="00303715" w:rsidRPr="00303715">
        <w:t xml:space="preserve"> </w:t>
      </w:r>
      <w:r w:rsidR="00303715" w:rsidRPr="00303715">
        <w:rPr>
          <w:rFonts w:ascii="Arial" w:hAnsi="Arial" w:cs="Arial"/>
          <w:sz w:val="24"/>
          <w:szCs w:val="24"/>
        </w:rPr>
        <w:t>(Liang et al., 2022)</w:t>
      </w:r>
      <w:r w:rsidRPr="00EC20BE">
        <w:rPr>
          <w:rFonts w:ascii="Arial" w:hAnsi="Arial" w:cs="Arial"/>
          <w:sz w:val="24"/>
          <w:szCs w:val="24"/>
        </w:rPr>
        <w:t>. Customers are increasingly using digital channels to buy and repair automobiles because they anticipate frictionless online transactions and more individualized care. Additionally, customers are seeking better value for their money as a result of the increased financial unpredictability. Automakers are thus revising their business plans in order to compete not just on conventional criteria but also on their capacity to adapt to these novel dynamics.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Additionally, the epidemic has caused automakers to reevaluate their social responsibility. Businesses are now competing on how well they can show social responsibility and help with the global pandemic campaign</w:t>
      </w:r>
      <w:r w:rsidR="00303715" w:rsidRPr="00303715">
        <w:t xml:space="preserve"> </w:t>
      </w:r>
      <w:r w:rsidR="00303715" w:rsidRPr="00303715">
        <w:rPr>
          <w:rFonts w:ascii="Arial" w:hAnsi="Arial" w:cs="Arial"/>
          <w:sz w:val="24"/>
          <w:szCs w:val="24"/>
        </w:rPr>
        <w:t>(</w:t>
      </w:r>
      <w:proofErr w:type="spellStart"/>
      <w:r w:rsidR="00303715" w:rsidRPr="00303715">
        <w:rPr>
          <w:rFonts w:ascii="Arial" w:hAnsi="Arial" w:cs="Arial"/>
          <w:sz w:val="24"/>
          <w:szCs w:val="24"/>
        </w:rPr>
        <w:t>Hoeft</w:t>
      </w:r>
      <w:proofErr w:type="spellEnd"/>
      <w:r w:rsidR="00303715" w:rsidRPr="00303715">
        <w:rPr>
          <w:rFonts w:ascii="Arial" w:hAnsi="Arial" w:cs="Arial"/>
          <w:sz w:val="24"/>
          <w:szCs w:val="24"/>
        </w:rPr>
        <w:t>, 2021)</w:t>
      </w:r>
      <w:r w:rsidRPr="00EC20BE">
        <w:rPr>
          <w:rFonts w:ascii="Arial" w:hAnsi="Arial" w:cs="Arial"/>
          <w:sz w:val="24"/>
          <w:szCs w:val="24"/>
        </w:rPr>
        <w:t>. For instance, manufacturers have produced ventilators and protective gear, offered consumers and workers financial help, and adopted stringent health and safety procedures in their operations.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Toyota must always develop and adapt in order to meet these challenges and changes. To maintain a competitive edge, the corporation must capitalize on its advantages, such as its strong brand recognition, worldwide presence, and technical competence. It must simultaneously resolve its flaws and exploit fresh possibilities, notably in the fields of electric vehicles and digitiz</w:t>
      </w:r>
      <w:r w:rsidR="00E10517">
        <w:rPr>
          <w:rFonts w:ascii="Arial" w:hAnsi="Arial" w:cs="Arial"/>
          <w:sz w:val="24"/>
          <w:szCs w:val="24"/>
        </w:rPr>
        <w:t xml:space="preserve">ation </w:t>
      </w:r>
      <w:r w:rsidR="00E10517" w:rsidRPr="00E10517">
        <w:rPr>
          <w:rFonts w:ascii="Arial" w:hAnsi="Arial" w:cs="Arial"/>
          <w:sz w:val="24"/>
          <w:szCs w:val="24"/>
        </w:rPr>
        <w:t xml:space="preserve"> (Grant, 2015)</w:t>
      </w:r>
      <w:r w:rsidRPr="00EC20BE">
        <w:rPr>
          <w:rFonts w:ascii="Arial" w:hAnsi="Arial" w:cs="Arial"/>
          <w:sz w:val="24"/>
          <w:szCs w:val="24"/>
        </w:rPr>
        <w:t>The epidemic has shown that adaptability, tenacity, and a commitment to providing excellent customer service are critical for success in this very competitive sector.</w:t>
      </w:r>
      <w:r w:rsidR="00E10517">
        <w:rPr>
          <w:rFonts w:ascii="Arial" w:hAnsi="Arial" w:cs="Arial"/>
          <w:sz w:val="24"/>
          <w:szCs w:val="24"/>
        </w:rPr>
        <w:t>.</w:t>
      </w:r>
    </w:p>
    <w:p w:rsid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way Toyota does business fuels the company's ongoing search for innovation and development.</w:t>
      </w:r>
    </w:p>
    <w:p w:rsidR="00BB5D08" w:rsidRPr="00EC20BE" w:rsidRDefault="00BB5D08" w:rsidP="005B650F">
      <w:pPr>
        <w:tabs>
          <w:tab w:val="left" w:pos="1830"/>
        </w:tabs>
        <w:spacing w:line="360" w:lineRule="auto"/>
        <w:jc w:val="center"/>
        <w:rPr>
          <w:rFonts w:ascii="Arial" w:hAnsi="Arial" w:cs="Arial"/>
          <w:sz w:val="24"/>
          <w:szCs w:val="24"/>
        </w:rPr>
      </w:pPr>
      <w:r>
        <w:rPr>
          <w:noProof/>
        </w:rPr>
        <w:lastRenderedPageBreak/>
        <w:drawing>
          <wp:inline distT="0" distB="0" distL="0" distR="0" wp14:anchorId="40BDB993" wp14:editId="498521EE">
            <wp:extent cx="4447580" cy="3933825"/>
            <wp:effectExtent l="0" t="0" r="0" b="0"/>
            <wp:docPr id="5" name="Picture 5"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orter's Five Forces: Definition &amp; Examples | EdrawMi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5404" cy="3949590"/>
                    </a:xfrm>
                    <a:prstGeom prst="rect">
                      <a:avLst/>
                    </a:prstGeom>
                    <a:noFill/>
                    <a:ln>
                      <a:noFill/>
                    </a:ln>
                  </pic:spPr>
                </pic:pic>
              </a:graphicData>
            </a:graphic>
          </wp:inline>
        </w:drawing>
      </w:r>
    </w:p>
    <w:p w:rsidR="005B650F" w:rsidRDefault="005B650F" w:rsidP="005B650F">
      <w:pPr>
        <w:tabs>
          <w:tab w:val="left" w:pos="1830"/>
        </w:tabs>
        <w:spacing w:line="360" w:lineRule="auto"/>
        <w:jc w:val="both"/>
        <w:rPr>
          <w:rFonts w:ascii="Arial" w:hAnsi="Arial" w:cs="Arial"/>
          <w:b/>
          <w:i/>
          <w:sz w:val="24"/>
          <w:szCs w:val="24"/>
        </w:rPr>
      </w:pPr>
    </w:p>
    <w:p w:rsidR="00BB5D08" w:rsidRPr="00303715" w:rsidRDefault="00BB5D08" w:rsidP="005B650F">
      <w:pPr>
        <w:tabs>
          <w:tab w:val="left" w:pos="1830"/>
        </w:tabs>
        <w:spacing w:line="360" w:lineRule="auto"/>
        <w:jc w:val="both"/>
        <w:rPr>
          <w:rFonts w:ascii="Arial" w:hAnsi="Arial" w:cs="Arial"/>
          <w:b/>
          <w:i/>
          <w:sz w:val="24"/>
          <w:szCs w:val="24"/>
        </w:rPr>
      </w:pPr>
      <w:r w:rsidRPr="00BB5D08">
        <w:rPr>
          <w:rFonts w:ascii="Arial" w:hAnsi="Arial" w:cs="Arial"/>
          <w:b/>
          <w:i/>
          <w:sz w:val="24"/>
          <w:szCs w:val="24"/>
        </w:rPr>
        <w:t>Porter five forces Analysis</w:t>
      </w:r>
    </w:p>
    <w:p w:rsidR="00274FA2" w:rsidRPr="00274FA2" w:rsidRDefault="00274FA2" w:rsidP="005B650F">
      <w:pPr>
        <w:tabs>
          <w:tab w:val="left" w:pos="1830"/>
        </w:tabs>
        <w:spacing w:line="360" w:lineRule="auto"/>
        <w:jc w:val="both"/>
        <w:rPr>
          <w:rFonts w:ascii="Arial" w:hAnsi="Arial" w:cs="Arial"/>
          <w:b/>
          <w:sz w:val="24"/>
          <w:szCs w:val="24"/>
          <w:u w:val="single"/>
        </w:rPr>
      </w:pPr>
      <w:r w:rsidRPr="00274FA2">
        <w:rPr>
          <w:rFonts w:ascii="Arial" w:hAnsi="Arial" w:cs="Arial"/>
          <w:b/>
          <w:sz w:val="24"/>
          <w:szCs w:val="24"/>
          <w:u w:val="single"/>
        </w:rPr>
        <w:t>Internal Analysis - VRIO:</w:t>
      </w:r>
    </w:p>
    <w:p w:rsidR="00EC20BE" w:rsidRPr="00EC20BE" w:rsidRDefault="00274FA2" w:rsidP="005B650F">
      <w:pPr>
        <w:tabs>
          <w:tab w:val="left" w:pos="1830"/>
        </w:tabs>
        <w:spacing w:line="360" w:lineRule="auto"/>
        <w:jc w:val="both"/>
        <w:rPr>
          <w:rFonts w:ascii="Arial" w:hAnsi="Arial" w:cs="Arial"/>
          <w:b/>
          <w:sz w:val="24"/>
          <w:szCs w:val="24"/>
        </w:rPr>
      </w:pPr>
      <w:r w:rsidRPr="00274FA2">
        <w:rPr>
          <w:rFonts w:ascii="Arial" w:hAnsi="Arial" w:cs="Arial"/>
          <w:b/>
          <w:bCs/>
          <w:sz w:val="24"/>
          <w:szCs w:val="24"/>
        </w:rPr>
        <w:t>Value:</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Value in the VRIO framework refers to a company's resources and talents that enable it to better satisfy customer demand, counteract risks, and seize opportunities than its rivals. Several assets and skills that Toyota Motor Corporation has stand out as be</w:t>
      </w:r>
      <w:r w:rsidR="00E10517">
        <w:rPr>
          <w:rFonts w:ascii="Arial" w:hAnsi="Arial" w:cs="Arial"/>
          <w:sz w:val="24"/>
          <w:szCs w:val="24"/>
        </w:rPr>
        <w:t>ing very significant (</w:t>
      </w:r>
      <w:proofErr w:type="spellStart"/>
      <w:r w:rsidR="00E10517">
        <w:rPr>
          <w:rFonts w:ascii="Arial" w:hAnsi="Arial" w:cs="Arial"/>
          <w:sz w:val="24"/>
          <w:szCs w:val="24"/>
        </w:rPr>
        <w:t>Cardeal</w:t>
      </w:r>
      <w:proofErr w:type="spellEnd"/>
      <w:r w:rsidR="00E10517">
        <w:rPr>
          <w:rFonts w:ascii="Arial" w:hAnsi="Arial" w:cs="Arial"/>
          <w:sz w:val="24"/>
          <w:szCs w:val="24"/>
        </w:rPr>
        <w:t xml:space="preserve"> &amp;</w:t>
      </w:r>
      <w:r w:rsidR="00E10517" w:rsidRPr="00E10517">
        <w:rPr>
          <w:rFonts w:ascii="Arial" w:hAnsi="Arial" w:cs="Arial"/>
          <w:sz w:val="24"/>
          <w:szCs w:val="24"/>
        </w:rPr>
        <w:t xml:space="preserve"> António, 2012)</w:t>
      </w:r>
      <w:r w:rsidR="00E10517">
        <w:rPr>
          <w:rFonts w:ascii="Arial" w:hAnsi="Arial" w:cs="Arial"/>
          <w:sz w:val="24"/>
          <w:szCs w:val="24"/>
        </w:rPr>
        <w:t>.</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 xml:space="preserve">The brand reputation of Toyota for quality, dependability, and safety is a very important asset. Customers' choices to purchase a car are heavily influenced by this reputation, which has been developed over many years and has attracted a devoted following of clients. Additionally, during emergencies like the pandemic, consumers seek for </w:t>
      </w:r>
      <w:r w:rsidRPr="00EC20BE">
        <w:rPr>
          <w:rFonts w:ascii="Arial" w:hAnsi="Arial" w:cs="Arial"/>
          <w:sz w:val="24"/>
          <w:szCs w:val="24"/>
        </w:rPr>
        <w:lastRenderedPageBreak/>
        <w:t>businesses they can trust. This reputation for dependability becomes even more significant.</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For the business, the "Toyota Production System" (TPS) is yet another very important resource. Toyota is able to keep its operations running at a high efficiency and cost-effectiveness because to the TPS, a pioneer in lean manufacturing and 'Just in Time' inventory management</w:t>
      </w:r>
      <w:r w:rsidR="00CA39A4">
        <w:rPr>
          <w:rFonts w:ascii="Arial" w:hAnsi="Arial" w:cs="Arial"/>
          <w:sz w:val="24"/>
          <w:szCs w:val="24"/>
        </w:rPr>
        <w:t xml:space="preserve"> </w:t>
      </w:r>
      <w:r w:rsidR="00CA39A4" w:rsidRPr="00CA39A4">
        <w:rPr>
          <w:rFonts w:ascii="Arial" w:hAnsi="Arial" w:cs="Arial"/>
          <w:sz w:val="24"/>
          <w:szCs w:val="24"/>
        </w:rPr>
        <w:t xml:space="preserve">(Bon and </w:t>
      </w:r>
      <w:proofErr w:type="spellStart"/>
      <w:r w:rsidR="00CA39A4" w:rsidRPr="00CA39A4">
        <w:rPr>
          <w:rFonts w:ascii="Arial" w:hAnsi="Arial" w:cs="Arial"/>
          <w:sz w:val="24"/>
          <w:szCs w:val="24"/>
        </w:rPr>
        <w:t>Garai</w:t>
      </w:r>
      <w:proofErr w:type="spellEnd"/>
      <w:r w:rsidR="00CA39A4" w:rsidRPr="00CA39A4">
        <w:rPr>
          <w:rFonts w:ascii="Arial" w:hAnsi="Arial" w:cs="Arial"/>
          <w:sz w:val="24"/>
          <w:szCs w:val="24"/>
        </w:rPr>
        <w:t>, n.d.)</w:t>
      </w:r>
      <w:r w:rsidRPr="00EC20BE">
        <w:rPr>
          <w:rFonts w:ascii="Arial" w:hAnsi="Arial" w:cs="Arial"/>
          <w:sz w:val="24"/>
          <w:szCs w:val="24"/>
        </w:rPr>
        <w:t>. The TPS adds to Toyota's competitive price strategy, consequently increasing its market appeal by decreasing waste and maximizing efficiency.</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 xml:space="preserve">The wide global reach of Toyota is another important benefit. The firm has significant market access because to its extensive dealership and service network across the world, which guarantees that its goods are easily accessible to clients in a variety of geographical areas. Toyota is also able to adapt quickly to regional market developments and client demands </w:t>
      </w:r>
      <w:r w:rsidR="00E10517">
        <w:rPr>
          <w:rFonts w:ascii="Arial" w:hAnsi="Arial" w:cs="Arial"/>
          <w:sz w:val="24"/>
          <w:szCs w:val="24"/>
        </w:rPr>
        <w:t xml:space="preserve">because to its global presence. </w:t>
      </w:r>
      <w:r w:rsidR="00E10517" w:rsidRPr="00E10517">
        <w:rPr>
          <w:rFonts w:ascii="Arial" w:hAnsi="Arial" w:cs="Arial"/>
          <w:sz w:val="24"/>
          <w:szCs w:val="24"/>
        </w:rPr>
        <w:t>(Grant, 2015)</w:t>
      </w:r>
      <w:r w:rsidR="00E10517">
        <w:rPr>
          <w:rFonts w:ascii="Arial" w:hAnsi="Arial" w:cs="Arial"/>
          <w:sz w:val="24"/>
          <w:szCs w:val="24"/>
        </w:rPr>
        <w:t>.</w:t>
      </w:r>
      <w:r w:rsidRPr="00EC20BE">
        <w:rPr>
          <w:rFonts w:ascii="Arial" w:hAnsi="Arial" w:cs="Arial"/>
          <w:sz w:val="24"/>
          <w:szCs w:val="24"/>
        </w:rPr>
        <w:t>The hybrid technology from Toyota is exceptional in terms of its capabilities. Toyota's expertise in hybrid technology is a vital asset that meets the growing market demand for fuel-efficient and environmentally friendly automobiles as environmental concerns and regulatory demands for emission reductions intensify. This value is reflected in the popularity of products like the Prius.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A significant value-driver is Toyota's strong research and development capability. Toyota can release new car models, increase fuel economy, improve safety features, and advance in fields like autonomous</w:t>
      </w:r>
      <w:r w:rsidR="00E10517">
        <w:rPr>
          <w:rFonts w:ascii="Arial" w:hAnsi="Arial" w:cs="Arial"/>
          <w:sz w:val="24"/>
          <w:szCs w:val="24"/>
        </w:rPr>
        <w:t xml:space="preserve"> driving via constant innovation </w:t>
      </w:r>
      <w:r w:rsidR="00E10517" w:rsidRPr="00E10517">
        <w:rPr>
          <w:rFonts w:ascii="Arial" w:hAnsi="Arial" w:cs="Arial"/>
          <w:sz w:val="24"/>
          <w:szCs w:val="24"/>
        </w:rPr>
        <w:t>(Garner, Stead &amp; Stead, 2014)</w:t>
      </w:r>
      <w:r w:rsidRPr="00EC20BE">
        <w:rPr>
          <w:rFonts w:ascii="Arial" w:hAnsi="Arial" w:cs="Arial"/>
          <w:sz w:val="24"/>
          <w:szCs w:val="24"/>
        </w:rPr>
        <w:t xml:space="preserve">. The capacity to innovate and adapt to new technologies and consumer preferences is a crucial skill that helps Toyota to maintain its competitiveness in a sector </w:t>
      </w:r>
      <w:r>
        <w:rPr>
          <w:rFonts w:ascii="Arial" w:hAnsi="Arial" w:cs="Arial"/>
          <w:sz w:val="24"/>
          <w:szCs w:val="24"/>
        </w:rPr>
        <w:t>that is continually developing.</w:t>
      </w:r>
    </w:p>
    <w:p w:rsidR="00EC20BE" w:rsidRPr="00EC20BE" w:rsidRDefault="00EC20BE" w:rsidP="005B650F">
      <w:pPr>
        <w:tabs>
          <w:tab w:val="left" w:pos="1830"/>
        </w:tabs>
        <w:spacing w:line="360" w:lineRule="auto"/>
        <w:jc w:val="both"/>
        <w:rPr>
          <w:rFonts w:ascii="Arial" w:hAnsi="Arial" w:cs="Arial"/>
          <w:b/>
          <w:sz w:val="24"/>
          <w:szCs w:val="24"/>
        </w:rPr>
      </w:pPr>
      <w:r>
        <w:rPr>
          <w:rFonts w:ascii="Arial" w:hAnsi="Arial" w:cs="Arial"/>
          <w:b/>
          <w:sz w:val="24"/>
          <w:szCs w:val="24"/>
        </w:rPr>
        <w:t>Rarity:</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In the VRIO architecture, rarity refers to resources and talents that are not widespread or shared by many rivals. Rare resources may often provide an advantage in the marketplace, and Toyota is an example of a company where this is true for a number of reasons.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lastRenderedPageBreak/>
        <w:t xml:space="preserve">Within the automobile business, Toyota's hybrid technology, in particular its ground-breaking Prius vehicle, is a unique and scarce resource. The business gained a sizable lead over most rivals by being one of the first to effectively </w:t>
      </w:r>
      <w:r w:rsidR="00E10517">
        <w:rPr>
          <w:rFonts w:ascii="Arial" w:hAnsi="Arial" w:cs="Arial"/>
          <w:sz w:val="24"/>
          <w:szCs w:val="24"/>
        </w:rPr>
        <w:t xml:space="preserve">commercialize hybrid technology </w:t>
      </w:r>
      <w:r w:rsidR="00E10517" w:rsidRPr="00E10517">
        <w:rPr>
          <w:rFonts w:ascii="Arial" w:hAnsi="Arial" w:cs="Arial"/>
          <w:sz w:val="24"/>
          <w:szCs w:val="24"/>
        </w:rPr>
        <w:t>(Hayes, 2014)</w:t>
      </w:r>
      <w:r w:rsidR="00E10517">
        <w:rPr>
          <w:rFonts w:ascii="Arial" w:hAnsi="Arial" w:cs="Arial"/>
          <w:sz w:val="24"/>
          <w:szCs w:val="24"/>
        </w:rPr>
        <w:t>.</w:t>
      </w:r>
      <w:r w:rsidRPr="00EC20BE">
        <w:rPr>
          <w:rFonts w:ascii="Arial" w:hAnsi="Arial" w:cs="Arial"/>
          <w:sz w:val="24"/>
          <w:szCs w:val="24"/>
        </w:rPr>
        <w:t xml:space="preserve"> Toyota has amassed considerable knowledge and market reputation in this field because to its early and major commitment to hybrid vehicles. Although other manufacturers have also released hybrid vehicles, Toyota's hybrid solutions continue to be a unique competitive advantage due to its maturity, dependability, and recognition.</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world-class manufacturing and distribution network that Toyota has developed is another essential and scarce resource. With production facilities spread across many nations, Toyota has been able to effectively service a variety of customers and insulate itself from local economic instability. The organization's effective "Just-In-Time" inventory management lowers expenses and lessens the requirement for warehouse space. Competitors will find it difficult to reproduce this extensive and well-organized network, which is backed by Toyota's famed manufacturing system.</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Another uncommon and distinctive feature is Toyota's corporate culture, which is based on ideas like "Kaizen" (continuous improvement), "</w:t>
      </w:r>
      <w:proofErr w:type="spellStart"/>
      <w:r w:rsidRPr="00EC20BE">
        <w:rPr>
          <w:rFonts w:ascii="Arial" w:hAnsi="Arial" w:cs="Arial"/>
          <w:sz w:val="24"/>
          <w:szCs w:val="24"/>
        </w:rPr>
        <w:t>Genchi</w:t>
      </w:r>
      <w:proofErr w:type="spellEnd"/>
      <w:r w:rsidRPr="00EC20BE">
        <w:rPr>
          <w:rFonts w:ascii="Arial" w:hAnsi="Arial" w:cs="Arial"/>
          <w:sz w:val="24"/>
          <w:szCs w:val="24"/>
        </w:rPr>
        <w:t xml:space="preserve"> </w:t>
      </w:r>
      <w:proofErr w:type="spellStart"/>
      <w:r w:rsidRPr="00EC20BE">
        <w:rPr>
          <w:rFonts w:ascii="Arial" w:hAnsi="Arial" w:cs="Arial"/>
          <w:sz w:val="24"/>
          <w:szCs w:val="24"/>
        </w:rPr>
        <w:t>Genbutsu</w:t>
      </w:r>
      <w:proofErr w:type="spellEnd"/>
      <w:r w:rsidRPr="00EC20BE">
        <w:rPr>
          <w:rFonts w:ascii="Arial" w:hAnsi="Arial" w:cs="Arial"/>
          <w:sz w:val="24"/>
          <w:szCs w:val="24"/>
        </w:rPr>
        <w:t xml:space="preserve">" (go see for yourself), and "Respect for People". This culture has an impact on every facet of Toyota's business and fuels the organization's ongoing search </w:t>
      </w:r>
      <w:r>
        <w:rPr>
          <w:rFonts w:ascii="Arial" w:hAnsi="Arial" w:cs="Arial"/>
          <w:sz w:val="24"/>
          <w:szCs w:val="24"/>
        </w:rPr>
        <w:t>for innovation and advancement.</w:t>
      </w:r>
    </w:p>
    <w:p w:rsidR="00EC20BE" w:rsidRPr="00EC20BE" w:rsidRDefault="00EC20BE" w:rsidP="005B650F">
      <w:pPr>
        <w:tabs>
          <w:tab w:val="left" w:pos="1830"/>
        </w:tabs>
        <w:spacing w:line="360" w:lineRule="auto"/>
        <w:jc w:val="both"/>
        <w:rPr>
          <w:rFonts w:ascii="Arial" w:hAnsi="Arial" w:cs="Arial"/>
          <w:b/>
          <w:sz w:val="24"/>
          <w:szCs w:val="24"/>
        </w:rPr>
      </w:pPr>
      <w:r>
        <w:rPr>
          <w:rFonts w:ascii="Arial" w:hAnsi="Arial" w:cs="Arial"/>
          <w:b/>
          <w:sz w:val="24"/>
          <w:szCs w:val="24"/>
        </w:rPr>
        <w:t>Imitability:</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In the context of the VRIO paradigm, imitability measures the extent to which other businesses may duplicate a firm's assets and competencies. The potential for long-term competitive advantage increases with how hard it is to replicate these.</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 xml:space="preserve">The 'Toyota manufacturing System' (TPS), renowned for the effectiveness of its 'Lean Manufacturing' and 'Just-In-Time' manufacturing, is one of Toyota's most appreciated assets. While rivals may research these concepts, it is difficult to replicate TPS exactly. This challenge results from the system's tight integration with Toyota's corporate culture, operational practices, and staff development strategies. The system's </w:t>
      </w:r>
      <w:r w:rsidRPr="00EC20BE">
        <w:rPr>
          <w:rFonts w:ascii="Arial" w:hAnsi="Arial" w:cs="Arial"/>
          <w:sz w:val="24"/>
          <w:szCs w:val="24"/>
        </w:rPr>
        <w:lastRenderedPageBreak/>
        <w:t>combination of physical and ethereal features is unique and difficult to replicate thanks to these inherent components. The TPS is a company-wide mindset that contributes to the company's cost effectiveness, high-quality goods, and general customer happiness. It is more than simply a set of operating procedures</w:t>
      </w:r>
      <w:r w:rsidR="00CA39A4" w:rsidRPr="00CA39A4">
        <w:t xml:space="preserve"> </w:t>
      </w:r>
      <w:r w:rsidR="00CA39A4" w:rsidRPr="00CA39A4">
        <w:rPr>
          <w:rFonts w:ascii="Arial" w:hAnsi="Arial" w:cs="Arial"/>
          <w:sz w:val="24"/>
          <w:szCs w:val="24"/>
        </w:rPr>
        <w:t>(Hong and Kim, 2020)</w:t>
      </w:r>
      <w:r w:rsidRPr="00EC20BE">
        <w:rPr>
          <w:rFonts w:ascii="Arial" w:hAnsi="Arial" w:cs="Arial"/>
          <w:sz w:val="24"/>
          <w:szCs w:val="24"/>
        </w:rPr>
        <w:t>.</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 xml:space="preserve">Toyota's hybrid technology is yet another tool that makes the corporation </w:t>
      </w:r>
      <w:proofErr w:type="gramStart"/>
      <w:r w:rsidRPr="00EC20BE">
        <w:rPr>
          <w:rFonts w:ascii="Arial" w:hAnsi="Arial" w:cs="Arial"/>
          <w:sz w:val="24"/>
          <w:szCs w:val="24"/>
        </w:rPr>
        <w:t>more copycat-friendly</w:t>
      </w:r>
      <w:proofErr w:type="gramEnd"/>
      <w:r w:rsidRPr="00EC20BE">
        <w:rPr>
          <w:rFonts w:ascii="Arial" w:hAnsi="Arial" w:cs="Arial"/>
          <w:sz w:val="24"/>
          <w:szCs w:val="24"/>
        </w:rPr>
        <w:t>. The technology has been intricately developed over many years of significant R&amp;D expenditure and experience</w:t>
      </w:r>
      <w:r w:rsidR="00CA39A4" w:rsidRPr="00CA39A4">
        <w:rPr>
          <w:rFonts w:ascii="Arial" w:hAnsi="Arial" w:cs="Arial"/>
          <w:sz w:val="24"/>
          <w:szCs w:val="24"/>
        </w:rPr>
        <w:t xml:space="preserve"> (Lu, Xia and You, 2022)</w:t>
      </w:r>
      <w:r w:rsidRPr="00EC20BE">
        <w:rPr>
          <w:rFonts w:ascii="Arial" w:hAnsi="Arial" w:cs="Arial"/>
          <w:sz w:val="24"/>
          <w:szCs w:val="24"/>
        </w:rPr>
        <w:t>. Although not wholly unique, the time, money, and expertise needed to create a comparable technique serves as a barrier for rivals. Toyota has a particular competitive edge over rivals that is hard for rivals to exactly reproduce due to its pioneering position in the hybrid industry, as seen by the popularity of the Prius model.</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Toyota must continually develop and safeguard its technology via patents and trade secrets to deter imitation in a time of fast technological progress. Despite these safeguards, it is essential for Toyota to foresee the industry's shift toward complete electrification. Although Toyota has a competitive advantage in hybrid technology, its advantage of imitability is being threatened by rival</w:t>
      </w:r>
      <w:r>
        <w:rPr>
          <w:rFonts w:ascii="Arial" w:hAnsi="Arial" w:cs="Arial"/>
          <w:sz w:val="24"/>
          <w:szCs w:val="24"/>
        </w:rPr>
        <w:t>s' move to electric cars (EVs)</w:t>
      </w:r>
      <w:r w:rsidR="00EE6A12" w:rsidRPr="00EE6A12">
        <w:t xml:space="preserve"> </w:t>
      </w:r>
      <w:r w:rsidR="00EE6A12" w:rsidRPr="00EE6A12">
        <w:rPr>
          <w:rFonts w:ascii="Arial" w:hAnsi="Arial" w:cs="Arial"/>
          <w:sz w:val="24"/>
          <w:szCs w:val="24"/>
        </w:rPr>
        <w:t>(Lee, 2022)</w:t>
      </w:r>
      <w:r>
        <w:rPr>
          <w:rFonts w:ascii="Arial" w:hAnsi="Arial" w:cs="Arial"/>
          <w:sz w:val="24"/>
          <w:szCs w:val="24"/>
        </w:rPr>
        <w:t>.</w:t>
      </w:r>
    </w:p>
    <w:p w:rsidR="00EC20BE" w:rsidRPr="00EC20BE" w:rsidRDefault="00EC20BE" w:rsidP="005B650F">
      <w:pPr>
        <w:tabs>
          <w:tab w:val="left" w:pos="1830"/>
        </w:tabs>
        <w:spacing w:line="360" w:lineRule="auto"/>
        <w:jc w:val="both"/>
        <w:rPr>
          <w:rFonts w:ascii="Arial" w:hAnsi="Arial" w:cs="Arial"/>
          <w:b/>
          <w:sz w:val="24"/>
          <w:szCs w:val="24"/>
        </w:rPr>
      </w:pPr>
      <w:r>
        <w:rPr>
          <w:rFonts w:ascii="Arial" w:hAnsi="Arial" w:cs="Arial"/>
          <w:b/>
          <w:sz w:val="24"/>
          <w:szCs w:val="24"/>
        </w:rPr>
        <w:t>Organization:</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In the context of the VRIO concept, organization refers to the firm's capacity and preparedness to effectively organize and harness its priceless, uncommon, and challenging to mimic resources and capabilities.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The effective organizational design and robust corporate culture of Toyota Motor Corporation, both of which are essential to its strategic resource utilization, have earned it recognition on a worldwide scale</w:t>
      </w:r>
      <w:r w:rsidR="00CA39A4" w:rsidRPr="00CA39A4">
        <w:t xml:space="preserve"> </w:t>
      </w:r>
      <w:r w:rsidR="00CA39A4" w:rsidRPr="00CA39A4">
        <w:rPr>
          <w:rFonts w:ascii="Arial" w:hAnsi="Arial" w:cs="Arial"/>
          <w:sz w:val="24"/>
          <w:szCs w:val="24"/>
        </w:rPr>
        <w:t xml:space="preserve">(Amah and </w:t>
      </w:r>
      <w:proofErr w:type="spellStart"/>
      <w:r w:rsidR="00CA39A4" w:rsidRPr="00CA39A4">
        <w:rPr>
          <w:rFonts w:ascii="Arial" w:hAnsi="Arial" w:cs="Arial"/>
          <w:sz w:val="24"/>
          <w:szCs w:val="24"/>
        </w:rPr>
        <w:t>Nwuche</w:t>
      </w:r>
      <w:proofErr w:type="spellEnd"/>
      <w:r w:rsidR="00CA39A4" w:rsidRPr="00CA39A4">
        <w:rPr>
          <w:rFonts w:ascii="Arial" w:hAnsi="Arial" w:cs="Arial"/>
          <w:sz w:val="24"/>
          <w:szCs w:val="24"/>
        </w:rPr>
        <w:t>, 2013)</w:t>
      </w:r>
      <w:r w:rsidRPr="00EC20BE">
        <w:rPr>
          <w:rFonts w:ascii="Arial" w:hAnsi="Arial" w:cs="Arial"/>
          <w:sz w:val="24"/>
          <w:szCs w:val="24"/>
        </w:rPr>
        <w:t>. In the cutthroat automotive industry, a company's organizational structure must be built to maximize operations, spur growth, and retain a strong worldwide presence.</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 xml:space="preserve">Toyota's corporate culture, which is firmly based on the ideals of "Kaizen" (continuous improvement) and "Respect for People," greatly strengthens its organizational capacity. </w:t>
      </w:r>
      <w:r w:rsidRPr="00EC20BE">
        <w:rPr>
          <w:rFonts w:ascii="Arial" w:hAnsi="Arial" w:cs="Arial"/>
          <w:sz w:val="24"/>
          <w:szCs w:val="24"/>
        </w:rPr>
        <w:lastRenderedPageBreak/>
        <w:t>'Kaizen' encourages an atmosphere of continuous learning and innovation, while 'Respect for People' cultivates a happy and engaged staff. These ideas work together to create a culture that prioritizes effectiveness, quality, and client happiness. This increases Toyota's competitive edge by enabling efficient use of its resources and skills.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In organizing and managing its resources, Toyota's strategic emphasis on innovation, customer happiness, and sustai</w:t>
      </w:r>
      <w:r w:rsidR="00E10517">
        <w:rPr>
          <w:rFonts w:ascii="Arial" w:hAnsi="Arial" w:cs="Arial"/>
          <w:sz w:val="24"/>
          <w:szCs w:val="24"/>
        </w:rPr>
        <w:t xml:space="preserve">nability is also very important </w:t>
      </w:r>
      <w:r w:rsidR="00E10517" w:rsidRPr="00E10517">
        <w:rPr>
          <w:rFonts w:ascii="Arial" w:hAnsi="Arial" w:cs="Arial"/>
          <w:sz w:val="24"/>
          <w:szCs w:val="24"/>
        </w:rPr>
        <w:t>(Hayes, 2014)</w:t>
      </w:r>
      <w:r w:rsidRPr="00EC20BE">
        <w:rPr>
          <w:rFonts w:ascii="Arial" w:hAnsi="Arial" w:cs="Arial"/>
          <w:sz w:val="24"/>
          <w:szCs w:val="24"/>
        </w:rPr>
        <w:t xml:space="preserve"> The corporation has a significant competitive advantage because to constant R&amp;D expenditures that have produced technical improvements. Toyota has been able to adapt to changing consumer needs and preferences thanks in large part to this and a dedication to client satisfaction.</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Given the worldwide trend towards environmentally friendly technology, sustainability has become a strategic goal for Toyota</w:t>
      </w:r>
      <w:r w:rsidR="00CA39A4" w:rsidRPr="00CA39A4">
        <w:t xml:space="preserve"> </w:t>
      </w:r>
      <w:r w:rsidR="00CA39A4" w:rsidRPr="00CA39A4">
        <w:rPr>
          <w:rFonts w:ascii="Arial" w:hAnsi="Arial" w:cs="Arial"/>
          <w:sz w:val="24"/>
          <w:szCs w:val="24"/>
        </w:rPr>
        <w:t>(</w:t>
      </w:r>
      <w:proofErr w:type="spellStart"/>
      <w:r w:rsidR="00CA39A4" w:rsidRPr="00CA39A4">
        <w:rPr>
          <w:rFonts w:ascii="Arial" w:hAnsi="Arial" w:cs="Arial"/>
          <w:sz w:val="24"/>
          <w:szCs w:val="24"/>
        </w:rPr>
        <w:t>Simão</w:t>
      </w:r>
      <w:proofErr w:type="spellEnd"/>
      <w:r w:rsidR="00CA39A4" w:rsidRPr="00CA39A4">
        <w:rPr>
          <w:rFonts w:ascii="Arial" w:hAnsi="Arial" w:cs="Arial"/>
          <w:sz w:val="24"/>
          <w:szCs w:val="24"/>
        </w:rPr>
        <w:t xml:space="preserve"> and </w:t>
      </w:r>
      <w:proofErr w:type="spellStart"/>
      <w:r w:rsidR="00CA39A4" w:rsidRPr="00CA39A4">
        <w:rPr>
          <w:rFonts w:ascii="Arial" w:hAnsi="Arial" w:cs="Arial"/>
          <w:sz w:val="24"/>
          <w:szCs w:val="24"/>
        </w:rPr>
        <w:t>Lisboa</w:t>
      </w:r>
      <w:proofErr w:type="spellEnd"/>
      <w:r w:rsidR="00CA39A4" w:rsidRPr="00CA39A4">
        <w:rPr>
          <w:rFonts w:ascii="Arial" w:hAnsi="Arial" w:cs="Arial"/>
          <w:sz w:val="24"/>
          <w:szCs w:val="24"/>
        </w:rPr>
        <w:t>, 2017)</w:t>
      </w:r>
      <w:r w:rsidRPr="00EC20BE">
        <w:rPr>
          <w:rFonts w:ascii="Arial" w:hAnsi="Arial" w:cs="Arial"/>
          <w:sz w:val="24"/>
          <w:szCs w:val="24"/>
        </w:rPr>
        <w:t>. Under the "Toyota Environmental Challenge 2050," the business has set high environmental goals while using its experience in hybrid technology. This strategic emphasis not only helps the firm better organize and use its current resources, but also positions the business favorably for future market changes.</w:t>
      </w:r>
    </w:p>
    <w:p w:rsidR="00EC20BE" w:rsidRP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Toyota must constantly evaluate and restructure its organization, nevertheless, in light of shifting market circumstances and shifting consumer expectations</w:t>
      </w:r>
      <w:r w:rsidR="00CA39A4" w:rsidRPr="00CA39A4">
        <w:t xml:space="preserve"> </w:t>
      </w:r>
      <w:r w:rsidR="00CA39A4" w:rsidRPr="00CA39A4">
        <w:rPr>
          <w:rFonts w:ascii="Arial" w:hAnsi="Arial" w:cs="Arial"/>
          <w:sz w:val="24"/>
          <w:szCs w:val="24"/>
        </w:rPr>
        <w:t>(Gregory, 2018)</w:t>
      </w:r>
      <w:r w:rsidRPr="00EC20BE">
        <w:rPr>
          <w:rFonts w:ascii="Arial" w:hAnsi="Arial" w:cs="Arial"/>
          <w:sz w:val="24"/>
          <w:szCs w:val="24"/>
        </w:rPr>
        <w:t>. The pandemic has highlighted the need for supply chain operations to be agile, digitally transformed, and resilient, which Toyota has to include in its organizational strategy.</w:t>
      </w:r>
    </w:p>
    <w:p w:rsidR="00EC20BE" w:rsidRDefault="00EC20BE" w:rsidP="005B650F">
      <w:pPr>
        <w:tabs>
          <w:tab w:val="left" w:pos="1830"/>
        </w:tabs>
        <w:spacing w:line="360" w:lineRule="auto"/>
        <w:jc w:val="both"/>
        <w:rPr>
          <w:rFonts w:ascii="Arial" w:hAnsi="Arial" w:cs="Arial"/>
          <w:sz w:val="24"/>
          <w:szCs w:val="24"/>
        </w:rPr>
      </w:pPr>
      <w:r w:rsidRPr="00EC20BE">
        <w:rPr>
          <w:rFonts w:ascii="Arial" w:hAnsi="Arial" w:cs="Arial"/>
          <w:sz w:val="24"/>
          <w:szCs w:val="24"/>
        </w:rPr>
        <w:t>ensuring seamless connection between the online and physical customer experiences, and car delivery. To change to a digital-first strategy, corporate culture and sales tactics must also change.</w:t>
      </w:r>
    </w:p>
    <w:p w:rsidR="006E08F4" w:rsidRDefault="006E08F4" w:rsidP="005B650F">
      <w:pPr>
        <w:pStyle w:val="Heading2"/>
        <w:spacing w:line="360" w:lineRule="auto"/>
        <w:jc w:val="both"/>
        <w:rPr>
          <w:rFonts w:ascii="Arial" w:hAnsi="Arial" w:cs="Arial"/>
        </w:rPr>
      </w:pPr>
      <w:bookmarkStart w:id="4" w:name="_Toc140887168"/>
      <w:r w:rsidRPr="006E08F4">
        <w:rPr>
          <w:rFonts w:ascii="Arial" w:hAnsi="Arial" w:cs="Arial"/>
        </w:rPr>
        <w:t>Evaluation of Strategic Options</w:t>
      </w:r>
      <w:bookmarkEnd w:id="4"/>
      <w:r w:rsidRPr="006E08F4">
        <w:rPr>
          <w:rFonts w:ascii="Arial" w:hAnsi="Arial" w:cs="Arial"/>
        </w:rPr>
        <w:t> </w:t>
      </w:r>
    </w:p>
    <w:p w:rsidR="006E08F4" w:rsidRPr="006E08F4" w:rsidRDefault="006E08F4" w:rsidP="005B650F">
      <w:pPr>
        <w:spacing w:line="360" w:lineRule="auto"/>
        <w:jc w:val="both"/>
      </w:pPr>
    </w:p>
    <w:p w:rsidR="006E08F4" w:rsidRPr="006E08F4" w:rsidRDefault="006E08F4" w:rsidP="005B650F">
      <w:pPr>
        <w:tabs>
          <w:tab w:val="left" w:pos="1830"/>
        </w:tabs>
        <w:spacing w:line="360" w:lineRule="auto"/>
        <w:jc w:val="both"/>
        <w:rPr>
          <w:rFonts w:ascii="Arial" w:hAnsi="Arial" w:cs="Arial"/>
          <w:b/>
          <w:sz w:val="24"/>
          <w:szCs w:val="24"/>
        </w:rPr>
      </w:pPr>
      <w:r>
        <w:rPr>
          <w:rFonts w:ascii="Arial" w:hAnsi="Arial" w:cs="Arial"/>
          <w:b/>
          <w:sz w:val="24"/>
          <w:szCs w:val="24"/>
        </w:rPr>
        <w:t>Hyper-personalization</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Utilizing client data, the hyper-personalization technique creates a personalized experience for each consumer</w:t>
      </w:r>
      <w:r w:rsidR="00CA39A4" w:rsidRPr="00CA39A4">
        <w:t xml:space="preserve"> </w:t>
      </w:r>
      <w:r w:rsidR="00CA39A4" w:rsidRPr="00CA39A4">
        <w:rPr>
          <w:rFonts w:ascii="Arial" w:hAnsi="Arial" w:cs="Arial"/>
          <w:sz w:val="24"/>
          <w:szCs w:val="24"/>
        </w:rPr>
        <w:t>(</w:t>
      </w:r>
      <w:proofErr w:type="spellStart"/>
      <w:r w:rsidR="00CA39A4" w:rsidRPr="00CA39A4">
        <w:rPr>
          <w:rFonts w:ascii="Arial" w:hAnsi="Arial" w:cs="Arial"/>
          <w:sz w:val="24"/>
          <w:szCs w:val="24"/>
        </w:rPr>
        <w:t>Yıldız</w:t>
      </w:r>
      <w:proofErr w:type="spellEnd"/>
      <w:r w:rsidR="00CA39A4" w:rsidRPr="00CA39A4">
        <w:rPr>
          <w:rFonts w:ascii="Arial" w:hAnsi="Arial" w:cs="Arial"/>
          <w:sz w:val="24"/>
          <w:szCs w:val="24"/>
        </w:rPr>
        <w:t xml:space="preserve">, </w:t>
      </w:r>
      <w:proofErr w:type="spellStart"/>
      <w:r w:rsidR="00CA39A4" w:rsidRPr="00CA39A4">
        <w:rPr>
          <w:rFonts w:ascii="Arial" w:hAnsi="Arial" w:cs="Arial"/>
          <w:sz w:val="24"/>
          <w:szCs w:val="24"/>
        </w:rPr>
        <w:t>Güngör</w:t>
      </w:r>
      <w:proofErr w:type="spellEnd"/>
      <w:r w:rsidR="00CA39A4" w:rsidRPr="00CA39A4">
        <w:rPr>
          <w:rFonts w:ascii="Arial" w:hAnsi="Arial" w:cs="Arial"/>
          <w:sz w:val="24"/>
          <w:szCs w:val="24"/>
        </w:rPr>
        <w:t xml:space="preserve"> </w:t>
      </w:r>
      <w:proofErr w:type="spellStart"/>
      <w:r w:rsidR="00CA39A4" w:rsidRPr="00CA39A4">
        <w:rPr>
          <w:rFonts w:ascii="Arial" w:hAnsi="Arial" w:cs="Arial"/>
          <w:sz w:val="24"/>
          <w:szCs w:val="24"/>
        </w:rPr>
        <w:t>Şen</w:t>
      </w:r>
      <w:proofErr w:type="spellEnd"/>
      <w:r w:rsidR="00CA39A4" w:rsidRPr="00CA39A4">
        <w:rPr>
          <w:rFonts w:ascii="Arial" w:hAnsi="Arial" w:cs="Arial"/>
          <w:sz w:val="24"/>
          <w:szCs w:val="24"/>
        </w:rPr>
        <w:t xml:space="preserve"> and </w:t>
      </w:r>
      <w:proofErr w:type="spellStart"/>
      <w:r w:rsidR="00CA39A4" w:rsidRPr="00CA39A4">
        <w:rPr>
          <w:rFonts w:ascii="Arial" w:hAnsi="Arial" w:cs="Arial"/>
          <w:sz w:val="24"/>
          <w:szCs w:val="24"/>
        </w:rPr>
        <w:t>Işık</w:t>
      </w:r>
      <w:proofErr w:type="spellEnd"/>
      <w:r w:rsidR="00CA39A4" w:rsidRPr="00CA39A4">
        <w:rPr>
          <w:rFonts w:ascii="Arial" w:hAnsi="Arial" w:cs="Arial"/>
          <w:sz w:val="24"/>
          <w:szCs w:val="24"/>
        </w:rPr>
        <w:t>, 2023)</w:t>
      </w:r>
      <w:r w:rsidRPr="006E08F4">
        <w:rPr>
          <w:rFonts w:ascii="Arial" w:hAnsi="Arial" w:cs="Arial"/>
          <w:sz w:val="24"/>
          <w:szCs w:val="24"/>
        </w:rPr>
        <w:t xml:space="preserve">. In the current </w:t>
      </w:r>
      <w:r w:rsidRPr="006E08F4">
        <w:rPr>
          <w:rFonts w:ascii="Arial" w:hAnsi="Arial" w:cs="Arial"/>
          <w:sz w:val="24"/>
          <w:szCs w:val="24"/>
        </w:rPr>
        <w:lastRenderedPageBreak/>
        <w:t>market, where consumers increasingly seek individualized interactions and experiences, this technique is especially pertinent. By using this technique, Toyota would be able to better understand the requirements, preferences, and habits of each individual client and then use this knowle</w:t>
      </w:r>
      <w:r w:rsidR="00E10517">
        <w:rPr>
          <w:rFonts w:ascii="Arial" w:hAnsi="Arial" w:cs="Arial"/>
          <w:sz w:val="24"/>
          <w:szCs w:val="24"/>
        </w:rPr>
        <w:t xml:space="preserve">dge to improve customer service </w:t>
      </w:r>
      <w:r w:rsidR="00E10517" w:rsidRPr="00E10517">
        <w:rPr>
          <w:rFonts w:ascii="Arial" w:hAnsi="Arial" w:cs="Arial"/>
          <w:sz w:val="24"/>
          <w:szCs w:val="24"/>
        </w:rPr>
        <w:t xml:space="preserve"> (Johnson et al., 2017)</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Through a variety of touchpoints, hyper-personalization might be implemented. By customizing website content, product suggestions, and communications to each person's unique interests and background, Toyota may provide a customized web experience online. A returning user of the website, for instance, may be welcomed by name, shown cars that match their prior browsing activity, and given deals that fit</w:t>
      </w:r>
      <w:r w:rsidR="00E10517">
        <w:rPr>
          <w:rFonts w:ascii="Arial" w:hAnsi="Arial" w:cs="Arial"/>
          <w:sz w:val="24"/>
          <w:szCs w:val="24"/>
        </w:rPr>
        <w:t xml:space="preserve"> their particular requirements </w:t>
      </w:r>
      <w:r w:rsidR="00E10517" w:rsidRPr="00E10517">
        <w:rPr>
          <w:rFonts w:ascii="Arial" w:hAnsi="Arial" w:cs="Arial"/>
          <w:sz w:val="24"/>
          <w:szCs w:val="24"/>
        </w:rPr>
        <w:t>(Johnson et al., 2017)</w:t>
      </w:r>
      <w:r w:rsidR="00E10517">
        <w:rPr>
          <w:rFonts w:ascii="Arial" w:hAnsi="Arial" w:cs="Arial"/>
          <w:sz w:val="24"/>
          <w:szCs w:val="24"/>
        </w:rPr>
        <w:t>.</w:t>
      </w:r>
      <w:r w:rsidRPr="006E08F4">
        <w:rPr>
          <w:rFonts w:ascii="Arial" w:hAnsi="Arial" w:cs="Arial"/>
          <w:sz w:val="24"/>
          <w:szCs w:val="24"/>
        </w:rPr>
        <w:t xml:space="preserve"> Such a tailored online experience may boost user interest, raise conversion rates, and eventually boost revenue.</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Hyper-personalization may also be advantageous for physical dealerships. Giving salespeople access to data-driven consumer insights may lead to more individualized customer care and more effective sales process. For instance, a salesperson may adjust their approach and save time if they are aware of the customer's chosen car type, spending limit, and previous purchases.</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Hyper-personalization may improve the post-purchase experience in addition to the sales process</w:t>
      </w:r>
      <w:r w:rsidR="00CA39A4" w:rsidRPr="00CA39A4">
        <w:rPr>
          <w:rFonts w:ascii="Arial" w:hAnsi="Arial" w:cs="Arial"/>
          <w:sz w:val="24"/>
          <w:szCs w:val="24"/>
        </w:rPr>
        <w:t xml:space="preserve"> (Valdez </w:t>
      </w:r>
      <w:proofErr w:type="spellStart"/>
      <w:r w:rsidR="00CA39A4" w:rsidRPr="00CA39A4">
        <w:rPr>
          <w:rFonts w:ascii="Arial" w:hAnsi="Arial" w:cs="Arial"/>
          <w:sz w:val="24"/>
          <w:szCs w:val="24"/>
        </w:rPr>
        <w:t>Mendia</w:t>
      </w:r>
      <w:proofErr w:type="spellEnd"/>
      <w:r w:rsidR="00CA39A4" w:rsidRPr="00CA39A4">
        <w:rPr>
          <w:rFonts w:ascii="Arial" w:hAnsi="Arial" w:cs="Arial"/>
          <w:sz w:val="24"/>
          <w:szCs w:val="24"/>
        </w:rPr>
        <w:t xml:space="preserve"> and Flores-</w:t>
      </w:r>
      <w:proofErr w:type="spellStart"/>
      <w:r w:rsidR="00CA39A4" w:rsidRPr="00CA39A4">
        <w:rPr>
          <w:rFonts w:ascii="Arial" w:hAnsi="Arial" w:cs="Arial"/>
          <w:sz w:val="24"/>
          <w:szCs w:val="24"/>
        </w:rPr>
        <w:t>Cuautle</w:t>
      </w:r>
      <w:proofErr w:type="spellEnd"/>
      <w:r w:rsidR="00CA39A4" w:rsidRPr="00CA39A4">
        <w:rPr>
          <w:rFonts w:ascii="Arial" w:hAnsi="Arial" w:cs="Arial"/>
          <w:sz w:val="24"/>
          <w:szCs w:val="24"/>
        </w:rPr>
        <w:t>, 2022)</w:t>
      </w:r>
      <w:r w:rsidRPr="006E08F4">
        <w:rPr>
          <w:rFonts w:ascii="Arial" w:hAnsi="Arial" w:cs="Arial"/>
          <w:sz w:val="24"/>
          <w:szCs w:val="24"/>
        </w:rPr>
        <w:t>. Based on the kind, use, and prior maintenance records of a customer's car, Toyota might apply predictive analytics to forecast their need for vehicle maintenance or repairs. By anticipating their requirements, Toyota might then send tailored offers or reminders for servicing appointments, increasing customer happiness and loyalty.</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Despite the clear promise of hyper-personalization, there are difficulties in its execution. It necessitates a large investment in personnel and technology for data analytics skills. Furthermore, there is a lot of responsibility involved in gathering and using client data. To protect consumer privacy and data security, Toyota has to have strong data management procedures</w:t>
      </w:r>
      <w:r w:rsidR="00CA39A4" w:rsidRPr="00CA39A4">
        <w:t xml:space="preserve"> </w:t>
      </w:r>
      <w:r w:rsidR="00CA39A4" w:rsidRPr="00CA39A4">
        <w:rPr>
          <w:rFonts w:ascii="Arial" w:hAnsi="Arial" w:cs="Arial"/>
          <w:sz w:val="24"/>
          <w:szCs w:val="24"/>
        </w:rPr>
        <w:t xml:space="preserve">(Liu, </w:t>
      </w:r>
      <w:proofErr w:type="spellStart"/>
      <w:r w:rsidR="00CA39A4" w:rsidRPr="00CA39A4">
        <w:rPr>
          <w:rFonts w:ascii="Arial" w:hAnsi="Arial" w:cs="Arial"/>
          <w:sz w:val="24"/>
          <w:szCs w:val="24"/>
        </w:rPr>
        <w:t>Nikitas</w:t>
      </w:r>
      <w:proofErr w:type="spellEnd"/>
      <w:r w:rsidR="00CA39A4" w:rsidRPr="00CA39A4">
        <w:rPr>
          <w:rFonts w:ascii="Arial" w:hAnsi="Arial" w:cs="Arial"/>
          <w:sz w:val="24"/>
          <w:szCs w:val="24"/>
        </w:rPr>
        <w:t xml:space="preserve"> and Parkinson, 2020)</w:t>
      </w:r>
      <w:r w:rsidRPr="006E08F4">
        <w:rPr>
          <w:rFonts w:ascii="Arial" w:hAnsi="Arial" w:cs="Arial"/>
          <w:sz w:val="24"/>
          <w:szCs w:val="24"/>
        </w:rPr>
        <w:t xml:space="preserve">. Failure to do so might lead to loss of consumer confidence and reputational harm. Toyota must thus continue to </w:t>
      </w:r>
      <w:r w:rsidRPr="006E08F4">
        <w:rPr>
          <w:rFonts w:ascii="Arial" w:hAnsi="Arial" w:cs="Arial"/>
          <w:sz w:val="24"/>
          <w:szCs w:val="24"/>
        </w:rPr>
        <w:lastRenderedPageBreak/>
        <w:t>pursue hyper-personalization while simultaneously making investments in data security and privacy safeguards and keeping consumers informed about how their data is used.</w:t>
      </w:r>
    </w:p>
    <w:p w:rsidR="006E08F4" w:rsidRPr="006E08F4" w:rsidRDefault="006E08F4" w:rsidP="005B650F">
      <w:pPr>
        <w:tabs>
          <w:tab w:val="left" w:pos="1830"/>
        </w:tabs>
        <w:spacing w:line="360" w:lineRule="auto"/>
        <w:jc w:val="both"/>
        <w:rPr>
          <w:rFonts w:ascii="Arial" w:hAnsi="Arial" w:cs="Arial"/>
          <w:b/>
          <w:sz w:val="24"/>
          <w:szCs w:val="24"/>
        </w:rPr>
      </w:pPr>
      <w:r>
        <w:rPr>
          <w:rFonts w:ascii="Arial" w:hAnsi="Arial" w:cs="Arial"/>
          <w:b/>
          <w:sz w:val="24"/>
          <w:szCs w:val="24"/>
        </w:rPr>
        <w:t>Technology Integration</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Toyota has a tremendous and revolutionary chance to rethink its customer experience and differentiate itself from rivals via the integration of technology in customer service</w:t>
      </w:r>
      <w:r w:rsidR="00CA39A4" w:rsidRPr="00CA39A4">
        <w:t xml:space="preserve"> </w:t>
      </w:r>
      <w:r w:rsidR="00CA39A4" w:rsidRPr="00CA39A4">
        <w:rPr>
          <w:rFonts w:ascii="Arial" w:hAnsi="Arial" w:cs="Arial"/>
          <w:sz w:val="24"/>
          <w:szCs w:val="24"/>
        </w:rPr>
        <w:t xml:space="preserve">(Abdelkader, </w:t>
      </w:r>
      <w:proofErr w:type="spellStart"/>
      <w:r w:rsidR="00CA39A4" w:rsidRPr="00CA39A4">
        <w:rPr>
          <w:rFonts w:ascii="Arial" w:hAnsi="Arial" w:cs="Arial"/>
          <w:sz w:val="24"/>
          <w:szCs w:val="24"/>
        </w:rPr>
        <w:t>Elgazzar</w:t>
      </w:r>
      <w:proofErr w:type="spellEnd"/>
      <w:r w:rsidR="00CA39A4" w:rsidRPr="00CA39A4">
        <w:rPr>
          <w:rFonts w:ascii="Arial" w:hAnsi="Arial" w:cs="Arial"/>
          <w:sz w:val="24"/>
          <w:szCs w:val="24"/>
        </w:rPr>
        <w:t xml:space="preserve"> and Khamis, 2021)</w:t>
      </w:r>
      <w:r w:rsidRPr="006E08F4">
        <w:rPr>
          <w:rFonts w:ascii="Arial" w:hAnsi="Arial" w:cs="Arial"/>
          <w:sz w:val="24"/>
          <w:szCs w:val="24"/>
        </w:rPr>
        <w:t>. Digital platforms step in to fill the hole left by a decline in in-person connections during times of crisis, such as a pandemic, and become the main points of contact for clients. Due to this change, consumer expectations for digital experiences are rising, necessitating quick and effective innovation on the part of businesses.</w:t>
      </w:r>
      <w:r w:rsidR="005B650F">
        <w:rPr>
          <w:rFonts w:ascii="Arial" w:hAnsi="Arial" w:cs="Arial"/>
          <w:sz w:val="24"/>
          <w:szCs w:val="24"/>
        </w:rPr>
        <w:t xml:space="preserve"> </w:t>
      </w:r>
      <w:r w:rsidRPr="006E08F4">
        <w:rPr>
          <w:rFonts w:ascii="Arial" w:hAnsi="Arial" w:cs="Arial"/>
          <w:sz w:val="24"/>
          <w:szCs w:val="24"/>
        </w:rPr>
        <w:t>The effectiveness and quality of Toyota's customer service channels may be considerably increased by the inclusion of artificial intelligence (AI). In today's quick-paced, digital-first society, traits like availability and speed of service are crucial. AI applications like chatbots can respond instantly to frequent client enquiries</w:t>
      </w:r>
      <w:r w:rsidR="00CA39A4" w:rsidRPr="00CA39A4">
        <w:t xml:space="preserve"> </w:t>
      </w:r>
      <w:r w:rsidR="00CA39A4" w:rsidRPr="00CA39A4">
        <w:rPr>
          <w:rFonts w:ascii="Arial" w:hAnsi="Arial" w:cs="Arial"/>
          <w:sz w:val="24"/>
          <w:szCs w:val="24"/>
        </w:rPr>
        <w:t>(Albert, Rubio and Valero, 2021)</w:t>
      </w:r>
      <w:r w:rsidRPr="006E08F4">
        <w:rPr>
          <w:rFonts w:ascii="Arial" w:hAnsi="Arial" w:cs="Arial"/>
          <w:sz w:val="24"/>
          <w:szCs w:val="24"/>
        </w:rPr>
        <w:t>. AI can handle several client contacts at once, guaranteeing prompt replies even during busy periods or unanticipated surges.</w:t>
      </w:r>
      <w:r w:rsidR="005B650F">
        <w:rPr>
          <w:rFonts w:ascii="Arial" w:hAnsi="Arial" w:cs="Arial"/>
          <w:sz w:val="24"/>
          <w:szCs w:val="24"/>
        </w:rPr>
        <w:t xml:space="preserve"> </w:t>
      </w:r>
      <w:r w:rsidRPr="006E08F4">
        <w:rPr>
          <w:rFonts w:ascii="Arial" w:hAnsi="Arial" w:cs="Arial"/>
          <w:sz w:val="24"/>
          <w:szCs w:val="24"/>
        </w:rPr>
        <w:t xml:space="preserve">AI may also continually learn from every encounter, allowing it to improve its replies over time for more precise, pertinent, and customized communication. Toyota can offer distinctive client experiences using AI-powered </w:t>
      </w:r>
      <w:proofErr w:type="spellStart"/>
      <w:r w:rsidRPr="006E08F4">
        <w:rPr>
          <w:rFonts w:ascii="Arial" w:hAnsi="Arial" w:cs="Arial"/>
          <w:sz w:val="24"/>
          <w:szCs w:val="24"/>
        </w:rPr>
        <w:t>personalisation</w:t>
      </w:r>
      <w:proofErr w:type="spellEnd"/>
      <w:r w:rsidRPr="006E08F4">
        <w:rPr>
          <w:rFonts w:ascii="Arial" w:hAnsi="Arial" w:cs="Arial"/>
          <w:sz w:val="24"/>
          <w:szCs w:val="24"/>
        </w:rPr>
        <w:t>, increasing customer happiness and encouraging steadfast loyalty</w:t>
      </w:r>
      <w:r w:rsidR="00EE6A12" w:rsidRPr="00EE6A12">
        <w:t xml:space="preserve"> </w:t>
      </w:r>
      <w:r w:rsidR="00EE6A12" w:rsidRPr="00EE6A12">
        <w:rPr>
          <w:rFonts w:ascii="Arial" w:hAnsi="Arial" w:cs="Arial"/>
          <w:sz w:val="24"/>
          <w:szCs w:val="24"/>
        </w:rPr>
        <w:t>(</w:t>
      </w:r>
      <w:proofErr w:type="spellStart"/>
      <w:r w:rsidR="00EE6A12" w:rsidRPr="00EE6A12">
        <w:rPr>
          <w:rFonts w:ascii="Arial" w:hAnsi="Arial" w:cs="Arial"/>
          <w:sz w:val="24"/>
          <w:szCs w:val="24"/>
        </w:rPr>
        <w:t>Madapusi</w:t>
      </w:r>
      <w:proofErr w:type="spellEnd"/>
      <w:r w:rsidR="00EE6A12" w:rsidRPr="00EE6A12">
        <w:rPr>
          <w:rFonts w:ascii="Arial" w:hAnsi="Arial" w:cs="Arial"/>
          <w:sz w:val="24"/>
          <w:szCs w:val="24"/>
        </w:rPr>
        <w:t xml:space="preserve"> Sundar et al., 2022)</w:t>
      </w:r>
      <w:r w:rsidRPr="006E08F4">
        <w:rPr>
          <w:rFonts w:ascii="Arial" w:hAnsi="Arial" w:cs="Arial"/>
          <w:sz w:val="24"/>
          <w:szCs w:val="24"/>
        </w:rPr>
        <w:t>.</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Toyota's consumers might benefit from an unparalleled degree of ease and control if its mobile application development skills are improved. Real-time car information, the ability to schedule servicing, and access to roadside assistance may all be offered through a feature-rich mobile app. This app's functionality and user friendliness will be further increased by Toyota's customer care integration, which enables direct and immediate conversation with a professional.</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A cutting-edge technology called virtual reality (VR) may provide Toyota the chance to design captivating and</w:t>
      </w:r>
      <w:r w:rsidR="00E10517">
        <w:rPr>
          <w:rFonts w:ascii="Arial" w:hAnsi="Arial" w:cs="Arial"/>
          <w:sz w:val="24"/>
          <w:szCs w:val="24"/>
        </w:rPr>
        <w:t xml:space="preserve"> immersive consumer experiences (</w:t>
      </w:r>
      <w:proofErr w:type="spellStart"/>
      <w:r w:rsidR="00E10517">
        <w:rPr>
          <w:rFonts w:ascii="Arial" w:hAnsi="Arial" w:cs="Arial"/>
          <w:sz w:val="24"/>
          <w:szCs w:val="24"/>
        </w:rPr>
        <w:t>Soegoto</w:t>
      </w:r>
      <w:proofErr w:type="spellEnd"/>
      <w:r w:rsidR="00E10517">
        <w:rPr>
          <w:rFonts w:ascii="Arial" w:hAnsi="Arial" w:cs="Arial"/>
          <w:sz w:val="24"/>
          <w:szCs w:val="24"/>
        </w:rPr>
        <w:t xml:space="preserve">, </w:t>
      </w:r>
      <w:proofErr w:type="spellStart"/>
      <w:r w:rsidR="00E10517">
        <w:rPr>
          <w:rFonts w:ascii="Arial" w:hAnsi="Arial" w:cs="Arial"/>
          <w:sz w:val="24"/>
          <w:szCs w:val="24"/>
        </w:rPr>
        <w:t>Utami</w:t>
      </w:r>
      <w:proofErr w:type="spellEnd"/>
      <w:r w:rsidR="00E10517">
        <w:rPr>
          <w:rFonts w:ascii="Arial" w:hAnsi="Arial" w:cs="Arial"/>
          <w:sz w:val="24"/>
          <w:szCs w:val="24"/>
        </w:rPr>
        <w:t xml:space="preserve"> &amp;</w:t>
      </w:r>
      <w:r w:rsidR="00E10517" w:rsidRPr="00E10517">
        <w:rPr>
          <w:rFonts w:ascii="Arial" w:hAnsi="Arial" w:cs="Arial"/>
          <w:sz w:val="24"/>
          <w:szCs w:val="24"/>
        </w:rPr>
        <w:t xml:space="preserve"> </w:t>
      </w:r>
      <w:proofErr w:type="spellStart"/>
      <w:r w:rsidR="00E10517" w:rsidRPr="00E10517">
        <w:rPr>
          <w:rFonts w:ascii="Arial" w:hAnsi="Arial" w:cs="Arial"/>
          <w:sz w:val="24"/>
          <w:szCs w:val="24"/>
        </w:rPr>
        <w:t>Hermawan</w:t>
      </w:r>
      <w:proofErr w:type="spellEnd"/>
      <w:r w:rsidR="00E10517" w:rsidRPr="00E10517">
        <w:rPr>
          <w:rFonts w:ascii="Arial" w:hAnsi="Arial" w:cs="Arial"/>
          <w:sz w:val="24"/>
          <w:szCs w:val="24"/>
        </w:rPr>
        <w:t>, 2019)</w:t>
      </w:r>
      <w:r w:rsidR="00E10517">
        <w:rPr>
          <w:rFonts w:ascii="Arial" w:hAnsi="Arial" w:cs="Arial"/>
          <w:sz w:val="24"/>
          <w:szCs w:val="24"/>
        </w:rPr>
        <w:t>.</w:t>
      </w:r>
      <w:r w:rsidRPr="006E08F4">
        <w:rPr>
          <w:rFonts w:ascii="Arial" w:hAnsi="Arial" w:cs="Arial"/>
          <w:sz w:val="24"/>
          <w:szCs w:val="24"/>
        </w:rPr>
        <w:t xml:space="preserve"> Potential buyers may virtually investigate various car models and amenities, or </w:t>
      </w:r>
      <w:r w:rsidRPr="006E08F4">
        <w:rPr>
          <w:rFonts w:ascii="Arial" w:hAnsi="Arial" w:cs="Arial"/>
          <w:sz w:val="24"/>
          <w:szCs w:val="24"/>
        </w:rPr>
        <w:lastRenderedPageBreak/>
        <w:t>even go on test drives, all from the comfort of their homes, thanks to virtual reality (VR). Such in-depth, immersive online shopping opportunities may increase consumer engagement and position Toyota as the brand of choice for tech-savvy shoppers</w:t>
      </w:r>
      <w:r w:rsidR="00E10517">
        <w:rPr>
          <w:rFonts w:ascii="Arial" w:hAnsi="Arial" w:cs="Arial"/>
          <w:sz w:val="24"/>
          <w:szCs w:val="24"/>
        </w:rPr>
        <w:t xml:space="preserve"> </w:t>
      </w:r>
      <w:r w:rsidR="00E10517" w:rsidRPr="00E10517">
        <w:rPr>
          <w:rFonts w:ascii="Arial" w:hAnsi="Arial" w:cs="Arial"/>
          <w:sz w:val="24"/>
          <w:szCs w:val="24"/>
        </w:rPr>
        <w:t>(Lynch, 2015)</w:t>
      </w:r>
      <w:r w:rsidR="00E10517">
        <w:rPr>
          <w:rFonts w:ascii="Arial" w:hAnsi="Arial" w:cs="Arial"/>
          <w:sz w:val="24"/>
          <w:szCs w:val="24"/>
        </w:rPr>
        <w:t>.</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Despite the many advantages, technology integration has to be deliberate and take into account the various client demands and stages of digital maturity</w:t>
      </w:r>
      <w:r w:rsidR="00EE6A12" w:rsidRPr="00EE6A12">
        <w:t xml:space="preserve"> </w:t>
      </w:r>
      <w:r w:rsidR="00EE6A12" w:rsidRPr="00EE6A12">
        <w:rPr>
          <w:rFonts w:ascii="Arial" w:hAnsi="Arial" w:cs="Arial"/>
          <w:sz w:val="24"/>
          <w:szCs w:val="24"/>
        </w:rPr>
        <w:t>(Henriques and Winkler, 2021)</w:t>
      </w:r>
      <w:r w:rsidRPr="006E08F4">
        <w:rPr>
          <w:rFonts w:ascii="Arial" w:hAnsi="Arial" w:cs="Arial"/>
          <w:sz w:val="24"/>
          <w:szCs w:val="24"/>
        </w:rPr>
        <w:t>. It's crucial that technology enhances human engagement in customer service rather than replacing it. A comprehensive approach that takes into account a range of preferences would be more successful than a solely digital plan since it would reduce the danger of losing clients who prefer conventional methods.</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Toyota must continue to maintain the efficacy and efficiency of its existing customer service channels while it navigates the technology integration path. Toyota's strategy must account for the vast range of customer preferences and technological comfort levels. For the benefit of those clients who favor or are more acclimated to these forms of engagement, it is essential to maintain conventional channels of customer service, such as in-person assistance at dealerships and telephone-based customer support</w:t>
      </w:r>
      <w:r w:rsidR="00EE6A12" w:rsidRPr="00EE6A12">
        <w:t xml:space="preserve"> </w:t>
      </w:r>
      <w:r w:rsidR="00EE6A12" w:rsidRPr="00EE6A12">
        <w:rPr>
          <w:rFonts w:ascii="Arial" w:hAnsi="Arial" w:cs="Arial"/>
          <w:sz w:val="24"/>
          <w:szCs w:val="24"/>
        </w:rPr>
        <w:t>(</w:t>
      </w:r>
      <w:proofErr w:type="spellStart"/>
      <w:r w:rsidR="00EE6A12" w:rsidRPr="00EE6A12">
        <w:rPr>
          <w:rFonts w:ascii="Arial" w:hAnsi="Arial" w:cs="Arial"/>
          <w:sz w:val="24"/>
          <w:szCs w:val="24"/>
        </w:rPr>
        <w:t>Demmers</w:t>
      </w:r>
      <w:proofErr w:type="spellEnd"/>
      <w:r w:rsidR="00EE6A12" w:rsidRPr="00EE6A12">
        <w:rPr>
          <w:rFonts w:ascii="Arial" w:hAnsi="Arial" w:cs="Arial"/>
          <w:sz w:val="24"/>
          <w:szCs w:val="24"/>
        </w:rPr>
        <w:t xml:space="preserve">, van </w:t>
      </w:r>
      <w:proofErr w:type="spellStart"/>
      <w:r w:rsidR="00EE6A12" w:rsidRPr="00EE6A12">
        <w:rPr>
          <w:rFonts w:ascii="Arial" w:hAnsi="Arial" w:cs="Arial"/>
          <w:sz w:val="24"/>
          <w:szCs w:val="24"/>
        </w:rPr>
        <w:t>Dolen</w:t>
      </w:r>
      <w:proofErr w:type="spellEnd"/>
      <w:r w:rsidR="00EE6A12" w:rsidRPr="00EE6A12">
        <w:rPr>
          <w:rFonts w:ascii="Arial" w:hAnsi="Arial" w:cs="Arial"/>
          <w:sz w:val="24"/>
          <w:szCs w:val="24"/>
        </w:rPr>
        <w:t xml:space="preserve"> and </w:t>
      </w:r>
      <w:proofErr w:type="spellStart"/>
      <w:r w:rsidR="00EE6A12" w:rsidRPr="00EE6A12">
        <w:rPr>
          <w:rFonts w:ascii="Arial" w:hAnsi="Arial" w:cs="Arial"/>
          <w:sz w:val="24"/>
          <w:szCs w:val="24"/>
        </w:rPr>
        <w:t>Weltevreden</w:t>
      </w:r>
      <w:proofErr w:type="spellEnd"/>
      <w:r w:rsidR="00EE6A12" w:rsidRPr="00EE6A12">
        <w:rPr>
          <w:rFonts w:ascii="Arial" w:hAnsi="Arial" w:cs="Arial"/>
          <w:sz w:val="24"/>
          <w:szCs w:val="24"/>
        </w:rPr>
        <w:t>, 2018)</w:t>
      </w:r>
      <w:r w:rsidRPr="006E08F4">
        <w:rPr>
          <w:rFonts w:ascii="Arial" w:hAnsi="Arial" w:cs="Arial"/>
          <w:sz w:val="24"/>
          <w:szCs w:val="24"/>
        </w:rPr>
        <w:t>.</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Toyota should strive to develop a customer service ecosystem that provides a wide range of interaction choices and is customized to meet the tastes and interests of each individual client. Due of its speed, simplicity, and always-on accessibility, communicating with AI-powered chatbots and mobile applications may be the preferred choice for certain clients</w:t>
      </w:r>
      <w:r w:rsidR="00CA39A4" w:rsidRPr="00CA39A4">
        <w:t xml:space="preserve"> </w:t>
      </w:r>
      <w:r w:rsidR="00CA39A4" w:rsidRPr="00CA39A4">
        <w:rPr>
          <w:rFonts w:ascii="Arial" w:hAnsi="Arial" w:cs="Arial"/>
          <w:sz w:val="24"/>
          <w:szCs w:val="24"/>
        </w:rPr>
        <w:t xml:space="preserve">(Soori, </w:t>
      </w:r>
      <w:proofErr w:type="spellStart"/>
      <w:r w:rsidR="00CA39A4" w:rsidRPr="00CA39A4">
        <w:rPr>
          <w:rFonts w:ascii="Arial" w:hAnsi="Arial" w:cs="Arial"/>
          <w:sz w:val="24"/>
          <w:szCs w:val="24"/>
        </w:rPr>
        <w:t>Arezoo</w:t>
      </w:r>
      <w:proofErr w:type="spellEnd"/>
      <w:r w:rsidR="00CA39A4" w:rsidRPr="00CA39A4">
        <w:rPr>
          <w:rFonts w:ascii="Arial" w:hAnsi="Arial" w:cs="Arial"/>
          <w:sz w:val="24"/>
          <w:szCs w:val="24"/>
        </w:rPr>
        <w:t xml:space="preserve"> and </w:t>
      </w:r>
      <w:proofErr w:type="spellStart"/>
      <w:r w:rsidR="00CA39A4" w:rsidRPr="00CA39A4">
        <w:rPr>
          <w:rFonts w:ascii="Arial" w:hAnsi="Arial" w:cs="Arial"/>
          <w:sz w:val="24"/>
          <w:szCs w:val="24"/>
        </w:rPr>
        <w:t>Dastres</w:t>
      </w:r>
      <w:proofErr w:type="spellEnd"/>
      <w:r w:rsidR="00CA39A4" w:rsidRPr="00CA39A4">
        <w:rPr>
          <w:rFonts w:ascii="Arial" w:hAnsi="Arial" w:cs="Arial"/>
          <w:sz w:val="24"/>
          <w:szCs w:val="24"/>
        </w:rPr>
        <w:t>, 2023)</w:t>
      </w:r>
      <w:r w:rsidRPr="006E08F4">
        <w:rPr>
          <w:rFonts w:ascii="Arial" w:hAnsi="Arial" w:cs="Arial"/>
          <w:sz w:val="24"/>
          <w:szCs w:val="24"/>
        </w:rPr>
        <w:t>. Others may find it more relaxing and comforting to chat with a live customer service agent.</w:t>
      </w:r>
    </w:p>
    <w:p w:rsidR="006E08F4" w:rsidRPr="00E10517"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 xml:space="preserve">A key component of Toyota's approach will be striking a balance between high-tech, digital customer service products and the high-touch, human elements of conventional customer care. This harmony will enable Toyota to provide a better, all-encompassing customer experience that is flexible enough to respond to the continuing epidemic and the fast digital revolutions it has sparked. Toyota's ability to successfully combine technology and human touch will be crucial in maintaining and increasing its reputation </w:t>
      </w:r>
      <w:r w:rsidRPr="006E08F4">
        <w:rPr>
          <w:rFonts w:ascii="Arial" w:hAnsi="Arial" w:cs="Arial"/>
          <w:sz w:val="24"/>
          <w:szCs w:val="24"/>
        </w:rPr>
        <w:lastRenderedPageBreak/>
        <w:t>for providing great customer care as the customer service e</w:t>
      </w:r>
      <w:r w:rsidR="00E10517">
        <w:rPr>
          <w:rFonts w:ascii="Arial" w:hAnsi="Arial" w:cs="Arial"/>
          <w:sz w:val="24"/>
          <w:szCs w:val="24"/>
        </w:rPr>
        <w:t>nvironment continues to change</w:t>
      </w:r>
      <w:r w:rsidR="00EE6A12" w:rsidRPr="00EE6A12">
        <w:t xml:space="preserve"> </w:t>
      </w:r>
      <w:r w:rsidR="00EE6A12" w:rsidRPr="00EE6A12">
        <w:rPr>
          <w:rFonts w:ascii="Arial" w:hAnsi="Arial" w:cs="Arial"/>
          <w:sz w:val="24"/>
          <w:szCs w:val="24"/>
        </w:rPr>
        <w:t>(Alves et al., 2021)</w:t>
      </w:r>
      <w:r w:rsidR="00E10517">
        <w:rPr>
          <w:rFonts w:ascii="Arial" w:hAnsi="Arial" w:cs="Arial"/>
          <w:sz w:val="24"/>
          <w:szCs w:val="24"/>
        </w:rPr>
        <w:t>.</w:t>
      </w:r>
    </w:p>
    <w:p w:rsidR="006E08F4" w:rsidRPr="006E08F4" w:rsidRDefault="006E08F4" w:rsidP="005B650F">
      <w:pPr>
        <w:tabs>
          <w:tab w:val="left" w:pos="1830"/>
        </w:tabs>
        <w:spacing w:line="360" w:lineRule="auto"/>
        <w:jc w:val="both"/>
        <w:rPr>
          <w:rFonts w:ascii="Arial" w:hAnsi="Arial" w:cs="Arial"/>
          <w:b/>
          <w:sz w:val="24"/>
          <w:szCs w:val="24"/>
        </w:rPr>
      </w:pPr>
      <w:r w:rsidRPr="006E08F4">
        <w:rPr>
          <w:rFonts w:ascii="Arial" w:hAnsi="Arial" w:cs="Arial"/>
          <w:b/>
          <w:sz w:val="24"/>
          <w:szCs w:val="24"/>
        </w:rPr>
        <w:t>Investment in Sus</w:t>
      </w:r>
      <w:r>
        <w:rPr>
          <w:rFonts w:ascii="Arial" w:hAnsi="Arial" w:cs="Arial"/>
          <w:b/>
          <w:sz w:val="24"/>
          <w:szCs w:val="24"/>
        </w:rPr>
        <w:t>tainable and Electric Vehicles:</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Toyota's decision to make a significant investment in electric and environmentally friendly cars (EV</w:t>
      </w:r>
      <w:r w:rsidR="00452F42">
        <w:rPr>
          <w:rFonts w:ascii="Arial" w:hAnsi="Arial" w:cs="Arial"/>
          <w:sz w:val="24"/>
          <w:szCs w:val="24"/>
        </w:rPr>
        <w:t xml:space="preserve">s) is another strategic choice </w:t>
      </w:r>
      <w:r w:rsidR="00452F42" w:rsidRPr="00452F42">
        <w:rPr>
          <w:rFonts w:ascii="Arial" w:hAnsi="Arial" w:cs="Arial"/>
          <w:sz w:val="24"/>
          <w:szCs w:val="24"/>
        </w:rPr>
        <w:t>(Li et al., 2016)</w:t>
      </w:r>
      <w:r w:rsidR="00452F42">
        <w:rPr>
          <w:rFonts w:ascii="Arial" w:hAnsi="Arial" w:cs="Arial"/>
          <w:sz w:val="24"/>
          <w:szCs w:val="24"/>
        </w:rPr>
        <w:t>.</w:t>
      </w:r>
      <w:r w:rsidR="00452F42" w:rsidRPr="00452F42">
        <w:rPr>
          <w:rFonts w:ascii="Arial" w:hAnsi="Arial" w:cs="Arial"/>
          <w:sz w:val="24"/>
          <w:szCs w:val="24"/>
        </w:rPr>
        <w:t xml:space="preserve"> </w:t>
      </w:r>
      <w:r w:rsidRPr="006E08F4">
        <w:rPr>
          <w:rFonts w:ascii="Arial" w:hAnsi="Arial" w:cs="Arial"/>
          <w:sz w:val="24"/>
          <w:szCs w:val="24"/>
        </w:rPr>
        <w:t>The automobile industry is experiencing a paradigm shift toward greener and more sustainable cars as a result of growing environmental concerns and higher emission restrictions globally. Customers are actively searching for automobiles that fit their beliefs and way of life as they become more environmentally concerned. Toyota can therefore fulfill customer requests, abide with international laws, and promote environmental sustainability by concentrating on EVs.</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Toyota is already ahead of the competition since it invented hybrid technology with the Prius. However, there is fierce rivalry in the EV sector, with Tesla gaining the lead. Toyota can establish a substantial presence in the EV industry by using its expertise in hybrid technology and reputation for quality and dependability</w:t>
      </w:r>
      <w:r w:rsidR="00EE6A12" w:rsidRPr="00EE6A12">
        <w:t xml:space="preserve"> </w:t>
      </w:r>
      <w:r w:rsidR="00EE6A12" w:rsidRPr="00EE6A12">
        <w:rPr>
          <w:rFonts w:ascii="Arial" w:hAnsi="Arial" w:cs="Arial"/>
          <w:sz w:val="24"/>
          <w:szCs w:val="24"/>
        </w:rPr>
        <w:t xml:space="preserve">(Carlucci, </w:t>
      </w:r>
      <w:proofErr w:type="spellStart"/>
      <w:r w:rsidR="00EE6A12" w:rsidRPr="00EE6A12">
        <w:rPr>
          <w:rFonts w:ascii="Arial" w:hAnsi="Arial" w:cs="Arial"/>
          <w:sz w:val="24"/>
          <w:szCs w:val="24"/>
        </w:rPr>
        <w:t>Cirà</w:t>
      </w:r>
      <w:proofErr w:type="spellEnd"/>
      <w:r w:rsidR="00EE6A12" w:rsidRPr="00EE6A12">
        <w:rPr>
          <w:rFonts w:ascii="Arial" w:hAnsi="Arial" w:cs="Arial"/>
          <w:sz w:val="24"/>
          <w:szCs w:val="24"/>
        </w:rPr>
        <w:t xml:space="preserve"> and Lanza, 2018)</w:t>
      </w:r>
      <w:r w:rsidRPr="006E08F4">
        <w:rPr>
          <w:rFonts w:ascii="Arial" w:hAnsi="Arial" w:cs="Arial"/>
          <w:sz w:val="24"/>
          <w:szCs w:val="24"/>
        </w:rPr>
        <w:t>. The business might also concentrate on creating more accessible EV solutions to appeal to a wider market and set itself apart from rivals that mainly provide luxury versions.</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 xml:space="preserve">Toyota might also look at prospects in hydrogen fuel cell technology, a viable replacement for traditional electric vehicles. One of the first hydrogen fuel cell cars on the market was the Toyota </w:t>
      </w:r>
      <w:proofErr w:type="spellStart"/>
      <w:r w:rsidRPr="006E08F4">
        <w:rPr>
          <w:rFonts w:ascii="Arial" w:hAnsi="Arial" w:cs="Arial"/>
          <w:sz w:val="24"/>
          <w:szCs w:val="24"/>
        </w:rPr>
        <w:t>Mirai</w:t>
      </w:r>
      <w:proofErr w:type="spellEnd"/>
      <w:r w:rsidRPr="006E08F4">
        <w:rPr>
          <w:rFonts w:ascii="Arial" w:hAnsi="Arial" w:cs="Arial"/>
          <w:sz w:val="24"/>
          <w:szCs w:val="24"/>
        </w:rPr>
        <w:t>, and future investment in this technology might make Toyota a leader in this developing industry.</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This tactical choice, nevertheless, is not without drawbacks. It necessitates large expenditures in R&amp;D and infrastructure, such as EV-friendly service centers and charging stations</w:t>
      </w:r>
      <w:r w:rsidR="00EE6A12" w:rsidRPr="00EE6A12">
        <w:t xml:space="preserve"> </w:t>
      </w:r>
      <w:r w:rsidR="00EE6A12" w:rsidRPr="00EE6A12">
        <w:rPr>
          <w:rFonts w:ascii="Arial" w:hAnsi="Arial" w:cs="Arial"/>
          <w:sz w:val="24"/>
          <w:szCs w:val="24"/>
        </w:rPr>
        <w:t>(Lee, 2022)</w:t>
      </w:r>
      <w:r w:rsidRPr="006E08F4">
        <w:rPr>
          <w:rFonts w:ascii="Arial" w:hAnsi="Arial" w:cs="Arial"/>
          <w:sz w:val="24"/>
          <w:szCs w:val="24"/>
        </w:rPr>
        <w:t>. Additionally, addressing the difficulties in the supply chain related to EV components, notably batteries, is necessary.</w:t>
      </w:r>
    </w:p>
    <w:p w:rsidR="006E08F4" w:rsidRPr="006E08F4" w:rsidRDefault="006E08F4" w:rsidP="005B650F">
      <w:pPr>
        <w:tabs>
          <w:tab w:val="left" w:pos="1830"/>
        </w:tabs>
        <w:spacing w:line="360" w:lineRule="auto"/>
        <w:jc w:val="both"/>
        <w:rPr>
          <w:rFonts w:ascii="Arial" w:hAnsi="Arial" w:cs="Arial"/>
          <w:b/>
          <w:sz w:val="24"/>
          <w:szCs w:val="24"/>
        </w:rPr>
      </w:pPr>
      <w:r w:rsidRPr="006E08F4">
        <w:rPr>
          <w:rFonts w:ascii="Arial" w:hAnsi="Arial" w:cs="Arial"/>
          <w:sz w:val="24"/>
          <w:szCs w:val="24"/>
        </w:rPr>
        <w:t xml:space="preserve">Despite these difficulties, Toyota should nonetheless give this plan some thought because of the potential advantages it offers from a competitive and sustainable </w:t>
      </w:r>
      <w:r w:rsidRPr="006E08F4">
        <w:rPr>
          <w:rFonts w:ascii="Arial" w:hAnsi="Arial" w:cs="Arial"/>
          <w:sz w:val="24"/>
          <w:szCs w:val="24"/>
        </w:rPr>
        <w:lastRenderedPageBreak/>
        <w:t>standpoint. Companies who are leaders in these fields will likely have a big competitive edge as the globe transitions to cleaner energy and sustainable practices</w:t>
      </w:r>
      <w:r w:rsidR="00BB5D08">
        <w:rPr>
          <w:rFonts w:ascii="Arial" w:hAnsi="Arial" w:cs="Arial"/>
          <w:b/>
          <w:sz w:val="24"/>
          <w:szCs w:val="24"/>
        </w:rPr>
        <w:t>.</w:t>
      </w:r>
    </w:p>
    <w:p w:rsidR="006E08F4" w:rsidRDefault="006E08F4" w:rsidP="005B650F">
      <w:pPr>
        <w:pStyle w:val="Heading1"/>
        <w:spacing w:line="360" w:lineRule="auto"/>
        <w:jc w:val="both"/>
        <w:rPr>
          <w:rFonts w:ascii="Arial" w:hAnsi="Arial" w:cs="Arial"/>
          <w:sz w:val="32"/>
          <w:szCs w:val="32"/>
        </w:rPr>
      </w:pPr>
      <w:bookmarkStart w:id="5" w:name="_Toc140887169"/>
      <w:r w:rsidRPr="006E08F4">
        <w:rPr>
          <w:rFonts w:ascii="Arial" w:hAnsi="Arial" w:cs="Arial"/>
          <w:sz w:val="32"/>
          <w:szCs w:val="32"/>
        </w:rPr>
        <w:t>Conclusion</w:t>
      </w:r>
      <w:bookmarkEnd w:id="5"/>
    </w:p>
    <w:p w:rsidR="006E08F4" w:rsidRPr="006E08F4" w:rsidRDefault="006E08F4" w:rsidP="005B650F">
      <w:pPr>
        <w:spacing w:line="360" w:lineRule="auto"/>
        <w:jc w:val="both"/>
      </w:pP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In conclusion, a number of important elements are highlighted by the strategic analysis of Toyota's internal and external environment. The Porter's Five Forces analysis indicates a competitive automobile market, but one in which Toyota maintains a dominant position owing to substantial barriers to entry and established brand trust. However, there are obstacles that need careful management, including the heightened danger from alternatives and the supplier's negotiating lev</w:t>
      </w:r>
      <w:r>
        <w:rPr>
          <w:rFonts w:ascii="Arial" w:hAnsi="Arial" w:cs="Arial"/>
          <w:sz w:val="24"/>
          <w:szCs w:val="24"/>
        </w:rPr>
        <w:t>erage for high-tech components.</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Internally, the VRIO analysis reveals that Toyota has important and uncommon resources that provide it a competitive edge, including its brand reputation, Toyota Production System, and hybrid technology. However, in order to keep these assets valuable and uncommon, it is cruc</w:t>
      </w:r>
      <w:r>
        <w:rPr>
          <w:rFonts w:ascii="Arial" w:hAnsi="Arial" w:cs="Arial"/>
          <w:sz w:val="24"/>
          <w:szCs w:val="24"/>
        </w:rPr>
        <w:t>ial to constantly improve them.</w:t>
      </w:r>
    </w:p>
    <w:p w:rsidR="006E08F4" w:rsidRPr="006E08F4" w:rsidRDefault="006E08F4" w:rsidP="005B650F">
      <w:pPr>
        <w:tabs>
          <w:tab w:val="left" w:pos="1830"/>
        </w:tabs>
        <w:spacing w:line="360" w:lineRule="auto"/>
        <w:jc w:val="both"/>
        <w:rPr>
          <w:rFonts w:ascii="Arial" w:hAnsi="Arial" w:cs="Arial"/>
          <w:sz w:val="24"/>
          <w:szCs w:val="24"/>
        </w:rPr>
      </w:pPr>
      <w:r w:rsidRPr="006E08F4">
        <w:rPr>
          <w:rFonts w:ascii="Arial" w:hAnsi="Arial" w:cs="Arial"/>
          <w:sz w:val="24"/>
          <w:szCs w:val="24"/>
        </w:rPr>
        <w:t>Hyper-personalization, technological integration, and investment in sustainable and electric vehicles stand out as strategic possibilities for improving customer service</w:t>
      </w:r>
      <w:r w:rsidR="00EE6A12" w:rsidRPr="00EE6A12">
        <w:t xml:space="preserve"> </w:t>
      </w:r>
      <w:r w:rsidR="00EE6A12" w:rsidRPr="00EE6A12">
        <w:rPr>
          <w:rFonts w:ascii="Arial" w:hAnsi="Arial" w:cs="Arial"/>
          <w:sz w:val="24"/>
          <w:szCs w:val="24"/>
        </w:rPr>
        <w:t>(</w:t>
      </w:r>
      <w:proofErr w:type="spellStart"/>
      <w:r w:rsidR="00EE6A12" w:rsidRPr="00EE6A12">
        <w:rPr>
          <w:rFonts w:ascii="Arial" w:hAnsi="Arial" w:cs="Arial"/>
          <w:sz w:val="24"/>
          <w:szCs w:val="24"/>
        </w:rPr>
        <w:t>Ozpinar</w:t>
      </w:r>
      <w:proofErr w:type="spellEnd"/>
      <w:r w:rsidR="00EE6A12" w:rsidRPr="00EE6A12">
        <w:rPr>
          <w:rFonts w:ascii="Arial" w:hAnsi="Arial" w:cs="Arial"/>
          <w:sz w:val="24"/>
          <w:szCs w:val="24"/>
        </w:rPr>
        <w:t>, 2023)</w:t>
      </w:r>
      <w:r w:rsidRPr="006E08F4">
        <w:rPr>
          <w:rFonts w:ascii="Arial" w:hAnsi="Arial" w:cs="Arial"/>
          <w:sz w:val="24"/>
          <w:szCs w:val="24"/>
        </w:rPr>
        <w:t>. These tactics make use of technology to provide customers a more tailored, effective, and practical experience. However, they also come with difficulties, such as the need for substantial investments in data management and technology, as well as the necessity to properly balance digital and conventional customer service channels.</w:t>
      </w:r>
    </w:p>
    <w:p w:rsidR="006E08F4" w:rsidRDefault="006E08F4" w:rsidP="005B650F">
      <w:pPr>
        <w:tabs>
          <w:tab w:val="left" w:pos="1830"/>
        </w:tabs>
        <w:spacing w:line="360" w:lineRule="auto"/>
        <w:jc w:val="both"/>
        <w:rPr>
          <w:rFonts w:ascii="Arial" w:hAnsi="Arial" w:cs="Arial"/>
          <w:b/>
          <w:sz w:val="24"/>
          <w:szCs w:val="24"/>
        </w:rPr>
      </w:pPr>
      <w:r w:rsidRPr="006E08F4">
        <w:rPr>
          <w:rFonts w:ascii="Arial" w:hAnsi="Arial" w:cs="Arial"/>
          <w:sz w:val="24"/>
          <w:szCs w:val="24"/>
        </w:rPr>
        <w:t>Overall, despite the difficulties Toyota has in its operational environment, there are many chances for it to innovate and improve customer service</w:t>
      </w:r>
      <w:r w:rsidR="00EE6A12" w:rsidRPr="00EE6A12">
        <w:t xml:space="preserve"> </w:t>
      </w:r>
      <w:r w:rsidR="00EE6A12" w:rsidRPr="00EE6A12">
        <w:rPr>
          <w:rFonts w:ascii="Arial" w:hAnsi="Arial" w:cs="Arial"/>
          <w:sz w:val="24"/>
          <w:szCs w:val="24"/>
        </w:rPr>
        <w:t>(</w:t>
      </w:r>
      <w:proofErr w:type="spellStart"/>
      <w:r w:rsidR="00EE6A12" w:rsidRPr="00EE6A12">
        <w:rPr>
          <w:rFonts w:ascii="Arial" w:hAnsi="Arial" w:cs="Arial"/>
          <w:sz w:val="24"/>
          <w:szCs w:val="24"/>
        </w:rPr>
        <w:t>Ozpinar</w:t>
      </w:r>
      <w:proofErr w:type="spellEnd"/>
      <w:r w:rsidR="00EE6A12" w:rsidRPr="00EE6A12">
        <w:rPr>
          <w:rFonts w:ascii="Arial" w:hAnsi="Arial" w:cs="Arial"/>
          <w:sz w:val="24"/>
          <w:szCs w:val="24"/>
        </w:rPr>
        <w:t>, 2023)</w:t>
      </w:r>
      <w:r w:rsidRPr="006E08F4">
        <w:rPr>
          <w:rFonts w:ascii="Arial" w:hAnsi="Arial" w:cs="Arial"/>
          <w:sz w:val="24"/>
          <w:szCs w:val="24"/>
        </w:rPr>
        <w:t>. Toyota can boost its adaptability, gain a sustainable competitive advantage, and guarantee its future success by strategically leveraging its resources and capabilities, putting hyper-personalization and technology integration strategies into practice, and investing in sustainable and electric vehicles</w:t>
      </w:r>
      <w:r>
        <w:rPr>
          <w:rFonts w:ascii="Arial" w:hAnsi="Arial" w:cs="Arial"/>
          <w:b/>
          <w:sz w:val="24"/>
          <w:szCs w:val="24"/>
        </w:rPr>
        <w:t>.</w:t>
      </w:r>
    </w:p>
    <w:p w:rsidR="00176A75" w:rsidRDefault="00176A75" w:rsidP="005B650F">
      <w:pPr>
        <w:pStyle w:val="Heading2"/>
        <w:spacing w:line="360" w:lineRule="auto"/>
        <w:jc w:val="both"/>
        <w:rPr>
          <w:rFonts w:ascii="Arial" w:hAnsi="Arial" w:cs="Arial"/>
          <w:sz w:val="28"/>
          <w:szCs w:val="28"/>
        </w:rPr>
      </w:pPr>
      <w:bookmarkStart w:id="6" w:name="_Toc140887170"/>
      <w:r w:rsidRPr="006E08F4">
        <w:rPr>
          <w:rFonts w:ascii="Arial" w:hAnsi="Arial" w:cs="Arial"/>
          <w:sz w:val="28"/>
          <w:szCs w:val="28"/>
        </w:rPr>
        <w:lastRenderedPageBreak/>
        <w:t>Recommendation using Ansoff matrix</w:t>
      </w:r>
      <w:bookmarkEnd w:id="6"/>
    </w:p>
    <w:p w:rsidR="006E08F4" w:rsidRPr="006E08F4" w:rsidRDefault="006E08F4" w:rsidP="005B650F">
      <w:pPr>
        <w:spacing w:line="360" w:lineRule="auto"/>
        <w:jc w:val="both"/>
      </w:pPr>
    </w:p>
    <w:p w:rsidR="006E08F4" w:rsidRPr="00BB5D08" w:rsidRDefault="006E08F4" w:rsidP="005B650F">
      <w:pPr>
        <w:tabs>
          <w:tab w:val="left" w:pos="1830"/>
        </w:tabs>
        <w:spacing w:line="360" w:lineRule="auto"/>
        <w:jc w:val="both"/>
        <w:rPr>
          <w:rFonts w:ascii="Arial" w:hAnsi="Arial" w:cs="Arial"/>
          <w:sz w:val="24"/>
          <w:szCs w:val="24"/>
        </w:rPr>
      </w:pPr>
      <w:r w:rsidRPr="006E08F4">
        <w:rPr>
          <w:rFonts w:ascii="Arial" w:hAnsi="Arial" w:cs="Arial"/>
          <w:b/>
          <w:sz w:val="24"/>
          <w:szCs w:val="24"/>
        </w:rPr>
        <w:t xml:space="preserve">Hyper-Personalization: </w:t>
      </w:r>
      <w:r w:rsidRPr="00BB5D08">
        <w:rPr>
          <w:rFonts w:ascii="Arial" w:hAnsi="Arial" w:cs="Arial"/>
          <w:sz w:val="24"/>
          <w:szCs w:val="24"/>
        </w:rPr>
        <w:t>According to the Ansoff Matrix, the goal of the hyper-personalization approach is to enhance market share for already existing items. Toyota would be able to provide a better and more distinctive client experience thanks to hyper-personalization, which might lead to increased cu</w:t>
      </w:r>
      <w:r w:rsidR="00452F42">
        <w:rPr>
          <w:rFonts w:ascii="Arial" w:hAnsi="Arial" w:cs="Arial"/>
          <w:sz w:val="24"/>
          <w:szCs w:val="24"/>
        </w:rPr>
        <w:t xml:space="preserve">stomer satisfaction and loyalty </w:t>
      </w:r>
      <w:r w:rsidR="00452F42" w:rsidRPr="00452F42">
        <w:rPr>
          <w:rFonts w:ascii="Arial" w:hAnsi="Arial" w:cs="Arial"/>
          <w:sz w:val="24"/>
          <w:szCs w:val="24"/>
        </w:rPr>
        <w:t>(Yin, 2019)</w:t>
      </w:r>
      <w:r w:rsidR="00452F42">
        <w:rPr>
          <w:rFonts w:ascii="Arial" w:hAnsi="Arial" w:cs="Arial"/>
          <w:sz w:val="24"/>
          <w:szCs w:val="24"/>
        </w:rPr>
        <w:t>.</w:t>
      </w:r>
    </w:p>
    <w:p w:rsidR="006E08F4" w:rsidRPr="00BB5D08" w:rsidRDefault="006E08F4" w:rsidP="005B650F">
      <w:pPr>
        <w:tabs>
          <w:tab w:val="left" w:pos="1830"/>
        </w:tabs>
        <w:spacing w:line="360" w:lineRule="auto"/>
        <w:jc w:val="both"/>
        <w:rPr>
          <w:rFonts w:ascii="Arial" w:hAnsi="Arial" w:cs="Arial"/>
          <w:sz w:val="24"/>
          <w:szCs w:val="24"/>
        </w:rPr>
      </w:pPr>
      <w:r w:rsidRPr="00BB5D08">
        <w:rPr>
          <w:rFonts w:ascii="Arial" w:hAnsi="Arial" w:cs="Arial"/>
          <w:sz w:val="24"/>
          <w:szCs w:val="24"/>
        </w:rPr>
        <w:t>Toyota would need to make an investment in cutting-edge data analytics skills that can acquire and analyze a variety of consumer data in real-time in order to implement hyper-personalization. This gives a more complete picture of each customer's preferences, wants, and behaviors since it incorporates both transactional and behavioral data.</w:t>
      </w:r>
    </w:p>
    <w:p w:rsidR="006E08F4" w:rsidRPr="006E08F4" w:rsidRDefault="006E08F4" w:rsidP="005B650F">
      <w:pPr>
        <w:tabs>
          <w:tab w:val="left" w:pos="1830"/>
        </w:tabs>
        <w:spacing w:line="360" w:lineRule="auto"/>
        <w:jc w:val="both"/>
        <w:rPr>
          <w:rFonts w:ascii="Arial" w:hAnsi="Arial" w:cs="Arial"/>
          <w:b/>
          <w:sz w:val="24"/>
          <w:szCs w:val="24"/>
        </w:rPr>
      </w:pPr>
      <w:r w:rsidRPr="00BB5D08">
        <w:rPr>
          <w:rFonts w:ascii="Arial" w:hAnsi="Arial" w:cs="Arial"/>
          <w:sz w:val="24"/>
          <w:szCs w:val="24"/>
        </w:rPr>
        <w:t>Toyota may leverage this data infrastructure to customize every step of the customer experience once it is set up. Personalization in communication, for instance, may assist establish a deeper emotional connection with clients, giving them a sense of worth and comprehension</w:t>
      </w:r>
      <w:r w:rsidR="00EE6A12" w:rsidRPr="00EE6A12">
        <w:t xml:space="preserve"> </w:t>
      </w:r>
      <w:r w:rsidR="00EE6A12" w:rsidRPr="00EE6A12">
        <w:rPr>
          <w:rFonts w:ascii="Arial" w:hAnsi="Arial" w:cs="Arial"/>
          <w:sz w:val="24"/>
          <w:szCs w:val="24"/>
        </w:rPr>
        <w:t xml:space="preserve">(Nobile and </w:t>
      </w:r>
      <w:proofErr w:type="spellStart"/>
      <w:r w:rsidR="00EE6A12" w:rsidRPr="00EE6A12">
        <w:rPr>
          <w:rFonts w:ascii="Arial" w:hAnsi="Arial" w:cs="Arial"/>
          <w:sz w:val="24"/>
          <w:szCs w:val="24"/>
        </w:rPr>
        <w:t>Cantoni</w:t>
      </w:r>
      <w:proofErr w:type="spellEnd"/>
      <w:r w:rsidR="00EE6A12" w:rsidRPr="00EE6A12">
        <w:rPr>
          <w:rFonts w:ascii="Arial" w:hAnsi="Arial" w:cs="Arial"/>
          <w:sz w:val="24"/>
          <w:szCs w:val="24"/>
        </w:rPr>
        <w:t>, 2023)</w:t>
      </w:r>
      <w:r w:rsidRPr="00BB5D08">
        <w:rPr>
          <w:rFonts w:ascii="Arial" w:hAnsi="Arial" w:cs="Arial"/>
          <w:sz w:val="24"/>
          <w:szCs w:val="24"/>
        </w:rPr>
        <w:t>. Similar to this, tailored services may assist clients in locating the precise items they want, hence increasing their level of happiness. To some degree, even the items themselves may be customized to provide clients the special features or design components they want</w:t>
      </w:r>
      <w:r w:rsidRPr="006E08F4">
        <w:rPr>
          <w:rFonts w:ascii="Arial" w:hAnsi="Arial" w:cs="Arial"/>
          <w:b/>
          <w:sz w:val="24"/>
          <w:szCs w:val="24"/>
        </w:rPr>
        <w:t>.</w:t>
      </w:r>
    </w:p>
    <w:p w:rsidR="006E08F4" w:rsidRPr="00BB5D08" w:rsidRDefault="006E08F4" w:rsidP="005B650F">
      <w:pPr>
        <w:tabs>
          <w:tab w:val="left" w:pos="1830"/>
        </w:tabs>
        <w:spacing w:line="360" w:lineRule="auto"/>
        <w:jc w:val="both"/>
        <w:rPr>
          <w:rFonts w:ascii="Arial" w:hAnsi="Arial" w:cs="Arial"/>
          <w:sz w:val="24"/>
          <w:szCs w:val="24"/>
        </w:rPr>
      </w:pPr>
      <w:r w:rsidRPr="006E08F4">
        <w:rPr>
          <w:rFonts w:ascii="Arial" w:hAnsi="Arial" w:cs="Arial"/>
          <w:b/>
          <w:sz w:val="24"/>
          <w:szCs w:val="24"/>
        </w:rPr>
        <w:t xml:space="preserve">Technology Integration: </w:t>
      </w:r>
      <w:r w:rsidRPr="00BB5D08">
        <w:rPr>
          <w:rFonts w:ascii="Arial" w:hAnsi="Arial" w:cs="Arial"/>
          <w:sz w:val="24"/>
          <w:szCs w:val="24"/>
        </w:rPr>
        <w:t>Much to hyper-personalization, technology integration is a market-entry tactic intended to enhance the current goods or services in order to gain market share. Technology integration may considerably improve customer care's efficiency and efficacy in the age of digital transformation, which will increase customer happiness and loyalty.</w:t>
      </w:r>
    </w:p>
    <w:p w:rsidR="006E08F4" w:rsidRPr="00BB5D08" w:rsidRDefault="006E08F4" w:rsidP="005B650F">
      <w:pPr>
        <w:tabs>
          <w:tab w:val="left" w:pos="1830"/>
        </w:tabs>
        <w:spacing w:line="360" w:lineRule="auto"/>
        <w:jc w:val="both"/>
        <w:rPr>
          <w:rFonts w:ascii="Arial" w:hAnsi="Arial" w:cs="Arial"/>
          <w:sz w:val="24"/>
          <w:szCs w:val="24"/>
        </w:rPr>
      </w:pPr>
      <w:r w:rsidRPr="00BB5D08">
        <w:rPr>
          <w:rFonts w:ascii="Arial" w:hAnsi="Arial" w:cs="Arial"/>
          <w:sz w:val="24"/>
          <w:szCs w:val="24"/>
        </w:rPr>
        <w:t>The use of artificial intelligence (AI) in customer service is one promising area for technological integration. For instance, chatbots powered by AI can rapidly address common questions, freeing up human customer support employees to tackle more complicated situations. This may greatly increase the effectiveness and accessibility of customer assistance.</w:t>
      </w:r>
    </w:p>
    <w:p w:rsidR="006E08F4" w:rsidRPr="00BB5D08" w:rsidRDefault="006E08F4" w:rsidP="005B650F">
      <w:pPr>
        <w:tabs>
          <w:tab w:val="left" w:pos="1830"/>
        </w:tabs>
        <w:spacing w:line="360" w:lineRule="auto"/>
        <w:jc w:val="both"/>
        <w:rPr>
          <w:rFonts w:ascii="Arial" w:hAnsi="Arial" w:cs="Arial"/>
          <w:sz w:val="24"/>
          <w:szCs w:val="24"/>
        </w:rPr>
      </w:pPr>
      <w:r w:rsidRPr="00BB5D08">
        <w:rPr>
          <w:rFonts w:ascii="Arial" w:hAnsi="Arial" w:cs="Arial"/>
          <w:sz w:val="24"/>
          <w:szCs w:val="24"/>
        </w:rPr>
        <w:lastRenderedPageBreak/>
        <w:t>Utilizing virtual reality (VR) technology to provide virtual tours of cars or test drives is another exciting topic. Without having to leave their homes, this may provide consumers a genuine and immersive experience of what it's like to own or drive a Toyota automobile. During a pandemic, when individuals may be hesitant or unable to visit actual dealerships, this might be very helpful.</w:t>
      </w:r>
    </w:p>
    <w:p w:rsidR="006E08F4" w:rsidRPr="00BB5D08" w:rsidRDefault="006E08F4" w:rsidP="005B650F">
      <w:pPr>
        <w:tabs>
          <w:tab w:val="left" w:pos="1830"/>
        </w:tabs>
        <w:spacing w:line="360" w:lineRule="auto"/>
        <w:jc w:val="both"/>
        <w:rPr>
          <w:rFonts w:ascii="Arial" w:hAnsi="Arial" w:cs="Arial"/>
          <w:sz w:val="24"/>
          <w:szCs w:val="24"/>
        </w:rPr>
      </w:pPr>
      <w:r w:rsidRPr="00BB5D08">
        <w:rPr>
          <w:rFonts w:ascii="Arial" w:hAnsi="Arial" w:cs="Arial"/>
          <w:sz w:val="24"/>
          <w:szCs w:val="24"/>
        </w:rPr>
        <w:t>Finally, Toyota may use its mobile app to update consumers in real-time on their cars' statuses, including fuel economy, maintenance requirements, and more. This increases customer happiness by giving them greater control over their cars and enabling Toyota to proactively solve possible problems.</w:t>
      </w:r>
    </w:p>
    <w:p w:rsidR="00176A75" w:rsidRDefault="006E08F4" w:rsidP="005B650F">
      <w:pPr>
        <w:tabs>
          <w:tab w:val="left" w:pos="1830"/>
        </w:tabs>
        <w:spacing w:line="360" w:lineRule="auto"/>
        <w:jc w:val="both"/>
        <w:rPr>
          <w:rFonts w:ascii="Arial" w:hAnsi="Arial" w:cs="Arial"/>
          <w:sz w:val="24"/>
          <w:szCs w:val="24"/>
        </w:rPr>
      </w:pPr>
      <w:r w:rsidRPr="006E08F4">
        <w:rPr>
          <w:rFonts w:ascii="Arial" w:hAnsi="Arial" w:cs="Arial"/>
          <w:b/>
          <w:sz w:val="24"/>
          <w:szCs w:val="24"/>
        </w:rPr>
        <w:t xml:space="preserve">Investment in Sustainable and Electric Vehicles: </w:t>
      </w:r>
      <w:r w:rsidRPr="00BB5D08">
        <w:rPr>
          <w:rFonts w:ascii="Arial" w:hAnsi="Arial" w:cs="Arial"/>
          <w:sz w:val="24"/>
          <w:szCs w:val="24"/>
        </w:rPr>
        <w:t>This recommendation fits with the product development plan when taking the Ansoff Matrix into account. The demand for electric cars is rising as the globe shifts toward sustainability. Toyota may use this to launch new electric car models because to its expertise in hybrid technology. This not only complies with strict environmental requirements but also adapts to changing client demands.</w:t>
      </w: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tabs>
          <w:tab w:val="left" w:pos="1830"/>
        </w:tabs>
        <w:spacing w:line="360" w:lineRule="auto"/>
        <w:jc w:val="both"/>
        <w:rPr>
          <w:rFonts w:ascii="Arial" w:hAnsi="Arial" w:cs="Arial"/>
          <w:sz w:val="24"/>
          <w:szCs w:val="24"/>
        </w:rPr>
      </w:pPr>
    </w:p>
    <w:p w:rsidR="00BB5D08" w:rsidRDefault="00BB5D08" w:rsidP="005B650F">
      <w:pPr>
        <w:pStyle w:val="Heading1"/>
        <w:spacing w:line="360" w:lineRule="auto"/>
        <w:jc w:val="both"/>
        <w:rPr>
          <w:rFonts w:ascii="Arial" w:hAnsi="Arial" w:cs="Arial"/>
          <w:sz w:val="32"/>
          <w:szCs w:val="32"/>
        </w:rPr>
      </w:pPr>
      <w:bookmarkStart w:id="7" w:name="_Toc140887171"/>
      <w:r w:rsidRPr="00E10517">
        <w:rPr>
          <w:rFonts w:ascii="Arial" w:hAnsi="Arial" w:cs="Arial"/>
          <w:sz w:val="32"/>
          <w:szCs w:val="32"/>
        </w:rPr>
        <w:t>References</w:t>
      </w:r>
      <w:bookmarkEnd w:id="7"/>
    </w:p>
    <w:p w:rsidR="00E10517" w:rsidRPr="00E10517" w:rsidRDefault="00E10517" w:rsidP="005B650F">
      <w:pPr>
        <w:spacing w:line="360" w:lineRule="auto"/>
        <w:jc w:val="both"/>
      </w:pPr>
    </w:p>
    <w:p w:rsidR="00BB5D08" w:rsidRDefault="00E10517" w:rsidP="005B650F">
      <w:pPr>
        <w:tabs>
          <w:tab w:val="left" w:pos="1830"/>
        </w:tabs>
        <w:spacing w:line="360" w:lineRule="auto"/>
        <w:jc w:val="both"/>
        <w:rPr>
          <w:rFonts w:ascii="Arial" w:hAnsi="Arial" w:cs="Arial"/>
          <w:sz w:val="24"/>
          <w:szCs w:val="24"/>
        </w:rPr>
      </w:pPr>
      <w:r w:rsidRPr="00E10517">
        <w:rPr>
          <w:rFonts w:ascii="Arial" w:hAnsi="Arial" w:cs="Arial"/>
          <w:sz w:val="24"/>
          <w:szCs w:val="24"/>
        </w:rPr>
        <w:t>Baber, H. (2018). Service quality perception of customers–A study of Toyota motors in India. Organizations and Markets in Emerging Economies, 9(18), 311-323.</w:t>
      </w:r>
    </w:p>
    <w:p w:rsidR="00452F42" w:rsidRPr="00452F42" w:rsidRDefault="00E10517" w:rsidP="005B650F">
      <w:pPr>
        <w:tabs>
          <w:tab w:val="left" w:pos="1830"/>
        </w:tabs>
        <w:spacing w:line="360" w:lineRule="auto"/>
        <w:jc w:val="both"/>
        <w:rPr>
          <w:rFonts w:ascii="Arial" w:hAnsi="Arial" w:cs="Arial"/>
          <w:sz w:val="24"/>
          <w:szCs w:val="24"/>
        </w:rPr>
      </w:pPr>
      <w:r w:rsidRPr="00E10517">
        <w:rPr>
          <w:rFonts w:ascii="Arial" w:hAnsi="Arial" w:cs="Arial"/>
          <w:sz w:val="24"/>
          <w:szCs w:val="24"/>
        </w:rPr>
        <w:t>Dess, G. G., Eisner, A., McNamara, G., (2016), Strategic Management: Texts and Cases, McGraw-Hill</w:t>
      </w:r>
    </w:p>
    <w:p w:rsidR="00452F42" w:rsidRPr="00452F42" w:rsidRDefault="00452F42" w:rsidP="005B650F">
      <w:pPr>
        <w:tabs>
          <w:tab w:val="left" w:pos="1830"/>
        </w:tabs>
        <w:spacing w:line="360" w:lineRule="auto"/>
        <w:jc w:val="both"/>
        <w:rPr>
          <w:rFonts w:ascii="Arial" w:hAnsi="Arial" w:cs="Arial"/>
          <w:sz w:val="24"/>
          <w:szCs w:val="24"/>
        </w:rPr>
      </w:pPr>
      <w:proofErr w:type="spellStart"/>
      <w:r w:rsidRPr="00452F42">
        <w:rPr>
          <w:rFonts w:ascii="Arial" w:hAnsi="Arial" w:cs="Arial"/>
          <w:sz w:val="24"/>
          <w:szCs w:val="24"/>
        </w:rPr>
        <w:t>Cardeal</w:t>
      </w:r>
      <w:proofErr w:type="spellEnd"/>
      <w:r w:rsidRPr="00452F42">
        <w:rPr>
          <w:rFonts w:ascii="Arial" w:hAnsi="Arial" w:cs="Arial"/>
          <w:sz w:val="24"/>
          <w:szCs w:val="24"/>
        </w:rPr>
        <w:t xml:space="preserve">, N. and António, N. (2012). Valuable, rare, Inimitable Resources and Organization (VRIO) Resources or valuable, rare, Inimitable Resources (VRI) capabilities: What Leads to Competitive advantage? </w:t>
      </w:r>
      <w:r w:rsidRPr="00452F42">
        <w:rPr>
          <w:rFonts w:ascii="Arial" w:hAnsi="Arial" w:cs="Arial"/>
          <w:i/>
          <w:iCs/>
          <w:sz w:val="24"/>
          <w:szCs w:val="24"/>
        </w:rPr>
        <w:t>African Journal of Business Management</w:t>
      </w:r>
      <w:r w:rsidRPr="00452F42">
        <w:rPr>
          <w:rFonts w:ascii="Arial" w:hAnsi="Arial" w:cs="Arial"/>
          <w:sz w:val="24"/>
          <w:szCs w:val="24"/>
        </w:rPr>
        <w:t xml:space="preserve">, [online] 6(37), pp.10159–10170. </w:t>
      </w:r>
      <w:proofErr w:type="spellStart"/>
      <w:r w:rsidRPr="00452F42">
        <w:rPr>
          <w:rFonts w:ascii="Arial" w:hAnsi="Arial" w:cs="Arial"/>
          <w:sz w:val="24"/>
          <w:szCs w:val="24"/>
        </w:rPr>
        <w:t>doi:https</w:t>
      </w:r>
      <w:proofErr w:type="spellEnd"/>
      <w:r w:rsidRPr="00452F42">
        <w:rPr>
          <w:rFonts w:ascii="Arial" w:hAnsi="Arial" w:cs="Arial"/>
          <w:sz w:val="24"/>
          <w:szCs w:val="24"/>
        </w:rPr>
        <w:t>://doi.org/10.5897/ajbm12.295.</w:t>
      </w:r>
    </w:p>
    <w:p w:rsidR="00452F42" w:rsidRPr="00452F42" w:rsidRDefault="00452F42" w:rsidP="005B650F">
      <w:pPr>
        <w:tabs>
          <w:tab w:val="left" w:pos="1830"/>
        </w:tabs>
        <w:spacing w:line="360" w:lineRule="auto"/>
        <w:jc w:val="both"/>
        <w:rPr>
          <w:rFonts w:ascii="Arial" w:hAnsi="Arial" w:cs="Arial"/>
          <w:sz w:val="24"/>
          <w:szCs w:val="24"/>
        </w:rPr>
      </w:pPr>
      <w:r w:rsidRPr="00452F42">
        <w:rPr>
          <w:rFonts w:ascii="Arial" w:hAnsi="Arial" w:cs="Arial"/>
          <w:sz w:val="24"/>
          <w:szCs w:val="24"/>
        </w:rPr>
        <w:t xml:space="preserve">Li, Y., Zhan, C., de Jong, M. and </w:t>
      </w:r>
      <w:proofErr w:type="spellStart"/>
      <w:r w:rsidRPr="00452F42">
        <w:rPr>
          <w:rFonts w:ascii="Arial" w:hAnsi="Arial" w:cs="Arial"/>
          <w:sz w:val="24"/>
          <w:szCs w:val="24"/>
        </w:rPr>
        <w:t>Lukszo</w:t>
      </w:r>
      <w:proofErr w:type="spellEnd"/>
      <w:r w:rsidRPr="00452F42">
        <w:rPr>
          <w:rFonts w:ascii="Arial" w:hAnsi="Arial" w:cs="Arial"/>
          <w:sz w:val="24"/>
          <w:szCs w:val="24"/>
        </w:rPr>
        <w:t xml:space="preserve">, Z. (2016). Business innovation and government regulation for the promotion of electric vehicle use: lessons from Shenzhen, China. </w:t>
      </w:r>
      <w:r w:rsidRPr="00452F42">
        <w:rPr>
          <w:rFonts w:ascii="Arial" w:hAnsi="Arial" w:cs="Arial"/>
          <w:i/>
          <w:iCs/>
          <w:sz w:val="24"/>
          <w:szCs w:val="24"/>
        </w:rPr>
        <w:t>Journal of Cleaner Production</w:t>
      </w:r>
      <w:r w:rsidRPr="00452F42">
        <w:rPr>
          <w:rFonts w:ascii="Arial" w:hAnsi="Arial" w:cs="Arial"/>
          <w:sz w:val="24"/>
          <w:szCs w:val="24"/>
        </w:rPr>
        <w:t xml:space="preserve">, 134, pp.371–383. </w:t>
      </w:r>
      <w:proofErr w:type="spellStart"/>
      <w:r w:rsidRPr="00452F42">
        <w:rPr>
          <w:rFonts w:ascii="Arial" w:hAnsi="Arial" w:cs="Arial"/>
          <w:sz w:val="24"/>
          <w:szCs w:val="24"/>
        </w:rPr>
        <w:t>doi:https</w:t>
      </w:r>
      <w:proofErr w:type="spellEnd"/>
      <w:r w:rsidRPr="00452F42">
        <w:rPr>
          <w:rFonts w:ascii="Arial" w:hAnsi="Arial" w:cs="Arial"/>
          <w:sz w:val="24"/>
          <w:szCs w:val="24"/>
        </w:rPr>
        <w:t>://doi.org/10.1016/j.jclepro.2015.10.013.</w:t>
      </w:r>
    </w:p>
    <w:p w:rsidR="00452F42" w:rsidRPr="00452F42" w:rsidRDefault="00452F42" w:rsidP="005B650F">
      <w:pPr>
        <w:tabs>
          <w:tab w:val="left" w:pos="1830"/>
        </w:tabs>
        <w:spacing w:line="360" w:lineRule="auto"/>
        <w:jc w:val="both"/>
        <w:rPr>
          <w:rFonts w:ascii="Arial" w:hAnsi="Arial" w:cs="Arial"/>
          <w:sz w:val="24"/>
          <w:szCs w:val="24"/>
        </w:rPr>
      </w:pPr>
      <w:proofErr w:type="spellStart"/>
      <w:r w:rsidRPr="00452F42">
        <w:rPr>
          <w:rFonts w:ascii="Arial" w:hAnsi="Arial" w:cs="Arial"/>
          <w:sz w:val="24"/>
          <w:szCs w:val="24"/>
        </w:rPr>
        <w:lastRenderedPageBreak/>
        <w:t>Soegoto</w:t>
      </w:r>
      <w:proofErr w:type="spellEnd"/>
      <w:r w:rsidRPr="00452F42">
        <w:rPr>
          <w:rFonts w:ascii="Arial" w:hAnsi="Arial" w:cs="Arial"/>
          <w:sz w:val="24"/>
          <w:szCs w:val="24"/>
        </w:rPr>
        <w:t xml:space="preserve">, E.S., </w:t>
      </w:r>
      <w:proofErr w:type="spellStart"/>
      <w:r w:rsidRPr="00452F42">
        <w:rPr>
          <w:rFonts w:ascii="Arial" w:hAnsi="Arial" w:cs="Arial"/>
          <w:sz w:val="24"/>
          <w:szCs w:val="24"/>
        </w:rPr>
        <w:t>Utami</w:t>
      </w:r>
      <w:proofErr w:type="spellEnd"/>
      <w:r w:rsidRPr="00452F42">
        <w:rPr>
          <w:rFonts w:ascii="Arial" w:hAnsi="Arial" w:cs="Arial"/>
          <w:sz w:val="24"/>
          <w:szCs w:val="24"/>
        </w:rPr>
        <w:t xml:space="preserve">, R.D. and </w:t>
      </w:r>
      <w:proofErr w:type="spellStart"/>
      <w:r w:rsidRPr="00452F42">
        <w:rPr>
          <w:rFonts w:ascii="Arial" w:hAnsi="Arial" w:cs="Arial"/>
          <w:sz w:val="24"/>
          <w:szCs w:val="24"/>
        </w:rPr>
        <w:t>Hermawan</w:t>
      </w:r>
      <w:proofErr w:type="spellEnd"/>
      <w:r w:rsidRPr="00452F42">
        <w:rPr>
          <w:rFonts w:ascii="Arial" w:hAnsi="Arial" w:cs="Arial"/>
          <w:sz w:val="24"/>
          <w:szCs w:val="24"/>
        </w:rPr>
        <w:t xml:space="preserve">, Y.A. (2019). Influence of artificial intelligence in automotive industry. </w:t>
      </w:r>
      <w:r w:rsidRPr="00452F42">
        <w:rPr>
          <w:rFonts w:ascii="Arial" w:hAnsi="Arial" w:cs="Arial"/>
          <w:i/>
          <w:iCs/>
          <w:sz w:val="24"/>
          <w:szCs w:val="24"/>
        </w:rPr>
        <w:t>Journal of Physics: Conference Series</w:t>
      </w:r>
      <w:r w:rsidRPr="00452F42">
        <w:rPr>
          <w:rFonts w:ascii="Arial" w:hAnsi="Arial" w:cs="Arial"/>
          <w:sz w:val="24"/>
          <w:szCs w:val="24"/>
        </w:rPr>
        <w:t xml:space="preserve">, 1402(6), p.066081. </w:t>
      </w:r>
      <w:proofErr w:type="spellStart"/>
      <w:r w:rsidRPr="00452F42">
        <w:rPr>
          <w:rFonts w:ascii="Arial" w:hAnsi="Arial" w:cs="Arial"/>
          <w:sz w:val="24"/>
          <w:szCs w:val="24"/>
        </w:rPr>
        <w:t>doi:https</w:t>
      </w:r>
      <w:proofErr w:type="spellEnd"/>
      <w:r w:rsidRPr="00452F42">
        <w:rPr>
          <w:rFonts w:ascii="Arial" w:hAnsi="Arial" w:cs="Arial"/>
          <w:sz w:val="24"/>
          <w:szCs w:val="24"/>
        </w:rPr>
        <w:t>://doi.org/10.1088/1742-6596/1402/6/066081.</w:t>
      </w:r>
    </w:p>
    <w:p w:rsidR="00452F42" w:rsidRPr="00452F42" w:rsidRDefault="00452F42" w:rsidP="005B650F">
      <w:pPr>
        <w:tabs>
          <w:tab w:val="left" w:pos="1830"/>
        </w:tabs>
        <w:spacing w:line="360" w:lineRule="auto"/>
        <w:jc w:val="both"/>
        <w:rPr>
          <w:rFonts w:ascii="Arial" w:hAnsi="Arial" w:cs="Arial"/>
          <w:sz w:val="24"/>
          <w:szCs w:val="24"/>
        </w:rPr>
      </w:pPr>
      <w:r w:rsidRPr="00452F42">
        <w:rPr>
          <w:rFonts w:ascii="Arial" w:hAnsi="Arial" w:cs="Arial"/>
          <w:sz w:val="24"/>
          <w:szCs w:val="24"/>
        </w:rPr>
        <w:t xml:space="preserve">Yin, N. (2019). Application of AHP-Ansoff Matrix Analysis in Business Diversification: The case of Evergrande Group. </w:t>
      </w:r>
      <w:r w:rsidRPr="00452F42">
        <w:rPr>
          <w:rFonts w:ascii="Arial" w:hAnsi="Arial" w:cs="Arial"/>
          <w:i/>
          <w:iCs/>
          <w:sz w:val="24"/>
          <w:szCs w:val="24"/>
        </w:rPr>
        <w:t>MATEC Web of Conferences</w:t>
      </w:r>
      <w:r w:rsidRPr="00452F42">
        <w:rPr>
          <w:rFonts w:ascii="Arial" w:hAnsi="Arial" w:cs="Arial"/>
          <w:sz w:val="24"/>
          <w:szCs w:val="24"/>
        </w:rPr>
        <w:t>, [online] 44, p.01006. Available at: https://www.matec-conferences.org/articles/matecconf/pdf/2016/07/matecconf_iceice2016_01006.pdf.</w:t>
      </w:r>
    </w:p>
    <w:p w:rsidR="00452F42" w:rsidRPr="00E10517" w:rsidRDefault="00452F42" w:rsidP="005B650F">
      <w:pPr>
        <w:tabs>
          <w:tab w:val="left" w:pos="1830"/>
        </w:tabs>
        <w:spacing w:line="360" w:lineRule="auto"/>
        <w:jc w:val="both"/>
        <w:rPr>
          <w:rFonts w:ascii="Arial" w:hAnsi="Arial" w:cs="Arial"/>
          <w:sz w:val="24"/>
          <w:szCs w:val="24"/>
        </w:rPr>
      </w:pPr>
      <w:proofErr w:type="spellStart"/>
      <w:r w:rsidRPr="00452F42">
        <w:rPr>
          <w:rFonts w:ascii="Arial" w:hAnsi="Arial" w:cs="Arial"/>
          <w:sz w:val="24"/>
          <w:szCs w:val="24"/>
        </w:rPr>
        <w:t>Yuksel</w:t>
      </w:r>
      <w:proofErr w:type="spellEnd"/>
      <w:r w:rsidRPr="00452F42">
        <w:rPr>
          <w:rFonts w:ascii="Arial" w:hAnsi="Arial" w:cs="Arial"/>
          <w:sz w:val="24"/>
          <w:szCs w:val="24"/>
        </w:rPr>
        <w:t xml:space="preserve">, I. (2019). Developing a Multi-Criteria Decision Making Model for PESTEL Analysis. </w:t>
      </w:r>
      <w:r w:rsidRPr="00452F42">
        <w:rPr>
          <w:rFonts w:ascii="Arial" w:hAnsi="Arial" w:cs="Arial"/>
          <w:i/>
          <w:iCs/>
          <w:sz w:val="24"/>
          <w:szCs w:val="24"/>
        </w:rPr>
        <w:t>International Journal of Business and Management</w:t>
      </w:r>
      <w:r w:rsidRPr="00452F42">
        <w:rPr>
          <w:rFonts w:ascii="Arial" w:hAnsi="Arial" w:cs="Arial"/>
          <w:sz w:val="24"/>
          <w:szCs w:val="24"/>
        </w:rPr>
        <w:t>, 7(24), pp.52–66.</w:t>
      </w:r>
    </w:p>
    <w:p w:rsidR="00E10517" w:rsidRPr="00E10517" w:rsidRDefault="00E10517" w:rsidP="005B650F">
      <w:pPr>
        <w:tabs>
          <w:tab w:val="left" w:pos="1830"/>
        </w:tabs>
        <w:spacing w:line="360" w:lineRule="auto"/>
        <w:jc w:val="both"/>
        <w:rPr>
          <w:rFonts w:ascii="Arial" w:hAnsi="Arial" w:cs="Arial"/>
          <w:sz w:val="24"/>
          <w:szCs w:val="24"/>
        </w:rPr>
      </w:pPr>
      <w:r w:rsidRPr="00E10517">
        <w:rPr>
          <w:rFonts w:ascii="Arial" w:hAnsi="Arial" w:cs="Arial"/>
          <w:sz w:val="24"/>
          <w:szCs w:val="24"/>
        </w:rPr>
        <w:t>Garner, J., Stead, W., Stead, E., (2014), Sustainable Strategic Management 2nd edition, London: England: Greenleaf Pub.</w:t>
      </w:r>
    </w:p>
    <w:p w:rsidR="00E10517" w:rsidRPr="00E10517" w:rsidRDefault="00E10517" w:rsidP="005B650F">
      <w:pPr>
        <w:tabs>
          <w:tab w:val="left" w:pos="1830"/>
        </w:tabs>
        <w:spacing w:line="360" w:lineRule="auto"/>
        <w:jc w:val="both"/>
        <w:rPr>
          <w:rFonts w:ascii="Arial" w:hAnsi="Arial" w:cs="Arial"/>
          <w:sz w:val="24"/>
          <w:szCs w:val="24"/>
        </w:rPr>
      </w:pPr>
      <w:r w:rsidRPr="00E10517">
        <w:rPr>
          <w:rFonts w:ascii="Arial" w:hAnsi="Arial" w:cs="Arial"/>
          <w:sz w:val="24"/>
          <w:szCs w:val="24"/>
        </w:rPr>
        <w:t>Grant, R.M., (2015), Contemporary Strategy Analysis: Texts and Cases 9th edition</w:t>
      </w:r>
    </w:p>
    <w:p w:rsidR="00E10517" w:rsidRPr="00E10517" w:rsidRDefault="00E10517" w:rsidP="005B650F">
      <w:pPr>
        <w:tabs>
          <w:tab w:val="left" w:pos="1830"/>
        </w:tabs>
        <w:spacing w:line="360" w:lineRule="auto"/>
        <w:jc w:val="both"/>
        <w:rPr>
          <w:rFonts w:ascii="Arial" w:hAnsi="Arial" w:cs="Arial"/>
          <w:sz w:val="24"/>
          <w:szCs w:val="24"/>
        </w:rPr>
      </w:pPr>
      <w:r w:rsidRPr="00E10517">
        <w:rPr>
          <w:rFonts w:ascii="Arial" w:hAnsi="Arial" w:cs="Arial"/>
          <w:sz w:val="24"/>
          <w:szCs w:val="24"/>
        </w:rPr>
        <w:t>Hayes, J., (2014), The Theory and Practice of Change Management 4th edition, Palgrave</w:t>
      </w:r>
    </w:p>
    <w:p w:rsidR="00E10517" w:rsidRPr="00E10517" w:rsidRDefault="00E10517" w:rsidP="005B650F">
      <w:pPr>
        <w:tabs>
          <w:tab w:val="left" w:pos="1830"/>
        </w:tabs>
        <w:spacing w:line="360" w:lineRule="auto"/>
        <w:jc w:val="both"/>
        <w:rPr>
          <w:rFonts w:ascii="Arial" w:hAnsi="Arial" w:cs="Arial"/>
          <w:sz w:val="24"/>
          <w:szCs w:val="24"/>
        </w:rPr>
      </w:pPr>
      <w:r w:rsidRPr="00E10517">
        <w:rPr>
          <w:rFonts w:ascii="Arial" w:hAnsi="Arial" w:cs="Arial"/>
          <w:sz w:val="24"/>
          <w:szCs w:val="24"/>
        </w:rPr>
        <w:t xml:space="preserve">Johnson, G., Whittington, R., Scholes, K., Angwin, D., </w:t>
      </w:r>
      <w:proofErr w:type="spellStart"/>
      <w:r w:rsidRPr="00E10517">
        <w:rPr>
          <w:rFonts w:ascii="Arial" w:hAnsi="Arial" w:cs="Arial"/>
          <w:sz w:val="24"/>
          <w:szCs w:val="24"/>
        </w:rPr>
        <w:t>Regner</w:t>
      </w:r>
      <w:proofErr w:type="spellEnd"/>
      <w:r w:rsidRPr="00E10517">
        <w:rPr>
          <w:rFonts w:ascii="Arial" w:hAnsi="Arial" w:cs="Arial"/>
          <w:sz w:val="24"/>
          <w:szCs w:val="24"/>
        </w:rPr>
        <w:t>, P., (2017), Exploring Strategy Text and Cases 11th edition Harlow: Pearson</w:t>
      </w:r>
    </w:p>
    <w:p w:rsidR="00E10517" w:rsidRDefault="00E10517" w:rsidP="005B650F">
      <w:pPr>
        <w:tabs>
          <w:tab w:val="left" w:pos="1830"/>
        </w:tabs>
        <w:spacing w:line="360" w:lineRule="auto"/>
        <w:jc w:val="both"/>
        <w:rPr>
          <w:rFonts w:ascii="Arial" w:hAnsi="Arial" w:cs="Arial"/>
          <w:sz w:val="24"/>
          <w:szCs w:val="24"/>
        </w:rPr>
      </w:pPr>
      <w:r w:rsidRPr="00E10517">
        <w:rPr>
          <w:rFonts w:ascii="Arial" w:hAnsi="Arial" w:cs="Arial"/>
          <w:sz w:val="24"/>
          <w:szCs w:val="24"/>
        </w:rPr>
        <w:t>Lynch, R., (2015), Strategic Management 7th edition, Pearson: Harlow</w:t>
      </w:r>
    </w:p>
    <w:p w:rsidR="0006494F" w:rsidRPr="00EE6A12" w:rsidRDefault="007269E8" w:rsidP="005B650F">
      <w:pPr>
        <w:tabs>
          <w:tab w:val="left" w:pos="1830"/>
        </w:tabs>
        <w:spacing w:line="360" w:lineRule="auto"/>
        <w:jc w:val="both"/>
        <w:rPr>
          <w:rFonts w:ascii="Arial" w:hAnsi="Arial" w:cs="Arial"/>
          <w:sz w:val="24"/>
          <w:szCs w:val="24"/>
        </w:rPr>
      </w:pP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Abdelkader, G., </w:t>
      </w:r>
      <w:proofErr w:type="spellStart"/>
      <w:r w:rsidRPr="00EE6A12">
        <w:rPr>
          <w:rFonts w:ascii="Arial" w:hAnsi="Arial" w:cs="Arial"/>
          <w:sz w:val="24"/>
          <w:szCs w:val="24"/>
        </w:rPr>
        <w:t>Elgazzar</w:t>
      </w:r>
      <w:proofErr w:type="spellEnd"/>
      <w:r w:rsidRPr="00EE6A12">
        <w:rPr>
          <w:rFonts w:ascii="Arial" w:hAnsi="Arial" w:cs="Arial"/>
          <w:sz w:val="24"/>
          <w:szCs w:val="24"/>
        </w:rPr>
        <w:t xml:space="preserve">, K. and Khamis, A. (2021). Connected Vehicles: Technology Review, State of the Art, Challenges and Opportunities. Sensors, 21(22), p.7712. </w:t>
      </w:r>
      <w:proofErr w:type="spellStart"/>
      <w:r w:rsidRPr="00EE6A12">
        <w:rPr>
          <w:rFonts w:ascii="Arial" w:hAnsi="Arial" w:cs="Arial"/>
          <w:sz w:val="24"/>
          <w:szCs w:val="24"/>
        </w:rPr>
        <w:t>doi:https</w:t>
      </w:r>
      <w:proofErr w:type="spellEnd"/>
      <w:r w:rsidRPr="00EE6A12">
        <w:rPr>
          <w:rFonts w:ascii="Arial" w:hAnsi="Arial" w:cs="Arial"/>
          <w:sz w:val="24"/>
          <w:szCs w:val="24"/>
        </w:rPr>
        <w:t>://doi.org/10.3390/s21227712.</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Albert, C.L., Rubio, F. and Valero, F. (2021). Impact of digital transformation on the automotive industry. Technological Forecasting and Social Change, [online] 162, p.120343. </w:t>
      </w:r>
      <w:proofErr w:type="spellStart"/>
      <w:r w:rsidRPr="00EE6A12">
        <w:rPr>
          <w:rFonts w:ascii="Arial" w:hAnsi="Arial" w:cs="Arial"/>
          <w:sz w:val="24"/>
          <w:szCs w:val="24"/>
        </w:rPr>
        <w:t>doi:https</w:t>
      </w:r>
      <w:proofErr w:type="spellEnd"/>
      <w:r w:rsidRPr="00EE6A12">
        <w:rPr>
          <w:rFonts w:ascii="Arial" w:hAnsi="Arial" w:cs="Arial"/>
          <w:sz w:val="24"/>
          <w:szCs w:val="24"/>
        </w:rPr>
        <w:t>://doi.org/10.1016/j.techfore.2020.120343.</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Alves, C., </w:t>
      </w:r>
      <w:proofErr w:type="spellStart"/>
      <w:r w:rsidRPr="00EE6A12">
        <w:rPr>
          <w:rFonts w:ascii="Arial" w:hAnsi="Arial" w:cs="Arial"/>
          <w:sz w:val="24"/>
          <w:szCs w:val="24"/>
        </w:rPr>
        <w:t>Custódio</w:t>
      </w:r>
      <w:proofErr w:type="spellEnd"/>
      <w:r w:rsidRPr="00EE6A12">
        <w:rPr>
          <w:rFonts w:ascii="Arial" w:hAnsi="Arial" w:cs="Arial"/>
          <w:sz w:val="24"/>
          <w:szCs w:val="24"/>
        </w:rPr>
        <w:t xml:space="preserve">, T., Silva, P., Silva, J., Rodrigues, C., </w:t>
      </w:r>
      <w:proofErr w:type="spellStart"/>
      <w:r w:rsidRPr="00EE6A12">
        <w:rPr>
          <w:rFonts w:ascii="Arial" w:hAnsi="Arial" w:cs="Arial"/>
          <w:sz w:val="24"/>
          <w:szCs w:val="24"/>
        </w:rPr>
        <w:t>Lourenço</w:t>
      </w:r>
      <w:proofErr w:type="spellEnd"/>
      <w:r w:rsidRPr="00EE6A12">
        <w:rPr>
          <w:rFonts w:ascii="Arial" w:hAnsi="Arial" w:cs="Arial"/>
          <w:sz w:val="24"/>
          <w:szCs w:val="24"/>
        </w:rPr>
        <w:t xml:space="preserve">, R., Pessoa, R., Moreira, F., Marques, R., Tomé, G. and Falcao, G. (2021). </w:t>
      </w:r>
      <w:proofErr w:type="spellStart"/>
      <w:r w:rsidRPr="00EE6A12">
        <w:rPr>
          <w:rFonts w:ascii="Arial" w:hAnsi="Arial" w:cs="Arial"/>
          <w:sz w:val="24"/>
          <w:szCs w:val="24"/>
        </w:rPr>
        <w:t>smartPlastic</w:t>
      </w:r>
      <w:proofErr w:type="spellEnd"/>
      <w:r w:rsidRPr="00EE6A12">
        <w:rPr>
          <w:rFonts w:ascii="Arial" w:hAnsi="Arial" w:cs="Arial"/>
          <w:sz w:val="24"/>
          <w:szCs w:val="24"/>
        </w:rPr>
        <w:t xml:space="preserve">: Innovative </w:t>
      </w:r>
      <w:r w:rsidRPr="00EE6A12">
        <w:rPr>
          <w:rFonts w:ascii="Arial" w:hAnsi="Arial" w:cs="Arial"/>
          <w:sz w:val="24"/>
          <w:szCs w:val="24"/>
        </w:rPr>
        <w:lastRenderedPageBreak/>
        <w:t xml:space="preserve">Touch-Based Human-Vehicle Interface Sensors for the Automotive Industry. Electronics, [online] 10(11), p.1233. </w:t>
      </w:r>
      <w:proofErr w:type="spellStart"/>
      <w:r w:rsidRPr="00EE6A12">
        <w:rPr>
          <w:rFonts w:ascii="Arial" w:hAnsi="Arial" w:cs="Arial"/>
          <w:sz w:val="24"/>
          <w:szCs w:val="24"/>
        </w:rPr>
        <w:t>doi:https</w:t>
      </w:r>
      <w:proofErr w:type="spellEnd"/>
      <w:r w:rsidRPr="00EE6A12">
        <w:rPr>
          <w:rFonts w:ascii="Arial" w:hAnsi="Arial" w:cs="Arial"/>
          <w:sz w:val="24"/>
          <w:szCs w:val="24"/>
        </w:rPr>
        <w:t>://doi.org/10.3390/electronics10111233.</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Amah, E. and </w:t>
      </w:r>
      <w:proofErr w:type="spellStart"/>
      <w:r w:rsidRPr="00EE6A12">
        <w:rPr>
          <w:rFonts w:ascii="Arial" w:hAnsi="Arial" w:cs="Arial"/>
          <w:sz w:val="24"/>
          <w:szCs w:val="24"/>
        </w:rPr>
        <w:t>Nwuche</w:t>
      </w:r>
      <w:proofErr w:type="spellEnd"/>
      <w:r w:rsidRPr="00EE6A12">
        <w:rPr>
          <w:rFonts w:ascii="Arial" w:hAnsi="Arial" w:cs="Arial"/>
          <w:sz w:val="24"/>
          <w:szCs w:val="24"/>
        </w:rPr>
        <w:t xml:space="preserve">, C.A. (2013). The Influence of Size on Corporate Culture and Organizational Effectiveness in the Nigerian Banking Industry. International Journal of Business Administration, 4(5). </w:t>
      </w:r>
      <w:proofErr w:type="spellStart"/>
      <w:r w:rsidRPr="00EE6A12">
        <w:rPr>
          <w:rFonts w:ascii="Arial" w:hAnsi="Arial" w:cs="Arial"/>
          <w:sz w:val="24"/>
          <w:szCs w:val="24"/>
        </w:rPr>
        <w:t>doi:https</w:t>
      </w:r>
      <w:proofErr w:type="spellEnd"/>
      <w:r w:rsidRPr="00EE6A12">
        <w:rPr>
          <w:rFonts w:ascii="Arial" w:hAnsi="Arial" w:cs="Arial"/>
          <w:sz w:val="24"/>
          <w:szCs w:val="24"/>
        </w:rPr>
        <w:t>://doi.org/10.5430/ijba.v4n5p15.</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Bon, A. and </w:t>
      </w:r>
      <w:proofErr w:type="spellStart"/>
      <w:r w:rsidRPr="00EE6A12">
        <w:rPr>
          <w:rFonts w:ascii="Arial" w:hAnsi="Arial" w:cs="Arial"/>
          <w:sz w:val="24"/>
          <w:szCs w:val="24"/>
        </w:rPr>
        <w:t>Garai</w:t>
      </w:r>
      <w:proofErr w:type="spellEnd"/>
      <w:r w:rsidRPr="00EE6A12">
        <w:rPr>
          <w:rFonts w:ascii="Arial" w:hAnsi="Arial" w:cs="Arial"/>
          <w:sz w:val="24"/>
          <w:szCs w:val="24"/>
        </w:rPr>
        <w:t>, A. (n.d.). JUST IN TIME APPROACH IN INVENTORY MANAGEMENT. [online] Available at: https://core.ac.uk/download/pdf/12006751.pdf.</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t>Camuffo</w:t>
      </w:r>
      <w:proofErr w:type="spellEnd"/>
      <w:r w:rsidRPr="00EE6A12">
        <w:rPr>
          <w:rFonts w:ascii="Arial" w:hAnsi="Arial" w:cs="Arial"/>
          <w:sz w:val="24"/>
          <w:szCs w:val="24"/>
        </w:rPr>
        <w:t xml:space="preserve">, A. and Wilhelm, M. (2016). Complementarities and organizational (Mis)fit: a retrospective analysis of the Toyota recall crisis. Journal of Organization Design, [online] 5(1). </w:t>
      </w:r>
      <w:proofErr w:type="spellStart"/>
      <w:r w:rsidRPr="00EE6A12">
        <w:rPr>
          <w:rFonts w:ascii="Arial" w:hAnsi="Arial" w:cs="Arial"/>
          <w:sz w:val="24"/>
          <w:szCs w:val="24"/>
        </w:rPr>
        <w:t>doi:https</w:t>
      </w:r>
      <w:proofErr w:type="spellEnd"/>
      <w:r w:rsidRPr="00EE6A12">
        <w:rPr>
          <w:rFonts w:ascii="Arial" w:hAnsi="Arial" w:cs="Arial"/>
          <w:sz w:val="24"/>
          <w:szCs w:val="24"/>
        </w:rPr>
        <w:t>://doi.org/10.1186/s41469-016-0006-6.</w:t>
      </w:r>
    </w:p>
    <w:p w:rsidR="000B0CCD"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Carlucci, F., </w:t>
      </w:r>
      <w:proofErr w:type="spellStart"/>
      <w:r w:rsidRPr="00EE6A12">
        <w:rPr>
          <w:rFonts w:ascii="Arial" w:hAnsi="Arial" w:cs="Arial"/>
          <w:sz w:val="24"/>
          <w:szCs w:val="24"/>
        </w:rPr>
        <w:t>Cirà</w:t>
      </w:r>
      <w:proofErr w:type="spellEnd"/>
      <w:r w:rsidRPr="00EE6A12">
        <w:rPr>
          <w:rFonts w:ascii="Arial" w:hAnsi="Arial" w:cs="Arial"/>
          <w:sz w:val="24"/>
          <w:szCs w:val="24"/>
        </w:rPr>
        <w:t xml:space="preserve">, A. and Lanza, G. (2018). Hybrid Electric Vehicles: Some Theoretical Considerations on Consumption </w:t>
      </w:r>
      <w:proofErr w:type="spellStart"/>
      <w:r w:rsidRPr="00EE6A12">
        <w:rPr>
          <w:rFonts w:ascii="Arial" w:hAnsi="Arial" w:cs="Arial"/>
          <w:sz w:val="24"/>
          <w:szCs w:val="24"/>
        </w:rPr>
        <w:t>Behaviour</w:t>
      </w:r>
      <w:proofErr w:type="spellEnd"/>
      <w:r w:rsidRPr="00EE6A12">
        <w:rPr>
          <w:rFonts w:ascii="Arial" w:hAnsi="Arial" w:cs="Arial"/>
          <w:sz w:val="24"/>
          <w:szCs w:val="24"/>
        </w:rPr>
        <w:t xml:space="preserve">. Sustainability, 10(4), p.1302. </w:t>
      </w:r>
      <w:proofErr w:type="spellStart"/>
      <w:r w:rsidRPr="00EE6A12">
        <w:rPr>
          <w:rFonts w:ascii="Arial" w:hAnsi="Arial" w:cs="Arial"/>
          <w:sz w:val="24"/>
          <w:szCs w:val="24"/>
        </w:rPr>
        <w:t>doi:https</w:t>
      </w:r>
      <w:proofErr w:type="spellEnd"/>
      <w:r w:rsidRPr="00EE6A12">
        <w:rPr>
          <w:rFonts w:ascii="Arial" w:hAnsi="Arial" w:cs="Arial"/>
          <w:sz w:val="24"/>
          <w:szCs w:val="24"/>
        </w:rPr>
        <w:t>://doi.org/10.3390/su10041302.</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t>Demmers</w:t>
      </w:r>
      <w:proofErr w:type="spellEnd"/>
      <w:r w:rsidRPr="00EE6A12">
        <w:rPr>
          <w:rFonts w:ascii="Arial" w:hAnsi="Arial" w:cs="Arial"/>
          <w:sz w:val="24"/>
          <w:szCs w:val="24"/>
        </w:rPr>
        <w:t xml:space="preserve">, J., van </w:t>
      </w:r>
      <w:proofErr w:type="spellStart"/>
      <w:r w:rsidRPr="00EE6A12">
        <w:rPr>
          <w:rFonts w:ascii="Arial" w:hAnsi="Arial" w:cs="Arial"/>
          <w:sz w:val="24"/>
          <w:szCs w:val="24"/>
        </w:rPr>
        <w:t>Dolen</w:t>
      </w:r>
      <w:proofErr w:type="spellEnd"/>
      <w:r w:rsidRPr="00EE6A12">
        <w:rPr>
          <w:rFonts w:ascii="Arial" w:hAnsi="Arial" w:cs="Arial"/>
          <w:sz w:val="24"/>
          <w:szCs w:val="24"/>
        </w:rPr>
        <w:t xml:space="preserve">, W.M. and </w:t>
      </w:r>
      <w:proofErr w:type="spellStart"/>
      <w:r w:rsidRPr="00EE6A12">
        <w:rPr>
          <w:rFonts w:ascii="Arial" w:hAnsi="Arial" w:cs="Arial"/>
          <w:sz w:val="24"/>
          <w:szCs w:val="24"/>
        </w:rPr>
        <w:t>Weltevreden</w:t>
      </w:r>
      <w:proofErr w:type="spellEnd"/>
      <w:r w:rsidRPr="00EE6A12">
        <w:rPr>
          <w:rFonts w:ascii="Arial" w:hAnsi="Arial" w:cs="Arial"/>
          <w:sz w:val="24"/>
          <w:szCs w:val="24"/>
        </w:rPr>
        <w:t xml:space="preserve">, J.W.J. (2018). Handling Consumer Messages on Social Networking Sites: Customer Service or Privacy Infringement? International Journal of Electronic Commerce, [online] 22(1), pp.8–35. </w:t>
      </w:r>
      <w:proofErr w:type="spellStart"/>
      <w:r w:rsidRPr="00EE6A12">
        <w:rPr>
          <w:rFonts w:ascii="Arial" w:hAnsi="Arial" w:cs="Arial"/>
          <w:sz w:val="24"/>
          <w:szCs w:val="24"/>
        </w:rPr>
        <w:t>doi:https</w:t>
      </w:r>
      <w:proofErr w:type="spellEnd"/>
      <w:r w:rsidRPr="00EE6A12">
        <w:rPr>
          <w:rFonts w:ascii="Arial" w:hAnsi="Arial" w:cs="Arial"/>
          <w:sz w:val="24"/>
          <w:szCs w:val="24"/>
        </w:rPr>
        <w:t>://doi.org/10.1080/10864415.2018.1396110.</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Govindan, K., Shaw, M. and Majumdar, A. (2020). Social Sustainability Tensions in Multi-tier Supply Chain: A Systematic Literature Review towards Conceptual Framework Development. Journal of Cleaner Production, [online] 279, p.123075. </w:t>
      </w:r>
      <w:proofErr w:type="spellStart"/>
      <w:r w:rsidRPr="00EE6A12">
        <w:rPr>
          <w:rFonts w:ascii="Arial" w:hAnsi="Arial" w:cs="Arial"/>
          <w:sz w:val="24"/>
          <w:szCs w:val="24"/>
        </w:rPr>
        <w:t>doi:https</w:t>
      </w:r>
      <w:proofErr w:type="spellEnd"/>
      <w:r w:rsidRPr="00EE6A12">
        <w:rPr>
          <w:rFonts w:ascii="Arial" w:hAnsi="Arial" w:cs="Arial"/>
          <w:sz w:val="24"/>
          <w:szCs w:val="24"/>
        </w:rPr>
        <w:t>://doi.org/10.1016/j.jclepro.2020.123075.</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Gregory, L. (2018). Toyota’s Organizational Structure: An Analysis. [online] </w:t>
      </w:r>
      <w:proofErr w:type="spellStart"/>
      <w:r w:rsidRPr="00EE6A12">
        <w:rPr>
          <w:rFonts w:ascii="Arial" w:hAnsi="Arial" w:cs="Arial"/>
          <w:sz w:val="24"/>
          <w:szCs w:val="24"/>
        </w:rPr>
        <w:t>Panmore</w:t>
      </w:r>
      <w:proofErr w:type="spellEnd"/>
      <w:r w:rsidRPr="00EE6A12">
        <w:rPr>
          <w:rFonts w:ascii="Arial" w:hAnsi="Arial" w:cs="Arial"/>
          <w:sz w:val="24"/>
          <w:szCs w:val="24"/>
        </w:rPr>
        <w:t xml:space="preserve"> Institute. Available at: </w:t>
      </w:r>
      <w:hyperlink r:id="rId10" w:history="1">
        <w:r w:rsidRPr="00EE6A12">
          <w:rPr>
            <w:rStyle w:val="Hyperlink"/>
            <w:rFonts w:ascii="Arial" w:hAnsi="Arial" w:cs="Arial"/>
            <w:sz w:val="24"/>
            <w:szCs w:val="24"/>
          </w:rPr>
          <w:t>https://panmore.com/toyota-organizational-structure-analysis</w:t>
        </w:r>
      </w:hyperlink>
      <w:r w:rsidRPr="00EE6A12">
        <w:rPr>
          <w:rFonts w:ascii="Arial" w:hAnsi="Arial" w:cs="Arial"/>
          <w:sz w:val="24"/>
          <w:szCs w:val="24"/>
        </w:rPr>
        <w:t>.</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Henriques, A.C. and Winkler, I. (2021). The Advancement of Virtual Reality in Automotive Market Research: Challenges and Opportunities. Applied Sciences, 11(24), p.11610. </w:t>
      </w:r>
      <w:proofErr w:type="spellStart"/>
      <w:r w:rsidRPr="00EE6A12">
        <w:rPr>
          <w:rFonts w:ascii="Arial" w:hAnsi="Arial" w:cs="Arial"/>
          <w:sz w:val="24"/>
          <w:szCs w:val="24"/>
        </w:rPr>
        <w:t>doi:https</w:t>
      </w:r>
      <w:proofErr w:type="spellEnd"/>
      <w:r w:rsidRPr="00EE6A12">
        <w:rPr>
          <w:rFonts w:ascii="Arial" w:hAnsi="Arial" w:cs="Arial"/>
          <w:sz w:val="24"/>
          <w:szCs w:val="24"/>
        </w:rPr>
        <w:t>://doi.org/10.3390/app112411610.</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lastRenderedPageBreak/>
        <w:t>Hoeft</w:t>
      </w:r>
      <w:proofErr w:type="spellEnd"/>
      <w:r w:rsidRPr="00EE6A12">
        <w:rPr>
          <w:rFonts w:ascii="Arial" w:hAnsi="Arial" w:cs="Arial"/>
          <w:sz w:val="24"/>
          <w:szCs w:val="24"/>
        </w:rPr>
        <w:t>, F. (2021). The case of sales in the automotive industry during the COVID</w:t>
      </w:r>
      <w:r w:rsidRPr="00EE6A12">
        <w:rPr>
          <w:rFonts w:ascii="Cambria Math" w:hAnsi="Cambria Math" w:cs="Cambria Math"/>
          <w:sz w:val="24"/>
          <w:szCs w:val="24"/>
        </w:rPr>
        <w:t>‐</w:t>
      </w:r>
      <w:r w:rsidRPr="00EE6A12">
        <w:rPr>
          <w:rFonts w:ascii="Arial" w:hAnsi="Arial" w:cs="Arial"/>
          <w:sz w:val="24"/>
          <w:szCs w:val="24"/>
        </w:rPr>
        <w:t xml:space="preserve">19 pandemic. Strategic Change, [online] 30(2), pp.117–125. </w:t>
      </w:r>
      <w:proofErr w:type="spellStart"/>
      <w:r w:rsidRPr="00EE6A12">
        <w:rPr>
          <w:rFonts w:ascii="Arial" w:hAnsi="Arial" w:cs="Arial"/>
          <w:sz w:val="24"/>
          <w:szCs w:val="24"/>
        </w:rPr>
        <w:t>doi:https</w:t>
      </w:r>
      <w:proofErr w:type="spellEnd"/>
      <w:r w:rsidRPr="00EE6A12">
        <w:rPr>
          <w:rFonts w:ascii="Arial" w:hAnsi="Arial" w:cs="Arial"/>
          <w:sz w:val="24"/>
          <w:szCs w:val="24"/>
        </w:rPr>
        <w:t>://doi.org/10.1002/jsc.2395.</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Hong, J. and Kim, B. (2020). Service Quality, Relationship Benefit and Experience Value in the Auto Repair Services Sector. Journal of Open Innovation: Technology, Market, and Complexity, 6(2), p.30. </w:t>
      </w:r>
      <w:proofErr w:type="spellStart"/>
      <w:r w:rsidRPr="00EE6A12">
        <w:rPr>
          <w:rFonts w:ascii="Arial" w:hAnsi="Arial" w:cs="Arial"/>
          <w:sz w:val="24"/>
          <w:szCs w:val="24"/>
        </w:rPr>
        <w:t>doi:https</w:t>
      </w:r>
      <w:proofErr w:type="spellEnd"/>
      <w:r w:rsidRPr="00EE6A12">
        <w:rPr>
          <w:rFonts w:ascii="Arial" w:hAnsi="Arial" w:cs="Arial"/>
          <w:sz w:val="24"/>
          <w:szCs w:val="24"/>
        </w:rPr>
        <w:t>://doi.org/10.3390/joitmc6020030.</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Larsen, B. and Zhang, A.L. (2021). Quantifying Bargaining Power Under Incomplete Information: A Supply-Side Analysis of the Used-Car Industry. SSRN Electronic Journal. </w:t>
      </w:r>
      <w:proofErr w:type="spellStart"/>
      <w:r w:rsidRPr="00EE6A12">
        <w:rPr>
          <w:rFonts w:ascii="Arial" w:hAnsi="Arial" w:cs="Arial"/>
          <w:sz w:val="24"/>
          <w:szCs w:val="24"/>
        </w:rPr>
        <w:t>doi:https</w:t>
      </w:r>
      <w:proofErr w:type="spellEnd"/>
      <w:r w:rsidRPr="00EE6A12">
        <w:rPr>
          <w:rFonts w:ascii="Arial" w:hAnsi="Arial" w:cs="Arial"/>
          <w:sz w:val="24"/>
          <w:szCs w:val="24"/>
        </w:rPr>
        <w:t>://doi.org/10.2139/ssrn.3990290.</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Lee, J.-B. (2022). Review on Environmentally-Friendly Vehicle Charging Station Location and Size Problems. KSCE Journal of Civil Engineering. </w:t>
      </w:r>
      <w:proofErr w:type="spellStart"/>
      <w:r w:rsidRPr="00EE6A12">
        <w:rPr>
          <w:rFonts w:ascii="Arial" w:hAnsi="Arial" w:cs="Arial"/>
          <w:sz w:val="24"/>
          <w:szCs w:val="24"/>
        </w:rPr>
        <w:t>doi:https</w:t>
      </w:r>
      <w:proofErr w:type="spellEnd"/>
      <w:r w:rsidRPr="00EE6A12">
        <w:rPr>
          <w:rFonts w:ascii="Arial" w:hAnsi="Arial" w:cs="Arial"/>
          <w:sz w:val="24"/>
          <w:szCs w:val="24"/>
        </w:rPr>
        <w:t>://doi.org/10.1007/s12205-022-0214-2.</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Li, Z. (2018). Business Network Positioning Analysis of Toyota. American Journal of Industrial and Business Management, [online] 08(07), pp.1693–1699. </w:t>
      </w:r>
      <w:proofErr w:type="spellStart"/>
      <w:r w:rsidRPr="00EE6A12">
        <w:rPr>
          <w:rFonts w:ascii="Arial" w:hAnsi="Arial" w:cs="Arial"/>
          <w:sz w:val="24"/>
          <w:szCs w:val="24"/>
        </w:rPr>
        <w:t>doi:https</w:t>
      </w:r>
      <w:proofErr w:type="spellEnd"/>
      <w:r w:rsidRPr="00EE6A12">
        <w:rPr>
          <w:rFonts w:ascii="Arial" w:hAnsi="Arial" w:cs="Arial"/>
          <w:sz w:val="24"/>
          <w:szCs w:val="24"/>
        </w:rPr>
        <w:t>://doi.org/10.4236/ajibm.2018.87113.</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Liu, N., </w:t>
      </w:r>
      <w:proofErr w:type="spellStart"/>
      <w:r w:rsidRPr="00EE6A12">
        <w:rPr>
          <w:rFonts w:ascii="Arial" w:hAnsi="Arial" w:cs="Arial"/>
          <w:sz w:val="24"/>
          <w:szCs w:val="24"/>
        </w:rPr>
        <w:t>Nikitas</w:t>
      </w:r>
      <w:proofErr w:type="spellEnd"/>
      <w:r w:rsidRPr="00EE6A12">
        <w:rPr>
          <w:rFonts w:ascii="Arial" w:hAnsi="Arial" w:cs="Arial"/>
          <w:sz w:val="24"/>
          <w:szCs w:val="24"/>
        </w:rPr>
        <w:t xml:space="preserve">, A. and Parkinson, S. (2020). Exploring expert perceptions about the cyber security and privacy of Connected and Autonomous Vehicles: A thematic analysis approach. Transportation Research Part F: Traffic Psychology and </w:t>
      </w:r>
      <w:proofErr w:type="spellStart"/>
      <w:r w:rsidRPr="00EE6A12">
        <w:rPr>
          <w:rFonts w:ascii="Arial" w:hAnsi="Arial" w:cs="Arial"/>
          <w:sz w:val="24"/>
          <w:szCs w:val="24"/>
        </w:rPr>
        <w:t>Behaviour</w:t>
      </w:r>
      <w:proofErr w:type="spellEnd"/>
      <w:r w:rsidRPr="00EE6A12">
        <w:rPr>
          <w:rFonts w:ascii="Arial" w:hAnsi="Arial" w:cs="Arial"/>
          <w:sz w:val="24"/>
          <w:szCs w:val="24"/>
        </w:rPr>
        <w:t xml:space="preserve">, 75, pp.66–86. </w:t>
      </w:r>
      <w:proofErr w:type="spellStart"/>
      <w:r w:rsidRPr="00EE6A12">
        <w:rPr>
          <w:rFonts w:ascii="Arial" w:hAnsi="Arial" w:cs="Arial"/>
          <w:sz w:val="24"/>
          <w:szCs w:val="24"/>
        </w:rPr>
        <w:t>doi:https</w:t>
      </w:r>
      <w:proofErr w:type="spellEnd"/>
      <w:r w:rsidRPr="00EE6A12">
        <w:rPr>
          <w:rFonts w:ascii="Arial" w:hAnsi="Arial" w:cs="Arial"/>
          <w:sz w:val="24"/>
          <w:szCs w:val="24"/>
        </w:rPr>
        <w:t>://doi.org/10.1016/j.trf.2020.09.019.</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 Liang, J., Pan, X., Wang, B. and Yang, S. (2022). The Impact of COVID-19 on The Automotive Industry --A Case Study of Ford Motor. [online] Available at: </w:t>
      </w:r>
      <w:hyperlink r:id="rId11" w:history="1">
        <w:r w:rsidRPr="00EE6A12">
          <w:rPr>
            <w:rStyle w:val="Hyperlink"/>
            <w:rFonts w:ascii="Arial" w:hAnsi="Arial" w:cs="Arial"/>
            <w:sz w:val="24"/>
            <w:szCs w:val="24"/>
          </w:rPr>
          <w:t>https://www.atlantis-press.com/article/125975525.pdf</w:t>
        </w:r>
      </w:hyperlink>
      <w:r w:rsidRPr="00EE6A12">
        <w:rPr>
          <w:rFonts w:ascii="Arial" w:hAnsi="Arial" w:cs="Arial"/>
          <w:sz w:val="24"/>
          <w:szCs w:val="24"/>
        </w:rPr>
        <w:t>.</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Lu, J., Xia, S. and You, J. (2022). An Analysis of New Energy Automobile: From the Perspective of R&amp;D Expenditure. [online] www.atlantis-press.com. </w:t>
      </w:r>
      <w:proofErr w:type="spellStart"/>
      <w:r w:rsidRPr="00EE6A12">
        <w:rPr>
          <w:rFonts w:ascii="Arial" w:hAnsi="Arial" w:cs="Arial"/>
          <w:sz w:val="24"/>
          <w:szCs w:val="24"/>
        </w:rPr>
        <w:t>doi:https</w:t>
      </w:r>
      <w:proofErr w:type="spellEnd"/>
      <w:r w:rsidRPr="00EE6A12">
        <w:rPr>
          <w:rFonts w:ascii="Arial" w:hAnsi="Arial" w:cs="Arial"/>
          <w:sz w:val="24"/>
          <w:szCs w:val="24"/>
        </w:rPr>
        <w:t>://doi.org/10.2991/aebmr.k.220603.116.</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t>Madapusi</w:t>
      </w:r>
      <w:proofErr w:type="spellEnd"/>
      <w:r w:rsidRPr="00EE6A12">
        <w:rPr>
          <w:rFonts w:ascii="Arial" w:hAnsi="Arial" w:cs="Arial"/>
          <w:sz w:val="24"/>
          <w:szCs w:val="24"/>
        </w:rPr>
        <w:t xml:space="preserve"> Sundar, S., Bopp-</w:t>
      </w:r>
      <w:proofErr w:type="spellStart"/>
      <w:r w:rsidRPr="00EE6A12">
        <w:rPr>
          <w:rFonts w:ascii="Arial" w:hAnsi="Arial" w:cs="Arial"/>
          <w:sz w:val="24"/>
          <w:szCs w:val="24"/>
        </w:rPr>
        <w:t>Bertenbreiter</w:t>
      </w:r>
      <w:proofErr w:type="spellEnd"/>
      <w:r w:rsidRPr="00EE6A12">
        <w:rPr>
          <w:rFonts w:ascii="Arial" w:hAnsi="Arial" w:cs="Arial"/>
          <w:sz w:val="24"/>
          <w:szCs w:val="24"/>
        </w:rPr>
        <w:t xml:space="preserve">, V., Ziegler, D., </w:t>
      </w:r>
      <w:proofErr w:type="spellStart"/>
      <w:r w:rsidRPr="00EE6A12">
        <w:rPr>
          <w:rFonts w:ascii="Arial" w:hAnsi="Arial" w:cs="Arial"/>
          <w:sz w:val="24"/>
          <w:szCs w:val="24"/>
        </w:rPr>
        <w:t>Kanth</w:t>
      </w:r>
      <w:proofErr w:type="spellEnd"/>
      <w:r w:rsidRPr="00EE6A12">
        <w:rPr>
          <w:rFonts w:ascii="Arial" w:hAnsi="Arial" w:cs="Arial"/>
          <w:sz w:val="24"/>
          <w:szCs w:val="24"/>
        </w:rPr>
        <w:t xml:space="preserve"> </w:t>
      </w:r>
      <w:proofErr w:type="spellStart"/>
      <w:r w:rsidRPr="00EE6A12">
        <w:rPr>
          <w:rFonts w:ascii="Arial" w:hAnsi="Arial" w:cs="Arial"/>
          <w:sz w:val="24"/>
          <w:szCs w:val="24"/>
        </w:rPr>
        <w:t>Kosuru</w:t>
      </w:r>
      <w:proofErr w:type="spellEnd"/>
      <w:r w:rsidRPr="00EE6A12">
        <w:rPr>
          <w:rFonts w:ascii="Arial" w:hAnsi="Arial" w:cs="Arial"/>
          <w:sz w:val="24"/>
          <w:szCs w:val="24"/>
        </w:rPr>
        <w:t xml:space="preserve">, R., Knecht, C., </w:t>
      </w:r>
      <w:proofErr w:type="spellStart"/>
      <w:r w:rsidRPr="00EE6A12">
        <w:rPr>
          <w:rFonts w:ascii="Arial" w:hAnsi="Arial" w:cs="Arial"/>
          <w:sz w:val="24"/>
          <w:szCs w:val="24"/>
        </w:rPr>
        <w:t>Pfleging</w:t>
      </w:r>
      <w:proofErr w:type="spellEnd"/>
      <w:r w:rsidRPr="00EE6A12">
        <w:rPr>
          <w:rFonts w:ascii="Arial" w:hAnsi="Arial" w:cs="Arial"/>
          <w:sz w:val="24"/>
          <w:szCs w:val="24"/>
        </w:rPr>
        <w:t xml:space="preserve">, B., </w:t>
      </w:r>
      <w:proofErr w:type="spellStart"/>
      <w:r w:rsidRPr="00EE6A12">
        <w:rPr>
          <w:rFonts w:ascii="Arial" w:hAnsi="Arial" w:cs="Arial"/>
          <w:sz w:val="24"/>
          <w:szCs w:val="24"/>
        </w:rPr>
        <w:t>Diederichs</w:t>
      </w:r>
      <w:proofErr w:type="spellEnd"/>
      <w:r w:rsidRPr="00EE6A12">
        <w:rPr>
          <w:rFonts w:ascii="Arial" w:hAnsi="Arial" w:cs="Arial"/>
          <w:sz w:val="24"/>
          <w:szCs w:val="24"/>
        </w:rPr>
        <w:t xml:space="preserve">, F. and </w:t>
      </w:r>
      <w:proofErr w:type="spellStart"/>
      <w:r w:rsidRPr="00EE6A12">
        <w:rPr>
          <w:rFonts w:ascii="Arial" w:hAnsi="Arial" w:cs="Arial"/>
          <w:sz w:val="24"/>
          <w:szCs w:val="24"/>
        </w:rPr>
        <w:t>Widlroither</w:t>
      </w:r>
      <w:proofErr w:type="spellEnd"/>
      <w:r w:rsidRPr="00EE6A12">
        <w:rPr>
          <w:rFonts w:ascii="Arial" w:hAnsi="Arial" w:cs="Arial"/>
          <w:sz w:val="24"/>
          <w:szCs w:val="24"/>
        </w:rPr>
        <w:t xml:space="preserve">, H. (2022). </w:t>
      </w:r>
      <w:proofErr w:type="spellStart"/>
      <w:r w:rsidRPr="00EE6A12">
        <w:rPr>
          <w:rFonts w:ascii="Arial" w:hAnsi="Arial" w:cs="Arial"/>
          <w:sz w:val="24"/>
          <w:szCs w:val="24"/>
        </w:rPr>
        <w:t>PersonalAIzation</w:t>
      </w:r>
      <w:proofErr w:type="spellEnd"/>
      <w:r w:rsidRPr="00EE6A12">
        <w:rPr>
          <w:rFonts w:ascii="Arial" w:hAnsi="Arial" w:cs="Arial"/>
          <w:sz w:val="24"/>
          <w:szCs w:val="24"/>
        </w:rPr>
        <w:t xml:space="preserve"> - Exploring </w:t>
      </w:r>
      <w:r w:rsidRPr="00EE6A12">
        <w:rPr>
          <w:rFonts w:ascii="Arial" w:hAnsi="Arial" w:cs="Arial"/>
          <w:sz w:val="24"/>
          <w:szCs w:val="24"/>
        </w:rPr>
        <w:lastRenderedPageBreak/>
        <w:t xml:space="preserve">concepts and guidelines for AI-driven personalization of in-car HMIs in fully automated vehicles. Human Factors in Transportation. [online] </w:t>
      </w:r>
      <w:proofErr w:type="spellStart"/>
      <w:r w:rsidRPr="00EE6A12">
        <w:rPr>
          <w:rFonts w:ascii="Arial" w:hAnsi="Arial" w:cs="Arial"/>
          <w:sz w:val="24"/>
          <w:szCs w:val="24"/>
        </w:rPr>
        <w:t>doi:https</w:t>
      </w:r>
      <w:proofErr w:type="spellEnd"/>
      <w:r w:rsidRPr="00EE6A12">
        <w:rPr>
          <w:rFonts w:ascii="Arial" w:hAnsi="Arial" w:cs="Arial"/>
          <w:sz w:val="24"/>
          <w:szCs w:val="24"/>
        </w:rPr>
        <w:t>://doi.org/10.54941/ahfe1002474.</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t>Mohd</w:t>
      </w:r>
      <w:proofErr w:type="spellEnd"/>
      <w:r w:rsidRPr="00EE6A12">
        <w:rPr>
          <w:rFonts w:ascii="Arial" w:hAnsi="Arial" w:cs="Arial"/>
          <w:sz w:val="24"/>
          <w:szCs w:val="24"/>
        </w:rPr>
        <w:t xml:space="preserve"> </w:t>
      </w:r>
      <w:proofErr w:type="spellStart"/>
      <w:r w:rsidRPr="00EE6A12">
        <w:rPr>
          <w:rFonts w:ascii="Arial" w:hAnsi="Arial" w:cs="Arial"/>
          <w:sz w:val="24"/>
          <w:szCs w:val="24"/>
        </w:rPr>
        <w:t>Fazi</w:t>
      </w:r>
      <w:proofErr w:type="spellEnd"/>
      <w:r w:rsidRPr="00EE6A12">
        <w:rPr>
          <w:rFonts w:ascii="Arial" w:hAnsi="Arial" w:cs="Arial"/>
          <w:sz w:val="24"/>
          <w:szCs w:val="24"/>
        </w:rPr>
        <w:t xml:space="preserve">, H.B., B Nik Mohamed, N.M.Z. and Bin </w:t>
      </w:r>
      <w:proofErr w:type="spellStart"/>
      <w:r w:rsidRPr="00EE6A12">
        <w:rPr>
          <w:rFonts w:ascii="Arial" w:hAnsi="Arial" w:cs="Arial"/>
          <w:sz w:val="24"/>
          <w:szCs w:val="24"/>
        </w:rPr>
        <w:t>Basri</w:t>
      </w:r>
      <w:proofErr w:type="spellEnd"/>
      <w:r w:rsidRPr="00EE6A12">
        <w:rPr>
          <w:rFonts w:ascii="Arial" w:hAnsi="Arial" w:cs="Arial"/>
          <w:sz w:val="24"/>
          <w:szCs w:val="24"/>
        </w:rPr>
        <w:t xml:space="preserve">, A.Q. (2019). Risks assessment at automotive manufacturing company and ergonomic working condition. IOP Conference Series: Materials Science and Engineering, 469, p.012106. </w:t>
      </w:r>
      <w:proofErr w:type="spellStart"/>
      <w:r w:rsidRPr="00EE6A12">
        <w:rPr>
          <w:rFonts w:ascii="Arial" w:hAnsi="Arial" w:cs="Arial"/>
          <w:sz w:val="24"/>
          <w:szCs w:val="24"/>
        </w:rPr>
        <w:t>doi:https</w:t>
      </w:r>
      <w:proofErr w:type="spellEnd"/>
      <w:r w:rsidRPr="00EE6A12">
        <w:rPr>
          <w:rFonts w:ascii="Arial" w:hAnsi="Arial" w:cs="Arial"/>
          <w:sz w:val="24"/>
          <w:szCs w:val="24"/>
        </w:rPr>
        <w:t>://doi.org/10.1088/1757-899x/469/1/012106.</w:t>
      </w:r>
    </w:p>
    <w:p w:rsidR="000B0CCD"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Nobile, T.H. and </w:t>
      </w:r>
      <w:proofErr w:type="spellStart"/>
      <w:r w:rsidRPr="00EE6A12">
        <w:rPr>
          <w:rFonts w:ascii="Arial" w:hAnsi="Arial" w:cs="Arial"/>
          <w:sz w:val="24"/>
          <w:szCs w:val="24"/>
        </w:rPr>
        <w:t>Cantoni</w:t>
      </w:r>
      <w:proofErr w:type="spellEnd"/>
      <w:r w:rsidRPr="00EE6A12">
        <w:rPr>
          <w:rFonts w:ascii="Arial" w:hAnsi="Arial" w:cs="Arial"/>
          <w:sz w:val="24"/>
          <w:szCs w:val="24"/>
        </w:rPr>
        <w:t xml:space="preserve">, L. (2023). </w:t>
      </w:r>
      <w:proofErr w:type="spellStart"/>
      <w:r w:rsidRPr="00EE6A12">
        <w:rPr>
          <w:rFonts w:ascii="Arial" w:hAnsi="Arial" w:cs="Arial"/>
          <w:sz w:val="24"/>
          <w:szCs w:val="24"/>
        </w:rPr>
        <w:t>Personalisation</w:t>
      </w:r>
      <w:proofErr w:type="spellEnd"/>
      <w:r w:rsidRPr="00EE6A12">
        <w:rPr>
          <w:rFonts w:ascii="Arial" w:hAnsi="Arial" w:cs="Arial"/>
          <w:sz w:val="24"/>
          <w:szCs w:val="24"/>
        </w:rPr>
        <w:t xml:space="preserve"> (In)effectiveness in email marketing. Digital Business, 3(2), p.100058. </w:t>
      </w:r>
      <w:proofErr w:type="spellStart"/>
      <w:r w:rsidRPr="00EE6A12">
        <w:rPr>
          <w:rFonts w:ascii="Arial" w:hAnsi="Arial" w:cs="Arial"/>
          <w:sz w:val="24"/>
          <w:szCs w:val="24"/>
        </w:rPr>
        <w:t>doi:https</w:t>
      </w:r>
      <w:proofErr w:type="spellEnd"/>
      <w:r w:rsidRPr="00EE6A12">
        <w:rPr>
          <w:rFonts w:ascii="Arial" w:hAnsi="Arial" w:cs="Arial"/>
          <w:sz w:val="24"/>
          <w:szCs w:val="24"/>
        </w:rPr>
        <w:t>://doi.org/10.1016/j.digbus.2023.100058.</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t>Ozpinar</w:t>
      </w:r>
      <w:proofErr w:type="spellEnd"/>
      <w:r w:rsidRPr="00EE6A12">
        <w:rPr>
          <w:rFonts w:ascii="Arial" w:hAnsi="Arial" w:cs="Arial"/>
          <w:sz w:val="24"/>
          <w:szCs w:val="24"/>
        </w:rPr>
        <w:t>, A. (2023). A Hyper-Integrated Mobility as a Service (</w:t>
      </w:r>
      <w:proofErr w:type="spellStart"/>
      <w:r w:rsidRPr="00EE6A12">
        <w:rPr>
          <w:rFonts w:ascii="Arial" w:hAnsi="Arial" w:cs="Arial"/>
          <w:sz w:val="24"/>
          <w:szCs w:val="24"/>
        </w:rPr>
        <w:t>MaaS</w:t>
      </w:r>
      <w:proofErr w:type="spellEnd"/>
      <w:r w:rsidRPr="00EE6A12">
        <w:rPr>
          <w:rFonts w:ascii="Arial" w:hAnsi="Arial" w:cs="Arial"/>
          <w:sz w:val="24"/>
          <w:szCs w:val="24"/>
        </w:rPr>
        <w:t xml:space="preserve">) to Gamification and Carbon Market Enterprise Architecture Framework for Sustainable Environment. Energies, 16(5), p.2480. </w:t>
      </w:r>
      <w:proofErr w:type="spellStart"/>
      <w:r w:rsidRPr="00EE6A12">
        <w:rPr>
          <w:rFonts w:ascii="Arial" w:hAnsi="Arial" w:cs="Arial"/>
          <w:sz w:val="24"/>
          <w:szCs w:val="24"/>
        </w:rPr>
        <w:t>doi:https</w:t>
      </w:r>
      <w:proofErr w:type="spellEnd"/>
      <w:r w:rsidRPr="00EE6A12">
        <w:rPr>
          <w:rFonts w:ascii="Arial" w:hAnsi="Arial" w:cs="Arial"/>
          <w:sz w:val="24"/>
          <w:szCs w:val="24"/>
        </w:rPr>
        <w:t>://doi.org/10.3390/en16052480.</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Raj, A., Mukherjee, A.A., </w:t>
      </w:r>
      <w:proofErr w:type="spellStart"/>
      <w:r w:rsidRPr="00EE6A12">
        <w:rPr>
          <w:rFonts w:ascii="Arial" w:hAnsi="Arial" w:cs="Arial"/>
          <w:sz w:val="24"/>
          <w:szCs w:val="24"/>
        </w:rPr>
        <w:t>Jabbour</w:t>
      </w:r>
      <w:proofErr w:type="spellEnd"/>
      <w:r w:rsidRPr="00EE6A12">
        <w:rPr>
          <w:rFonts w:ascii="Arial" w:hAnsi="Arial" w:cs="Arial"/>
          <w:sz w:val="24"/>
          <w:szCs w:val="24"/>
        </w:rPr>
        <w:t xml:space="preserve">, A.B.L. de S. and Srivastava, S.K. (2022). Supply Chain Management during and post-COVID-19 pandemic: Mitigation Strategies and Practical Lessons Learned. Journal of Business Research, 142(1), pp.1125–1139. </w:t>
      </w:r>
      <w:proofErr w:type="spellStart"/>
      <w:r w:rsidRPr="00EE6A12">
        <w:rPr>
          <w:rFonts w:ascii="Arial" w:hAnsi="Arial" w:cs="Arial"/>
          <w:sz w:val="24"/>
          <w:szCs w:val="24"/>
        </w:rPr>
        <w:t>doi:https</w:t>
      </w:r>
      <w:proofErr w:type="spellEnd"/>
      <w:r w:rsidRPr="00EE6A12">
        <w:rPr>
          <w:rFonts w:ascii="Arial" w:hAnsi="Arial" w:cs="Arial"/>
          <w:sz w:val="24"/>
          <w:szCs w:val="24"/>
        </w:rPr>
        <w:t>://doi.org/10.1016/j.jbusres.2022.01.037.</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t>Razmjoo</w:t>
      </w:r>
      <w:proofErr w:type="spellEnd"/>
      <w:r w:rsidRPr="00EE6A12">
        <w:rPr>
          <w:rFonts w:ascii="Arial" w:hAnsi="Arial" w:cs="Arial"/>
          <w:sz w:val="24"/>
          <w:szCs w:val="24"/>
        </w:rPr>
        <w:t xml:space="preserve">, A., </w:t>
      </w:r>
      <w:proofErr w:type="spellStart"/>
      <w:r w:rsidRPr="00EE6A12">
        <w:rPr>
          <w:rFonts w:ascii="Arial" w:hAnsi="Arial" w:cs="Arial"/>
          <w:sz w:val="24"/>
          <w:szCs w:val="24"/>
        </w:rPr>
        <w:t>Ghazanfari</w:t>
      </w:r>
      <w:proofErr w:type="spellEnd"/>
      <w:r w:rsidRPr="00EE6A12">
        <w:rPr>
          <w:rFonts w:ascii="Arial" w:hAnsi="Arial" w:cs="Arial"/>
          <w:sz w:val="24"/>
          <w:szCs w:val="24"/>
        </w:rPr>
        <w:t xml:space="preserve">, A., </w:t>
      </w:r>
      <w:proofErr w:type="spellStart"/>
      <w:r w:rsidRPr="00EE6A12">
        <w:rPr>
          <w:rFonts w:ascii="Arial" w:hAnsi="Arial" w:cs="Arial"/>
          <w:sz w:val="24"/>
          <w:szCs w:val="24"/>
        </w:rPr>
        <w:t>Jahangiri</w:t>
      </w:r>
      <w:proofErr w:type="spellEnd"/>
      <w:r w:rsidRPr="00EE6A12">
        <w:rPr>
          <w:rFonts w:ascii="Arial" w:hAnsi="Arial" w:cs="Arial"/>
          <w:sz w:val="24"/>
          <w:szCs w:val="24"/>
        </w:rPr>
        <w:t xml:space="preserve">, M., Franklin, E., </w:t>
      </w:r>
      <w:proofErr w:type="spellStart"/>
      <w:r w:rsidRPr="00EE6A12">
        <w:rPr>
          <w:rFonts w:ascii="Arial" w:hAnsi="Arial" w:cs="Arial"/>
          <w:sz w:val="24"/>
          <w:szCs w:val="24"/>
        </w:rPr>
        <w:t>Denai</w:t>
      </w:r>
      <w:proofErr w:type="spellEnd"/>
      <w:r w:rsidRPr="00EE6A12">
        <w:rPr>
          <w:rFonts w:ascii="Arial" w:hAnsi="Arial" w:cs="Arial"/>
          <w:sz w:val="24"/>
          <w:szCs w:val="24"/>
        </w:rPr>
        <w:t xml:space="preserve">, M., </w:t>
      </w:r>
      <w:proofErr w:type="spellStart"/>
      <w:r w:rsidRPr="00EE6A12">
        <w:rPr>
          <w:rFonts w:ascii="Arial" w:hAnsi="Arial" w:cs="Arial"/>
          <w:sz w:val="24"/>
          <w:szCs w:val="24"/>
        </w:rPr>
        <w:t>Marzband</w:t>
      </w:r>
      <w:proofErr w:type="spellEnd"/>
      <w:r w:rsidRPr="00EE6A12">
        <w:rPr>
          <w:rFonts w:ascii="Arial" w:hAnsi="Arial" w:cs="Arial"/>
          <w:sz w:val="24"/>
          <w:szCs w:val="24"/>
        </w:rPr>
        <w:t xml:space="preserve">, M., </w:t>
      </w:r>
      <w:proofErr w:type="spellStart"/>
      <w:r w:rsidRPr="00EE6A12">
        <w:rPr>
          <w:rFonts w:ascii="Arial" w:hAnsi="Arial" w:cs="Arial"/>
          <w:sz w:val="24"/>
          <w:szCs w:val="24"/>
        </w:rPr>
        <w:t>Astiaso</w:t>
      </w:r>
      <w:proofErr w:type="spellEnd"/>
      <w:r w:rsidRPr="00EE6A12">
        <w:rPr>
          <w:rFonts w:ascii="Arial" w:hAnsi="Arial" w:cs="Arial"/>
          <w:sz w:val="24"/>
          <w:szCs w:val="24"/>
        </w:rPr>
        <w:t xml:space="preserve"> Garcia, D. and </w:t>
      </w:r>
      <w:proofErr w:type="spellStart"/>
      <w:r w:rsidRPr="00EE6A12">
        <w:rPr>
          <w:rFonts w:ascii="Arial" w:hAnsi="Arial" w:cs="Arial"/>
          <w:sz w:val="24"/>
          <w:szCs w:val="24"/>
        </w:rPr>
        <w:t>Maheri</w:t>
      </w:r>
      <w:proofErr w:type="spellEnd"/>
      <w:r w:rsidRPr="00EE6A12">
        <w:rPr>
          <w:rFonts w:ascii="Arial" w:hAnsi="Arial" w:cs="Arial"/>
          <w:sz w:val="24"/>
          <w:szCs w:val="24"/>
        </w:rPr>
        <w:t>, A. (2022). A Comprehensive Study on the Expansion of Electric Vehicles in Europe. </w:t>
      </w:r>
      <w:r w:rsidRPr="00EE6A12">
        <w:rPr>
          <w:rFonts w:ascii="Arial" w:hAnsi="Arial" w:cs="Arial"/>
          <w:i/>
          <w:iCs/>
          <w:sz w:val="24"/>
          <w:szCs w:val="24"/>
        </w:rPr>
        <w:t>Applied Sciences</w:t>
      </w:r>
      <w:r w:rsidRPr="00EE6A12">
        <w:rPr>
          <w:rFonts w:ascii="Arial" w:hAnsi="Arial" w:cs="Arial"/>
          <w:sz w:val="24"/>
          <w:szCs w:val="24"/>
        </w:rPr>
        <w:t xml:space="preserve">, [online] 12(22), p.11656. </w:t>
      </w:r>
      <w:proofErr w:type="spellStart"/>
      <w:r w:rsidRPr="00EE6A12">
        <w:rPr>
          <w:rFonts w:ascii="Arial" w:hAnsi="Arial" w:cs="Arial"/>
          <w:sz w:val="24"/>
          <w:szCs w:val="24"/>
        </w:rPr>
        <w:t>doi:https</w:t>
      </w:r>
      <w:proofErr w:type="spellEnd"/>
      <w:r w:rsidRPr="00EE6A12">
        <w:rPr>
          <w:rFonts w:ascii="Arial" w:hAnsi="Arial" w:cs="Arial"/>
          <w:sz w:val="24"/>
          <w:szCs w:val="24"/>
        </w:rPr>
        <w:t>://doi.org/10.3390/app122211656.</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 </w:t>
      </w:r>
      <w:proofErr w:type="spellStart"/>
      <w:r w:rsidRPr="00EE6A12">
        <w:rPr>
          <w:rFonts w:ascii="Arial" w:hAnsi="Arial" w:cs="Arial"/>
          <w:sz w:val="24"/>
          <w:szCs w:val="24"/>
        </w:rPr>
        <w:t>Simão</w:t>
      </w:r>
      <w:proofErr w:type="spellEnd"/>
      <w:r w:rsidRPr="00EE6A12">
        <w:rPr>
          <w:rFonts w:ascii="Arial" w:hAnsi="Arial" w:cs="Arial"/>
          <w:sz w:val="24"/>
          <w:szCs w:val="24"/>
        </w:rPr>
        <w:t xml:space="preserve">, L. and </w:t>
      </w:r>
      <w:proofErr w:type="spellStart"/>
      <w:r w:rsidRPr="00EE6A12">
        <w:rPr>
          <w:rFonts w:ascii="Arial" w:hAnsi="Arial" w:cs="Arial"/>
          <w:sz w:val="24"/>
          <w:szCs w:val="24"/>
        </w:rPr>
        <w:t>Lisboa</w:t>
      </w:r>
      <w:proofErr w:type="spellEnd"/>
      <w:r w:rsidRPr="00EE6A12">
        <w:rPr>
          <w:rFonts w:ascii="Arial" w:hAnsi="Arial" w:cs="Arial"/>
          <w:sz w:val="24"/>
          <w:szCs w:val="24"/>
        </w:rPr>
        <w:t xml:space="preserve">, A. (2017). Green Marketing and Green Brand – The Toyota Case. Procedia Manufacturing, [online] 12, pp.183–194. </w:t>
      </w:r>
      <w:proofErr w:type="spellStart"/>
      <w:r w:rsidRPr="00EE6A12">
        <w:rPr>
          <w:rFonts w:ascii="Arial" w:hAnsi="Arial" w:cs="Arial"/>
          <w:sz w:val="24"/>
          <w:szCs w:val="24"/>
        </w:rPr>
        <w:t>doi:https</w:t>
      </w:r>
      <w:proofErr w:type="spellEnd"/>
      <w:r w:rsidRPr="00EE6A12">
        <w:rPr>
          <w:rFonts w:ascii="Arial" w:hAnsi="Arial" w:cs="Arial"/>
          <w:sz w:val="24"/>
          <w:szCs w:val="24"/>
        </w:rPr>
        <w:t>://doi.org/10.1016/j.promfg.2017.08.023.</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t xml:space="preserve">Soori, M., </w:t>
      </w:r>
      <w:proofErr w:type="spellStart"/>
      <w:r w:rsidRPr="00EE6A12">
        <w:rPr>
          <w:rFonts w:ascii="Arial" w:hAnsi="Arial" w:cs="Arial"/>
          <w:sz w:val="24"/>
          <w:szCs w:val="24"/>
        </w:rPr>
        <w:t>Arezoo</w:t>
      </w:r>
      <w:proofErr w:type="spellEnd"/>
      <w:r w:rsidRPr="00EE6A12">
        <w:rPr>
          <w:rFonts w:ascii="Arial" w:hAnsi="Arial" w:cs="Arial"/>
          <w:sz w:val="24"/>
          <w:szCs w:val="24"/>
        </w:rPr>
        <w:t xml:space="preserve">, B. and </w:t>
      </w:r>
      <w:proofErr w:type="spellStart"/>
      <w:r w:rsidRPr="00EE6A12">
        <w:rPr>
          <w:rFonts w:ascii="Arial" w:hAnsi="Arial" w:cs="Arial"/>
          <w:sz w:val="24"/>
          <w:szCs w:val="24"/>
        </w:rPr>
        <w:t>Dastres</w:t>
      </w:r>
      <w:proofErr w:type="spellEnd"/>
      <w:r w:rsidRPr="00EE6A12">
        <w:rPr>
          <w:rFonts w:ascii="Arial" w:hAnsi="Arial" w:cs="Arial"/>
          <w:sz w:val="24"/>
          <w:szCs w:val="24"/>
        </w:rPr>
        <w:t xml:space="preserve">, R. (2023). Artificial Intelligence, Machine Learning and Deep Learning in Advanced Robotics, A Review. Cognitive Robotics, 3. </w:t>
      </w:r>
      <w:proofErr w:type="spellStart"/>
      <w:r w:rsidRPr="00EE6A12">
        <w:rPr>
          <w:rFonts w:ascii="Arial" w:hAnsi="Arial" w:cs="Arial"/>
          <w:sz w:val="24"/>
          <w:szCs w:val="24"/>
        </w:rPr>
        <w:t>doi:https</w:t>
      </w:r>
      <w:proofErr w:type="spellEnd"/>
      <w:r w:rsidRPr="00EE6A12">
        <w:rPr>
          <w:rFonts w:ascii="Arial" w:hAnsi="Arial" w:cs="Arial"/>
          <w:sz w:val="24"/>
          <w:szCs w:val="24"/>
        </w:rPr>
        <w:t>://doi.org/10.1016/j.cogr.2023.04.001.</w:t>
      </w:r>
    </w:p>
    <w:p w:rsidR="0006494F" w:rsidRPr="00EE6A12" w:rsidRDefault="00827BDE" w:rsidP="005B650F">
      <w:pPr>
        <w:tabs>
          <w:tab w:val="left" w:pos="1830"/>
        </w:tabs>
        <w:spacing w:line="360" w:lineRule="auto"/>
        <w:jc w:val="both"/>
        <w:rPr>
          <w:rFonts w:ascii="Arial" w:hAnsi="Arial" w:cs="Arial"/>
          <w:sz w:val="24"/>
          <w:szCs w:val="24"/>
        </w:rPr>
      </w:pPr>
      <w:r w:rsidRPr="00EE6A12">
        <w:rPr>
          <w:rFonts w:ascii="Arial" w:hAnsi="Arial" w:cs="Arial"/>
          <w:sz w:val="24"/>
          <w:szCs w:val="24"/>
        </w:rPr>
        <w:lastRenderedPageBreak/>
        <w:t xml:space="preserve">Valdez </w:t>
      </w:r>
      <w:proofErr w:type="spellStart"/>
      <w:r w:rsidRPr="00EE6A12">
        <w:rPr>
          <w:rFonts w:ascii="Arial" w:hAnsi="Arial" w:cs="Arial"/>
          <w:sz w:val="24"/>
          <w:szCs w:val="24"/>
        </w:rPr>
        <w:t>Mendia</w:t>
      </w:r>
      <w:proofErr w:type="spellEnd"/>
      <w:r w:rsidRPr="00EE6A12">
        <w:rPr>
          <w:rFonts w:ascii="Arial" w:hAnsi="Arial" w:cs="Arial"/>
          <w:sz w:val="24"/>
          <w:szCs w:val="24"/>
        </w:rPr>
        <w:t>, J.M. and Flores-</w:t>
      </w:r>
      <w:proofErr w:type="spellStart"/>
      <w:r w:rsidRPr="00EE6A12">
        <w:rPr>
          <w:rFonts w:ascii="Arial" w:hAnsi="Arial" w:cs="Arial"/>
          <w:sz w:val="24"/>
          <w:szCs w:val="24"/>
        </w:rPr>
        <w:t>Cuautle</w:t>
      </w:r>
      <w:proofErr w:type="spellEnd"/>
      <w:r w:rsidRPr="00EE6A12">
        <w:rPr>
          <w:rFonts w:ascii="Arial" w:hAnsi="Arial" w:cs="Arial"/>
          <w:sz w:val="24"/>
          <w:szCs w:val="24"/>
        </w:rPr>
        <w:t xml:space="preserve">, J.J.A. (2022). Toward customer hyper-personalization experience — A data-driven approach. Cogent Business &amp; Management, 9(1). </w:t>
      </w:r>
      <w:proofErr w:type="spellStart"/>
      <w:r w:rsidRPr="00EE6A12">
        <w:rPr>
          <w:rFonts w:ascii="Arial" w:hAnsi="Arial" w:cs="Arial"/>
          <w:sz w:val="24"/>
          <w:szCs w:val="24"/>
        </w:rPr>
        <w:t>doi:https</w:t>
      </w:r>
      <w:proofErr w:type="spellEnd"/>
      <w:r w:rsidRPr="00EE6A12">
        <w:rPr>
          <w:rFonts w:ascii="Arial" w:hAnsi="Arial" w:cs="Arial"/>
          <w:sz w:val="24"/>
          <w:szCs w:val="24"/>
        </w:rPr>
        <w:t>://doi.org/10.1080/23311975.2022.2041384.</w:t>
      </w:r>
    </w:p>
    <w:p w:rsidR="0006494F" w:rsidRPr="00EE6A12" w:rsidRDefault="00827BDE" w:rsidP="005B650F">
      <w:pPr>
        <w:tabs>
          <w:tab w:val="left" w:pos="1830"/>
        </w:tabs>
        <w:spacing w:line="360" w:lineRule="auto"/>
        <w:jc w:val="both"/>
        <w:rPr>
          <w:rFonts w:ascii="Arial" w:hAnsi="Arial" w:cs="Arial"/>
          <w:sz w:val="24"/>
          <w:szCs w:val="24"/>
        </w:rPr>
      </w:pPr>
      <w:proofErr w:type="spellStart"/>
      <w:r w:rsidRPr="00EE6A12">
        <w:rPr>
          <w:rFonts w:ascii="Arial" w:hAnsi="Arial" w:cs="Arial"/>
          <w:sz w:val="24"/>
          <w:szCs w:val="24"/>
        </w:rPr>
        <w:t>Yıldız</w:t>
      </w:r>
      <w:proofErr w:type="spellEnd"/>
      <w:r w:rsidRPr="00EE6A12">
        <w:rPr>
          <w:rFonts w:ascii="Arial" w:hAnsi="Arial" w:cs="Arial"/>
          <w:sz w:val="24"/>
          <w:szCs w:val="24"/>
        </w:rPr>
        <w:t xml:space="preserve">, E., </w:t>
      </w:r>
      <w:proofErr w:type="spellStart"/>
      <w:r w:rsidRPr="00EE6A12">
        <w:rPr>
          <w:rFonts w:ascii="Arial" w:hAnsi="Arial" w:cs="Arial"/>
          <w:sz w:val="24"/>
          <w:szCs w:val="24"/>
        </w:rPr>
        <w:t>Güngör</w:t>
      </w:r>
      <w:proofErr w:type="spellEnd"/>
      <w:r w:rsidRPr="00EE6A12">
        <w:rPr>
          <w:rFonts w:ascii="Arial" w:hAnsi="Arial" w:cs="Arial"/>
          <w:sz w:val="24"/>
          <w:szCs w:val="24"/>
        </w:rPr>
        <w:t xml:space="preserve"> </w:t>
      </w:r>
      <w:proofErr w:type="spellStart"/>
      <w:r w:rsidRPr="00EE6A12">
        <w:rPr>
          <w:rFonts w:ascii="Arial" w:hAnsi="Arial" w:cs="Arial"/>
          <w:sz w:val="24"/>
          <w:szCs w:val="24"/>
        </w:rPr>
        <w:t>Şen</w:t>
      </w:r>
      <w:proofErr w:type="spellEnd"/>
      <w:r w:rsidRPr="00EE6A12">
        <w:rPr>
          <w:rFonts w:ascii="Arial" w:hAnsi="Arial" w:cs="Arial"/>
          <w:sz w:val="24"/>
          <w:szCs w:val="24"/>
        </w:rPr>
        <w:t xml:space="preserve">, C. and </w:t>
      </w:r>
      <w:proofErr w:type="spellStart"/>
      <w:r w:rsidRPr="00EE6A12">
        <w:rPr>
          <w:rFonts w:ascii="Arial" w:hAnsi="Arial" w:cs="Arial"/>
          <w:sz w:val="24"/>
          <w:szCs w:val="24"/>
        </w:rPr>
        <w:t>Işık</w:t>
      </w:r>
      <w:proofErr w:type="spellEnd"/>
      <w:r w:rsidRPr="00EE6A12">
        <w:rPr>
          <w:rFonts w:ascii="Arial" w:hAnsi="Arial" w:cs="Arial"/>
          <w:sz w:val="24"/>
          <w:szCs w:val="24"/>
        </w:rPr>
        <w:t xml:space="preserve">, E.E. (2023). A Hyper-Personalized Product Recommendation System Focused on Customer Segmentation: An Application in the Fashion Retail Industry. Journal of Theoretical and Applied Electronic Commerce Research, 18(1), pp.571–596. </w:t>
      </w:r>
      <w:proofErr w:type="spellStart"/>
      <w:r w:rsidRPr="00EE6A12">
        <w:rPr>
          <w:rFonts w:ascii="Arial" w:hAnsi="Arial" w:cs="Arial"/>
          <w:sz w:val="24"/>
          <w:szCs w:val="24"/>
        </w:rPr>
        <w:t>doi:https</w:t>
      </w:r>
      <w:proofErr w:type="spellEnd"/>
      <w:r w:rsidRPr="00EE6A12">
        <w:rPr>
          <w:rFonts w:ascii="Arial" w:hAnsi="Arial" w:cs="Arial"/>
          <w:sz w:val="24"/>
          <w:szCs w:val="24"/>
        </w:rPr>
        <w:t>://doi.org/10.3390/jtaer18010029.</w:t>
      </w:r>
    </w:p>
    <w:p w:rsidR="00EE6A12" w:rsidRPr="00BB5D08" w:rsidRDefault="00EE6A12" w:rsidP="005B650F">
      <w:pPr>
        <w:tabs>
          <w:tab w:val="left" w:pos="1830"/>
        </w:tabs>
        <w:spacing w:line="360" w:lineRule="auto"/>
        <w:jc w:val="both"/>
        <w:rPr>
          <w:rFonts w:ascii="Arial" w:hAnsi="Arial" w:cs="Arial"/>
          <w:sz w:val="24"/>
          <w:szCs w:val="24"/>
        </w:rPr>
      </w:pPr>
    </w:p>
    <w:sectPr w:rsidR="00EE6A12" w:rsidRPr="00BB5D08">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69E8" w:rsidRDefault="007269E8" w:rsidP="00256873">
      <w:pPr>
        <w:spacing w:after="0" w:line="240" w:lineRule="auto"/>
      </w:pPr>
      <w:r>
        <w:separator/>
      </w:r>
    </w:p>
  </w:endnote>
  <w:endnote w:type="continuationSeparator" w:id="0">
    <w:p w:rsidR="007269E8" w:rsidRDefault="007269E8" w:rsidP="002568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69E8" w:rsidRDefault="007269E8" w:rsidP="00256873">
      <w:pPr>
        <w:spacing w:after="0" w:line="240" w:lineRule="auto"/>
      </w:pPr>
      <w:r>
        <w:separator/>
      </w:r>
    </w:p>
  </w:footnote>
  <w:footnote w:type="continuationSeparator" w:id="0">
    <w:p w:rsidR="007269E8" w:rsidRDefault="007269E8" w:rsidP="002568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893639"/>
      <w:docPartObj>
        <w:docPartGallery w:val="Page Numbers (Top of Page)"/>
        <w:docPartUnique/>
      </w:docPartObj>
    </w:sdtPr>
    <w:sdtEndPr>
      <w:rPr>
        <w:color w:val="808080" w:themeColor="background1" w:themeShade="80"/>
        <w:spacing w:val="60"/>
      </w:rPr>
    </w:sdtEndPr>
    <w:sdtContent>
      <w:p w:rsidR="00256873" w:rsidRDefault="0025687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EE6A12" w:rsidRPr="00EE6A12">
          <w:rPr>
            <w:b/>
            <w:bCs/>
            <w:noProof/>
          </w:rPr>
          <w:t>21</w:t>
        </w:r>
        <w:r>
          <w:rPr>
            <w:b/>
            <w:bCs/>
            <w:noProof/>
          </w:rPr>
          <w:fldChar w:fldCharType="end"/>
        </w:r>
        <w:r>
          <w:rPr>
            <w:b/>
            <w:bCs/>
          </w:rPr>
          <w:t xml:space="preserve"> | </w:t>
        </w:r>
        <w:r>
          <w:rPr>
            <w:color w:val="808080" w:themeColor="background1" w:themeShade="80"/>
            <w:spacing w:val="60"/>
          </w:rPr>
          <w:t>Page</w:t>
        </w:r>
      </w:p>
    </w:sdtContent>
  </w:sdt>
  <w:p w:rsidR="00256873" w:rsidRDefault="002568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A55E14"/>
    <w:multiLevelType w:val="hybridMultilevel"/>
    <w:tmpl w:val="319A6374"/>
    <w:lvl w:ilvl="0" w:tplc="955C7A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1222"/>
    <w:rsid w:val="000623B7"/>
    <w:rsid w:val="00142AD8"/>
    <w:rsid w:val="00176A75"/>
    <w:rsid w:val="001E331A"/>
    <w:rsid w:val="00256873"/>
    <w:rsid w:val="0026064E"/>
    <w:rsid w:val="00274FA2"/>
    <w:rsid w:val="0027742C"/>
    <w:rsid w:val="00303715"/>
    <w:rsid w:val="003455CB"/>
    <w:rsid w:val="00452F42"/>
    <w:rsid w:val="004961BA"/>
    <w:rsid w:val="004E59B7"/>
    <w:rsid w:val="005368E0"/>
    <w:rsid w:val="005B650F"/>
    <w:rsid w:val="006626C2"/>
    <w:rsid w:val="006E08F4"/>
    <w:rsid w:val="00700219"/>
    <w:rsid w:val="0071509A"/>
    <w:rsid w:val="007269E8"/>
    <w:rsid w:val="0076673C"/>
    <w:rsid w:val="00770753"/>
    <w:rsid w:val="00827BDE"/>
    <w:rsid w:val="008B1177"/>
    <w:rsid w:val="008F4EF3"/>
    <w:rsid w:val="009540DE"/>
    <w:rsid w:val="00B05345"/>
    <w:rsid w:val="00B62DBC"/>
    <w:rsid w:val="00BB5D08"/>
    <w:rsid w:val="00CA39A4"/>
    <w:rsid w:val="00CE47C3"/>
    <w:rsid w:val="00D91B04"/>
    <w:rsid w:val="00DE7263"/>
    <w:rsid w:val="00E10517"/>
    <w:rsid w:val="00EA1222"/>
    <w:rsid w:val="00EA3EA2"/>
    <w:rsid w:val="00EA6D70"/>
    <w:rsid w:val="00EC20BE"/>
    <w:rsid w:val="00EE6A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6ECB9"/>
  <w15:docId w15:val="{A2FEB9EF-E1AD-4CD8-8223-F1827D76E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2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3EA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22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3EA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EA3E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EA2"/>
    <w:rPr>
      <w:rFonts w:ascii="Tahoma" w:hAnsi="Tahoma" w:cs="Tahoma"/>
      <w:sz w:val="16"/>
      <w:szCs w:val="16"/>
    </w:rPr>
  </w:style>
  <w:style w:type="paragraph" w:styleId="ListParagraph">
    <w:name w:val="List Paragraph"/>
    <w:basedOn w:val="Normal"/>
    <w:uiPriority w:val="34"/>
    <w:qFormat/>
    <w:rsid w:val="00B62DBC"/>
    <w:pPr>
      <w:ind w:left="720"/>
      <w:contextualSpacing/>
    </w:pPr>
  </w:style>
  <w:style w:type="paragraph" w:styleId="TOCHeading">
    <w:name w:val="TOC Heading"/>
    <w:basedOn w:val="Heading1"/>
    <w:next w:val="Normal"/>
    <w:uiPriority w:val="39"/>
    <w:semiHidden/>
    <w:unhideWhenUsed/>
    <w:qFormat/>
    <w:rsid w:val="00256873"/>
    <w:pPr>
      <w:outlineLvl w:val="9"/>
    </w:pPr>
    <w:rPr>
      <w:lang w:eastAsia="ja-JP"/>
    </w:rPr>
  </w:style>
  <w:style w:type="paragraph" w:styleId="TOC1">
    <w:name w:val="toc 1"/>
    <w:basedOn w:val="Normal"/>
    <w:next w:val="Normal"/>
    <w:autoRedefine/>
    <w:uiPriority w:val="39"/>
    <w:unhideWhenUsed/>
    <w:rsid w:val="00256873"/>
    <w:pPr>
      <w:spacing w:after="100"/>
    </w:pPr>
  </w:style>
  <w:style w:type="paragraph" w:styleId="TOC2">
    <w:name w:val="toc 2"/>
    <w:basedOn w:val="Normal"/>
    <w:next w:val="Normal"/>
    <w:autoRedefine/>
    <w:uiPriority w:val="39"/>
    <w:unhideWhenUsed/>
    <w:rsid w:val="00256873"/>
    <w:pPr>
      <w:spacing w:after="100"/>
      <w:ind w:left="220"/>
    </w:pPr>
  </w:style>
  <w:style w:type="character" w:styleId="Hyperlink">
    <w:name w:val="Hyperlink"/>
    <w:basedOn w:val="DefaultParagraphFont"/>
    <w:uiPriority w:val="99"/>
    <w:unhideWhenUsed/>
    <w:rsid w:val="00256873"/>
    <w:rPr>
      <w:color w:val="0000FF" w:themeColor="hyperlink"/>
      <w:u w:val="single"/>
    </w:rPr>
  </w:style>
  <w:style w:type="paragraph" w:styleId="Header">
    <w:name w:val="header"/>
    <w:basedOn w:val="Normal"/>
    <w:link w:val="HeaderChar"/>
    <w:uiPriority w:val="99"/>
    <w:unhideWhenUsed/>
    <w:rsid w:val="002568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873"/>
  </w:style>
  <w:style w:type="paragraph" w:styleId="Footer">
    <w:name w:val="footer"/>
    <w:basedOn w:val="Normal"/>
    <w:link w:val="FooterChar"/>
    <w:uiPriority w:val="99"/>
    <w:unhideWhenUsed/>
    <w:rsid w:val="002568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234287">
      <w:bodyDiv w:val="1"/>
      <w:marLeft w:val="0"/>
      <w:marRight w:val="0"/>
      <w:marTop w:val="0"/>
      <w:marBottom w:val="0"/>
      <w:divBdr>
        <w:top w:val="none" w:sz="0" w:space="0" w:color="auto"/>
        <w:left w:val="none" w:sz="0" w:space="0" w:color="auto"/>
        <w:bottom w:val="none" w:sz="0" w:space="0" w:color="auto"/>
        <w:right w:val="none" w:sz="0" w:space="0" w:color="auto"/>
      </w:divBdr>
    </w:div>
    <w:div w:id="1158419969">
      <w:bodyDiv w:val="1"/>
      <w:marLeft w:val="0"/>
      <w:marRight w:val="0"/>
      <w:marTop w:val="0"/>
      <w:marBottom w:val="0"/>
      <w:divBdr>
        <w:top w:val="none" w:sz="0" w:space="0" w:color="auto"/>
        <w:left w:val="none" w:sz="0" w:space="0" w:color="auto"/>
        <w:bottom w:val="none" w:sz="0" w:space="0" w:color="auto"/>
        <w:right w:val="none" w:sz="0" w:space="0" w:color="auto"/>
      </w:divBdr>
      <w:divsChild>
        <w:div w:id="1549344492">
          <w:marLeft w:val="0"/>
          <w:marRight w:val="0"/>
          <w:marTop w:val="0"/>
          <w:marBottom w:val="0"/>
          <w:divBdr>
            <w:top w:val="none" w:sz="0" w:space="0" w:color="auto"/>
            <w:left w:val="none" w:sz="0" w:space="0" w:color="auto"/>
            <w:bottom w:val="none" w:sz="0" w:space="0" w:color="auto"/>
            <w:right w:val="none" w:sz="0" w:space="0" w:color="auto"/>
          </w:divBdr>
        </w:div>
      </w:divsChild>
    </w:div>
    <w:div w:id="1331375109">
      <w:bodyDiv w:val="1"/>
      <w:marLeft w:val="0"/>
      <w:marRight w:val="0"/>
      <w:marTop w:val="0"/>
      <w:marBottom w:val="0"/>
      <w:divBdr>
        <w:top w:val="none" w:sz="0" w:space="0" w:color="auto"/>
        <w:left w:val="none" w:sz="0" w:space="0" w:color="auto"/>
        <w:bottom w:val="none" w:sz="0" w:space="0" w:color="auto"/>
        <w:right w:val="none" w:sz="0" w:space="0" w:color="auto"/>
      </w:divBdr>
    </w:div>
    <w:div w:id="1693217671">
      <w:bodyDiv w:val="1"/>
      <w:marLeft w:val="0"/>
      <w:marRight w:val="0"/>
      <w:marTop w:val="0"/>
      <w:marBottom w:val="0"/>
      <w:divBdr>
        <w:top w:val="none" w:sz="0" w:space="0" w:color="auto"/>
        <w:left w:val="none" w:sz="0" w:space="0" w:color="auto"/>
        <w:bottom w:val="none" w:sz="0" w:space="0" w:color="auto"/>
        <w:right w:val="none" w:sz="0" w:space="0" w:color="auto"/>
      </w:divBdr>
    </w:div>
    <w:div w:id="1775242980">
      <w:bodyDiv w:val="1"/>
      <w:marLeft w:val="0"/>
      <w:marRight w:val="0"/>
      <w:marTop w:val="0"/>
      <w:marBottom w:val="0"/>
      <w:divBdr>
        <w:top w:val="none" w:sz="0" w:space="0" w:color="auto"/>
        <w:left w:val="none" w:sz="0" w:space="0" w:color="auto"/>
        <w:bottom w:val="none" w:sz="0" w:space="0" w:color="auto"/>
        <w:right w:val="none" w:sz="0" w:space="0" w:color="auto"/>
      </w:divBdr>
    </w:div>
    <w:div w:id="1796439161">
      <w:bodyDiv w:val="1"/>
      <w:marLeft w:val="0"/>
      <w:marRight w:val="0"/>
      <w:marTop w:val="0"/>
      <w:marBottom w:val="0"/>
      <w:divBdr>
        <w:top w:val="none" w:sz="0" w:space="0" w:color="auto"/>
        <w:left w:val="none" w:sz="0" w:space="0" w:color="auto"/>
        <w:bottom w:val="none" w:sz="0" w:space="0" w:color="auto"/>
        <w:right w:val="none" w:sz="0" w:space="0" w:color="auto"/>
      </w:divBdr>
      <w:divsChild>
        <w:div w:id="5456033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lantis-press.com/article/125975525.pdf" TargetMode="External"/><Relationship Id="rId5" Type="http://schemas.openxmlformats.org/officeDocument/2006/relationships/webSettings" Target="webSettings.xml"/><Relationship Id="rId10" Type="http://schemas.openxmlformats.org/officeDocument/2006/relationships/hyperlink" Target="https://panmore.com/toyota-organizational-structure-analysi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E05E04-F826-449C-98CD-3D926EC38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27</Pages>
  <Words>6836</Words>
  <Characters>38966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HP</cp:lastModifiedBy>
  <cp:revision>5</cp:revision>
  <dcterms:created xsi:type="dcterms:W3CDTF">2023-07-21T21:59:00Z</dcterms:created>
  <dcterms:modified xsi:type="dcterms:W3CDTF">2023-07-21T22:52:00Z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b0f2ece5f2c107bbcf21b6a43f5228accab851a0b0393f28e8e5810efc533586</vt:lpwstr>
  </property>
</Properties>
</file>