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A404A9" w14:textId="4C4B9731" w:rsidR="00A5310F" w:rsidRPr="002B0677" w:rsidRDefault="00A5310F" w:rsidP="00A5310F">
      <w:pPr>
        <w:pStyle w:val="NoSpacing"/>
        <w:jc w:val="center"/>
        <w:rPr>
          <w:b/>
          <w:bCs/>
        </w:rPr>
      </w:pPr>
      <w:r w:rsidRPr="002B0677">
        <w:rPr>
          <w:rStyle w:val="normaltextrun"/>
          <w:rFonts w:cs="Segoe UI"/>
          <w:color w:val="373A3C"/>
          <w:shd w:val="clear" w:color="auto" w:fill="FFFFFF"/>
        </w:rPr>
        <w:t>Drawing on secondary scholarship and your own reflections, please answer the following: What is reception </w:t>
      </w:r>
      <w:r w:rsidR="00FD5706" w:rsidRPr="002B0677">
        <w:rPr>
          <w:rStyle w:val="normaltextrun"/>
          <w:rFonts w:cs="Segoe UI"/>
          <w:color w:val="373A3C"/>
          <w:shd w:val="clear" w:color="auto" w:fill="FFFFFF"/>
        </w:rPr>
        <w:t>history,</w:t>
      </w:r>
      <w:r w:rsidRPr="002B0677">
        <w:rPr>
          <w:rStyle w:val="normaltextrun"/>
          <w:rFonts w:cs="Segoe UI"/>
          <w:color w:val="373A3C"/>
          <w:shd w:val="clear" w:color="auto" w:fill="FFFFFF"/>
        </w:rPr>
        <w:t> and does it have value in Biblical Studies?</w:t>
      </w:r>
    </w:p>
    <w:p w14:paraId="4CFDEE48" w14:textId="77777777" w:rsidR="00A5310F" w:rsidRDefault="00A5310F" w:rsidP="005204A3">
      <w:pPr>
        <w:pStyle w:val="NoSpacing"/>
        <w:rPr>
          <w:b/>
          <w:bCs/>
          <w:sz w:val="20"/>
          <w:szCs w:val="20"/>
        </w:rPr>
      </w:pPr>
    </w:p>
    <w:p w14:paraId="5AB867C1" w14:textId="562F058E" w:rsidR="00A5310F" w:rsidRDefault="00A5310F" w:rsidP="005204A3">
      <w:pPr>
        <w:pStyle w:val="NoSpacing"/>
        <w:rPr>
          <w:b/>
          <w:bCs/>
          <w:sz w:val="20"/>
          <w:szCs w:val="20"/>
        </w:rPr>
      </w:pPr>
      <w:r>
        <w:rPr>
          <w:b/>
          <w:bCs/>
          <w:sz w:val="20"/>
          <w:szCs w:val="20"/>
        </w:rPr>
        <w:t>Word Count:</w:t>
      </w:r>
      <w:r w:rsidR="00E44B4F">
        <w:rPr>
          <w:b/>
          <w:bCs/>
          <w:sz w:val="20"/>
          <w:szCs w:val="20"/>
        </w:rPr>
        <w:t xml:space="preserve"> 1402</w:t>
      </w:r>
    </w:p>
    <w:p w14:paraId="7A39480B" w14:textId="0AF423A5" w:rsidR="00FD5706" w:rsidRDefault="00FD5706" w:rsidP="005204A3">
      <w:pPr>
        <w:pStyle w:val="NoSpacing"/>
        <w:rPr>
          <w:sz w:val="20"/>
          <w:szCs w:val="20"/>
        </w:rPr>
      </w:pPr>
    </w:p>
    <w:p w14:paraId="73C65430" w14:textId="48E98162" w:rsidR="00E34DE4" w:rsidRPr="00E34DE4" w:rsidRDefault="00E34DE4" w:rsidP="005204A3">
      <w:pPr>
        <w:pStyle w:val="NoSpacing"/>
        <w:rPr>
          <w:b/>
          <w:bCs/>
          <w:sz w:val="20"/>
          <w:szCs w:val="20"/>
        </w:rPr>
      </w:pPr>
      <w:r w:rsidRPr="00E34DE4">
        <w:rPr>
          <w:b/>
          <w:bCs/>
          <w:sz w:val="20"/>
          <w:szCs w:val="20"/>
        </w:rPr>
        <w:t>Definition</w:t>
      </w:r>
    </w:p>
    <w:p w14:paraId="6B58761E" w14:textId="77777777" w:rsidR="00E34DE4" w:rsidRDefault="00E34DE4" w:rsidP="005204A3">
      <w:pPr>
        <w:pStyle w:val="NoSpacing"/>
        <w:rPr>
          <w:sz w:val="20"/>
          <w:szCs w:val="20"/>
        </w:rPr>
      </w:pPr>
    </w:p>
    <w:p w14:paraId="7E1F8F8C" w14:textId="1A9899FE" w:rsidR="00824FF2" w:rsidRPr="002B0677" w:rsidRDefault="00407B80" w:rsidP="002B0677">
      <w:pPr>
        <w:pStyle w:val="NoSpacing"/>
        <w:spacing w:line="276" w:lineRule="auto"/>
      </w:pPr>
      <w:r w:rsidRPr="002B0677">
        <w:t xml:space="preserve">Reception history encourages the scholar to move beyond the </w:t>
      </w:r>
      <w:r w:rsidR="00D461CB" w:rsidRPr="002B0677">
        <w:t xml:space="preserve">singular focus of provenance and the meaning of a biblical text understood in its original context, and to consider rather how </w:t>
      </w:r>
      <w:r w:rsidR="00B17D99" w:rsidRPr="002B0677">
        <w:t>a text has been read, interpreted and used throughout its life by multiple and various audiences</w:t>
      </w:r>
      <w:r w:rsidR="00661559" w:rsidRPr="002B0677">
        <w:rPr>
          <w:rStyle w:val="FootnoteReference"/>
        </w:rPr>
        <w:footnoteReference w:id="1"/>
      </w:r>
      <w:r w:rsidR="00B17D99" w:rsidRPr="002B0677">
        <w:t xml:space="preserve">. How different cultures and communities have received, appropriated and used biblical texts throughout history illuminates </w:t>
      </w:r>
      <w:r w:rsidR="00D06BEF" w:rsidRPr="002B0677">
        <w:t xml:space="preserve">the way in which they </w:t>
      </w:r>
      <w:r w:rsidR="00B17D99" w:rsidRPr="002B0677">
        <w:t>have been changed over time through transmission, translation or reading and retelling</w:t>
      </w:r>
      <w:r w:rsidR="00661559" w:rsidRPr="002B0677">
        <w:rPr>
          <w:rStyle w:val="FootnoteReference"/>
        </w:rPr>
        <w:footnoteReference w:id="2"/>
      </w:r>
      <w:r w:rsidR="00B77EF9" w:rsidRPr="002B0677">
        <w:t>. The term ‘reception history’ from the German ‘Rezeptionsaesthetik’</w:t>
      </w:r>
      <w:r w:rsidR="00BF6909" w:rsidRPr="002B0677">
        <w:t>,</w:t>
      </w:r>
      <w:r w:rsidR="00B77EF9" w:rsidRPr="002B0677">
        <w:t xml:space="preserve"> </w:t>
      </w:r>
      <w:r w:rsidR="00BF6909" w:rsidRPr="002B0677">
        <w:t>originated in the 1960s as a German equivalent to ‘reader-response’ criticism</w:t>
      </w:r>
      <w:r w:rsidR="00661559" w:rsidRPr="002B0677">
        <w:rPr>
          <w:rStyle w:val="FootnoteReference"/>
        </w:rPr>
        <w:footnoteReference w:id="3"/>
      </w:r>
      <w:r w:rsidR="00BF6909" w:rsidRPr="002B0677">
        <w:t>. Some scholars use the term ‘Wirkungsgeschichte’ to describe this practice</w:t>
      </w:r>
      <w:r w:rsidR="00661559" w:rsidRPr="002B0677">
        <w:rPr>
          <w:rStyle w:val="FootnoteReference"/>
        </w:rPr>
        <w:footnoteReference w:id="4"/>
      </w:r>
      <w:r w:rsidR="00BF6909" w:rsidRPr="002B0677">
        <w:t>; translating as ‘impact history’ the priority is the text itself rather than the passive process of reception – the text has power to influence people and events</w:t>
      </w:r>
      <w:r w:rsidR="00661559" w:rsidRPr="002B0677">
        <w:rPr>
          <w:rStyle w:val="FootnoteReference"/>
        </w:rPr>
        <w:footnoteReference w:id="5"/>
      </w:r>
      <w:r w:rsidR="0055445E" w:rsidRPr="002B0677">
        <w:t>.</w:t>
      </w:r>
      <w:r w:rsidR="005E224F" w:rsidRPr="002B0677">
        <w:t xml:space="preserve"> Further, the terms ‘Nachleben’ (Afterlife) and ‘history of consequences’ have also been used. Whilst this variety of terms may suggest nuanced differences in approach, the outcomes of studies employing them look fairly similar</w:t>
      </w:r>
      <w:r w:rsidR="00661559" w:rsidRPr="002B0677">
        <w:rPr>
          <w:rStyle w:val="FootnoteReference"/>
        </w:rPr>
        <w:footnoteReference w:id="6"/>
      </w:r>
      <w:r w:rsidR="005E224F" w:rsidRPr="002B0677">
        <w:t>.</w:t>
      </w:r>
      <w:r w:rsidR="0054215E" w:rsidRPr="002B0677">
        <w:t xml:space="preserve"> </w:t>
      </w:r>
      <w:r w:rsidR="00661559" w:rsidRPr="002B0677">
        <w:t>Modern interpretations and approaches in discerning the meaning of a text assume that there is one single and true meaning and also that modern techniques are discoveries are more likely to find this</w:t>
      </w:r>
      <w:r w:rsidR="00661559" w:rsidRPr="002B0677">
        <w:rPr>
          <w:rStyle w:val="FootnoteReference"/>
        </w:rPr>
        <w:footnoteReference w:id="7"/>
      </w:r>
      <w:r w:rsidR="00661559" w:rsidRPr="002B0677">
        <w:t>.</w:t>
      </w:r>
      <w:r w:rsidR="00661559" w:rsidRPr="002B0677">
        <w:t xml:space="preserve"> However, t</w:t>
      </w:r>
      <w:r w:rsidR="000362D8" w:rsidRPr="002B0677">
        <w:t>he challenge for the reception historian lies in selecting and collating remnants from the infinite wealth of reception material and preparing a narrative frame</w:t>
      </w:r>
      <w:r w:rsidR="00661559" w:rsidRPr="002B0677">
        <w:rPr>
          <w:rStyle w:val="FootnoteReference"/>
        </w:rPr>
        <w:footnoteReference w:id="8"/>
      </w:r>
      <w:r w:rsidR="000362D8" w:rsidRPr="002B0677">
        <w:t>. The terms of reference are much wider than the history of interpretation</w:t>
      </w:r>
      <w:r w:rsidR="00661559" w:rsidRPr="002B0677">
        <w:rPr>
          <w:rStyle w:val="FootnoteReference"/>
        </w:rPr>
        <w:footnoteReference w:id="9"/>
      </w:r>
      <w:r w:rsidR="000362D8" w:rsidRPr="002B0677">
        <w:t xml:space="preserve"> and scholars of reception history needs must envisage parameters evaluating which responses they consider important, how this choice can be justified and to what end it is being marshalled</w:t>
      </w:r>
      <w:r w:rsidR="00661559" w:rsidRPr="002B0677">
        <w:rPr>
          <w:rStyle w:val="FootnoteReference"/>
        </w:rPr>
        <w:footnoteReference w:id="10"/>
      </w:r>
      <w:r w:rsidR="000362D8" w:rsidRPr="002B0677">
        <w:t>.</w:t>
      </w:r>
      <w:r w:rsidR="00E15BB9" w:rsidRPr="002B0677">
        <w:t xml:space="preserve"> Similarly, recent investigations into the composition of biblical texts have revealed their very fluid nature, the lengthy process of their composition with no discernible</w:t>
      </w:r>
      <w:r w:rsidR="00824FF2" w:rsidRPr="002B0677">
        <w:t xml:space="preserve"> endpoint</w:t>
      </w:r>
      <w:r w:rsidR="00661559" w:rsidRPr="002B0677">
        <w:rPr>
          <w:rStyle w:val="FootnoteReference"/>
        </w:rPr>
        <w:footnoteReference w:id="11"/>
      </w:r>
      <w:r w:rsidR="002009A8" w:rsidRPr="002B0677">
        <w:t>,</w:t>
      </w:r>
      <w:r w:rsidR="00824FF2" w:rsidRPr="002B0677">
        <w:t xml:space="preserve"> expanding potential parameters even further.</w:t>
      </w:r>
    </w:p>
    <w:p w14:paraId="08B805FD" w14:textId="77777777" w:rsidR="0003223A" w:rsidRPr="002B0677" w:rsidRDefault="0003223A" w:rsidP="002B0677">
      <w:pPr>
        <w:pStyle w:val="NoSpacing"/>
        <w:spacing w:line="276" w:lineRule="auto"/>
      </w:pPr>
    </w:p>
    <w:p w14:paraId="48B134FB" w14:textId="5D07A072" w:rsidR="00FD5706" w:rsidRPr="002B0677" w:rsidRDefault="002009A8" w:rsidP="002B0677">
      <w:pPr>
        <w:pStyle w:val="NoSpacing"/>
        <w:spacing w:line="276" w:lineRule="auto"/>
      </w:pPr>
      <w:r w:rsidRPr="002B0677">
        <w:lastRenderedPageBreak/>
        <w:t xml:space="preserve">The Dead Sea discoveries </w:t>
      </w:r>
      <w:r w:rsidR="007A6333" w:rsidRPr="002B0677">
        <w:t>are hugely significant as a source of first-hand information concerning the development and reception of Israel’s scriptures</w:t>
      </w:r>
      <w:r w:rsidR="00661559" w:rsidRPr="002B0677">
        <w:rPr>
          <w:rStyle w:val="FootnoteReference"/>
        </w:rPr>
        <w:footnoteReference w:id="12"/>
      </w:r>
      <w:r w:rsidR="007A6333" w:rsidRPr="002B0677">
        <w:t xml:space="preserve"> highlighting </w:t>
      </w:r>
      <w:r w:rsidR="00691B25" w:rsidRPr="002B0677">
        <w:t>the fluidity of the texts in the Second Temple period</w:t>
      </w:r>
      <w:r w:rsidR="00661559" w:rsidRPr="002B0677">
        <w:rPr>
          <w:rStyle w:val="FootnoteReference"/>
        </w:rPr>
        <w:footnoteReference w:id="13"/>
      </w:r>
      <w:r w:rsidR="00691B25" w:rsidRPr="002B0677">
        <w:t>with often different versions of the same biblical books circulating simultaneously</w:t>
      </w:r>
      <w:r w:rsidR="00661559" w:rsidRPr="002B0677">
        <w:rPr>
          <w:rStyle w:val="FootnoteReference"/>
        </w:rPr>
        <w:footnoteReference w:id="14"/>
      </w:r>
      <w:r w:rsidR="00691B25" w:rsidRPr="002B0677">
        <w:t>, thus leading scholars to question the importance of discovering an ‘original’.</w:t>
      </w:r>
      <w:r w:rsidR="0046216F" w:rsidRPr="002B0677">
        <w:t xml:space="preserve"> Indeed, the exegetes at Qumran consciously exploited the co-existence of multiple text forms implying a view of scripture that was intentionally plural and polyvalent</w:t>
      </w:r>
      <w:r w:rsidR="00661559" w:rsidRPr="002B0677">
        <w:rPr>
          <w:rStyle w:val="FootnoteReference"/>
        </w:rPr>
        <w:footnoteReference w:id="15"/>
      </w:r>
      <w:r w:rsidR="0046216F" w:rsidRPr="002B0677">
        <w:t>. These textual variants were considered clues to the full meaning of the divine revelation</w:t>
      </w:r>
      <w:r w:rsidR="00661559" w:rsidRPr="002B0677">
        <w:rPr>
          <w:rStyle w:val="FootnoteReference"/>
        </w:rPr>
        <w:footnoteReference w:id="16"/>
      </w:r>
      <w:r w:rsidR="0046216F" w:rsidRPr="002B0677">
        <w:t>.</w:t>
      </w:r>
      <w:r w:rsidR="00091256" w:rsidRPr="002B0677">
        <w:t xml:space="preserve"> It is this human importance of the Bible</w:t>
      </w:r>
      <w:r w:rsidR="00121AB0" w:rsidRPr="002B0677">
        <w:t xml:space="preserve"> which evidently does not lie in a single foundational meaning of a text which becomes clear through following a history of reception</w:t>
      </w:r>
      <w:r w:rsidR="00661559" w:rsidRPr="002B0677">
        <w:rPr>
          <w:rStyle w:val="FootnoteReference"/>
        </w:rPr>
        <w:footnoteReference w:id="17"/>
      </w:r>
      <w:r w:rsidR="00121AB0" w:rsidRPr="002B0677">
        <w:t xml:space="preserve">. The transitional world in which we live leads to an engagement with biblical texts which itself is ever-changing. Reception history, therefore, documents the multifaceted and mysterious individual experiences of the biblical text recognising the dynamic relationship between text and audience, rather than an attempt to identify and stabilise a textual meaning in isolation from </w:t>
      </w:r>
      <w:r w:rsidR="009E7E96" w:rsidRPr="002B0677">
        <w:t>the vacillatory nature of human life</w:t>
      </w:r>
      <w:r w:rsidR="00E34DE4" w:rsidRPr="002B0677">
        <w:rPr>
          <w:rStyle w:val="FootnoteReference"/>
        </w:rPr>
        <w:footnoteReference w:id="18"/>
      </w:r>
      <w:r w:rsidR="009E7E96" w:rsidRPr="002B0677">
        <w:t>.</w:t>
      </w:r>
    </w:p>
    <w:p w14:paraId="4328B6D4" w14:textId="0BFAC3AD" w:rsidR="00EE5A0A" w:rsidRPr="002B0677" w:rsidRDefault="00EE5A0A" w:rsidP="002B0677">
      <w:pPr>
        <w:pStyle w:val="NoSpacing"/>
        <w:spacing w:line="276" w:lineRule="auto"/>
      </w:pPr>
    </w:p>
    <w:p w14:paraId="2E318377" w14:textId="742D2D58" w:rsidR="00EE5A0A" w:rsidRPr="002B0677" w:rsidRDefault="00EE5A0A" w:rsidP="002B0677">
      <w:pPr>
        <w:pStyle w:val="NoSpacing"/>
        <w:spacing w:line="276" w:lineRule="auto"/>
        <w:rPr>
          <w:b/>
          <w:bCs/>
        </w:rPr>
      </w:pPr>
      <w:r w:rsidRPr="002B0677">
        <w:rPr>
          <w:b/>
          <w:bCs/>
        </w:rPr>
        <w:t xml:space="preserve">Case Study – Genesis 22 </w:t>
      </w:r>
    </w:p>
    <w:p w14:paraId="0431747F" w14:textId="784ED26C" w:rsidR="00EE5A0A" w:rsidRPr="002B0677" w:rsidRDefault="00EE5A0A" w:rsidP="002B0677">
      <w:pPr>
        <w:pStyle w:val="NoSpacing"/>
        <w:spacing w:line="276" w:lineRule="auto"/>
      </w:pPr>
    </w:p>
    <w:p w14:paraId="02EB7279" w14:textId="31DE667B" w:rsidR="00EE5A0A" w:rsidRPr="002B0677" w:rsidRDefault="00A74450" w:rsidP="002B0677">
      <w:pPr>
        <w:pStyle w:val="NoSpacing"/>
        <w:spacing w:line="276" w:lineRule="auto"/>
      </w:pPr>
      <w:r w:rsidRPr="002B0677">
        <w:t>The story of the Sacrifice of Isaac</w:t>
      </w:r>
      <w:r w:rsidR="00D515D4" w:rsidRPr="002B0677">
        <w:t xml:space="preserve"> (The Akedah)</w:t>
      </w:r>
      <w:r w:rsidRPr="002B0677">
        <w:t xml:space="preserve"> in Genesis 22 is an ongoing source of discussion in both Christian and Jewish literature. A story which links the two religions together</w:t>
      </w:r>
      <w:r w:rsidR="00E34DE4" w:rsidRPr="002B0677">
        <w:rPr>
          <w:rStyle w:val="FootnoteReference"/>
        </w:rPr>
        <w:footnoteReference w:id="19"/>
      </w:r>
      <w:r w:rsidRPr="002B0677">
        <w:t>, there is a plethora of artistic representations emanating from both traditions</w:t>
      </w:r>
      <w:r w:rsidR="00E34DE4" w:rsidRPr="002B0677">
        <w:rPr>
          <w:rStyle w:val="FootnoteReference"/>
        </w:rPr>
        <w:footnoteReference w:id="20"/>
      </w:r>
      <w:r w:rsidRPr="002B0677">
        <w:t xml:space="preserve"> and demonstrate the interaction between text and audience over many hundreds of years. Kessler argues that artists who engage with biblical texts should be viewed as exegetes in their own right as the interpretations they offer are individual and often conflict with accepted interpretations offered by Rabbis or the Church Fathers</w:t>
      </w:r>
      <w:r w:rsidR="00E34DE4" w:rsidRPr="002B0677">
        <w:rPr>
          <w:rStyle w:val="FootnoteReference"/>
        </w:rPr>
        <w:footnoteReference w:id="21"/>
      </w:r>
      <w:r w:rsidRPr="002B0677">
        <w:t xml:space="preserve">. </w:t>
      </w:r>
      <w:r w:rsidR="00D515D4" w:rsidRPr="002B0677">
        <w:t>Indeed some of these have drawn criticism from theologians seeing in the diversity of interpretation danger and error; seventeenth century Protestant theologian Jean D’Espagne commented “…this picture is false and doth bely the Holy history.</w:t>
      </w:r>
      <w:r w:rsidR="00A85299" w:rsidRPr="002B0677">
        <w:t>.</w:t>
      </w:r>
      <w:r w:rsidR="00D515D4" w:rsidRPr="002B0677">
        <w:t xml:space="preserve">.” and Martin Luther was adamant that “the picture commonly painted about Abraham about </w:t>
      </w:r>
      <w:r w:rsidR="00D515D4" w:rsidRPr="002B0677">
        <w:lastRenderedPageBreak/>
        <w:t>to kill his son is incorrect”</w:t>
      </w:r>
      <w:r w:rsidR="00E34DE4" w:rsidRPr="002B0677">
        <w:rPr>
          <w:rStyle w:val="FootnoteReference"/>
        </w:rPr>
        <w:footnoteReference w:id="22"/>
      </w:r>
      <w:r w:rsidR="00D515D4" w:rsidRPr="002B0677">
        <w:t xml:space="preserve">. </w:t>
      </w:r>
      <w:r w:rsidR="008C3286" w:rsidRPr="002B0677">
        <w:t>The Akedah has generated a number of ways in which artists have engaged with the story: as a guide to moral conduct, as an exemplar of theatrical drama and as a means of discussing contemporary politics</w:t>
      </w:r>
      <w:r w:rsidR="00E34DE4" w:rsidRPr="002B0677">
        <w:rPr>
          <w:rStyle w:val="FootnoteReference"/>
        </w:rPr>
        <w:footnoteReference w:id="23"/>
      </w:r>
      <w:r w:rsidR="008C3286" w:rsidRPr="002B0677">
        <w:t>. Not only are the ideas of the individual artist evident but contemporary social or political resonances</w:t>
      </w:r>
      <w:r w:rsidR="00E34DE4" w:rsidRPr="002B0677">
        <w:rPr>
          <w:rStyle w:val="FootnoteReference"/>
        </w:rPr>
        <w:footnoteReference w:id="24"/>
      </w:r>
      <w:r w:rsidR="008C3286" w:rsidRPr="002B0677">
        <w:t>. Interpretations developed to mirror liturgical or literary developments</w:t>
      </w:r>
      <w:r w:rsidR="00E34DE4" w:rsidRPr="002B0677">
        <w:rPr>
          <w:rStyle w:val="FootnoteReference"/>
        </w:rPr>
        <w:footnoteReference w:id="25"/>
      </w:r>
      <w:r w:rsidR="008C3286" w:rsidRPr="002B0677">
        <w:t xml:space="preserve"> and in the tenth century, the liturgical function of The Akedah began to be emphasized by suggesting the story as a paradigm of the Eucharist</w:t>
      </w:r>
      <w:r w:rsidR="00E34DE4" w:rsidRPr="002B0677">
        <w:rPr>
          <w:rStyle w:val="FootnoteReference"/>
        </w:rPr>
        <w:footnoteReference w:id="26"/>
      </w:r>
      <w:r w:rsidR="008C3286" w:rsidRPr="002B0677">
        <w:t>. This was further developed by the writers of the Medieval Mystery plays who rewrote some of the narrative elements</w:t>
      </w:r>
      <w:r w:rsidR="00E34DE4" w:rsidRPr="002B0677">
        <w:rPr>
          <w:rStyle w:val="FootnoteReference"/>
        </w:rPr>
        <w:footnoteReference w:id="27"/>
      </w:r>
      <w:r w:rsidR="008C3286" w:rsidRPr="002B0677">
        <w:t xml:space="preserve">. </w:t>
      </w:r>
      <w:r w:rsidR="00A85299" w:rsidRPr="002B0677">
        <w:t>The conversation surrounding the stories in the Hebrew Scriptures changed in Europe during the fourteenth to seventeenth century due to the Humanist movement whereby the characters were seen as physical beings with thoughts and feelings</w:t>
      </w:r>
      <w:r w:rsidR="00E406D9" w:rsidRPr="002B0677">
        <w:rPr>
          <w:rStyle w:val="FootnoteReference"/>
        </w:rPr>
        <w:footnoteReference w:id="28"/>
      </w:r>
      <w:r w:rsidR="00A85299" w:rsidRPr="002B0677">
        <w:t>. Abraham’s complex response to God’s command fascinated Harmenszoon van Rijn Rembrandt (1606-1669)</w:t>
      </w:r>
      <w:r w:rsidR="00E406D9" w:rsidRPr="002B0677">
        <w:rPr>
          <w:rStyle w:val="FootnoteReference"/>
        </w:rPr>
        <w:footnoteReference w:id="29"/>
      </w:r>
      <w:r w:rsidR="00A85299" w:rsidRPr="002B0677">
        <w:t xml:space="preserve"> which he depicted in ‘Sacrifice of Isaac’ (1635); the strong expression in Abraham’s face and expressive gesture reveals Abraham’s amazement in a moment of great emotional tension. The turbulent movement</w:t>
      </w:r>
      <w:r w:rsidR="00B572C4" w:rsidRPr="002B0677">
        <w:t>, sharp contrasts of light and shade, and heightened dramatism are offset by the vulnerability of Isaac whose face we do not see, rather his exposed throat prepared for sacrifice.</w:t>
      </w:r>
    </w:p>
    <w:p w14:paraId="2CFA4233" w14:textId="73A7DD15" w:rsidR="00FD5706" w:rsidRPr="002B0677" w:rsidRDefault="00FD5706" w:rsidP="002B0677">
      <w:pPr>
        <w:pStyle w:val="NoSpacing"/>
        <w:spacing w:line="276" w:lineRule="auto"/>
      </w:pPr>
    </w:p>
    <w:p w14:paraId="0D1D9EF5" w14:textId="18407691" w:rsidR="00665203" w:rsidRPr="002B0677" w:rsidRDefault="004F1A0B" w:rsidP="002B0677">
      <w:pPr>
        <w:pStyle w:val="NoSpacing"/>
        <w:spacing w:line="276" w:lineRule="auto"/>
      </w:pPr>
      <w:r w:rsidRPr="002B0677">
        <w:t>In the world of music, The Akedah appears first in an oratorio by Giacomo Carissimi (1605-1674). The approach to musical story telling created by Carissimi influenced the work of later composers</w:t>
      </w:r>
      <w:r w:rsidR="00E406D9" w:rsidRPr="002B0677">
        <w:rPr>
          <w:rStyle w:val="FootnoteReference"/>
        </w:rPr>
        <w:footnoteReference w:id="30"/>
      </w:r>
      <w:r w:rsidRPr="002B0677">
        <w:t xml:space="preserve">. </w:t>
      </w:r>
      <w:r w:rsidR="00491BF3" w:rsidRPr="002B0677">
        <w:t>The role of music and librettos offer a form of ‘midrash’ adding many dimensions to characters who appear two-dimensional in their original setting</w:t>
      </w:r>
      <w:r w:rsidR="00E406D9" w:rsidRPr="002B0677">
        <w:rPr>
          <w:rStyle w:val="FootnoteReference"/>
        </w:rPr>
        <w:footnoteReference w:id="31"/>
      </w:r>
      <w:r w:rsidR="00491BF3" w:rsidRPr="002B0677">
        <w:t>, however, this work</w:t>
      </w:r>
      <w:r w:rsidRPr="002B0677">
        <w:t xml:space="preserve"> is also the first of many settings where the composer has exercised an exegetical choice by including additional text – in this case Psalm 117</w:t>
      </w:r>
      <w:r w:rsidR="00E406D9" w:rsidRPr="002B0677">
        <w:rPr>
          <w:rStyle w:val="FootnoteReference"/>
        </w:rPr>
        <w:footnoteReference w:id="32"/>
      </w:r>
      <w:r w:rsidR="00C97ED3" w:rsidRPr="002B0677">
        <w:t>. This Psalm has been selected to reinforce the moral that God is benevolent</w:t>
      </w:r>
      <w:r w:rsidR="00E406D9" w:rsidRPr="002B0677">
        <w:rPr>
          <w:rStyle w:val="FootnoteReference"/>
        </w:rPr>
        <w:footnoteReference w:id="33"/>
      </w:r>
      <w:r w:rsidR="00491BF3" w:rsidRPr="002B0677">
        <w:t xml:space="preserve">. </w:t>
      </w:r>
      <w:r w:rsidR="00C97ED3" w:rsidRPr="002B0677">
        <w:t xml:space="preserve">Morality is at the heart of Stravinsky’s ‘Abraham et Isaac’ (1962-63), a sacred ballad for baritone and Orchestra. This time, however, it is a vehicle to question the mendacity of political conflict, mirroring the feelings of young Americans who were growing suspicious of their role as sacrificial victims for the narrow political aims of an </w:t>
      </w:r>
      <w:r w:rsidR="00C97ED3" w:rsidRPr="002B0677">
        <w:lastRenderedPageBreak/>
        <w:t>antiquated political system</w:t>
      </w:r>
      <w:r w:rsidR="00E406D9" w:rsidRPr="002B0677">
        <w:rPr>
          <w:rStyle w:val="FootnoteReference"/>
        </w:rPr>
        <w:footnoteReference w:id="34"/>
      </w:r>
      <w:r w:rsidR="00C97ED3" w:rsidRPr="002B0677">
        <w:t>.</w:t>
      </w:r>
      <w:r w:rsidR="00E406D9" w:rsidRPr="002B0677">
        <w:t xml:space="preserve"> </w:t>
      </w:r>
      <w:r w:rsidR="00906225" w:rsidRPr="002B0677">
        <w:t>Modern depictions of The Akedah are not immune to falling foul of the critics. In 1978 sculptor George Segal (1924-2000) was commissioned to create a commemorative piece for the Kent State Shootings (4</w:t>
      </w:r>
      <w:r w:rsidR="00906225" w:rsidRPr="002B0677">
        <w:rPr>
          <w:vertAlign w:val="superscript"/>
        </w:rPr>
        <w:t>th</w:t>
      </w:r>
      <w:r w:rsidR="00906225" w:rsidRPr="002B0677">
        <w:t xml:space="preserve"> May 1970). </w:t>
      </w:r>
      <w:r w:rsidR="00123C5C" w:rsidRPr="002B0677">
        <w:t>On its completion, the sculpture ‘Abraham and Isaac – In memory of May 4</w:t>
      </w:r>
      <w:r w:rsidR="00123C5C" w:rsidRPr="002B0677">
        <w:rPr>
          <w:vertAlign w:val="superscript"/>
        </w:rPr>
        <w:t xml:space="preserve"> </w:t>
      </w:r>
      <w:r w:rsidR="00123C5C" w:rsidRPr="002B0677">
        <w:t>1907’ was refused by Kent State who stated that it was “inappropriate to commemorate the deaths of four students and the wounding of none on the campus with a statue which appears to represent an act of violence about to be committed”. Princeton University, however, thought differently and accepted the work in 1979</w:t>
      </w:r>
      <w:r w:rsidR="00E406D9" w:rsidRPr="002B0677">
        <w:rPr>
          <w:rStyle w:val="FootnoteReference"/>
        </w:rPr>
        <w:footnoteReference w:id="35"/>
      </w:r>
      <w:r w:rsidR="00123C5C" w:rsidRPr="002B0677">
        <w:t>. In an address to the university at the sculpture’s unveiling Segal commented: “There is a strong connection in my mind between the image of Abraham and Isaac and the killings at Kent State. It is an attempt to introduce difficult moral and ethical questions as to how older people should behave toward their children”.</w:t>
      </w:r>
    </w:p>
    <w:p w14:paraId="6F101750" w14:textId="575B46CE" w:rsidR="00E34DE4" w:rsidRPr="002B0677" w:rsidRDefault="00E34DE4" w:rsidP="002B0677">
      <w:pPr>
        <w:pStyle w:val="NoSpacing"/>
        <w:spacing w:line="276" w:lineRule="auto"/>
      </w:pPr>
    </w:p>
    <w:p w14:paraId="63B838A8" w14:textId="01B388B7" w:rsidR="00E34DE4" w:rsidRPr="002B0677" w:rsidRDefault="00E34DE4" w:rsidP="002B0677">
      <w:pPr>
        <w:pStyle w:val="NoSpacing"/>
        <w:spacing w:line="276" w:lineRule="auto"/>
        <w:rPr>
          <w:b/>
          <w:bCs/>
        </w:rPr>
      </w:pPr>
      <w:r w:rsidRPr="002B0677">
        <w:rPr>
          <w:b/>
          <w:bCs/>
        </w:rPr>
        <w:t>Value</w:t>
      </w:r>
    </w:p>
    <w:p w14:paraId="616E3CAD" w14:textId="61D10DA7" w:rsidR="00665203" w:rsidRPr="002B0677" w:rsidRDefault="00665203" w:rsidP="002B0677">
      <w:pPr>
        <w:pStyle w:val="NoSpacing"/>
        <w:spacing w:line="276" w:lineRule="auto"/>
      </w:pPr>
    </w:p>
    <w:p w14:paraId="2C05BA07" w14:textId="755A3699" w:rsidR="00665203" w:rsidRPr="002B0677" w:rsidRDefault="00F47D9C" w:rsidP="002B0677">
      <w:pPr>
        <w:pStyle w:val="NoSpacing"/>
        <w:spacing w:line="276" w:lineRule="auto"/>
      </w:pPr>
      <w:r w:rsidRPr="002B0677">
        <w:t xml:space="preserve">It is indisputable that Western culture, </w:t>
      </w:r>
      <w:r w:rsidR="0010444B" w:rsidRPr="002B0677">
        <w:t>despite becoming</w:t>
      </w:r>
      <w:r w:rsidRPr="002B0677">
        <w:t xml:space="preserve"> increasingly secular, is imbued with biblical resonances.</w:t>
      </w:r>
      <w:r w:rsidR="00E0667F" w:rsidRPr="002B0677">
        <w:t xml:space="preserve"> Recognising reception history restores public ownership of the Bible raising awareness of what texts can mean in relation to what they have meant in all kinds of contexts</w:t>
      </w:r>
      <w:r w:rsidR="002B0677" w:rsidRPr="002B0677">
        <w:rPr>
          <w:rStyle w:val="FootnoteReference"/>
        </w:rPr>
        <w:footnoteReference w:id="36"/>
      </w:r>
      <w:r w:rsidR="0010444B" w:rsidRPr="002B0677">
        <w:t xml:space="preserve"> and across centuries</w:t>
      </w:r>
      <w:r w:rsidR="00E0667F" w:rsidRPr="002B0677">
        <w:t>. Indeed, it is the theological, political, cultural and aesthetic afterlives of the scriptures that have been so influential</w:t>
      </w:r>
      <w:r w:rsidR="002B0677" w:rsidRPr="002B0677">
        <w:rPr>
          <w:rStyle w:val="FootnoteReference"/>
        </w:rPr>
        <w:footnoteReference w:id="37"/>
      </w:r>
      <w:r w:rsidR="00E0667F" w:rsidRPr="002B0677">
        <w:t>.</w:t>
      </w:r>
      <w:r w:rsidR="009E53C3" w:rsidRPr="002B0677">
        <w:t xml:space="preserve"> </w:t>
      </w:r>
      <w:r w:rsidR="00FF26B5" w:rsidRPr="002B0677">
        <w:t>It is important to consider a</w:t>
      </w:r>
      <w:r w:rsidR="00236E2A">
        <w:t xml:space="preserve"> range</w:t>
      </w:r>
      <w:r w:rsidR="00FF26B5" w:rsidRPr="002B0677">
        <w:t xml:space="preserve"> of responses be they negative or positive in order that a thorough picture of the reception of a text can be understood and can find its own voice. In order to hear the text clearly, those reviewing reception should be asking what it is about the language of a particular text, in this instance Genesis 22, that has initiated such a long and significant history</w:t>
      </w:r>
      <w:r w:rsidR="002B0677" w:rsidRPr="002B0677">
        <w:rPr>
          <w:rStyle w:val="FootnoteReference"/>
        </w:rPr>
        <w:footnoteReference w:id="38"/>
      </w:r>
      <w:r w:rsidR="00FF26B5" w:rsidRPr="002B0677">
        <w:t>.</w:t>
      </w:r>
      <w:r w:rsidR="0010444B" w:rsidRPr="002B0677">
        <w:t xml:space="preserve"> Reception history can</w:t>
      </w:r>
      <w:r w:rsidR="00A33B2B" w:rsidRPr="002B0677">
        <w:t xml:space="preserve"> support our understanding by revealing the connections between earlier interpretations and later readings, and explain why people have read the text in many ways throughout history</w:t>
      </w:r>
      <w:r w:rsidR="002B0677" w:rsidRPr="002B0677">
        <w:rPr>
          <w:rStyle w:val="FootnoteReference"/>
        </w:rPr>
        <w:footnoteReference w:id="39"/>
      </w:r>
      <w:r w:rsidR="00A33B2B" w:rsidRPr="002B0677">
        <w:t xml:space="preserve">. </w:t>
      </w:r>
      <w:r w:rsidR="00F137ED" w:rsidRPr="002B0677">
        <w:t>In both Judaism and Christianity, engaging with scripture is fundamental in building a relationship with God</w:t>
      </w:r>
      <w:r w:rsidR="00EF21F4" w:rsidRPr="002B0677">
        <w:t>, however, in both religions, God is</w:t>
      </w:r>
      <w:r w:rsidR="00AB29D4" w:rsidRPr="002B0677">
        <w:t xml:space="preserve"> considered beyond human comprehension – without form or material substance. Engaging with scripture and contemplating the interplay between texts, interpreters, artists and audience throughout history can help individuals grasp the reality of that which is essentially unknowable.</w:t>
      </w:r>
    </w:p>
    <w:p w14:paraId="486AFA04" w14:textId="77777777" w:rsidR="00FD5706" w:rsidRPr="002B0677" w:rsidRDefault="00FD5706" w:rsidP="002B0677">
      <w:pPr>
        <w:pStyle w:val="NoSpacing"/>
        <w:spacing w:line="276" w:lineRule="auto"/>
      </w:pPr>
    </w:p>
    <w:p w14:paraId="434C86BE" w14:textId="77777777" w:rsidR="002B0677" w:rsidRDefault="002B0677" w:rsidP="005204A3">
      <w:pPr>
        <w:pStyle w:val="NoSpacing"/>
        <w:rPr>
          <w:b/>
          <w:bCs/>
          <w:sz w:val="20"/>
          <w:szCs w:val="20"/>
        </w:rPr>
      </w:pPr>
    </w:p>
    <w:p w14:paraId="6A1DFE70" w14:textId="77777777" w:rsidR="002B0677" w:rsidRDefault="002B0677" w:rsidP="005204A3">
      <w:pPr>
        <w:pStyle w:val="NoSpacing"/>
        <w:rPr>
          <w:b/>
          <w:bCs/>
          <w:sz w:val="20"/>
          <w:szCs w:val="20"/>
        </w:rPr>
      </w:pPr>
    </w:p>
    <w:p w14:paraId="58DFD135" w14:textId="77777777" w:rsidR="002B0677" w:rsidRDefault="002B0677" w:rsidP="005204A3">
      <w:pPr>
        <w:pStyle w:val="NoSpacing"/>
        <w:rPr>
          <w:b/>
          <w:bCs/>
          <w:sz w:val="20"/>
          <w:szCs w:val="20"/>
        </w:rPr>
      </w:pPr>
    </w:p>
    <w:p w14:paraId="432C9198" w14:textId="77777777" w:rsidR="00236E2A" w:rsidRDefault="00236E2A" w:rsidP="005204A3">
      <w:pPr>
        <w:pStyle w:val="NoSpacing"/>
        <w:rPr>
          <w:b/>
          <w:bCs/>
        </w:rPr>
      </w:pPr>
    </w:p>
    <w:p w14:paraId="29EB96BD" w14:textId="7C116A6B" w:rsidR="00EE1418" w:rsidRPr="002B0677" w:rsidRDefault="00ED697B" w:rsidP="005204A3">
      <w:pPr>
        <w:pStyle w:val="NoSpacing"/>
        <w:rPr>
          <w:b/>
          <w:bCs/>
        </w:rPr>
      </w:pPr>
      <w:r w:rsidRPr="002B0677">
        <w:rPr>
          <w:b/>
          <w:bCs/>
        </w:rPr>
        <w:lastRenderedPageBreak/>
        <w:t>Bibliography</w:t>
      </w:r>
    </w:p>
    <w:p w14:paraId="203AA358" w14:textId="77777777" w:rsidR="005204A3" w:rsidRPr="002B0677" w:rsidRDefault="005204A3" w:rsidP="005204A3">
      <w:pPr>
        <w:pStyle w:val="NoSpacing"/>
      </w:pPr>
    </w:p>
    <w:p w14:paraId="1DBCCF41" w14:textId="75D762C0" w:rsidR="00FD5706" w:rsidRPr="002B0677" w:rsidRDefault="00FD5706" w:rsidP="00FD5706">
      <w:pPr>
        <w:pStyle w:val="NoSpacing"/>
      </w:pPr>
      <w:r w:rsidRPr="002B0677">
        <w:t>Bre</w:t>
      </w:r>
      <w:r w:rsidR="009B6AE2" w:rsidRPr="002B0677">
        <w:t>ed, B</w:t>
      </w:r>
      <w:r w:rsidRPr="002B0677">
        <w:t xml:space="preserve"> "</w:t>
      </w:r>
      <w:r w:rsidRPr="002B0677">
        <w:rPr>
          <w:i/>
          <w:iCs/>
        </w:rPr>
        <w:t>What Is Reception History?",</w:t>
      </w:r>
      <w:r w:rsidRPr="002B0677">
        <w:t xml:space="preserve"> n.p. [cited 14 Jun 2021]. Online: </w:t>
      </w:r>
      <w:hyperlink r:id="rId6" w:tgtFrame="_blank" w:history="1">
        <w:r w:rsidRPr="002B0677">
          <w:rPr>
            <w:rStyle w:val="Hyperlink"/>
            <w:color w:val="auto"/>
          </w:rPr>
          <w:t>https://www.bibleodyssey.org:443/en/tools/bible-basics/what-is-reception-history</w:t>
        </w:r>
      </w:hyperlink>
    </w:p>
    <w:p w14:paraId="2A6485ED" w14:textId="77777777" w:rsidR="00FD5706" w:rsidRPr="002B0677" w:rsidRDefault="00FD5706" w:rsidP="005B5CBD">
      <w:pPr>
        <w:contextualSpacing/>
        <w:rPr>
          <w:rFonts w:cs="Tahoma"/>
          <w:bCs/>
        </w:rPr>
      </w:pPr>
    </w:p>
    <w:p w14:paraId="424BEF73" w14:textId="142C2AAB" w:rsidR="005B5CBD" w:rsidRPr="002B0677" w:rsidRDefault="005B5CBD" w:rsidP="005B5CBD">
      <w:pPr>
        <w:contextualSpacing/>
        <w:rPr>
          <w:rFonts w:cs="Tahoma"/>
          <w:bCs/>
          <w:color w:val="212121"/>
          <w:shd w:val="clear" w:color="auto" w:fill="FFFFFF"/>
        </w:rPr>
      </w:pPr>
      <w:r w:rsidRPr="002B0677">
        <w:rPr>
          <w:rFonts w:cs="Tahoma"/>
          <w:bCs/>
        </w:rPr>
        <w:t>Docherty, Susan E.,</w:t>
      </w:r>
      <w:r w:rsidR="009B6AE2" w:rsidRPr="002B0677">
        <w:rPr>
          <w:rFonts w:cs="Tahoma"/>
          <w:bCs/>
        </w:rPr>
        <w:t xml:space="preserve"> </w:t>
      </w:r>
      <w:r w:rsidR="00661559" w:rsidRPr="002B0677">
        <w:rPr>
          <w:rFonts w:cs="Tahoma"/>
          <w:bCs/>
        </w:rPr>
        <w:t>(</w:t>
      </w:r>
      <w:r w:rsidR="00661559" w:rsidRPr="002B0677">
        <w:rPr>
          <w:rFonts w:cs="Tahoma"/>
          <w:bCs/>
          <w:color w:val="212121"/>
          <w:shd w:val="clear" w:color="auto" w:fill="FFFFFF"/>
        </w:rPr>
        <w:t>forthcoming 2021</w:t>
      </w:r>
      <w:r w:rsidR="00661559" w:rsidRPr="002B0677">
        <w:rPr>
          <w:rFonts w:cs="Tahoma"/>
          <w:bCs/>
          <w:color w:val="212121"/>
          <w:shd w:val="clear" w:color="auto" w:fill="FFFFFF"/>
        </w:rPr>
        <w:t xml:space="preserve">) </w:t>
      </w:r>
      <w:r w:rsidR="009B6AE2" w:rsidRPr="002B0677">
        <w:rPr>
          <w:rFonts w:cs="Tahoma"/>
          <w:bCs/>
        </w:rPr>
        <w:t>Pre-publication version of</w:t>
      </w:r>
      <w:r w:rsidRPr="002B0677">
        <w:rPr>
          <w:rFonts w:cs="Tahoma"/>
          <w:bCs/>
        </w:rPr>
        <w:t xml:space="preserve"> “Israel’s Scriptures in the Dead Sea Scrolls.” In Henze, M. and Lincicum. D. (eds.), </w:t>
      </w:r>
      <w:r w:rsidRPr="002B0677">
        <w:rPr>
          <w:rFonts w:cs="Tahoma"/>
          <w:bCs/>
          <w:i/>
          <w:iCs/>
          <w:color w:val="212121"/>
          <w:shd w:val="clear" w:color="auto" w:fill="FFFFFF"/>
        </w:rPr>
        <w:t>The Old Testament in the New: Israel's Scriptures in the New Testament and other Early Christian Writings</w:t>
      </w:r>
      <w:r w:rsidRPr="002B0677">
        <w:rPr>
          <w:rFonts w:cs="Tahoma"/>
          <w:bCs/>
          <w:color w:val="212121"/>
          <w:shd w:val="clear" w:color="auto" w:fill="FFFFFF"/>
        </w:rPr>
        <w:t>. Grand Rapids, Michigan/Cambridge: Eerdmans</w:t>
      </w:r>
    </w:p>
    <w:p w14:paraId="5124DCAE" w14:textId="0E32D6E1" w:rsidR="005B5CBD" w:rsidRPr="002B0677" w:rsidRDefault="005B5CBD" w:rsidP="005B5CBD">
      <w:pPr>
        <w:contextualSpacing/>
        <w:rPr>
          <w:rFonts w:cs="Tahoma"/>
          <w:bCs/>
          <w:color w:val="212121"/>
          <w:shd w:val="clear" w:color="auto" w:fill="FFFFFF"/>
        </w:rPr>
      </w:pPr>
    </w:p>
    <w:p w14:paraId="4F6A3D25" w14:textId="50E7ADD0" w:rsidR="005B5CBD" w:rsidRPr="002B0677" w:rsidRDefault="005B5CBD" w:rsidP="005B5CBD">
      <w:pPr>
        <w:contextualSpacing/>
      </w:pPr>
      <w:r w:rsidRPr="002B0677">
        <w:rPr>
          <w:rFonts w:cs="Tahoma"/>
          <w:bCs/>
          <w:color w:val="212121"/>
          <w:shd w:val="clear" w:color="auto" w:fill="FFFFFF"/>
        </w:rPr>
        <w:t>Isaacson, E. S. (2015</w:t>
      </w:r>
      <w:r w:rsidR="00E34DE4" w:rsidRPr="002B0677">
        <w:rPr>
          <w:rFonts w:cs="Tahoma"/>
          <w:bCs/>
          <w:color w:val="212121"/>
          <w:shd w:val="clear" w:color="auto" w:fill="FFFFFF"/>
        </w:rPr>
        <w:t>. “Musical Perspectives on the Binding of Isaac Story in the 20</w:t>
      </w:r>
      <w:r w:rsidR="00E34DE4" w:rsidRPr="002B0677">
        <w:rPr>
          <w:rFonts w:cs="Tahoma"/>
          <w:bCs/>
          <w:color w:val="212121"/>
          <w:shd w:val="clear" w:color="auto" w:fill="FFFFFF"/>
          <w:vertAlign w:val="superscript"/>
        </w:rPr>
        <w:t>th</w:t>
      </w:r>
      <w:r w:rsidR="00E34DE4" w:rsidRPr="002B0677">
        <w:rPr>
          <w:rFonts w:cs="Tahoma"/>
          <w:bCs/>
          <w:color w:val="212121"/>
          <w:shd w:val="clear" w:color="auto" w:fill="FFFFFF"/>
        </w:rPr>
        <w:t xml:space="preserve"> Century: Aharon Harlap and Menachem Zur’s Akedat Ytzchak and Steve Reich’s The Cave”</w:t>
      </w:r>
      <w:r w:rsidR="00E34DE4" w:rsidRPr="002B0677">
        <w:rPr>
          <w:rFonts w:cs="Tahoma"/>
          <w:bCs/>
          <w:color w:val="212121"/>
          <w:shd w:val="clear" w:color="auto" w:fill="FFFFFF"/>
        </w:rPr>
        <w:t xml:space="preserve">. </w:t>
      </w:r>
      <w:r w:rsidRPr="002B0677">
        <w:t xml:space="preserve">Doctor of Musical Arts in Music. </w:t>
      </w:r>
      <w:r w:rsidR="001A0E09" w:rsidRPr="002B0677">
        <w:t>University of Illinois at Urbana-</w:t>
      </w:r>
      <w:r w:rsidR="001A0E09" w:rsidRPr="002B0677">
        <w:softHyphen/>
        <w:t>Champaign, Urbana, Illinois</w:t>
      </w:r>
    </w:p>
    <w:p w14:paraId="5EDE3E92" w14:textId="0F135C9B" w:rsidR="00A5310F" w:rsidRPr="002B0677" w:rsidRDefault="00A5310F" w:rsidP="005B5CBD">
      <w:pPr>
        <w:contextualSpacing/>
      </w:pPr>
    </w:p>
    <w:p w14:paraId="74D4598F" w14:textId="7A606E6F" w:rsidR="00A5310F" w:rsidRPr="002B0677" w:rsidRDefault="00A5310F" w:rsidP="005B5CBD">
      <w:pPr>
        <w:contextualSpacing/>
      </w:pPr>
      <w:r w:rsidRPr="002B0677">
        <w:rPr>
          <w:rFonts w:ascii="Verdana" w:hAnsi="Verdana"/>
          <w:color w:val="000000"/>
        </w:rPr>
        <w:t>Kessler, E. (2002). The Sacrifice of Isaac (the Akedah) in Christian and Jewish Tradition: Artistic Representations. In: O'Kane, M </w:t>
      </w:r>
      <w:r w:rsidRPr="002B0677">
        <w:rPr>
          <w:rFonts w:ascii="Verdana" w:hAnsi="Verdana"/>
          <w:i/>
          <w:iCs/>
          <w:color w:val="000000"/>
        </w:rPr>
        <w:t>Borders, Boundaries and the Bible</w:t>
      </w:r>
      <w:r w:rsidRPr="002B0677">
        <w:rPr>
          <w:rFonts w:ascii="Verdana" w:hAnsi="Verdana"/>
          <w:color w:val="000000"/>
        </w:rPr>
        <w:t>. London and New York: Sheffield Academic Press. 74-98</w:t>
      </w:r>
    </w:p>
    <w:p w14:paraId="126E6399" w14:textId="2FEFA133" w:rsidR="00A5310F" w:rsidRPr="002B0677" w:rsidRDefault="00A5310F" w:rsidP="005B5CBD">
      <w:pPr>
        <w:contextualSpacing/>
      </w:pPr>
    </w:p>
    <w:p w14:paraId="1707F959" w14:textId="06829132" w:rsidR="00A5310F" w:rsidRPr="002B0677" w:rsidRDefault="00A5310F" w:rsidP="005B5CBD">
      <w:pPr>
        <w:contextualSpacing/>
        <w:rPr>
          <w:rFonts w:cs="Tahoma"/>
          <w:bCs/>
          <w:color w:val="212121"/>
          <w:shd w:val="clear" w:color="auto" w:fill="FFFFFF"/>
        </w:rPr>
      </w:pPr>
      <w:r w:rsidRPr="002B0677">
        <w:rPr>
          <w:rFonts w:ascii="Verdana" w:hAnsi="Verdana"/>
          <w:color w:val="000000"/>
        </w:rPr>
        <w:t>Roberts, J. (2011). Introduction. In: Lieb, M., Mason, E., Roberts, J. and Rowland C </w:t>
      </w:r>
      <w:r w:rsidRPr="002B0677">
        <w:rPr>
          <w:rFonts w:ascii="Verdana" w:hAnsi="Verdana"/>
          <w:i/>
          <w:iCs/>
          <w:color w:val="000000"/>
        </w:rPr>
        <w:t>Oxford Handbook of the Reception History of the Bible</w:t>
      </w:r>
      <w:r w:rsidRPr="002B0677">
        <w:rPr>
          <w:rFonts w:ascii="Verdana" w:hAnsi="Verdana"/>
          <w:color w:val="000000"/>
        </w:rPr>
        <w:t>. Oxford: Oxford University Press. 1-8.</w:t>
      </w:r>
    </w:p>
    <w:p w14:paraId="7925799B" w14:textId="2DB724A6" w:rsidR="005B5CBD" w:rsidRPr="002B0677" w:rsidRDefault="005B5CBD" w:rsidP="005B5CBD">
      <w:pPr>
        <w:contextualSpacing/>
        <w:rPr>
          <w:rFonts w:cs="Tahoma"/>
          <w:bCs/>
          <w:color w:val="212121"/>
          <w:shd w:val="clear" w:color="auto" w:fill="FFFFFF"/>
        </w:rPr>
      </w:pPr>
    </w:p>
    <w:p w14:paraId="6605B929" w14:textId="69625EF8" w:rsidR="005B5CBD" w:rsidRPr="002B0677" w:rsidRDefault="005B5CBD" w:rsidP="005B5CBD">
      <w:pPr>
        <w:contextualSpacing/>
        <w:rPr>
          <w:rFonts w:cs="Tahoma"/>
          <w:bCs/>
          <w:color w:val="212121"/>
          <w:shd w:val="clear" w:color="auto" w:fill="FFFFFF"/>
        </w:rPr>
      </w:pPr>
      <w:r w:rsidRPr="002B0677">
        <w:rPr>
          <w:rFonts w:ascii="Verdana" w:hAnsi="Verdana"/>
          <w:color w:val="000000"/>
        </w:rPr>
        <w:t>Leneman, H (2019). </w:t>
      </w:r>
      <w:r w:rsidRPr="002B0677">
        <w:rPr>
          <w:rFonts w:ascii="Verdana" w:hAnsi="Verdana"/>
          <w:i/>
          <w:iCs/>
          <w:color w:val="000000"/>
        </w:rPr>
        <w:t>Musical Illuminations of Genesis Narratives</w:t>
      </w:r>
      <w:r w:rsidRPr="002B0677">
        <w:rPr>
          <w:rFonts w:ascii="Verdana" w:hAnsi="Verdana"/>
          <w:color w:val="000000"/>
        </w:rPr>
        <w:t>. London and New York: T&amp;T Clark.</w:t>
      </w:r>
    </w:p>
    <w:p w14:paraId="78825117" w14:textId="3A6DD1D9" w:rsidR="005B5CBD" w:rsidRPr="002B0677" w:rsidRDefault="005B5CBD" w:rsidP="005B5CBD">
      <w:pPr>
        <w:contextualSpacing/>
        <w:rPr>
          <w:rFonts w:cs="Tahoma"/>
          <w:bCs/>
          <w:color w:val="212121"/>
          <w:shd w:val="clear" w:color="auto" w:fill="FFFFFF"/>
        </w:rPr>
      </w:pPr>
    </w:p>
    <w:p w14:paraId="22183A4A" w14:textId="15BCF0BD" w:rsidR="005B5CBD" w:rsidRPr="002B0677" w:rsidRDefault="005B5CBD" w:rsidP="005B5CBD">
      <w:pPr>
        <w:contextualSpacing/>
        <w:rPr>
          <w:rFonts w:ascii="Verdana" w:hAnsi="Verdana"/>
          <w:color w:val="000000"/>
        </w:rPr>
      </w:pPr>
      <w:r w:rsidRPr="002B0677">
        <w:rPr>
          <w:rFonts w:ascii="Verdana" w:hAnsi="Verdana"/>
          <w:color w:val="000000"/>
        </w:rPr>
        <w:t>Sawyer, J. F. A. (2011). </w:t>
      </w:r>
      <w:r w:rsidRPr="002B0677">
        <w:rPr>
          <w:rFonts w:ascii="Verdana" w:hAnsi="Verdana"/>
          <w:i/>
          <w:iCs/>
          <w:color w:val="000000"/>
        </w:rPr>
        <w:t>Sacred Texts and Sacred Meanings</w:t>
      </w:r>
      <w:r w:rsidRPr="002B0677">
        <w:rPr>
          <w:rFonts w:ascii="Verdana" w:hAnsi="Verdana"/>
          <w:color w:val="000000"/>
        </w:rPr>
        <w:t>. Sheffield: Sheffield Phoenix Press.</w:t>
      </w:r>
    </w:p>
    <w:p w14:paraId="0C6C31F2" w14:textId="2DC4B5A1" w:rsidR="005B5CBD" w:rsidRDefault="005B5CBD" w:rsidP="005B5CBD">
      <w:pPr>
        <w:contextualSpacing/>
        <w:rPr>
          <w:rFonts w:ascii="Verdana" w:hAnsi="Verdana"/>
          <w:color w:val="000000"/>
          <w:sz w:val="20"/>
          <w:szCs w:val="20"/>
        </w:rPr>
      </w:pPr>
    </w:p>
    <w:p w14:paraId="6E78BB7A" w14:textId="77777777" w:rsidR="005B5CBD" w:rsidRPr="005B5CBD" w:rsidRDefault="005B5CBD" w:rsidP="005B5CBD">
      <w:pPr>
        <w:contextualSpacing/>
        <w:rPr>
          <w:rFonts w:cs="Tahoma"/>
          <w:bCs/>
          <w:color w:val="212121"/>
          <w:sz w:val="20"/>
          <w:szCs w:val="20"/>
          <w:shd w:val="clear" w:color="auto" w:fill="FFFFFF"/>
        </w:rPr>
      </w:pPr>
    </w:p>
    <w:p w14:paraId="066D7E33" w14:textId="49057E43" w:rsidR="00AE09F2" w:rsidRPr="005B5CBD" w:rsidRDefault="00AE09F2" w:rsidP="005204A3">
      <w:pPr>
        <w:pStyle w:val="NoSpacing"/>
        <w:rPr>
          <w:b/>
          <w:bCs/>
          <w:sz w:val="20"/>
          <w:szCs w:val="20"/>
        </w:rPr>
      </w:pPr>
    </w:p>
    <w:sectPr w:rsidR="00AE09F2" w:rsidRPr="005B5CB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59CE2B" w14:textId="77777777" w:rsidR="00347F6F" w:rsidRDefault="00347F6F" w:rsidP="00ED697B">
      <w:r>
        <w:separator/>
      </w:r>
    </w:p>
  </w:endnote>
  <w:endnote w:type="continuationSeparator" w:id="0">
    <w:p w14:paraId="7C2FB356" w14:textId="77777777" w:rsidR="00347F6F" w:rsidRDefault="00347F6F" w:rsidP="00ED69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D55ED7" w14:textId="77777777" w:rsidR="00347F6F" w:rsidRDefault="00347F6F" w:rsidP="00ED697B">
      <w:r>
        <w:separator/>
      </w:r>
    </w:p>
  </w:footnote>
  <w:footnote w:type="continuationSeparator" w:id="0">
    <w:p w14:paraId="5F4BC6E7" w14:textId="77777777" w:rsidR="00347F6F" w:rsidRDefault="00347F6F" w:rsidP="00ED697B">
      <w:r>
        <w:continuationSeparator/>
      </w:r>
    </w:p>
  </w:footnote>
  <w:footnote w:id="1">
    <w:p w14:paraId="2BC1672B" w14:textId="6DF191B5" w:rsidR="00661559" w:rsidRPr="00661559" w:rsidRDefault="00661559" w:rsidP="00661559">
      <w:pPr>
        <w:contextualSpacing/>
        <w:rPr>
          <w:rFonts w:ascii="Verdana" w:hAnsi="Verdana"/>
          <w:color w:val="000000"/>
          <w:sz w:val="20"/>
          <w:szCs w:val="20"/>
        </w:rPr>
      </w:pPr>
      <w:r>
        <w:rPr>
          <w:rStyle w:val="FootnoteReference"/>
        </w:rPr>
        <w:footnoteRef/>
      </w:r>
      <w:r>
        <w:t xml:space="preserve"> J. </w:t>
      </w:r>
      <w:r>
        <w:rPr>
          <w:rFonts w:ascii="Verdana" w:hAnsi="Verdana"/>
          <w:color w:val="000000"/>
          <w:sz w:val="20"/>
          <w:szCs w:val="20"/>
        </w:rPr>
        <w:t>Sawyer</w:t>
      </w:r>
      <w:r>
        <w:rPr>
          <w:rFonts w:ascii="Verdana" w:hAnsi="Verdana"/>
          <w:color w:val="000000"/>
          <w:sz w:val="20"/>
          <w:szCs w:val="20"/>
        </w:rPr>
        <w:t>,</w:t>
      </w:r>
      <w:r>
        <w:rPr>
          <w:rFonts w:ascii="Verdana" w:hAnsi="Verdana"/>
          <w:color w:val="000000"/>
          <w:sz w:val="20"/>
          <w:szCs w:val="20"/>
        </w:rPr>
        <w:t xml:space="preserve"> </w:t>
      </w:r>
      <w:r>
        <w:rPr>
          <w:rFonts w:ascii="Verdana" w:hAnsi="Verdana"/>
          <w:i/>
          <w:iCs/>
          <w:color w:val="000000"/>
          <w:sz w:val="20"/>
          <w:szCs w:val="20"/>
        </w:rPr>
        <w:t>Sacred Texts and Sacred Meanings</w:t>
      </w:r>
      <w:r>
        <w:rPr>
          <w:rFonts w:ascii="Verdana" w:hAnsi="Verdana"/>
          <w:color w:val="000000"/>
          <w:sz w:val="20"/>
          <w:szCs w:val="20"/>
        </w:rPr>
        <w:t>.</w:t>
      </w:r>
      <w:r w:rsidRPr="00661559">
        <w:rPr>
          <w:rFonts w:ascii="Verdana" w:hAnsi="Verdana"/>
          <w:color w:val="000000"/>
          <w:sz w:val="20"/>
          <w:szCs w:val="20"/>
        </w:rPr>
        <w:t xml:space="preserve"> </w:t>
      </w:r>
      <w:r>
        <w:rPr>
          <w:rFonts w:ascii="Verdana" w:hAnsi="Verdana"/>
          <w:color w:val="000000"/>
          <w:sz w:val="20"/>
          <w:szCs w:val="20"/>
        </w:rPr>
        <w:t>(2011). Sheffield</w:t>
      </w:r>
      <w:r>
        <w:rPr>
          <w:rFonts w:ascii="Verdana" w:hAnsi="Verdana"/>
          <w:color w:val="000000"/>
          <w:sz w:val="20"/>
          <w:szCs w:val="20"/>
        </w:rPr>
        <w:t xml:space="preserve"> p.35</w:t>
      </w:r>
    </w:p>
  </w:footnote>
  <w:footnote w:id="2">
    <w:p w14:paraId="3BCDEA55" w14:textId="0ADFED37" w:rsidR="00661559" w:rsidRPr="00661559" w:rsidRDefault="00661559" w:rsidP="00661559">
      <w:pPr>
        <w:pStyle w:val="NoSpacing"/>
        <w:rPr>
          <w:sz w:val="20"/>
          <w:szCs w:val="20"/>
        </w:rPr>
      </w:pPr>
      <w:r>
        <w:rPr>
          <w:rStyle w:val="FootnoteReference"/>
        </w:rPr>
        <w:footnoteRef/>
      </w:r>
      <w:r>
        <w:t xml:space="preserve"> B. Breed, </w:t>
      </w:r>
      <w:hyperlink r:id="rId1" w:tgtFrame="_blank" w:history="1">
        <w:r w:rsidRPr="00FD5706">
          <w:rPr>
            <w:rStyle w:val="Hyperlink"/>
            <w:color w:val="auto"/>
            <w:sz w:val="20"/>
            <w:szCs w:val="20"/>
          </w:rPr>
          <w:t>https://www.bibleodyssey.org:443/en/tools/bible-basics/what-is-reception-history</w:t>
        </w:r>
      </w:hyperlink>
    </w:p>
  </w:footnote>
  <w:footnote w:id="3">
    <w:p w14:paraId="08BFB68C" w14:textId="6FF4514D" w:rsidR="00661559" w:rsidRDefault="00661559">
      <w:pPr>
        <w:pStyle w:val="FootnoteText"/>
      </w:pPr>
      <w:r>
        <w:rPr>
          <w:rStyle w:val="FootnoteReference"/>
        </w:rPr>
        <w:footnoteRef/>
      </w:r>
      <w:r>
        <w:t xml:space="preserve"> Sawyer p.36</w:t>
      </w:r>
    </w:p>
  </w:footnote>
  <w:footnote w:id="4">
    <w:p w14:paraId="66F22C7E" w14:textId="21AA147B" w:rsidR="00661559" w:rsidRDefault="00661559">
      <w:pPr>
        <w:pStyle w:val="FootnoteText"/>
      </w:pPr>
      <w:r>
        <w:rPr>
          <w:rStyle w:val="FootnoteReference"/>
        </w:rPr>
        <w:footnoteRef/>
      </w:r>
      <w:r>
        <w:t xml:space="preserve"> Breed</w:t>
      </w:r>
    </w:p>
  </w:footnote>
  <w:footnote w:id="5">
    <w:p w14:paraId="3678D584" w14:textId="5955B0E6" w:rsidR="00661559" w:rsidRDefault="00661559">
      <w:pPr>
        <w:pStyle w:val="FootnoteText"/>
      </w:pPr>
      <w:r>
        <w:rPr>
          <w:rStyle w:val="FootnoteReference"/>
        </w:rPr>
        <w:footnoteRef/>
      </w:r>
      <w:r>
        <w:t xml:space="preserve"> </w:t>
      </w:r>
      <w:r>
        <w:t>Sawyer p.36</w:t>
      </w:r>
    </w:p>
  </w:footnote>
  <w:footnote w:id="6">
    <w:p w14:paraId="4B4C5CDF" w14:textId="49CFD8B4" w:rsidR="00661559" w:rsidRDefault="00661559">
      <w:pPr>
        <w:pStyle w:val="FootnoteText"/>
      </w:pPr>
      <w:r>
        <w:rPr>
          <w:rStyle w:val="FootnoteReference"/>
        </w:rPr>
        <w:footnoteRef/>
      </w:r>
      <w:r>
        <w:t xml:space="preserve"> Breed</w:t>
      </w:r>
    </w:p>
  </w:footnote>
  <w:footnote w:id="7">
    <w:p w14:paraId="6BEEFC3B" w14:textId="2E591DAF" w:rsidR="00661559" w:rsidRDefault="00661559">
      <w:pPr>
        <w:pStyle w:val="FootnoteText"/>
      </w:pPr>
      <w:r>
        <w:rPr>
          <w:rStyle w:val="FootnoteReference"/>
        </w:rPr>
        <w:footnoteRef/>
      </w:r>
      <w:r>
        <w:t xml:space="preserve"> Sawyer p.39</w:t>
      </w:r>
    </w:p>
  </w:footnote>
  <w:footnote w:id="8">
    <w:p w14:paraId="75C5BB8E" w14:textId="1B863FE0" w:rsidR="00661559" w:rsidRDefault="00661559">
      <w:pPr>
        <w:pStyle w:val="FootnoteText"/>
      </w:pPr>
      <w:r>
        <w:rPr>
          <w:rStyle w:val="FootnoteReference"/>
        </w:rPr>
        <w:footnoteRef/>
      </w:r>
      <w:r>
        <w:t xml:space="preserve"> J. </w:t>
      </w:r>
      <w:r>
        <w:rPr>
          <w:rFonts w:ascii="Verdana" w:hAnsi="Verdana"/>
          <w:color w:val="000000"/>
        </w:rPr>
        <w:t>Roberts,</w:t>
      </w:r>
      <w:r>
        <w:rPr>
          <w:rFonts w:ascii="Verdana" w:hAnsi="Verdana"/>
          <w:color w:val="000000"/>
        </w:rPr>
        <w:t xml:space="preserve"> </w:t>
      </w:r>
      <w:r w:rsidRPr="00661559">
        <w:rPr>
          <w:rFonts w:ascii="Verdana" w:hAnsi="Verdana"/>
          <w:i/>
          <w:iCs/>
          <w:color w:val="000000"/>
        </w:rPr>
        <w:t>Introduction</w:t>
      </w:r>
      <w:r>
        <w:rPr>
          <w:rFonts w:ascii="Verdana" w:hAnsi="Verdana"/>
          <w:color w:val="000000"/>
        </w:rPr>
        <w:t>. In: Lieb, M., Mason, E., Roberts, J. and Rowland C </w:t>
      </w:r>
      <w:r>
        <w:rPr>
          <w:rFonts w:ascii="Verdana" w:hAnsi="Verdana"/>
          <w:i/>
          <w:iCs/>
          <w:color w:val="000000"/>
        </w:rPr>
        <w:t>Oxford Handbook of the Reception History of the Bible</w:t>
      </w:r>
      <w:r>
        <w:rPr>
          <w:rFonts w:ascii="Verdana" w:hAnsi="Verdana"/>
          <w:color w:val="000000"/>
        </w:rPr>
        <w:t>. (2011) Oxford</w:t>
      </w:r>
      <w:r>
        <w:rPr>
          <w:rFonts w:ascii="Verdana" w:hAnsi="Verdana"/>
          <w:color w:val="000000"/>
        </w:rPr>
        <w:t xml:space="preserve"> p.3</w:t>
      </w:r>
    </w:p>
  </w:footnote>
  <w:footnote w:id="9">
    <w:p w14:paraId="1E98A58D" w14:textId="2FC165ED" w:rsidR="00661559" w:rsidRDefault="00661559">
      <w:pPr>
        <w:pStyle w:val="FootnoteText"/>
      </w:pPr>
      <w:r>
        <w:rPr>
          <w:rStyle w:val="FootnoteReference"/>
        </w:rPr>
        <w:footnoteRef/>
      </w:r>
      <w:r>
        <w:t xml:space="preserve"> </w:t>
      </w:r>
      <w:r>
        <w:t>Sawyer p.3</w:t>
      </w:r>
      <w:r>
        <w:t>7</w:t>
      </w:r>
    </w:p>
  </w:footnote>
  <w:footnote w:id="10">
    <w:p w14:paraId="076DEFA0" w14:textId="4E2D4400" w:rsidR="00661559" w:rsidRDefault="00661559">
      <w:pPr>
        <w:pStyle w:val="FootnoteText"/>
      </w:pPr>
      <w:r>
        <w:rPr>
          <w:rStyle w:val="FootnoteReference"/>
        </w:rPr>
        <w:footnoteRef/>
      </w:r>
      <w:r>
        <w:t xml:space="preserve"> Roberts p.3</w:t>
      </w:r>
    </w:p>
  </w:footnote>
  <w:footnote w:id="11">
    <w:p w14:paraId="4064801D" w14:textId="6C76922D" w:rsidR="00661559" w:rsidRDefault="00661559">
      <w:pPr>
        <w:pStyle w:val="FootnoteText"/>
      </w:pPr>
      <w:r>
        <w:rPr>
          <w:rStyle w:val="FootnoteReference"/>
        </w:rPr>
        <w:footnoteRef/>
      </w:r>
      <w:r>
        <w:t xml:space="preserve"> Breed</w:t>
      </w:r>
    </w:p>
  </w:footnote>
  <w:footnote w:id="12">
    <w:p w14:paraId="7C4EEF9E" w14:textId="49D105C2" w:rsidR="00661559" w:rsidRDefault="00661559">
      <w:pPr>
        <w:pStyle w:val="FootnoteText"/>
      </w:pPr>
      <w:r>
        <w:rPr>
          <w:rStyle w:val="FootnoteReference"/>
        </w:rPr>
        <w:footnoteRef/>
      </w:r>
      <w:r>
        <w:t xml:space="preserve"> S. </w:t>
      </w:r>
      <w:r w:rsidRPr="005B5CBD">
        <w:rPr>
          <w:rFonts w:cs="Tahoma"/>
          <w:bCs/>
        </w:rPr>
        <w:t>Docherty,</w:t>
      </w:r>
      <w:r>
        <w:rPr>
          <w:rFonts w:cs="Tahoma"/>
          <w:bCs/>
        </w:rPr>
        <w:t xml:space="preserve"> </w:t>
      </w:r>
      <w:r w:rsidRPr="005B5CBD">
        <w:rPr>
          <w:rFonts w:cs="Tahoma"/>
          <w:bCs/>
        </w:rPr>
        <w:t xml:space="preserve">Pre-publication version of “Israel’s Scriptures in the Dead Sea Scrolls.” In Henze, M. and Lincicum. D. (eds.), </w:t>
      </w:r>
      <w:r w:rsidRPr="005B5CBD">
        <w:rPr>
          <w:rFonts w:cs="Tahoma"/>
          <w:bCs/>
          <w:i/>
          <w:iCs/>
          <w:color w:val="212121"/>
          <w:shd w:val="clear" w:color="auto" w:fill="FFFFFF"/>
        </w:rPr>
        <w:t>The Old Testament in the New: Israel's Scriptures in the New Testament and other Early Christian Writings</w:t>
      </w:r>
      <w:r w:rsidRPr="005B5CBD">
        <w:rPr>
          <w:rFonts w:cs="Tahoma"/>
          <w:bCs/>
          <w:color w:val="212121"/>
          <w:shd w:val="clear" w:color="auto" w:fill="FFFFFF"/>
        </w:rPr>
        <w:t xml:space="preserve">. </w:t>
      </w:r>
      <w:r>
        <w:rPr>
          <w:rFonts w:cs="Tahoma"/>
          <w:bCs/>
        </w:rPr>
        <w:t>(</w:t>
      </w:r>
      <w:r w:rsidRPr="005B5CBD">
        <w:rPr>
          <w:rFonts w:cs="Tahoma"/>
          <w:bCs/>
          <w:color w:val="212121"/>
          <w:shd w:val="clear" w:color="auto" w:fill="FFFFFF"/>
        </w:rPr>
        <w:t>forthcoming 2021</w:t>
      </w:r>
      <w:r>
        <w:rPr>
          <w:rFonts w:cs="Tahoma"/>
          <w:bCs/>
          <w:color w:val="212121"/>
          <w:shd w:val="clear" w:color="auto" w:fill="FFFFFF"/>
        </w:rPr>
        <w:t xml:space="preserve">) </w:t>
      </w:r>
      <w:r w:rsidRPr="005B5CBD">
        <w:rPr>
          <w:rFonts w:cs="Tahoma"/>
          <w:bCs/>
          <w:color w:val="212121"/>
          <w:shd w:val="clear" w:color="auto" w:fill="FFFFFF"/>
        </w:rPr>
        <w:t>Grand Rapids</w:t>
      </w:r>
      <w:r>
        <w:rPr>
          <w:rFonts w:cs="Tahoma"/>
          <w:bCs/>
          <w:color w:val="212121"/>
          <w:shd w:val="clear" w:color="auto" w:fill="FFFFFF"/>
        </w:rPr>
        <w:t xml:space="preserve"> p.1</w:t>
      </w:r>
    </w:p>
  </w:footnote>
  <w:footnote w:id="13">
    <w:p w14:paraId="56E8512F" w14:textId="4CB33215" w:rsidR="00661559" w:rsidRDefault="00661559">
      <w:pPr>
        <w:pStyle w:val="FootnoteText"/>
      </w:pPr>
      <w:r>
        <w:rPr>
          <w:rStyle w:val="FootnoteReference"/>
        </w:rPr>
        <w:footnoteRef/>
      </w:r>
      <w:r>
        <w:t xml:space="preserve"> ibid p.2</w:t>
      </w:r>
    </w:p>
  </w:footnote>
  <w:footnote w:id="14">
    <w:p w14:paraId="45D6F9B9" w14:textId="561AD94B" w:rsidR="00661559" w:rsidRDefault="00661559">
      <w:pPr>
        <w:pStyle w:val="FootnoteText"/>
      </w:pPr>
      <w:r>
        <w:rPr>
          <w:rStyle w:val="FootnoteReference"/>
        </w:rPr>
        <w:footnoteRef/>
      </w:r>
      <w:r>
        <w:t xml:space="preserve"> Breed</w:t>
      </w:r>
    </w:p>
  </w:footnote>
  <w:footnote w:id="15">
    <w:p w14:paraId="7265A4DC" w14:textId="7E910B02" w:rsidR="00661559" w:rsidRDefault="00661559">
      <w:pPr>
        <w:pStyle w:val="FootnoteText"/>
      </w:pPr>
      <w:r>
        <w:rPr>
          <w:rStyle w:val="FootnoteReference"/>
        </w:rPr>
        <w:footnoteRef/>
      </w:r>
      <w:r>
        <w:t xml:space="preserve"> ibid p.9</w:t>
      </w:r>
    </w:p>
  </w:footnote>
  <w:footnote w:id="16">
    <w:p w14:paraId="56368995" w14:textId="237ED597" w:rsidR="00661559" w:rsidRDefault="00661559">
      <w:pPr>
        <w:pStyle w:val="FootnoteText"/>
      </w:pPr>
      <w:r>
        <w:rPr>
          <w:rStyle w:val="FootnoteReference"/>
        </w:rPr>
        <w:footnoteRef/>
      </w:r>
      <w:r>
        <w:t xml:space="preserve"> ibid p.9</w:t>
      </w:r>
    </w:p>
  </w:footnote>
  <w:footnote w:id="17">
    <w:p w14:paraId="0B247DD6" w14:textId="51FF5986" w:rsidR="00661559" w:rsidRDefault="00661559">
      <w:pPr>
        <w:pStyle w:val="FootnoteText"/>
      </w:pPr>
      <w:r>
        <w:rPr>
          <w:rStyle w:val="FootnoteReference"/>
        </w:rPr>
        <w:footnoteRef/>
      </w:r>
      <w:r>
        <w:t xml:space="preserve"> Roberts p.8</w:t>
      </w:r>
    </w:p>
  </w:footnote>
  <w:footnote w:id="18">
    <w:p w14:paraId="29AE2743" w14:textId="7259242A" w:rsidR="00E34DE4" w:rsidRDefault="00E34DE4">
      <w:pPr>
        <w:pStyle w:val="FootnoteText"/>
      </w:pPr>
      <w:r>
        <w:rPr>
          <w:rStyle w:val="FootnoteReference"/>
        </w:rPr>
        <w:footnoteRef/>
      </w:r>
      <w:r>
        <w:t xml:space="preserve"> ibid p.8</w:t>
      </w:r>
    </w:p>
  </w:footnote>
  <w:footnote w:id="19">
    <w:p w14:paraId="462CDA25" w14:textId="19C067FB" w:rsidR="00E34DE4" w:rsidRDefault="00E34DE4">
      <w:pPr>
        <w:pStyle w:val="FootnoteText"/>
      </w:pPr>
      <w:r>
        <w:rPr>
          <w:rStyle w:val="FootnoteReference"/>
        </w:rPr>
        <w:footnoteRef/>
      </w:r>
      <w:r>
        <w:t xml:space="preserve"> E. </w:t>
      </w:r>
      <w:r>
        <w:rPr>
          <w:rFonts w:ascii="Verdana" w:hAnsi="Verdana"/>
          <w:color w:val="000000"/>
        </w:rPr>
        <w:t>Kessler,</w:t>
      </w:r>
      <w:r>
        <w:rPr>
          <w:rFonts w:ascii="Verdana" w:hAnsi="Verdana"/>
          <w:color w:val="000000"/>
        </w:rPr>
        <w:t xml:space="preserve"> </w:t>
      </w:r>
      <w:r>
        <w:rPr>
          <w:rFonts w:ascii="Verdana" w:hAnsi="Verdana"/>
          <w:color w:val="000000"/>
        </w:rPr>
        <w:t>The Sacrifice of Isaac (the Akedah) in Christian and Jewish Tradition: Artistic Representations. In: O'Kane, M </w:t>
      </w:r>
      <w:r>
        <w:rPr>
          <w:rFonts w:ascii="Verdana" w:hAnsi="Verdana"/>
          <w:i/>
          <w:iCs/>
          <w:color w:val="000000"/>
        </w:rPr>
        <w:t>Borders, Boundaries and the Bible</w:t>
      </w:r>
      <w:r>
        <w:rPr>
          <w:rFonts w:ascii="Verdana" w:hAnsi="Verdana"/>
          <w:color w:val="000000"/>
        </w:rPr>
        <w:t>. (2002). London and New York</w:t>
      </w:r>
      <w:r>
        <w:rPr>
          <w:rFonts w:ascii="Verdana" w:hAnsi="Verdana"/>
          <w:color w:val="000000"/>
        </w:rPr>
        <w:t xml:space="preserve"> p.74</w:t>
      </w:r>
    </w:p>
  </w:footnote>
  <w:footnote w:id="20">
    <w:p w14:paraId="35039970" w14:textId="07899C40" w:rsidR="00E34DE4" w:rsidRDefault="00E34DE4">
      <w:pPr>
        <w:pStyle w:val="FootnoteText"/>
      </w:pPr>
      <w:r>
        <w:rPr>
          <w:rStyle w:val="FootnoteReference"/>
        </w:rPr>
        <w:footnoteRef/>
      </w:r>
      <w:r>
        <w:t xml:space="preserve"> ibid p.97</w:t>
      </w:r>
    </w:p>
  </w:footnote>
  <w:footnote w:id="21">
    <w:p w14:paraId="7D8316AA" w14:textId="097698B3" w:rsidR="00E34DE4" w:rsidRDefault="00E34DE4">
      <w:pPr>
        <w:pStyle w:val="FootnoteText"/>
      </w:pPr>
      <w:r>
        <w:rPr>
          <w:rStyle w:val="FootnoteReference"/>
        </w:rPr>
        <w:footnoteRef/>
      </w:r>
      <w:r>
        <w:t xml:space="preserve"> ibid p.97</w:t>
      </w:r>
    </w:p>
  </w:footnote>
  <w:footnote w:id="22">
    <w:p w14:paraId="622FFA64" w14:textId="460EF1B4" w:rsidR="00E34DE4" w:rsidRDefault="00E34DE4">
      <w:pPr>
        <w:pStyle w:val="FootnoteText"/>
      </w:pPr>
      <w:r>
        <w:rPr>
          <w:rStyle w:val="FootnoteReference"/>
        </w:rPr>
        <w:footnoteRef/>
      </w:r>
      <w:r>
        <w:t xml:space="preserve"> ibid p.98</w:t>
      </w:r>
    </w:p>
  </w:footnote>
  <w:footnote w:id="23">
    <w:p w14:paraId="7E45BAB1" w14:textId="1B38F94A" w:rsidR="00E34DE4" w:rsidRDefault="00E34DE4">
      <w:pPr>
        <w:pStyle w:val="FootnoteText"/>
      </w:pPr>
      <w:r>
        <w:rPr>
          <w:rStyle w:val="FootnoteReference"/>
        </w:rPr>
        <w:footnoteRef/>
      </w:r>
      <w:r>
        <w:t xml:space="preserve"> E. </w:t>
      </w:r>
      <w:r>
        <w:rPr>
          <w:rFonts w:cs="Tahoma"/>
          <w:bCs/>
          <w:color w:val="212121"/>
          <w:shd w:val="clear" w:color="auto" w:fill="FFFFFF"/>
        </w:rPr>
        <w:t xml:space="preserve">Isaacson, E. S. </w:t>
      </w:r>
      <w:r w:rsidRPr="005B5CBD">
        <w:rPr>
          <w:rFonts w:cs="Tahoma"/>
          <w:bCs/>
          <w:color w:val="212121"/>
          <w:shd w:val="clear" w:color="auto" w:fill="FFFFFF"/>
        </w:rPr>
        <w:t>“</w:t>
      </w:r>
      <w:r>
        <w:rPr>
          <w:rFonts w:cs="Tahoma"/>
          <w:bCs/>
          <w:color w:val="212121"/>
          <w:shd w:val="clear" w:color="auto" w:fill="FFFFFF"/>
        </w:rPr>
        <w:t>Musical Perspectives on the Binding of Isaac Story in the 20</w:t>
      </w:r>
      <w:r w:rsidRPr="00E34DE4">
        <w:rPr>
          <w:rFonts w:cs="Tahoma"/>
          <w:bCs/>
          <w:color w:val="212121"/>
          <w:shd w:val="clear" w:color="auto" w:fill="FFFFFF"/>
          <w:vertAlign w:val="superscript"/>
        </w:rPr>
        <w:t>th</w:t>
      </w:r>
      <w:r>
        <w:rPr>
          <w:rFonts w:cs="Tahoma"/>
          <w:bCs/>
          <w:color w:val="212121"/>
          <w:shd w:val="clear" w:color="auto" w:fill="FFFFFF"/>
        </w:rPr>
        <w:t xml:space="preserve"> Century: Aharon Harlap and Menachem Zur’s Akedat Ytzchak and Steve Reich’s The Cave”</w:t>
      </w:r>
      <w:r>
        <w:t xml:space="preserve">. </w:t>
      </w:r>
      <w:r>
        <w:rPr>
          <w:rFonts w:cs="Tahoma"/>
          <w:bCs/>
          <w:color w:val="212121"/>
          <w:shd w:val="clear" w:color="auto" w:fill="FFFFFF"/>
        </w:rPr>
        <w:t xml:space="preserve">(2015) </w:t>
      </w:r>
      <w:r>
        <w:t>Doctor of Musical Arts in Music.</w:t>
      </w:r>
      <w:r>
        <w:t xml:space="preserve"> Illinois p.24</w:t>
      </w:r>
    </w:p>
  </w:footnote>
  <w:footnote w:id="24">
    <w:p w14:paraId="6FEFE29A" w14:textId="3EDDFE82" w:rsidR="00E34DE4" w:rsidRDefault="00E34DE4">
      <w:pPr>
        <w:pStyle w:val="FootnoteText"/>
      </w:pPr>
      <w:r>
        <w:rPr>
          <w:rStyle w:val="FootnoteReference"/>
        </w:rPr>
        <w:footnoteRef/>
      </w:r>
      <w:r>
        <w:t xml:space="preserve"> ibid p.24</w:t>
      </w:r>
    </w:p>
  </w:footnote>
  <w:footnote w:id="25">
    <w:p w14:paraId="03CBDD89" w14:textId="758B34D7" w:rsidR="00E34DE4" w:rsidRDefault="00E34DE4">
      <w:pPr>
        <w:pStyle w:val="FootnoteText"/>
      </w:pPr>
      <w:r>
        <w:rPr>
          <w:rStyle w:val="FootnoteReference"/>
        </w:rPr>
        <w:footnoteRef/>
      </w:r>
      <w:r>
        <w:t xml:space="preserve"> Kessler p.98</w:t>
      </w:r>
    </w:p>
  </w:footnote>
  <w:footnote w:id="26">
    <w:p w14:paraId="4C0FED89" w14:textId="60AF5F39" w:rsidR="00E34DE4" w:rsidRDefault="00E34DE4">
      <w:pPr>
        <w:pStyle w:val="FootnoteText"/>
      </w:pPr>
      <w:r>
        <w:rPr>
          <w:rStyle w:val="FootnoteReference"/>
        </w:rPr>
        <w:footnoteRef/>
      </w:r>
      <w:r>
        <w:t xml:space="preserve"> Isaacson p.27</w:t>
      </w:r>
    </w:p>
  </w:footnote>
  <w:footnote w:id="27">
    <w:p w14:paraId="57BEA83A" w14:textId="1DBF2E1C" w:rsidR="00E34DE4" w:rsidRDefault="00E34DE4">
      <w:pPr>
        <w:pStyle w:val="FootnoteText"/>
      </w:pPr>
      <w:r>
        <w:rPr>
          <w:rStyle w:val="FootnoteReference"/>
        </w:rPr>
        <w:footnoteRef/>
      </w:r>
      <w:r>
        <w:t xml:space="preserve"> ibid p.27</w:t>
      </w:r>
    </w:p>
  </w:footnote>
  <w:footnote w:id="28">
    <w:p w14:paraId="6FC43955" w14:textId="3D0836D0" w:rsidR="00E406D9" w:rsidRDefault="00E406D9">
      <w:pPr>
        <w:pStyle w:val="FootnoteText"/>
      </w:pPr>
      <w:r>
        <w:rPr>
          <w:rStyle w:val="FootnoteReference"/>
        </w:rPr>
        <w:footnoteRef/>
      </w:r>
      <w:r>
        <w:t xml:space="preserve"> ibid p.30</w:t>
      </w:r>
    </w:p>
  </w:footnote>
  <w:footnote w:id="29">
    <w:p w14:paraId="53F01826" w14:textId="1E4F9255" w:rsidR="00E406D9" w:rsidRDefault="00E406D9">
      <w:pPr>
        <w:pStyle w:val="FootnoteText"/>
      </w:pPr>
      <w:r>
        <w:rPr>
          <w:rStyle w:val="FootnoteReference"/>
        </w:rPr>
        <w:footnoteRef/>
      </w:r>
      <w:r>
        <w:t xml:space="preserve"> ibid p.30</w:t>
      </w:r>
    </w:p>
  </w:footnote>
  <w:footnote w:id="30">
    <w:p w14:paraId="08F29435" w14:textId="4750C7E7" w:rsidR="00E406D9" w:rsidRDefault="00E406D9">
      <w:pPr>
        <w:pStyle w:val="FootnoteText"/>
      </w:pPr>
      <w:r>
        <w:rPr>
          <w:rStyle w:val="FootnoteReference"/>
        </w:rPr>
        <w:footnoteRef/>
      </w:r>
      <w:r>
        <w:t xml:space="preserve"> ibid p.31</w:t>
      </w:r>
    </w:p>
  </w:footnote>
  <w:footnote w:id="31">
    <w:p w14:paraId="6A495C17" w14:textId="0C755C99" w:rsidR="00E406D9" w:rsidRDefault="00E406D9">
      <w:pPr>
        <w:pStyle w:val="FootnoteText"/>
      </w:pPr>
      <w:r>
        <w:rPr>
          <w:rStyle w:val="FootnoteReference"/>
        </w:rPr>
        <w:footnoteRef/>
      </w:r>
      <w:r>
        <w:t xml:space="preserve"> H. </w:t>
      </w:r>
      <w:r>
        <w:rPr>
          <w:rFonts w:ascii="Verdana" w:hAnsi="Verdana"/>
          <w:color w:val="000000"/>
        </w:rPr>
        <w:t>Leneman</w:t>
      </w:r>
      <w:r>
        <w:rPr>
          <w:rFonts w:ascii="Verdana" w:hAnsi="Verdana"/>
          <w:color w:val="000000"/>
        </w:rPr>
        <w:t xml:space="preserve"> </w:t>
      </w:r>
      <w:r>
        <w:rPr>
          <w:rFonts w:ascii="Verdana" w:hAnsi="Verdana"/>
          <w:i/>
          <w:iCs/>
          <w:color w:val="000000"/>
        </w:rPr>
        <w:t>Musical Illuminations of Genesis Narratives</w:t>
      </w:r>
      <w:r>
        <w:rPr>
          <w:rFonts w:ascii="Verdana" w:hAnsi="Verdana"/>
          <w:color w:val="000000"/>
        </w:rPr>
        <w:t>. (2019) London and New York</w:t>
      </w:r>
      <w:r>
        <w:rPr>
          <w:rFonts w:ascii="Verdana" w:hAnsi="Verdana"/>
          <w:color w:val="000000"/>
        </w:rPr>
        <w:t xml:space="preserve"> p.xv</w:t>
      </w:r>
    </w:p>
  </w:footnote>
  <w:footnote w:id="32">
    <w:p w14:paraId="30FAC889" w14:textId="759E3C0B" w:rsidR="00E406D9" w:rsidRDefault="00E406D9">
      <w:pPr>
        <w:pStyle w:val="FootnoteText"/>
      </w:pPr>
      <w:r>
        <w:rPr>
          <w:rStyle w:val="FootnoteReference"/>
        </w:rPr>
        <w:footnoteRef/>
      </w:r>
      <w:r>
        <w:t xml:space="preserve"> Isaacson p.33</w:t>
      </w:r>
    </w:p>
  </w:footnote>
  <w:footnote w:id="33">
    <w:p w14:paraId="659EDCEF" w14:textId="5251BDE5" w:rsidR="00E406D9" w:rsidRDefault="00E406D9">
      <w:pPr>
        <w:pStyle w:val="FootnoteText"/>
      </w:pPr>
      <w:r>
        <w:rPr>
          <w:rStyle w:val="FootnoteReference"/>
        </w:rPr>
        <w:footnoteRef/>
      </w:r>
      <w:r>
        <w:t xml:space="preserve"> ibid p.33</w:t>
      </w:r>
    </w:p>
  </w:footnote>
  <w:footnote w:id="34">
    <w:p w14:paraId="1CFC8AD0" w14:textId="27261FFB" w:rsidR="00E406D9" w:rsidRDefault="00E406D9">
      <w:pPr>
        <w:pStyle w:val="FootnoteText"/>
      </w:pPr>
      <w:r>
        <w:rPr>
          <w:rStyle w:val="FootnoteReference"/>
        </w:rPr>
        <w:footnoteRef/>
      </w:r>
      <w:r>
        <w:t xml:space="preserve"> ibid p.45</w:t>
      </w:r>
    </w:p>
  </w:footnote>
  <w:footnote w:id="35">
    <w:p w14:paraId="5EDD1416" w14:textId="0B9345D2" w:rsidR="00E406D9" w:rsidRDefault="00E406D9">
      <w:pPr>
        <w:pStyle w:val="FootnoteText"/>
      </w:pPr>
      <w:r>
        <w:rPr>
          <w:rStyle w:val="FootnoteReference"/>
        </w:rPr>
        <w:footnoteRef/>
      </w:r>
      <w:r>
        <w:t xml:space="preserve"> ibid </w:t>
      </w:r>
      <w:r w:rsidR="002B0677">
        <w:t>p.45</w:t>
      </w:r>
    </w:p>
  </w:footnote>
  <w:footnote w:id="36">
    <w:p w14:paraId="2B2BD5B0" w14:textId="4DF2AE11" w:rsidR="002B0677" w:rsidRDefault="002B0677">
      <w:pPr>
        <w:pStyle w:val="FootnoteText"/>
      </w:pPr>
      <w:r>
        <w:rPr>
          <w:rStyle w:val="FootnoteReference"/>
        </w:rPr>
        <w:footnoteRef/>
      </w:r>
      <w:r>
        <w:t xml:space="preserve"> Sawyer p.39</w:t>
      </w:r>
    </w:p>
  </w:footnote>
  <w:footnote w:id="37">
    <w:p w14:paraId="21249100" w14:textId="3BEA685F" w:rsidR="002B0677" w:rsidRDefault="002B0677">
      <w:pPr>
        <w:pStyle w:val="FootnoteText"/>
      </w:pPr>
      <w:r>
        <w:rPr>
          <w:rStyle w:val="FootnoteReference"/>
        </w:rPr>
        <w:footnoteRef/>
      </w:r>
      <w:r>
        <w:t xml:space="preserve"> ibid p.38</w:t>
      </w:r>
    </w:p>
  </w:footnote>
  <w:footnote w:id="38">
    <w:p w14:paraId="4F1A974E" w14:textId="087F342E" w:rsidR="002B0677" w:rsidRDefault="002B0677">
      <w:pPr>
        <w:pStyle w:val="FootnoteText"/>
      </w:pPr>
      <w:r>
        <w:rPr>
          <w:rStyle w:val="FootnoteReference"/>
        </w:rPr>
        <w:footnoteRef/>
      </w:r>
      <w:r>
        <w:t xml:space="preserve"> ibid p.41</w:t>
      </w:r>
    </w:p>
  </w:footnote>
  <w:footnote w:id="39">
    <w:p w14:paraId="25A5A229" w14:textId="313B2A19" w:rsidR="002B0677" w:rsidRDefault="002B0677">
      <w:pPr>
        <w:pStyle w:val="FootnoteText"/>
      </w:pPr>
      <w:r>
        <w:rPr>
          <w:rStyle w:val="FootnoteReference"/>
        </w:rPr>
        <w:footnoteRef/>
      </w:r>
      <w:r>
        <w:t xml:space="preserve"> Breed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53AEE" w14:textId="4187739B" w:rsidR="001A0E09" w:rsidRDefault="001A0E09">
    <w:pPr>
      <w:pStyle w:val="Header"/>
    </w:pPr>
    <w:r>
      <w:t xml:space="preserve">HPRS7015 From Patriarchs to Prophets </w:t>
    </w:r>
    <w:r>
      <w:tab/>
    </w:r>
    <w:r>
      <w:tab/>
      <w:t>Sarah Connelly 1703421</w:t>
    </w:r>
  </w:p>
  <w:p w14:paraId="2F5D903A" w14:textId="77777777" w:rsidR="001A0E09" w:rsidRDefault="001A0E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97B"/>
    <w:rsid w:val="0003223A"/>
    <w:rsid w:val="000362D8"/>
    <w:rsid w:val="000369EB"/>
    <w:rsid w:val="00043734"/>
    <w:rsid w:val="000723BE"/>
    <w:rsid w:val="00091256"/>
    <w:rsid w:val="000F1EC9"/>
    <w:rsid w:val="0010444B"/>
    <w:rsid w:val="00121AB0"/>
    <w:rsid w:val="00123C5C"/>
    <w:rsid w:val="0015617D"/>
    <w:rsid w:val="001A0E09"/>
    <w:rsid w:val="002009A8"/>
    <w:rsid w:val="00236E2A"/>
    <w:rsid w:val="00277D46"/>
    <w:rsid w:val="002B0677"/>
    <w:rsid w:val="002D5410"/>
    <w:rsid w:val="002D76BC"/>
    <w:rsid w:val="00347F6F"/>
    <w:rsid w:val="003556DB"/>
    <w:rsid w:val="00356D72"/>
    <w:rsid w:val="003C1B36"/>
    <w:rsid w:val="0040535A"/>
    <w:rsid w:val="00407B80"/>
    <w:rsid w:val="0046216F"/>
    <w:rsid w:val="004866F2"/>
    <w:rsid w:val="00491BF3"/>
    <w:rsid w:val="004E348F"/>
    <w:rsid w:val="004F1A0B"/>
    <w:rsid w:val="005204A3"/>
    <w:rsid w:val="0054215E"/>
    <w:rsid w:val="0055445E"/>
    <w:rsid w:val="005B5CBD"/>
    <w:rsid w:val="005E224F"/>
    <w:rsid w:val="00602F8C"/>
    <w:rsid w:val="00661559"/>
    <w:rsid w:val="00665203"/>
    <w:rsid w:val="00676357"/>
    <w:rsid w:val="00691B25"/>
    <w:rsid w:val="006B3D1E"/>
    <w:rsid w:val="0076548E"/>
    <w:rsid w:val="00782562"/>
    <w:rsid w:val="00785651"/>
    <w:rsid w:val="007A6333"/>
    <w:rsid w:val="007C4945"/>
    <w:rsid w:val="00824FF2"/>
    <w:rsid w:val="008276E5"/>
    <w:rsid w:val="00867EBE"/>
    <w:rsid w:val="00887495"/>
    <w:rsid w:val="008C3286"/>
    <w:rsid w:val="008D66B4"/>
    <w:rsid w:val="00906225"/>
    <w:rsid w:val="0090690D"/>
    <w:rsid w:val="009B6AE2"/>
    <w:rsid w:val="009D2B61"/>
    <w:rsid w:val="009E53C3"/>
    <w:rsid w:val="009E7E96"/>
    <w:rsid w:val="00A13F91"/>
    <w:rsid w:val="00A33B2B"/>
    <w:rsid w:val="00A5310F"/>
    <w:rsid w:val="00A74450"/>
    <w:rsid w:val="00A85299"/>
    <w:rsid w:val="00AB29D4"/>
    <w:rsid w:val="00AE09F2"/>
    <w:rsid w:val="00B17D99"/>
    <w:rsid w:val="00B2376E"/>
    <w:rsid w:val="00B572C4"/>
    <w:rsid w:val="00B73B5C"/>
    <w:rsid w:val="00B77EF9"/>
    <w:rsid w:val="00B97B82"/>
    <w:rsid w:val="00BF6909"/>
    <w:rsid w:val="00C9779A"/>
    <w:rsid w:val="00C97ED3"/>
    <w:rsid w:val="00CF4A6E"/>
    <w:rsid w:val="00D06BEF"/>
    <w:rsid w:val="00D461CB"/>
    <w:rsid w:val="00D515D4"/>
    <w:rsid w:val="00DC5E75"/>
    <w:rsid w:val="00E0667F"/>
    <w:rsid w:val="00E15BB9"/>
    <w:rsid w:val="00E34DE4"/>
    <w:rsid w:val="00E406D9"/>
    <w:rsid w:val="00E44B4F"/>
    <w:rsid w:val="00ED697B"/>
    <w:rsid w:val="00EE1418"/>
    <w:rsid w:val="00EE4D47"/>
    <w:rsid w:val="00EE5A0A"/>
    <w:rsid w:val="00EF21F4"/>
    <w:rsid w:val="00EF5A87"/>
    <w:rsid w:val="00F01D4F"/>
    <w:rsid w:val="00F137ED"/>
    <w:rsid w:val="00F47D9C"/>
    <w:rsid w:val="00F863DB"/>
    <w:rsid w:val="00FD5706"/>
    <w:rsid w:val="00FF2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63A0ED8"/>
  <w15:chartTrackingRefBased/>
  <w15:docId w15:val="{D9B594A1-AF48-441D-BDB1-B30F7F4EB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CBD"/>
    <w:pPr>
      <w:spacing w:after="0" w:line="240" w:lineRule="auto"/>
      <w:jc w:val="both"/>
    </w:pPr>
  </w:style>
  <w:style w:type="paragraph" w:styleId="Heading1">
    <w:name w:val="heading 1"/>
    <w:basedOn w:val="Normal"/>
    <w:link w:val="Heading1Char"/>
    <w:uiPriority w:val="9"/>
    <w:qFormat/>
    <w:rsid w:val="000F1EC9"/>
    <w:pPr>
      <w:spacing w:before="100" w:beforeAutospacing="1" w:after="100" w:afterAutospacing="1"/>
      <w:jc w:val="left"/>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13F91"/>
    <w:pPr>
      <w:spacing w:after="0" w:line="240" w:lineRule="auto"/>
    </w:pPr>
  </w:style>
  <w:style w:type="paragraph" w:styleId="FootnoteText">
    <w:name w:val="footnote text"/>
    <w:basedOn w:val="Normal"/>
    <w:link w:val="FootnoteTextChar"/>
    <w:uiPriority w:val="99"/>
    <w:semiHidden/>
    <w:unhideWhenUsed/>
    <w:rsid w:val="005204A3"/>
    <w:pPr>
      <w:jc w:val="left"/>
    </w:pPr>
    <w:rPr>
      <w:sz w:val="20"/>
      <w:szCs w:val="20"/>
    </w:rPr>
  </w:style>
  <w:style w:type="character" w:customStyle="1" w:styleId="FootnoteTextChar">
    <w:name w:val="Footnote Text Char"/>
    <w:basedOn w:val="DefaultParagraphFont"/>
    <w:link w:val="FootnoteText"/>
    <w:uiPriority w:val="99"/>
    <w:semiHidden/>
    <w:rsid w:val="005204A3"/>
    <w:rPr>
      <w:sz w:val="20"/>
      <w:szCs w:val="20"/>
    </w:rPr>
  </w:style>
  <w:style w:type="character" w:styleId="FootnoteReference">
    <w:name w:val="footnote reference"/>
    <w:basedOn w:val="DefaultParagraphFont"/>
    <w:uiPriority w:val="99"/>
    <w:semiHidden/>
    <w:unhideWhenUsed/>
    <w:rsid w:val="005204A3"/>
    <w:rPr>
      <w:vertAlign w:val="superscript"/>
    </w:rPr>
  </w:style>
  <w:style w:type="character" w:styleId="Hyperlink">
    <w:name w:val="Hyperlink"/>
    <w:basedOn w:val="DefaultParagraphFont"/>
    <w:uiPriority w:val="99"/>
    <w:unhideWhenUsed/>
    <w:rsid w:val="000F1EC9"/>
    <w:rPr>
      <w:color w:val="0563C1" w:themeColor="hyperlink"/>
      <w:u w:val="single"/>
    </w:rPr>
  </w:style>
  <w:style w:type="character" w:styleId="UnresolvedMention">
    <w:name w:val="Unresolved Mention"/>
    <w:basedOn w:val="DefaultParagraphFont"/>
    <w:uiPriority w:val="99"/>
    <w:semiHidden/>
    <w:unhideWhenUsed/>
    <w:rsid w:val="000F1EC9"/>
    <w:rPr>
      <w:color w:val="605E5C"/>
      <w:shd w:val="clear" w:color="auto" w:fill="E1DFDD"/>
    </w:rPr>
  </w:style>
  <w:style w:type="character" w:customStyle="1" w:styleId="Heading1Char">
    <w:name w:val="Heading 1 Char"/>
    <w:basedOn w:val="DefaultParagraphFont"/>
    <w:link w:val="Heading1"/>
    <w:uiPriority w:val="9"/>
    <w:rsid w:val="000F1EC9"/>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AE09F2"/>
    <w:rPr>
      <w:color w:val="954F72" w:themeColor="followedHyperlink"/>
      <w:u w:val="single"/>
    </w:rPr>
  </w:style>
  <w:style w:type="paragraph" w:styleId="Header">
    <w:name w:val="header"/>
    <w:basedOn w:val="Normal"/>
    <w:link w:val="HeaderChar"/>
    <w:uiPriority w:val="99"/>
    <w:unhideWhenUsed/>
    <w:rsid w:val="001A0E09"/>
    <w:pPr>
      <w:tabs>
        <w:tab w:val="center" w:pos="4513"/>
        <w:tab w:val="right" w:pos="9026"/>
      </w:tabs>
    </w:pPr>
  </w:style>
  <w:style w:type="character" w:customStyle="1" w:styleId="HeaderChar">
    <w:name w:val="Header Char"/>
    <w:basedOn w:val="DefaultParagraphFont"/>
    <w:link w:val="Header"/>
    <w:uiPriority w:val="99"/>
    <w:rsid w:val="001A0E09"/>
  </w:style>
  <w:style w:type="paragraph" w:styleId="Footer">
    <w:name w:val="footer"/>
    <w:basedOn w:val="Normal"/>
    <w:link w:val="FooterChar"/>
    <w:uiPriority w:val="99"/>
    <w:unhideWhenUsed/>
    <w:rsid w:val="001A0E09"/>
    <w:pPr>
      <w:tabs>
        <w:tab w:val="center" w:pos="4513"/>
        <w:tab w:val="right" w:pos="9026"/>
      </w:tabs>
    </w:pPr>
  </w:style>
  <w:style w:type="character" w:customStyle="1" w:styleId="FooterChar">
    <w:name w:val="Footer Char"/>
    <w:basedOn w:val="DefaultParagraphFont"/>
    <w:link w:val="Footer"/>
    <w:uiPriority w:val="99"/>
    <w:rsid w:val="001A0E09"/>
  </w:style>
  <w:style w:type="character" w:customStyle="1" w:styleId="normaltextrun">
    <w:name w:val="normaltextrun"/>
    <w:basedOn w:val="DefaultParagraphFont"/>
    <w:rsid w:val="00A5310F"/>
  </w:style>
  <w:style w:type="character" w:customStyle="1" w:styleId="eop">
    <w:name w:val="eop"/>
    <w:basedOn w:val="DefaultParagraphFont"/>
    <w:rsid w:val="00A531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990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ibleodyssey.org/en/tools/bible-basics/what-is-reception-history"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bibleodyssey.org/en/tools/bible-basics/what-is-reception-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SMC Preferred">
      <a:majorFont>
        <a:latin typeface="Verdana"/>
        <a:ea typeface=""/>
        <a:cs typeface=""/>
      </a:majorFont>
      <a:minorFont>
        <a:latin typeface="Verdan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555</TotalTime>
  <Pages>5</Pages>
  <Words>1581</Words>
  <Characters>9015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Connelly S</dc:creator>
  <cp:keywords/>
  <dc:description/>
  <cp:lastModifiedBy>Connelly S</cp:lastModifiedBy>
  <cp:revision>31</cp:revision>
  <dcterms:created xsi:type="dcterms:W3CDTF">2021-07-03T14:45:00Z</dcterms:created>
  <dcterms:modified xsi:type="dcterms:W3CDTF">2021-07-06T13:16:00Z</dcterms:modified>
</cp:coreProperties>
</file>