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CEBCE" w14:textId="260930B9" w:rsidR="004440B9" w:rsidRDefault="004440B9">
      <w:pPr>
        <w:rPr>
          <w:rFonts w:ascii="Arial" w:hAnsi="Arial" w:cs="Arial"/>
          <w:sz w:val="28"/>
          <w:szCs w:val="28"/>
          <w:lang w:val="en-US"/>
        </w:rPr>
      </w:pPr>
      <w:r>
        <w:rPr>
          <w:rFonts w:ascii="Arial" w:hAnsi="Arial" w:cs="Arial"/>
          <w:sz w:val="28"/>
          <w:szCs w:val="28"/>
          <w:lang w:val="en-US"/>
        </w:rPr>
        <w:t xml:space="preserve">                                                  </w:t>
      </w:r>
      <w:r w:rsidRPr="004440B9">
        <w:rPr>
          <w:rFonts w:ascii="Arial" w:hAnsi="Arial" w:cs="Arial"/>
          <w:sz w:val="28"/>
          <w:szCs w:val="28"/>
          <w:u w:val="single"/>
          <w:lang w:val="en-US"/>
        </w:rPr>
        <w:t>Property Law</w:t>
      </w:r>
      <w:r>
        <w:rPr>
          <w:rFonts w:ascii="Arial" w:hAnsi="Arial" w:cs="Arial"/>
          <w:sz w:val="28"/>
          <w:szCs w:val="28"/>
          <w:lang w:val="en-US"/>
        </w:rPr>
        <w:t xml:space="preserve"> </w:t>
      </w:r>
    </w:p>
    <w:p w14:paraId="249AE55E" w14:textId="77777777" w:rsidR="00DF4D15" w:rsidRDefault="00DF4D15" w:rsidP="004440B9">
      <w:pPr>
        <w:spacing w:line="480" w:lineRule="auto"/>
        <w:rPr>
          <w:rFonts w:ascii="Arial" w:hAnsi="Arial" w:cs="Arial"/>
          <w:sz w:val="28"/>
          <w:szCs w:val="28"/>
          <w:lang w:val="en-US"/>
        </w:rPr>
      </w:pPr>
    </w:p>
    <w:p w14:paraId="5A3AAE84" w14:textId="6701DD22" w:rsidR="004440B9" w:rsidRDefault="00DF4D15" w:rsidP="004440B9">
      <w:pPr>
        <w:spacing w:line="480" w:lineRule="auto"/>
        <w:rPr>
          <w:rFonts w:ascii="Arial" w:hAnsi="Arial" w:cs="Arial"/>
          <w:sz w:val="28"/>
          <w:szCs w:val="28"/>
          <w:lang w:val="en-US"/>
        </w:rPr>
      </w:pPr>
      <w:r>
        <w:rPr>
          <w:rFonts w:ascii="Arial" w:hAnsi="Arial" w:cs="Arial"/>
          <w:sz w:val="28"/>
          <w:szCs w:val="28"/>
          <w:lang w:val="en-US"/>
        </w:rPr>
        <w:t>Question 1:</w:t>
      </w:r>
    </w:p>
    <w:p w14:paraId="427D92DA" w14:textId="7F899900" w:rsidR="00E23902" w:rsidRDefault="00FF2553" w:rsidP="004440B9">
      <w:pPr>
        <w:spacing w:line="480" w:lineRule="auto"/>
        <w:rPr>
          <w:rFonts w:ascii="Arial" w:hAnsi="Arial" w:cs="Arial"/>
          <w:sz w:val="28"/>
          <w:szCs w:val="28"/>
          <w:lang w:val="en-US"/>
        </w:rPr>
      </w:pPr>
      <w:r>
        <w:rPr>
          <w:rFonts w:ascii="Arial" w:hAnsi="Arial" w:cs="Arial"/>
          <w:sz w:val="28"/>
          <w:szCs w:val="28"/>
          <w:lang w:val="en-US"/>
        </w:rPr>
        <w:tab/>
      </w:r>
      <w:r w:rsidR="00FC2069">
        <w:rPr>
          <w:rFonts w:ascii="Arial" w:hAnsi="Arial" w:cs="Arial"/>
          <w:sz w:val="28"/>
          <w:szCs w:val="28"/>
          <w:lang w:val="en-US"/>
        </w:rPr>
        <w:t>The legal meaning of land can be found under section 205 of the Law of Property Act 1925 which provides that:</w:t>
      </w:r>
    </w:p>
    <w:p w14:paraId="675692A6" w14:textId="79646FAD" w:rsidR="00785965" w:rsidRDefault="00E23902" w:rsidP="004440B9">
      <w:pPr>
        <w:spacing w:line="480" w:lineRule="auto"/>
        <w:rPr>
          <w:rFonts w:ascii="Arial" w:hAnsi="Arial" w:cs="Arial"/>
          <w:sz w:val="28"/>
          <w:szCs w:val="28"/>
          <w:lang w:val="en-US"/>
        </w:rPr>
      </w:pPr>
      <w:r>
        <w:rPr>
          <w:rFonts w:ascii="Arial" w:hAnsi="Arial" w:cs="Arial"/>
          <w:sz w:val="28"/>
          <w:szCs w:val="28"/>
          <w:lang w:val="en-US"/>
        </w:rPr>
        <w:t>“Land includes</w:t>
      </w:r>
      <w:r w:rsidR="008D5C8E">
        <w:rPr>
          <w:rFonts w:ascii="Arial" w:hAnsi="Arial" w:cs="Arial"/>
          <w:sz w:val="28"/>
          <w:szCs w:val="28"/>
          <w:lang w:val="en-US"/>
        </w:rPr>
        <w:t xml:space="preserve"> land of any tenure, and mines and minerals, whether or not held apart from the surface, buildings or parts of buildings (whether the division is horizontal or vertical or made in any other way) and other corporeal hereditaments; also, a manor, advowson, and a rent and other incorporeal hereditament and an easement, right, privilege, or benefit in, over or derived from” </w:t>
      </w:r>
      <w:r w:rsidR="00785965">
        <w:rPr>
          <w:rFonts w:ascii="Arial" w:hAnsi="Arial" w:cs="Arial"/>
          <w:sz w:val="28"/>
          <w:szCs w:val="28"/>
          <w:lang w:val="en-US"/>
        </w:rPr>
        <w:t xml:space="preserve">(Designing Buildings, 2021). </w:t>
      </w:r>
      <w:r w:rsidR="008B58F9">
        <w:rPr>
          <w:rFonts w:ascii="Arial" w:hAnsi="Arial" w:cs="Arial"/>
          <w:sz w:val="28"/>
          <w:szCs w:val="28"/>
          <w:lang w:val="en-US"/>
        </w:rPr>
        <w:t xml:space="preserve">From the description given above it is </w:t>
      </w:r>
      <w:r w:rsidR="00F77B4E">
        <w:rPr>
          <w:rFonts w:ascii="Arial" w:hAnsi="Arial" w:cs="Arial"/>
          <w:sz w:val="28"/>
          <w:szCs w:val="28"/>
          <w:lang w:val="en-US"/>
        </w:rPr>
        <w:t>safe to say that Amy and Bob’s ownership of the land extends to both below and above the surface of the land they owe (</w:t>
      </w:r>
      <w:r w:rsidR="00095C3B">
        <w:rPr>
          <w:rFonts w:ascii="Arial" w:hAnsi="Arial" w:cs="Arial"/>
          <w:sz w:val="28"/>
          <w:szCs w:val="28"/>
          <w:lang w:val="en-US"/>
        </w:rPr>
        <w:t>McFarlane and Hopkins</w:t>
      </w:r>
      <w:r w:rsidR="00F77B4E">
        <w:rPr>
          <w:rFonts w:ascii="Arial" w:hAnsi="Arial" w:cs="Arial"/>
          <w:sz w:val="28"/>
          <w:szCs w:val="28"/>
          <w:lang w:val="en-US"/>
        </w:rPr>
        <w:t>, 2</w:t>
      </w:r>
      <w:r w:rsidR="00095C3B">
        <w:rPr>
          <w:rFonts w:ascii="Arial" w:hAnsi="Arial" w:cs="Arial"/>
          <w:sz w:val="28"/>
          <w:szCs w:val="28"/>
          <w:lang w:val="en-US"/>
        </w:rPr>
        <w:t>020</w:t>
      </w:r>
      <w:r w:rsidR="00F77B4E">
        <w:rPr>
          <w:rFonts w:ascii="Arial" w:hAnsi="Arial" w:cs="Arial"/>
          <w:sz w:val="28"/>
          <w:szCs w:val="28"/>
          <w:lang w:val="en-US"/>
        </w:rPr>
        <w:t xml:space="preserve">, p. 22). </w:t>
      </w:r>
      <w:r w:rsidR="00CF3875">
        <w:rPr>
          <w:rFonts w:ascii="Arial" w:hAnsi="Arial" w:cs="Arial"/>
          <w:sz w:val="28"/>
          <w:szCs w:val="28"/>
          <w:lang w:val="en-US"/>
        </w:rPr>
        <w:t xml:space="preserve">In the case of </w:t>
      </w:r>
      <w:r w:rsidR="00CF3875">
        <w:rPr>
          <w:rFonts w:ascii="Arial" w:hAnsi="Arial" w:cs="Arial"/>
          <w:i/>
          <w:iCs/>
          <w:sz w:val="28"/>
          <w:szCs w:val="28"/>
          <w:lang w:val="en-US"/>
        </w:rPr>
        <w:t xml:space="preserve">‘Star Energy Weald Basin Ltd v Bocardo SA’ </w:t>
      </w:r>
      <w:r w:rsidR="00CF3875">
        <w:rPr>
          <w:rFonts w:ascii="Arial" w:hAnsi="Arial" w:cs="Arial"/>
          <w:sz w:val="28"/>
          <w:szCs w:val="28"/>
          <w:lang w:val="en-US"/>
        </w:rPr>
        <w:t>(2010), the court found in favor of the claimant that th</w:t>
      </w:r>
      <w:r w:rsidR="00E96B44">
        <w:rPr>
          <w:rFonts w:ascii="Arial" w:hAnsi="Arial" w:cs="Arial"/>
          <w:sz w:val="28"/>
          <w:szCs w:val="28"/>
          <w:lang w:val="en-US"/>
        </w:rPr>
        <w:t xml:space="preserve">e ownership granted by their freehold extended to at least the depth at which the defendant had drilled (maxim: whoever owns the soil also owns to the sky and to the depths). </w:t>
      </w:r>
      <w:r w:rsidR="009A619C">
        <w:rPr>
          <w:rFonts w:ascii="Arial" w:hAnsi="Arial" w:cs="Arial"/>
          <w:sz w:val="28"/>
          <w:szCs w:val="28"/>
          <w:lang w:val="en-US"/>
        </w:rPr>
        <w:t xml:space="preserve">However, in </w:t>
      </w:r>
      <w:r w:rsidR="009A619C">
        <w:rPr>
          <w:rFonts w:ascii="Arial" w:hAnsi="Arial" w:cs="Arial"/>
          <w:i/>
          <w:iCs/>
          <w:sz w:val="28"/>
          <w:szCs w:val="28"/>
          <w:lang w:val="en-US"/>
        </w:rPr>
        <w:t xml:space="preserve">‘Bernstein of Leigh (Baron) v </w:t>
      </w:r>
      <w:proofErr w:type="spellStart"/>
      <w:r w:rsidR="009A619C">
        <w:rPr>
          <w:rFonts w:ascii="Arial" w:hAnsi="Arial" w:cs="Arial"/>
          <w:i/>
          <w:iCs/>
          <w:sz w:val="28"/>
          <w:szCs w:val="28"/>
          <w:lang w:val="en-US"/>
        </w:rPr>
        <w:t>Skyview</w:t>
      </w:r>
      <w:r w:rsidR="002573FA">
        <w:rPr>
          <w:rFonts w:ascii="Arial" w:hAnsi="Arial" w:cs="Arial"/>
          <w:i/>
          <w:iCs/>
          <w:sz w:val="28"/>
          <w:szCs w:val="28"/>
          <w:lang w:val="en-US"/>
        </w:rPr>
        <w:t>s</w:t>
      </w:r>
      <w:proofErr w:type="spellEnd"/>
      <w:r w:rsidR="002573FA">
        <w:rPr>
          <w:rFonts w:ascii="Arial" w:hAnsi="Arial" w:cs="Arial"/>
          <w:i/>
          <w:iCs/>
          <w:sz w:val="28"/>
          <w:szCs w:val="28"/>
          <w:lang w:val="en-US"/>
        </w:rPr>
        <w:t xml:space="preserve"> &amp; General Ltd’ </w:t>
      </w:r>
      <w:r w:rsidR="002573FA">
        <w:rPr>
          <w:rFonts w:ascii="Arial" w:hAnsi="Arial" w:cs="Arial"/>
          <w:sz w:val="28"/>
          <w:szCs w:val="28"/>
          <w:lang w:val="en-US"/>
        </w:rPr>
        <w:t>(1978), the court fulfilled the urgency of balancing between the claims of a part</w:t>
      </w:r>
      <w:r w:rsidR="00E70117">
        <w:rPr>
          <w:rFonts w:ascii="Arial" w:hAnsi="Arial" w:cs="Arial"/>
          <w:sz w:val="28"/>
          <w:szCs w:val="28"/>
          <w:lang w:val="en-US"/>
        </w:rPr>
        <w:t>y with a preexisting property right and the freedom of the public</w:t>
      </w:r>
      <w:r w:rsidR="00275743">
        <w:rPr>
          <w:rFonts w:ascii="Arial" w:hAnsi="Arial" w:cs="Arial"/>
          <w:sz w:val="28"/>
          <w:szCs w:val="28"/>
          <w:lang w:val="en-US"/>
        </w:rPr>
        <w:t xml:space="preserve"> by expressing that that there should be </w:t>
      </w:r>
      <w:r w:rsidR="00275743">
        <w:rPr>
          <w:rFonts w:ascii="Arial" w:hAnsi="Arial" w:cs="Arial"/>
          <w:sz w:val="28"/>
          <w:szCs w:val="28"/>
          <w:lang w:val="en-US"/>
        </w:rPr>
        <w:lastRenderedPageBreak/>
        <w:t>fundamental limits on the content of that right</w:t>
      </w:r>
      <w:r w:rsidR="00E70117">
        <w:rPr>
          <w:rFonts w:ascii="Arial" w:hAnsi="Arial" w:cs="Arial"/>
          <w:sz w:val="28"/>
          <w:szCs w:val="28"/>
          <w:lang w:val="en-US"/>
        </w:rPr>
        <w:t xml:space="preserve">; It was held in the case of </w:t>
      </w:r>
      <w:r w:rsidR="00E70117">
        <w:rPr>
          <w:rFonts w:ascii="Arial" w:hAnsi="Arial" w:cs="Arial"/>
          <w:i/>
          <w:iCs/>
          <w:sz w:val="28"/>
          <w:szCs w:val="28"/>
          <w:lang w:val="en-US"/>
        </w:rPr>
        <w:t xml:space="preserve">‘Bernstein of Leigh (Baron) v </w:t>
      </w:r>
      <w:proofErr w:type="spellStart"/>
      <w:r w:rsidR="00E70117">
        <w:rPr>
          <w:rFonts w:ascii="Arial" w:hAnsi="Arial" w:cs="Arial"/>
          <w:i/>
          <w:iCs/>
          <w:sz w:val="28"/>
          <w:szCs w:val="28"/>
          <w:lang w:val="en-US"/>
        </w:rPr>
        <w:t>Skyviews</w:t>
      </w:r>
      <w:proofErr w:type="spellEnd"/>
      <w:r w:rsidR="00E70117">
        <w:rPr>
          <w:rFonts w:ascii="Arial" w:hAnsi="Arial" w:cs="Arial"/>
          <w:i/>
          <w:iCs/>
          <w:sz w:val="28"/>
          <w:szCs w:val="28"/>
          <w:lang w:val="en-US"/>
        </w:rPr>
        <w:t xml:space="preserve"> &amp; General Ltd’ </w:t>
      </w:r>
      <w:r w:rsidR="00E70117">
        <w:rPr>
          <w:rFonts w:ascii="Arial" w:hAnsi="Arial" w:cs="Arial"/>
          <w:sz w:val="28"/>
          <w:szCs w:val="28"/>
          <w:lang w:val="en-US"/>
        </w:rPr>
        <w:t xml:space="preserve">(1978) that the defendant </w:t>
      </w:r>
      <w:r w:rsidR="005E26EF">
        <w:rPr>
          <w:rFonts w:ascii="Arial" w:hAnsi="Arial" w:cs="Arial"/>
          <w:sz w:val="28"/>
          <w:szCs w:val="28"/>
          <w:lang w:val="en-US"/>
        </w:rPr>
        <w:t>did not commit a trespass by merely flying an aircraft above the claimant’s land</w:t>
      </w:r>
      <w:r w:rsidR="00275743">
        <w:rPr>
          <w:rFonts w:ascii="Arial" w:hAnsi="Arial" w:cs="Arial"/>
          <w:sz w:val="28"/>
          <w:szCs w:val="28"/>
          <w:lang w:val="en-US"/>
        </w:rPr>
        <w:t xml:space="preserve"> for the reason that if a landowner </w:t>
      </w:r>
      <w:r w:rsidR="00AA0772">
        <w:rPr>
          <w:rFonts w:ascii="Arial" w:hAnsi="Arial" w:cs="Arial"/>
          <w:sz w:val="28"/>
          <w:szCs w:val="28"/>
          <w:lang w:val="en-US"/>
        </w:rPr>
        <w:t>are</w:t>
      </w:r>
      <w:r w:rsidR="00275743">
        <w:rPr>
          <w:rFonts w:ascii="Arial" w:hAnsi="Arial" w:cs="Arial"/>
          <w:sz w:val="28"/>
          <w:szCs w:val="28"/>
          <w:lang w:val="en-US"/>
        </w:rPr>
        <w:t xml:space="preserve"> given excess control over their land and the space above and under, then they could potentially burden the public’s freedom</w:t>
      </w:r>
      <w:r w:rsidR="005E26EF">
        <w:rPr>
          <w:rFonts w:ascii="Arial" w:hAnsi="Arial" w:cs="Arial"/>
          <w:sz w:val="28"/>
          <w:szCs w:val="28"/>
          <w:lang w:val="en-US"/>
        </w:rPr>
        <w:t>.</w:t>
      </w:r>
      <w:r w:rsidR="00AA0772">
        <w:rPr>
          <w:rFonts w:ascii="Arial" w:hAnsi="Arial" w:cs="Arial"/>
          <w:sz w:val="28"/>
          <w:szCs w:val="28"/>
          <w:lang w:val="en-US"/>
        </w:rPr>
        <w:t xml:space="preserve"> </w:t>
      </w:r>
      <w:r w:rsidR="005E26EF">
        <w:rPr>
          <w:rFonts w:ascii="Arial" w:hAnsi="Arial" w:cs="Arial"/>
          <w:sz w:val="28"/>
          <w:szCs w:val="28"/>
          <w:lang w:val="en-US"/>
        </w:rPr>
        <w:t xml:space="preserve">Moreover, </w:t>
      </w:r>
      <w:r w:rsidR="003574D9">
        <w:rPr>
          <w:rFonts w:ascii="Arial" w:hAnsi="Arial" w:cs="Arial"/>
          <w:sz w:val="28"/>
          <w:szCs w:val="28"/>
          <w:lang w:val="en-US"/>
        </w:rPr>
        <w:t>Bob and Amy’s ownership rights will most likely extend to gardens or crops growing on the land, but even so, th</w:t>
      </w:r>
      <w:r w:rsidR="00B95A42">
        <w:rPr>
          <w:rFonts w:ascii="Arial" w:hAnsi="Arial" w:cs="Arial"/>
          <w:sz w:val="28"/>
          <w:szCs w:val="28"/>
          <w:lang w:val="en-US"/>
        </w:rPr>
        <w:t xml:space="preserve">is does not indicate that they would own every object that might be found on their land </w:t>
      </w:r>
      <w:r w:rsidR="00462D96">
        <w:rPr>
          <w:rFonts w:ascii="Arial" w:hAnsi="Arial" w:cs="Arial"/>
          <w:sz w:val="28"/>
          <w:szCs w:val="28"/>
          <w:lang w:val="en-US"/>
        </w:rPr>
        <w:t xml:space="preserve">(Bevan, </w:t>
      </w:r>
      <w:r w:rsidR="008B1C2D">
        <w:rPr>
          <w:rFonts w:ascii="Arial" w:hAnsi="Arial" w:cs="Arial"/>
          <w:sz w:val="28"/>
          <w:szCs w:val="28"/>
          <w:lang w:val="en-US"/>
        </w:rPr>
        <w:t xml:space="preserve">2021, p. 2). </w:t>
      </w:r>
      <w:r w:rsidR="007D251F">
        <w:rPr>
          <w:rFonts w:ascii="Arial" w:hAnsi="Arial" w:cs="Arial"/>
          <w:sz w:val="28"/>
          <w:szCs w:val="28"/>
          <w:lang w:val="en-US"/>
        </w:rPr>
        <w:t xml:space="preserve">For instance, </w:t>
      </w:r>
      <w:r w:rsidR="007525BF">
        <w:rPr>
          <w:rFonts w:ascii="Arial" w:hAnsi="Arial" w:cs="Arial"/>
          <w:sz w:val="28"/>
          <w:szCs w:val="28"/>
          <w:lang w:val="en-US"/>
        </w:rPr>
        <w:t xml:space="preserve">Bob and Amy </w:t>
      </w:r>
      <w:r w:rsidR="001A65F3">
        <w:rPr>
          <w:rFonts w:ascii="Arial" w:hAnsi="Arial" w:cs="Arial"/>
          <w:sz w:val="28"/>
          <w:szCs w:val="28"/>
          <w:lang w:val="en-US"/>
        </w:rPr>
        <w:t>will have</w:t>
      </w:r>
      <w:r w:rsidR="007525BF">
        <w:rPr>
          <w:rFonts w:ascii="Arial" w:hAnsi="Arial" w:cs="Arial"/>
          <w:sz w:val="28"/>
          <w:szCs w:val="28"/>
          <w:lang w:val="en-US"/>
        </w:rPr>
        <w:t xml:space="preserve"> no claim to</w:t>
      </w:r>
      <w:r w:rsidR="001A65F3">
        <w:rPr>
          <w:rFonts w:ascii="Arial" w:hAnsi="Arial" w:cs="Arial"/>
          <w:sz w:val="28"/>
          <w:szCs w:val="28"/>
          <w:lang w:val="en-US"/>
        </w:rPr>
        <w:t xml:space="preserve"> the shoes of a house guest, because such items are independent objects known as fittings or chattels, </w:t>
      </w:r>
      <w:r w:rsidR="004558DD">
        <w:rPr>
          <w:rFonts w:ascii="Arial" w:hAnsi="Arial" w:cs="Arial"/>
          <w:sz w:val="28"/>
          <w:szCs w:val="28"/>
          <w:lang w:val="en-US"/>
        </w:rPr>
        <w:t>meaning</w:t>
      </w:r>
      <w:r w:rsidR="001A65F3">
        <w:rPr>
          <w:rFonts w:ascii="Arial" w:hAnsi="Arial" w:cs="Arial"/>
          <w:sz w:val="28"/>
          <w:szCs w:val="28"/>
          <w:lang w:val="en-US"/>
        </w:rPr>
        <w:t xml:space="preserve"> tangibles objects that can be owned but are not included with the land according to Kara (2021).</w:t>
      </w:r>
      <w:r w:rsidR="00F317A2">
        <w:rPr>
          <w:rFonts w:ascii="Arial" w:hAnsi="Arial" w:cs="Arial"/>
          <w:sz w:val="28"/>
          <w:szCs w:val="28"/>
          <w:lang w:val="en-US"/>
        </w:rPr>
        <w:t xml:space="preserve"> </w:t>
      </w:r>
      <w:r w:rsidR="00D75C99">
        <w:rPr>
          <w:rFonts w:ascii="Arial" w:hAnsi="Arial" w:cs="Arial"/>
          <w:sz w:val="28"/>
          <w:szCs w:val="28"/>
          <w:lang w:val="en-US"/>
        </w:rPr>
        <w:t>Be that it may,</w:t>
      </w:r>
      <w:r w:rsidR="006A4427">
        <w:rPr>
          <w:rFonts w:ascii="Arial" w:hAnsi="Arial" w:cs="Arial"/>
          <w:sz w:val="28"/>
          <w:szCs w:val="28"/>
          <w:lang w:val="en-US"/>
        </w:rPr>
        <w:t xml:space="preserve"> an initially independent item could lose its individuality and become part of the land, </w:t>
      </w:r>
      <w:r w:rsidR="006A4427" w:rsidRPr="00D75C99">
        <w:rPr>
          <w:rFonts w:ascii="Arial" w:hAnsi="Arial" w:cs="Arial"/>
          <w:color w:val="000000" w:themeColor="text1"/>
          <w:sz w:val="28"/>
          <w:szCs w:val="28"/>
          <w:lang w:val="en-US"/>
        </w:rPr>
        <w:t xml:space="preserve">meaning part of Amy and Bob’s ownership, </w:t>
      </w:r>
      <w:r w:rsidR="00D911AE">
        <w:rPr>
          <w:rFonts w:ascii="Arial" w:hAnsi="Arial" w:cs="Arial"/>
          <w:sz w:val="28"/>
          <w:szCs w:val="28"/>
          <w:lang w:val="en-US"/>
        </w:rPr>
        <w:t>when this happens the item will be considered a fixture and</w:t>
      </w:r>
      <w:r w:rsidR="00D75C99">
        <w:rPr>
          <w:rFonts w:ascii="Arial" w:hAnsi="Arial" w:cs="Arial"/>
          <w:sz w:val="28"/>
          <w:szCs w:val="28"/>
          <w:lang w:val="en-US"/>
        </w:rPr>
        <w:t xml:space="preserve"> no longer a fitting</w:t>
      </w:r>
      <w:r w:rsidR="00D911AE">
        <w:rPr>
          <w:rFonts w:ascii="Arial" w:hAnsi="Arial" w:cs="Arial"/>
          <w:sz w:val="28"/>
          <w:szCs w:val="28"/>
          <w:lang w:val="en-US"/>
        </w:rPr>
        <w:t xml:space="preserve"> as stated by Hasa (2016). </w:t>
      </w:r>
    </w:p>
    <w:p w14:paraId="016739B2" w14:textId="26089FE2" w:rsidR="00D75C99" w:rsidRDefault="00D75C99" w:rsidP="004440B9">
      <w:pPr>
        <w:spacing w:line="480" w:lineRule="auto"/>
        <w:rPr>
          <w:rFonts w:ascii="Arial" w:hAnsi="Arial" w:cs="Arial"/>
          <w:sz w:val="28"/>
          <w:szCs w:val="28"/>
          <w:lang w:val="en-US"/>
        </w:rPr>
      </w:pPr>
      <w:r>
        <w:rPr>
          <w:rFonts w:ascii="Arial" w:hAnsi="Arial" w:cs="Arial"/>
          <w:sz w:val="28"/>
          <w:szCs w:val="28"/>
          <w:lang w:val="en-US"/>
        </w:rPr>
        <w:tab/>
        <w:t xml:space="preserve">The case of </w:t>
      </w:r>
      <w:r>
        <w:rPr>
          <w:rFonts w:ascii="Arial" w:hAnsi="Arial" w:cs="Arial"/>
          <w:i/>
          <w:iCs/>
          <w:sz w:val="28"/>
          <w:szCs w:val="28"/>
          <w:lang w:val="en-US"/>
        </w:rPr>
        <w:t>‘</w:t>
      </w:r>
      <w:proofErr w:type="spellStart"/>
      <w:r>
        <w:rPr>
          <w:rFonts w:ascii="Arial" w:hAnsi="Arial" w:cs="Arial"/>
          <w:i/>
          <w:iCs/>
          <w:sz w:val="28"/>
          <w:szCs w:val="28"/>
          <w:lang w:val="en-US"/>
        </w:rPr>
        <w:t>Elitestone</w:t>
      </w:r>
      <w:proofErr w:type="spellEnd"/>
      <w:r>
        <w:rPr>
          <w:rFonts w:ascii="Arial" w:hAnsi="Arial" w:cs="Arial"/>
          <w:i/>
          <w:iCs/>
          <w:sz w:val="28"/>
          <w:szCs w:val="28"/>
          <w:lang w:val="en-US"/>
        </w:rPr>
        <w:t xml:space="preserve"> Ltd v Morris’ </w:t>
      </w:r>
      <w:r>
        <w:rPr>
          <w:rFonts w:ascii="Arial" w:hAnsi="Arial" w:cs="Arial"/>
          <w:sz w:val="28"/>
          <w:szCs w:val="28"/>
          <w:lang w:val="en-US"/>
        </w:rPr>
        <w:t>(1997) demonstrates how a</w:t>
      </w:r>
      <w:r w:rsidR="00796F65">
        <w:rPr>
          <w:rFonts w:ascii="Arial" w:hAnsi="Arial" w:cs="Arial"/>
          <w:sz w:val="28"/>
          <w:szCs w:val="28"/>
          <w:lang w:val="en-US"/>
        </w:rPr>
        <w:t xml:space="preserve">n individual item could lose its individuality and become part and parcel of the land. In the case of </w:t>
      </w:r>
      <w:r w:rsidR="00796F65">
        <w:rPr>
          <w:rFonts w:ascii="Arial" w:hAnsi="Arial" w:cs="Arial"/>
          <w:i/>
          <w:iCs/>
          <w:sz w:val="28"/>
          <w:szCs w:val="28"/>
          <w:lang w:val="en-US"/>
        </w:rPr>
        <w:t>‘</w:t>
      </w:r>
      <w:proofErr w:type="spellStart"/>
      <w:r w:rsidR="00796F65">
        <w:rPr>
          <w:rFonts w:ascii="Arial" w:hAnsi="Arial" w:cs="Arial"/>
          <w:i/>
          <w:iCs/>
          <w:sz w:val="28"/>
          <w:szCs w:val="28"/>
          <w:lang w:val="en-US"/>
        </w:rPr>
        <w:t>Elitestone</w:t>
      </w:r>
      <w:proofErr w:type="spellEnd"/>
      <w:r w:rsidR="00796F65">
        <w:rPr>
          <w:rFonts w:ascii="Arial" w:hAnsi="Arial" w:cs="Arial"/>
          <w:i/>
          <w:iCs/>
          <w:sz w:val="28"/>
          <w:szCs w:val="28"/>
          <w:lang w:val="en-US"/>
        </w:rPr>
        <w:t xml:space="preserve"> Ltd v Morris’ </w:t>
      </w:r>
      <w:r w:rsidR="00796F65">
        <w:rPr>
          <w:rFonts w:ascii="Arial" w:hAnsi="Arial" w:cs="Arial"/>
          <w:sz w:val="28"/>
          <w:szCs w:val="28"/>
          <w:lang w:val="en-US"/>
        </w:rPr>
        <w:t>(1997)</w:t>
      </w:r>
      <w:r w:rsidR="00A56C6D">
        <w:rPr>
          <w:rFonts w:ascii="Arial" w:hAnsi="Arial" w:cs="Arial"/>
          <w:sz w:val="28"/>
          <w:szCs w:val="28"/>
          <w:lang w:val="en-US"/>
        </w:rPr>
        <w:t>,</w:t>
      </w:r>
      <w:r w:rsidR="00796F65">
        <w:rPr>
          <w:rFonts w:ascii="Arial" w:hAnsi="Arial" w:cs="Arial"/>
          <w:sz w:val="28"/>
          <w:szCs w:val="28"/>
          <w:lang w:val="en-US"/>
        </w:rPr>
        <w:t xml:space="preserve"> a bungalow was built on the land with the use of a timber frame wall brought onto the land </w:t>
      </w:r>
      <w:r w:rsidR="00796F65">
        <w:rPr>
          <w:rFonts w:ascii="Arial" w:hAnsi="Arial" w:cs="Arial"/>
          <w:sz w:val="28"/>
          <w:szCs w:val="28"/>
          <w:lang w:val="en-US"/>
        </w:rPr>
        <w:lastRenderedPageBreak/>
        <w:t xml:space="preserve">(chattel), the court then identified two </w:t>
      </w:r>
      <w:r w:rsidR="0014568F">
        <w:rPr>
          <w:rFonts w:ascii="Arial" w:hAnsi="Arial" w:cs="Arial"/>
          <w:sz w:val="28"/>
          <w:szCs w:val="28"/>
          <w:lang w:val="en-US"/>
        </w:rPr>
        <w:t xml:space="preserve">important factors to consider before deciding whether </w:t>
      </w:r>
      <w:r w:rsidR="00126448">
        <w:rPr>
          <w:rFonts w:ascii="Arial" w:hAnsi="Arial" w:cs="Arial"/>
          <w:sz w:val="28"/>
          <w:szCs w:val="28"/>
          <w:lang w:val="en-US"/>
        </w:rPr>
        <w:t>an object</w:t>
      </w:r>
      <w:r w:rsidR="0014568F">
        <w:rPr>
          <w:rFonts w:ascii="Arial" w:hAnsi="Arial" w:cs="Arial"/>
          <w:sz w:val="28"/>
          <w:szCs w:val="28"/>
          <w:lang w:val="en-US"/>
        </w:rPr>
        <w:t xml:space="preserve"> was a fitting or fixture: </w:t>
      </w:r>
      <w:r w:rsidR="00126448">
        <w:rPr>
          <w:rFonts w:ascii="Arial" w:hAnsi="Arial" w:cs="Arial"/>
          <w:sz w:val="28"/>
          <w:szCs w:val="28"/>
          <w:lang w:val="en-US"/>
        </w:rPr>
        <w:t>First</w:t>
      </w:r>
      <w:r w:rsidR="00490303">
        <w:rPr>
          <w:rFonts w:ascii="Arial" w:hAnsi="Arial" w:cs="Arial"/>
          <w:sz w:val="28"/>
          <w:szCs w:val="28"/>
          <w:lang w:val="en-US"/>
        </w:rPr>
        <w:t xml:space="preserve">, ‘the degree of annexation’, meaning the extent to which the object is affixed or attached to the land; and Next, ‘the purpose of annexation’, meaning the purpose for which the object had been attached in </w:t>
      </w:r>
      <w:r w:rsidR="00A56C6D">
        <w:rPr>
          <w:rFonts w:ascii="Arial" w:hAnsi="Arial" w:cs="Arial"/>
          <w:sz w:val="28"/>
          <w:szCs w:val="28"/>
          <w:lang w:val="en-US"/>
        </w:rPr>
        <w:t>that manner.</w:t>
      </w:r>
      <w:r w:rsidR="0014568F">
        <w:rPr>
          <w:rFonts w:ascii="Arial" w:hAnsi="Arial" w:cs="Arial"/>
          <w:sz w:val="28"/>
          <w:szCs w:val="28"/>
          <w:lang w:val="en-US"/>
        </w:rPr>
        <w:t xml:space="preserve"> </w:t>
      </w:r>
      <w:r w:rsidR="00F875CB">
        <w:rPr>
          <w:rFonts w:ascii="Arial" w:hAnsi="Arial" w:cs="Arial"/>
          <w:sz w:val="28"/>
          <w:szCs w:val="28"/>
          <w:lang w:val="en-US"/>
        </w:rPr>
        <w:t xml:space="preserve">Moreover, </w:t>
      </w:r>
      <w:r w:rsidR="000457D6">
        <w:rPr>
          <w:rFonts w:ascii="Arial" w:hAnsi="Arial" w:cs="Arial"/>
          <w:sz w:val="28"/>
          <w:szCs w:val="28"/>
          <w:lang w:val="en-US"/>
        </w:rPr>
        <w:t xml:space="preserve">an </w:t>
      </w:r>
      <w:r w:rsidR="004949C1">
        <w:rPr>
          <w:rFonts w:ascii="Arial" w:hAnsi="Arial" w:cs="Arial"/>
          <w:sz w:val="28"/>
          <w:szCs w:val="28"/>
          <w:lang w:val="en-US"/>
        </w:rPr>
        <w:t>item</w:t>
      </w:r>
      <w:r w:rsidR="000457D6">
        <w:rPr>
          <w:rFonts w:ascii="Arial" w:hAnsi="Arial" w:cs="Arial"/>
          <w:sz w:val="28"/>
          <w:szCs w:val="28"/>
          <w:lang w:val="en-US"/>
        </w:rPr>
        <w:t xml:space="preserve"> is recognized as a fixture if it cannot be removed from the land without causing serious damage, in contrast, if the </w:t>
      </w:r>
      <w:r w:rsidR="004949C1">
        <w:rPr>
          <w:rFonts w:ascii="Arial" w:hAnsi="Arial" w:cs="Arial"/>
          <w:sz w:val="28"/>
          <w:szCs w:val="28"/>
          <w:lang w:val="en-US"/>
        </w:rPr>
        <w:t>item</w:t>
      </w:r>
      <w:r w:rsidR="000457D6">
        <w:rPr>
          <w:rFonts w:ascii="Arial" w:hAnsi="Arial" w:cs="Arial"/>
          <w:sz w:val="28"/>
          <w:szCs w:val="28"/>
          <w:lang w:val="en-US"/>
        </w:rPr>
        <w:t xml:space="preserve"> can be easily removed from the land </w:t>
      </w:r>
      <w:r w:rsidR="008571C5">
        <w:rPr>
          <w:rFonts w:ascii="Arial" w:hAnsi="Arial" w:cs="Arial"/>
          <w:sz w:val="28"/>
          <w:szCs w:val="28"/>
          <w:lang w:val="en-US"/>
        </w:rPr>
        <w:t>it would be deemed as a fitting according to Cooke (2015).</w:t>
      </w:r>
      <w:r w:rsidR="00FC5355">
        <w:rPr>
          <w:rFonts w:ascii="Arial" w:hAnsi="Arial" w:cs="Arial"/>
          <w:sz w:val="28"/>
          <w:szCs w:val="28"/>
          <w:lang w:val="en-US"/>
        </w:rPr>
        <w:t xml:space="preserve"> Usually, the first test is always certain but the second test is known as being </w:t>
      </w:r>
      <w:r w:rsidR="00EE6832">
        <w:rPr>
          <w:rFonts w:ascii="Arial" w:hAnsi="Arial" w:cs="Arial"/>
          <w:sz w:val="28"/>
          <w:szCs w:val="28"/>
          <w:lang w:val="en-US"/>
        </w:rPr>
        <w:t xml:space="preserve">the standard for most of the court’s decision-making process as illustrated in the case of </w:t>
      </w:r>
      <w:r w:rsidR="00EE6832">
        <w:rPr>
          <w:rFonts w:ascii="Arial" w:hAnsi="Arial" w:cs="Arial"/>
          <w:i/>
          <w:iCs/>
          <w:sz w:val="28"/>
          <w:szCs w:val="28"/>
          <w:lang w:val="en-US"/>
        </w:rPr>
        <w:t xml:space="preserve">‘Holland v Hodgson’ </w:t>
      </w:r>
      <w:r w:rsidR="00EE6832">
        <w:rPr>
          <w:rFonts w:ascii="Arial" w:hAnsi="Arial" w:cs="Arial"/>
          <w:sz w:val="28"/>
          <w:szCs w:val="28"/>
          <w:lang w:val="en-US"/>
        </w:rPr>
        <w:t xml:space="preserve">(1872). </w:t>
      </w:r>
      <w:r w:rsidR="007A3142">
        <w:rPr>
          <w:rFonts w:ascii="Arial" w:hAnsi="Arial" w:cs="Arial"/>
          <w:sz w:val="28"/>
          <w:szCs w:val="28"/>
          <w:lang w:val="en-US"/>
        </w:rPr>
        <w:t>T</w:t>
      </w:r>
      <w:r w:rsidR="00EE6832">
        <w:rPr>
          <w:rFonts w:ascii="Arial" w:hAnsi="Arial" w:cs="Arial"/>
          <w:sz w:val="28"/>
          <w:szCs w:val="28"/>
          <w:lang w:val="en-US"/>
        </w:rPr>
        <w:t xml:space="preserve">he statue that Amy and Bob purchased </w:t>
      </w:r>
      <w:r w:rsidR="007B00D4">
        <w:rPr>
          <w:rFonts w:ascii="Arial" w:hAnsi="Arial" w:cs="Arial"/>
          <w:sz w:val="28"/>
          <w:szCs w:val="28"/>
          <w:lang w:val="en-US"/>
        </w:rPr>
        <w:t>would be considered a fi</w:t>
      </w:r>
      <w:r w:rsidR="00AE2A74">
        <w:rPr>
          <w:rFonts w:ascii="Arial" w:hAnsi="Arial" w:cs="Arial"/>
          <w:sz w:val="28"/>
          <w:szCs w:val="28"/>
          <w:lang w:val="en-US"/>
        </w:rPr>
        <w:t>xture</w:t>
      </w:r>
      <w:r w:rsidR="007B00D4">
        <w:rPr>
          <w:rFonts w:ascii="Arial" w:hAnsi="Arial" w:cs="Arial"/>
          <w:sz w:val="28"/>
          <w:szCs w:val="28"/>
          <w:lang w:val="en-US"/>
        </w:rPr>
        <w:t xml:space="preserve"> because it is an object that is dependent upon the land</w:t>
      </w:r>
      <w:r w:rsidR="00AE2A74">
        <w:rPr>
          <w:rFonts w:ascii="Arial" w:hAnsi="Arial" w:cs="Arial"/>
          <w:sz w:val="28"/>
          <w:szCs w:val="28"/>
          <w:lang w:val="en-US"/>
        </w:rPr>
        <w:t xml:space="preserve"> for the reason that it is cemented by its base to the ground </w:t>
      </w:r>
      <w:r w:rsidR="007B00D4">
        <w:rPr>
          <w:rFonts w:ascii="Arial" w:hAnsi="Arial" w:cs="Arial"/>
          <w:sz w:val="28"/>
          <w:szCs w:val="28"/>
          <w:lang w:val="en-US"/>
        </w:rPr>
        <w:t xml:space="preserve">and additionally it </w:t>
      </w:r>
      <w:r w:rsidR="00AE2A74">
        <w:rPr>
          <w:rFonts w:ascii="Arial" w:hAnsi="Arial" w:cs="Arial"/>
          <w:sz w:val="28"/>
          <w:szCs w:val="28"/>
          <w:lang w:val="en-US"/>
        </w:rPr>
        <w:t xml:space="preserve">cannot </w:t>
      </w:r>
      <w:r w:rsidR="007B00D4">
        <w:rPr>
          <w:rFonts w:ascii="Arial" w:hAnsi="Arial" w:cs="Arial"/>
          <w:sz w:val="28"/>
          <w:szCs w:val="28"/>
          <w:lang w:val="en-US"/>
        </w:rPr>
        <w:t>be removed from the land without causing</w:t>
      </w:r>
      <w:r w:rsidR="00151092">
        <w:rPr>
          <w:rFonts w:ascii="Arial" w:hAnsi="Arial" w:cs="Arial"/>
          <w:sz w:val="28"/>
          <w:szCs w:val="28"/>
          <w:lang w:val="en-US"/>
        </w:rPr>
        <w:t xml:space="preserve"> significant</w:t>
      </w:r>
      <w:r w:rsidR="007B00D4">
        <w:rPr>
          <w:rFonts w:ascii="Arial" w:hAnsi="Arial" w:cs="Arial"/>
          <w:sz w:val="28"/>
          <w:szCs w:val="28"/>
          <w:lang w:val="en-US"/>
        </w:rPr>
        <w:t xml:space="preserve"> damage as s</w:t>
      </w:r>
      <w:r w:rsidR="00AE2A74">
        <w:rPr>
          <w:rFonts w:ascii="Arial" w:hAnsi="Arial" w:cs="Arial"/>
          <w:sz w:val="28"/>
          <w:szCs w:val="28"/>
          <w:lang w:val="en-US"/>
        </w:rPr>
        <w:t>tated by the court</w:t>
      </w:r>
      <w:r w:rsidR="007B00D4">
        <w:rPr>
          <w:rFonts w:ascii="Arial" w:hAnsi="Arial" w:cs="Arial"/>
          <w:sz w:val="28"/>
          <w:szCs w:val="28"/>
          <w:lang w:val="en-US"/>
        </w:rPr>
        <w:t xml:space="preserve"> in the case of </w:t>
      </w:r>
      <w:r w:rsidR="007B00D4">
        <w:rPr>
          <w:rFonts w:ascii="Arial" w:hAnsi="Arial" w:cs="Arial"/>
          <w:i/>
          <w:iCs/>
          <w:sz w:val="28"/>
          <w:szCs w:val="28"/>
          <w:lang w:val="en-US"/>
        </w:rPr>
        <w:t>‘</w:t>
      </w:r>
      <w:r w:rsidR="00AE2A74">
        <w:rPr>
          <w:rFonts w:ascii="Arial" w:hAnsi="Arial" w:cs="Arial"/>
          <w:i/>
          <w:iCs/>
          <w:sz w:val="28"/>
          <w:szCs w:val="28"/>
          <w:lang w:val="en-US"/>
        </w:rPr>
        <w:t>Holland v Hodgson’</w:t>
      </w:r>
      <w:r w:rsidR="007B00D4">
        <w:rPr>
          <w:rFonts w:ascii="Arial" w:hAnsi="Arial" w:cs="Arial"/>
          <w:i/>
          <w:iCs/>
          <w:sz w:val="28"/>
          <w:szCs w:val="28"/>
          <w:lang w:val="en-US"/>
        </w:rPr>
        <w:t xml:space="preserve"> </w:t>
      </w:r>
      <w:r w:rsidR="007B00D4">
        <w:rPr>
          <w:rFonts w:ascii="Arial" w:hAnsi="Arial" w:cs="Arial"/>
          <w:sz w:val="28"/>
          <w:szCs w:val="28"/>
          <w:lang w:val="en-US"/>
        </w:rPr>
        <w:t>(</w:t>
      </w:r>
      <w:r w:rsidR="00AE2A74">
        <w:rPr>
          <w:rFonts w:ascii="Arial" w:hAnsi="Arial" w:cs="Arial"/>
          <w:sz w:val="28"/>
          <w:szCs w:val="28"/>
          <w:lang w:val="en-US"/>
        </w:rPr>
        <w:t>1872</w:t>
      </w:r>
      <w:r w:rsidR="007B00D4">
        <w:rPr>
          <w:rFonts w:ascii="Arial" w:hAnsi="Arial" w:cs="Arial"/>
          <w:sz w:val="28"/>
          <w:szCs w:val="28"/>
          <w:lang w:val="en-US"/>
        </w:rPr>
        <w:t>).</w:t>
      </w:r>
      <w:r w:rsidR="00AE2A74">
        <w:rPr>
          <w:rFonts w:ascii="Arial" w:hAnsi="Arial" w:cs="Arial"/>
          <w:sz w:val="28"/>
          <w:szCs w:val="28"/>
          <w:lang w:val="en-US"/>
        </w:rPr>
        <w:t xml:space="preserve"> Therefore, Amy and Bob </w:t>
      </w:r>
      <w:r w:rsidR="00C561C7">
        <w:rPr>
          <w:rFonts w:ascii="Arial" w:hAnsi="Arial" w:cs="Arial"/>
          <w:sz w:val="28"/>
          <w:szCs w:val="28"/>
          <w:lang w:val="en-US"/>
        </w:rPr>
        <w:t xml:space="preserve">are not permitted to remove the statue off the land because of its native importance to the design of the garden thus if it is removed it may destroy the land’s attraction (Bevan, 2021, p. 4). </w:t>
      </w:r>
    </w:p>
    <w:p w14:paraId="39673C52" w14:textId="1391055B" w:rsidR="00BE12C9" w:rsidRDefault="00BE12C9" w:rsidP="004440B9">
      <w:pPr>
        <w:spacing w:line="480" w:lineRule="auto"/>
        <w:rPr>
          <w:rFonts w:ascii="Arial" w:hAnsi="Arial" w:cs="Arial"/>
          <w:sz w:val="28"/>
          <w:szCs w:val="28"/>
          <w:lang w:val="en-US"/>
        </w:rPr>
      </w:pPr>
      <w:r>
        <w:rPr>
          <w:rFonts w:ascii="Arial" w:hAnsi="Arial" w:cs="Arial"/>
          <w:sz w:val="28"/>
          <w:szCs w:val="28"/>
          <w:lang w:val="en-US"/>
        </w:rPr>
        <w:lastRenderedPageBreak/>
        <w:tab/>
      </w:r>
      <w:r w:rsidR="00096F60">
        <w:rPr>
          <w:rFonts w:ascii="Arial" w:hAnsi="Arial" w:cs="Arial"/>
          <w:sz w:val="28"/>
          <w:szCs w:val="28"/>
          <w:lang w:val="en-US"/>
        </w:rPr>
        <w:t xml:space="preserve">Furthermore, </w:t>
      </w:r>
      <w:r w:rsidR="00F71519">
        <w:rPr>
          <w:rFonts w:ascii="Arial" w:hAnsi="Arial" w:cs="Arial"/>
          <w:sz w:val="28"/>
          <w:szCs w:val="28"/>
          <w:lang w:val="en-US"/>
        </w:rPr>
        <w:t>the terracotta pot</w:t>
      </w:r>
      <w:r w:rsidR="00974539">
        <w:rPr>
          <w:rFonts w:ascii="Arial" w:hAnsi="Arial" w:cs="Arial"/>
          <w:sz w:val="28"/>
          <w:szCs w:val="28"/>
          <w:lang w:val="en-US"/>
        </w:rPr>
        <w:t xml:space="preserve">s placed by themselves in the garden would </w:t>
      </w:r>
      <w:r w:rsidR="00D91944">
        <w:rPr>
          <w:rFonts w:ascii="Arial" w:hAnsi="Arial" w:cs="Arial"/>
          <w:sz w:val="28"/>
          <w:szCs w:val="28"/>
          <w:lang w:val="en-US"/>
        </w:rPr>
        <w:t>be considered a</w:t>
      </w:r>
      <w:r w:rsidR="00974539">
        <w:rPr>
          <w:rFonts w:ascii="Arial" w:hAnsi="Arial" w:cs="Arial"/>
          <w:sz w:val="28"/>
          <w:szCs w:val="28"/>
          <w:lang w:val="en-US"/>
        </w:rPr>
        <w:t xml:space="preserve"> fitting</w:t>
      </w:r>
      <w:r w:rsidR="00B12A69">
        <w:rPr>
          <w:rFonts w:ascii="Arial" w:hAnsi="Arial" w:cs="Arial"/>
          <w:sz w:val="28"/>
          <w:szCs w:val="28"/>
          <w:lang w:val="en-US"/>
        </w:rPr>
        <w:t>, therefore,</w:t>
      </w:r>
      <w:r w:rsidR="00974539">
        <w:rPr>
          <w:rFonts w:ascii="Arial" w:hAnsi="Arial" w:cs="Arial"/>
          <w:sz w:val="28"/>
          <w:szCs w:val="28"/>
          <w:lang w:val="en-US"/>
        </w:rPr>
        <w:t xml:space="preserve"> Amy and Bob’s ownership</w:t>
      </w:r>
      <w:r w:rsidR="00B12A69">
        <w:rPr>
          <w:rFonts w:ascii="Arial" w:hAnsi="Arial" w:cs="Arial"/>
          <w:sz w:val="28"/>
          <w:szCs w:val="28"/>
          <w:lang w:val="en-US"/>
        </w:rPr>
        <w:t xml:space="preserve"> would extend to the pots</w:t>
      </w:r>
      <w:r w:rsidR="00974539">
        <w:rPr>
          <w:rFonts w:ascii="Arial" w:hAnsi="Arial" w:cs="Arial"/>
          <w:sz w:val="28"/>
          <w:szCs w:val="28"/>
          <w:lang w:val="en-US"/>
        </w:rPr>
        <w:t xml:space="preserve"> because </w:t>
      </w:r>
      <w:r w:rsidR="00144B41">
        <w:rPr>
          <w:rFonts w:ascii="Arial" w:hAnsi="Arial" w:cs="Arial"/>
          <w:sz w:val="28"/>
          <w:szCs w:val="28"/>
          <w:lang w:val="en-US"/>
        </w:rPr>
        <w:t xml:space="preserve">they can be easily removed from the land without causing significant damage and its purpose for being in the garden is unknown </w:t>
      </w:r>
      <w:r w:rsidR="00031736">
        <w:rPr>
          <w:rFonts w:ascii="Arial" w:hAnsi="Arial" w:cs="Arial"/>
          <w:sz w:val="28"/>
          <w:szCs w:val="28"/>
          <w:lang w:val="en-US"/>
        </w:rPr>
        <w:t>which indicates that it is not dependent upon that location as stated by Moys (2021)</w:t>
      </w:r>
      <w:r w:rsidR="000F2180">
        <w:rPr>
          <w:rFonts w:ascii="Arial" w:hAnsi="Arial" w:cs="Arial"/>
          <w:sz w:val="28"/>
          <w:szCs w:val="28"/>
          <w:lang w:val="en-US"/>
        </w:rPr>
        <w:t xml:space="preserve">. </w:t>
      </w:r>
      <w:r w:rsidR="00D91944">
        <w:rPr>
          <w:rFonts w:ascii="Arial" w:hAnsi="Arial" w:cs="Arial"/>
          <w:sz w:val="28"/>
          <w:szCs w:val="28"/>
          <w:lang w:val="en-US"/>
        </w:rPr>
        <w:t>T</w:t>
      </w:r>
      <w:r w:rsidR="00F043C2">
        <w:rPr>
          <w:rFonts w:ascii="Arial" w:hAnsi="Arial" w:cs="Arial"/>
          <w:sz w:val="28"/>
          <w:szCs w:val="28"/>
          <w:lang w:val="en-US"/>
        </w:rPr>
        <w:t>he court in the case of ‘</w:t>
      </w:r>
      <w:r w:rsidR="00F043C2">
        <w:rPr>
          <w:rFonts w:ascii="Arial" w:hAnsi="Arial" w:cs="Arial"/>
          <w:i/>
          <w:iCs/>
          <w:sz w:val="28"/>
          <w:szCs w:val="28"/>
          <w:lang w:val="en-US"/>
        </w:rPr>
        <w:t xml:space="preserve">Tower Hamlets LBC v Bromley LBC’ </w:t>
      </w:r>
      <w:r w:rsidR="00F043C2">
        <w:rPr>
          <w:rFonts w:ascii="Arial" w:hAnsi="Arial" w:cs="Arial"/>
          <w:sz w:val="28"/>
          <w:szCs w:val="28"/>
          <w:lang w:val="en-US"/>
        </w:rPr>
        <w:t xml:space="preserve">(2015) stated </w:t>
      </w:r>
      <w:r w:rsidR="00C76D46">
        <w:rPr>
          <w:rFonts w:ascii="Arial" w:hAnsi="Arial" w:cs="Arial"/>
          <w:sz w:val="28"/>
          <w:szCs w:val="28"/>
          <w:lang w:val="en-US"/>
        </w:rPr>
        <w:t xml:space="preserve">that </w:t>
      </w:r>
      <w:r w:rsidR="00F043C2">
        <w:rPr>
          <w:rFonts w:ascii="Arial" w:hAnsi="Arial" w:cs="Arial"/>
          <w:sz w:val="28"/>
          <w:szCs w:val="28"/>
          <w:lang w:val="en-US"/>
        </w:rPr>
        <w:t>an object may decorate or beautify the location,</w:t>
      </w:r>
      <w:r w:rsidR="00C76D46">
        <w:rPr>
          <w:rFonts w:ascii="Arial" w:hAnsi="Arial" w:cs="Arial"/>
          <w:sz w:val="28"/>
          <w:szCs w:val="28"/>
          <w:lang w:val="en-US"/>
        </w:rPr>
        <w:t xml:space="preserve"> but</w:t>
      </w:r>
      <w:r w:rsidR="00F043C2">
        <w:rPr>
          <w:rFonts w:ascii="Arial" w:hAnsi="Arial" w:cs="Arial"/>
          <w:sz w:val="28"/>
          <w:szCs w:val="28"/>
          <w:lang w:val="en-US"/>
        </w:rPr>
        <w:t xml:space="preserve"> it will remain a fitting if its inherent beauty </w:t>
      </w:r>
      <w:r w:rsidR="00D91944">
        <w:rPr>
          <w:rFonts w:ascii="Arial" w:hAnsi="Arial" w:cs="Arial"/>
          <w:sz w:val="28"/>
          <w:szCs w:val="28"/>
          <w:lang w:val="en-US"/>
        </w:rPr>
        <w:t>stays the same</w:t>
      </w:r>
      <w:r w:rsidR="00F043C2">
        <w:rPr>
          <w:rFonts w:ascii="Arial" w:hAnsi="Arial" w:cs="Arial"/>
          <w:sz w:val="28"/>
          <w:szCs w:val="28"/>
          <w:lang w:val="en-US"/>
        </w:rPr>
        <w:t xml:space="preserve"> after it </w:t>
      </w:r>
      <w:r w:rsidR="00C76D46">
        <w:rPr>
          <w:rFonts w:ascii="Arial" w:hAnsi="Arial" w:cs="Arial"/>
          <w:sz w:val="28"/>
          <w:szCs w:val="28"/>
          <w:lang w:val="en-US"/>
        </w:rPr>
        <w:t>has been</w:t>
      </w:r>
      <w:r w:rsidR="00F043C2">
        <w:rPr>
          <w:rFonts w:ascii="Arial" w:hAnsi="Arial" w:cs="Arial"/>
          <w:sz w:val="28"/>
          <w:szCs w:val="28"/>
          <w:lang w:val="en-US"/>
        </w:rPr>
        <w:t xml:space="preserve"> removed</w:t>
      </w:r>
      <w:r w:rsidR="00D91944">
        <w:rPr>
          <w:rFonts w:ascii="Arial" w:hAnsi="Arial" w:cs="Arial"/>
          <w:sz w:val="28"/>
          <w:szCs w:val="28"/>
          <w:lang w:val="en-US"/>
        </w:rPr>
        <w:t xml:space="preserve">, meaning </w:t>
      </w:r>
      <w:r w:rsidR="00F043C2">
        <w:rPr>
          <w:rFonts w:ascii="Arial" w:hAnsi="Arial" w:cs="Arial"/>
          <w:sz w:val="28"/>
          <w:szCs w:val="28"/>
          <w:lang w:val="en-US"/>
        </w:rPr>
        <w:t xml:space="preserve">it is not dependent upon the location. </w:t>
      </w:r>
      <w:r w:rsidR="006727F3">
        <w:rPr>
          <w:rFonts w:ascii="Arial" w:hAnsi="Arial" w:cs="Arial"/>
          <w:sz w:val="28"/>
          <w:szCs w:val="28"/>
          <w:lang w:val="en-US"/>
        </w:rPr>
        <w:t xml:space="preserve">Even though the LPA 1925 includes minerals as being part of the land, a flower pot containing an attractive plant </w:t>
      </w:r>
      <w:r w:rsidR="00BC259E">
        <w:rPr>
          <w:rFonts w:ascii="Arial" w:hAnsi="Arial" w:cs="Arial"/>
          <w:sz w:val="28"/>
          <w:szCs w:val="28"/>
          <w:lang w:val="en-US"/>
        </w:rPr>
        <w:t>remains</w:t>
      </w:r>
      <w:r w:rsidR="006727F3">
        <w:rPr>
          <w:rFonts w:ascii="Arial" w:hAnsi="Arial" w:cs="Arial"/>
          <w:sz w:val="28"/>
          <w:szCs w:val="28"/>
          <w:lang w:val="en-US"/>
        </w:rPr>
        <w:t xml:space="preserve"> a fi</w:t>
      </w:r>
      <w:r w:rsidR="00BC259E">
        <w:rPr>
          <w:rFonts w:ascii="Arial" w:hAnsi="Arial" w:cs="Arial"/>
          <w:sz w:val="28"/>
          <w:szCs w:val="28"/>
          <w:lang w:val="en-US"/>
        </w:rPr>
        <w:t>tting</w:t>
      </w:r>
      <w:r w:rsidR="006727F3">
        <w:rPr>
          <w:rFonts w:ascii="Arial" w:hAnsi="Arial" w:cs="Arial"/>
          <w:sz w:val="28"/>
          <w:szCs w:val="28"/>
          <w:lang w:val="en-US"/>
        </w:rPr>
        <w:t xml:space="preserve"> unless it </w:t>
      </w:r>
      <w:r w:rsidR="0048311C">
        <w:rPr>
          <w:rFonts w:ascii="Arial" w:hAnsi="Arial" w:cs="Arial"/>
          <w:sz w:val="28"/>
          <w:szCs w:val="28"/>
          <w:lang w:val="en-US"/>
        </w:rPr>
        <w:t>exists</w:t>
      </w:r>
      <w:r w:rsidR="00BC259E">
        <w:rPr>
          <w:rFonts w:ascii="Arial" w:hAnsi="Arial" w:cs="Arial"/>
          <w:sz w:val="28"/>
          <w:szCs w:val="28"/>
          <w:lang w:val="en-US"/>
        </w:rPr>
        <w:t xml:space="preserve"> for the necessary enjoyment of the land or it is specified with clarity that </w:t>
      </w:r>
      <w:r w:rsidR="0048311C">
        <w:rPr>
          <w:rFonts w:ascii="Arial" w:hAnsi="Arial" w:cs="Arial"/>
          <w:sz w:val="28"/>
          <w:szCs w:val="28"/>
          <w:lang w:val="en-US"/>
        </w:rPr>
        <w:t>the object does not pass onto a new buyer when the property is being sold according to Woodgate (2020).</w:t>
      </w:r>
    </w:p>
    <w:p w14:paraId="6656E261" w14:textId="4994B206" w:rsidR="005F0459" w:rsidRDefault="00367BF9" w:rsidP="004440B9">
      <w:pPr>
        <w:spacing w:line="480" w:lineRule="auto"/>
        <w:rPr>
          <w:rFonts w:ascii="Arial" w:hAnsi="Arial" w:cs="Arial"/>
          <w:sz w:val="28"/>
          <w:szCs w:val="28"/>
          <w:lang w:val="en-US"/>
        </w:rPr>
      </w:pPr>
      <w:r>
        <w:rPr>
          <w:rFonts w:ascii="Arial" w:hAnsi="Arial" w:cs="Arial"/>
          <w:sz w:val="28"/>
          <w:szCs w:val="28"/>
          <w:lang w:val="en-US"/>
        </w:rPr>
        <w:tab/>
      </w:r>
      <w:r w:rsidR="00AC47C1">
        <w:rPr>
          <w:rFonts w:ascii="Arial" w:hAnsi="Arial" w:cs="Arial"/>
          <w:sz w:val="28"/>
          <w:szCs w:val="28"/>
          <w:lang w:val="en-US"/>
        </w:rPr>
        <w:t xml:space="preserve">In the case of </w:t>
      </w:r>
      <w:r w:rsidR="00AC47C1">
        <w:rPr>
          <w:rFonts w:ascii="Arial" w:hAnsi="Arial" w:cs="Arial"/>
          <w:i/>
          <w:iCs/>
          <w:sz w:val="28"/>
          <w:szCs w:val="28"/>
          <w:lang w:val="en-US"/>
        </w:rPr>
        <w:t xml:space="preserve">‘Berkley v </w:t>
      </w:r>
      <w:proofErr w:type="spellStart"/>
      <w:r w:rsidR="00AC47C1">
        <w:rPr>
          <w:rFonts w:ascii="Arial" w:hAnsi="Arial" w:cs="Arial"/>
          <w:i/>
          <w:iCs/>
          <w:sz w:val="28"/>
          <w:szCs w:val="28"/>
          <w:lang w:val="en-US"/>
        </w:rPr>
        <w:t>Poulett</w:t>
      </w:r>
      <w:proofErr w:type="spellEnd"/>
      <w:r w:rsidR="00AC47C1">
        <w:rPr>
          <w:rFonts w:ascii="Arial" w:hAnsi="Arial" w:cs="Arial"/>
          <w:i/>
          <w:iCs/>
          <w:sz w:val="28"/>
          <w:szCs w:val="28"/>
          <w:lang w:val="en-US"/>
        </w:rPr>
        <w:t xml:space="preserve">’ </w:t>
      </w:r>
      <w:r w:rsidR="00AC47C1">
        <w:rPr>
          <w:rFonts w:ascii="Arial" w:hAnsi="Arial" w:cs="Arial"/>
          <w:sz w:val="28"/>
          <w:szCs w:val="28"/>
          <w:lang w:val="en-US"/>
        </w:rPr>
        <w:t xml:space="preserve">(1976), Lord Scarman </w:t>
      </w:r>
      <w:r w:rsidR="009A410C">
        <w:rPr>
          <w:rFonts w:ascii="Arial" w:hAnsi="Arial" w:cs="Arial"/>
          <w:sz w:val="28"/>
          <w:szCs w:val="28"/>
          <w:lang w:val="en-US"/>
        </w:rPr>
        <w:t xml:space="preserve">expressed that </w:t>
      </w:r>
      <w:r w:rsidR="00D947EF">
        <w:rPr>
          <w:rFonts w:ascii="Arial" w:hAnsi="Arial" w:cs="Arial"/>
          <w:sz w:val="28"/>
          <w:szCs w:val="28"/>
          <w:lang w:val="en-US"/>
        </w:rPr>
        <w:t>whenever</w:t>
      </w:r>
      <w:r w:rsidR="009A410C">
        <w:rPr>
          <w:rFonts w:ascii="Arial" w:hAnsi="Arial" w:cs="Arial"/>
          <w:sz w:val="28"/>
          <w:szCs w:val="28"/>
          <w:lang w:val="en-US"/>
        </w:rPr>
        <w:t xml:space="preserve"> there is no physical annexation of an </w:t>
      </w:r>
      <w:r w:rsidR="00D947EF">
        <w:rPr>
          <w:rFonts w:ascii="Arial" w:hAnsi="Arial" w:cs="Arial"/>
          <w:sz w:val="28"/>
          <w:szCs w:val="28"/>
          <w:lang w:val="en-US"/>
        </w:rPr>
        <w:t>object</w:t>
      </w:r>
      <w:r w:rsidR="009A410C">
        <w:rPr>
          <w:rFonts w:ascii="Arial" w:hAnsi="Arial" w:cs="Arial"/>
          <w:sz w:val="28"/>
          <w:szCs w:val="28"/>
          <w:lang w:val="en-US"/>
        </w:rPr>
        <w:t>, there could be no fixture;</w:t>
      </w:r>
      <w:r w:rsidR="00363EB3">
        <w:rPr>
          <w:rFonts w:ascii="Arial" w:hAnsi="Arial" w:cs="Arial"/>
          <w:sz w:val="28"/>
          <w:szCs w:val="28"/>
          <w:lang w:val="en-US"/>
        </w:rPr>
        <w:t xml:space="preserve"> In spite of this claim, it was also stated in this case that whe</w:t>
      </w:r>
      <w:r w:rsidR="00D947EF">
        <w:rPr>
          <w:rFonts w:ascii="Arial" w:hAnsi="Arial" w:cs="Arial"/>
          <w:sz w:val="28"/>
          <w:szCs w:val="28"/>
          <w:lang w:val="en-US"/>
        </w:rPr>
        <w:t>never</w:t>
      </w:r>
      <w:r w:rsidR="00363EB3">
        <w:rPr>
          <w:rFonts w:ascii="Arial" w:hAnsi="Arial" w:cs="Arial"/>
          <w:sz w:val="28"/>
          <w:szCs w:val="28"/>
          <w:lang w:val="en-US"/>
        </w:rPr>
        <w:t xml:space="preserve"> there is a high level of physical annexation </w:t>
      </w:r>
      <w:r w:rsidR="00090828">
        <w:rPr>
          <w:rFonts w:ascii="Arial" w:hAnsi="Arial" w:cs="Arial"/>
          <w:sz w:val="28"/>
          <w:szCs w:val="28"/>
          <w:lang w:val="en-US"/>
        </w:rPr>
        <w:t>an</w:t>
      </w:r>
      <w:r w:rsidR="00363EB3">
        <w:rPr>
          <w:rFonts w:ascii="Arial" w:hAnsi="Arial" w:cs="Arial"/>
          <w:sz w:val="28"/>
          <w:szCs w:val="28"/>
          <w:lang w:val="en-US"/>
        </w:rPr>
        <w:t xml:space="preserve"> item could still</w:t>
      </w:r>
      <w:r w:rsidR="00657893">
        <w:rPr>
          <w:rFonts w:ascii="Arial" w:hAnsi="Arial" w:cs="Arial"/>
          <w:sz w:val="28"/>
          <w:szCs w:val="28"/>
          <w:lang w:val="en-US"/>
        </w:rPr>
        <w:t xml:space="preserve"> be equal to a chattel/fitting. Additionally, the court acknowledges that an </w:t>
      </w:r>
      <w:r w:rsidR="004949C1">
        <w:rPr>
          <w:rFonts w:ascii="Arial" w:hAnsi="Arial" w:cs="Arial"/>
          <w:sz w:val="28"/>
          <w:szCs w:val="28"/>
          <w:lang w:val="en-US"/>
        </w:rPr>
        <w:t>item</w:t>
      </w:r>
      <w:r w:rsidR="00657893">
        <w:rPr>
          <w:rFonts w:ascii="Arial" w:hAnsi="Arial" w:cs="Arial"/>
          <w:sz w:val="28"/>
          <w:szCs w:val="28"/>
          <w:lang w:val="en-US"/>
        </w:rPr>
        <w:t xml:space="preserve"> that is resting on its own weight could be deemed as a fixture </w:t>
      </w:r>
      <w:r w:rsidR="00090828">
        <w:rPr>
          <w:rFonts w:ascii="Arial" w:hAnsi="Arial" w:cs="Arial"/>
          <w:sz w:val="28"/>
          <w:szCs w:val="28"/>
          <w:lang w:val="en-US"/>
        </w:rPr>
        <w:t xml:space="preserve">as long as it </w:t>
      </w:r>
      <w:r w:rsidR="00090828">
        <w:rPr>
          <w:rFonts w:ascii="Arial" w:hAnsi="Arial" w:cs="Arial"/>
          <w:sz w:val="28"/>
          <w:szCs w:val="28"/>
          <w:lang w:val="en-US"/>
        </w:rPr>
        <w:lastRenderedPageBreak/>
        <w:t xml:space="preserve">can be proven that the object </w:t>
      </w:r>
      <w:r w:rsidR="00CA1DEA">
        <w:rPr>
          <w:rFonts w:ascii="Arial" w:hAnsi="Arial" w:cs="Arial"/>
          <w:sz w:val="28"/>
          <w:szCs w:val="28"/>
          <w:lang w:val="en-US"/>
        </w:rPr>
        <w:t>is</w:t>
      </w:r>
      <w:r w:rsidR="00090828">
        <w:rPr>
          <w:rFonts w:ascii="Arial" w:hAnsi="Arial" w:cs="Arial"/>
          <w:sz w:val="28"/>
          <w:szCs w:val="28"/>
          <w:lang w:val="en-US"/>
        </w:rPr>
        <w:t xml:space="preserve"> so heavy that it d</w:t>
      </w:r>
      <w:r w:rsidR="00CA1DEA">
        <w:rPr>
          <w:rFonts w:ascii="Arial" w:hAnsi="Arial" w:cs="Arial"/>
          <w:sz w:val="28"/>
          <w:szCs w:val="28"/>
          <w:lang w:val="en-US"/>
        </w:rPr>
        <w:t>oes</w:t>
      </w:r>
      <w:r w:rsidR="00090828">
        <w:rPr>
          <w:rFonts w:ascii="Arial" w:hAnsi="Arial" w:cs="Arial"/>
          <w:sz w:val="28"/>
          <w:szCs w:val="28"/>
          <w:lang w:val="en-US"/>
        </w:rPr>
        <w:t xml:space="preserve"> not need to be tied into a foundation (Bevan, 2021, p. 5). </w:t>
      </w:r>
      <w:r w:rsidR="00CA1DEA">
        <w:rPr>
          <w:rFonts w:ascii="Arial" w:hAnsi="Arial" w:cs="Arial"/>
          <w:sz w:val="28"/>
          <w:szCs w:val="28"/>
          <w:lang w:val="en-US"/>
        </w:rPr>
        <w:t xml:space="preserve">Hence, the stone fittings and garden ornaments resting on their own weight were held to be fixtures in the case of </w:t>
      </w:r>
      <w:r w:rsidR="00CA1DEA">
        <w:rPr>
          <w:rFonts w:ascii="Arial" w:hAnsi="Arial" w:cs="Arial"/>
          <w:i/>
          <w:iCs/>
          <w:sz w:val="28"/>
          <w:szCs w:val="28"/>
          <w:lang w:val="en-US"/>
        </w:rPr>
        <w:t xml:space="preserve">‘Hamp v Bygrave’ </w:t>
      </w:r>
      <w:r w:rsidR="000015D6">
        <w:rPr>
          <w:rFonts w:ascii="Arial" w:hAnsi="Arial" w:cs="Arial"/>
          <w:sz w:val="28"/>
          <w:szCs w:val="28"/>
          <w:lang w:val="en-US"/>
        </w:rPr>
        <w:t xml:space="preserve">(1983). </w:t>
      </w:r>
      <w:r w:rsidR="004922EC">
        <w:rPr>
          <w:rFonts w:ascii="Arial" w:hAnsi="Arial" w:cs="Arial"/>
          <w:sz w:val="28"/>
          <w:szCs w:val="28"/>
          <w:lang w:val="en-US"/>
        </w:rPr>
        <w:t>Nevertheless, the House of Lords</w:t>
      </w:r>
      <w:r w:rsidR="00477EC1">
        <w:rPr>
          <w:rFonts w:ascii="Arial" w:hAnsi="Arial" w:cs="Arial"/>
          <w:sz w:val="28"/>
          <w:szCs w:val="28"/>
          <w:lang w:val="en-US"/>
        </w:rPr>
        <w:t xml:space="preserve"> in the case of </w:t>
      </w:r>
      <w:r w:rsidR="00477EC1">
        <w:rPr>
          <w:rFonts w:ascii="Arial" w:hAnsi="Arial" w:cs="Arial"/>
          <w:i/>
          <w:iCs/>
          <w:sz w:val="28"/>
          <w:szCs w:val="28"/>
          <w:lang w:val="en-US"/>
        </w:rPr>
        <w:t>‘</w:t>
      </w:r>
      <w:proofErr w:type="spellStart"/>
      <w:r w:rsidR="00477EC1">
        <w:rPr>
          <w:rFonts w:ascii="Arial" w:hAnsi="Arial" w:cs="Arial"/>
          <w:i/>
          <w:iCs/>
          <w:sz w:val="28"/>
          <w:szCs w:val="28"/>
          <w:lang w:val="en-US"/>
        </w:rPr>
        <w:t>Elitestone</w:t>
      </w:r>
      <w:proofErr w:type="spellEnd"/>
      <w:r w:rsidR="00477EC1">
        <w:rPr>
          <w:rFonts w:ascii="Arial" w:hAnsi="Arial" w:cs="Arial"/>
          <w:i/>
          <w:iCs/>
          <w:sz w:val="28"/>
          <w:szCs w:val="28"/>
          <w:lang w:val="en-US"/>
        </w:rPr>
        <w:t xml:space="preserve"> Ltd v Morris’ </w:t>
      </w:r>
      <w:r w:rsidR="00477EC1">
        <w:rPr>
          <w:rFonts w:ascii="Arial" w:hAnsi="Arial" w:cs="Arial"/>
          <w:sz w:val="28"/>
          <w:szCs w:val="28"/>
          <w:lang w:val="en-US"/>
        </w:rPr>
        <w:t>(1997) held that the Bungalow was a fixture because, as compared to mobile home</w:t>
      </w:r>
      <w:r w:rsidR="00EC5BB3">
        <w:rPr>
          <w:rFonts w:ascii="Arial" w:hAnsi="Arial" w:cs="Arial"/>
          <w:sz w:val="28"/>
          <w:szCs w:val="28"/>
          <w:lang w:val="en-US"/>
        </w:rPr>
        <w:t>s</w:t>
      </w:r>
      <w:r w:rsidR="00477EC1">
        <w:rPr>
          <w:rFonts w:ascii="Arial" w:hAnsi="Arial" w:cs="Arial"/>
          <w:sz w:val="28"/>
          <w:szCs w:val="28"/>
          <w:lang w:val="en-US"/>
        </w:rPr>
        <w:t xml:space="preserve"> (which is easy to move), its removal can only occur by </w:t>
      </w:r>
      <w:r w:rsidR="00EC5BB3">
        <w:rPr>
          <w:rFonts w:ascii="Arial" w:hAnsi="Arial" w:cs="Arial"/>
          <w:sz w:val="28"/>
          <w:szCs w:val="28"/>
          <w:lang w:val="en-US"/>
        </w:rPr>
        <w:t>creating damage to the structure. Therefore,</w:t>
      </w:r>
      <w:r w:rsidR="00D947EF">
        <w:rPr>
          <w:rFonts w:ascii="Arial" w:hAnsi="Arial" w:cs="Arial"/>
          <w:sz w:val="28"/>
          <w:szCs w:val="28"/>
          <w:lang w:val="en-US"/>
        </w:rPr>
        <w:t xml:space="preserve"> Amy and Bob are permitted to remove</w:t>
      </w:r>
      <w:r w:rsidR="00D9352A">
        <w:rPr>
          <w:rFonts w:ascii="Arial" w:hAnsi="Arial" w:cs="Arial"/>
          <w:sz w:val="28"/>
          <w:szCs w:val="28"/>
          <w:lang w:val="en-US"/>
        </w:rPr>
        <w:t xml:space="preserve"> </w:t>
      </w:r>
      <w:r w:rsidR="00EC5BB3">
        <w:rPr>
          <w:rFonts w:ascii="Arial" w:hAnsi="Arial" w:cs="Arial"/>
          <w:sz w:val="28"/>
          <w:szCs w:val="28"/>
          <w:lang w:val="en-US"/>
        </w:rPr>
        <w:t xml:space="preserve">the rustic seat </w:t>
      </w:r>
      <w:r w:rsidR="00513537">
        <w:rPr>
          <w:rFonts w:ascii="Arial" w:hAnsi="Arial" w:cs="Arial"/>
          <w:sz w:val="28"/>
          <w:szCs w:val="28"/>
          <w:lang w:val="en-US"/>
        </w:rPr>
        <w:t xml:space="preserve">which has sunk into the ground under its own weight </w:t>
      </w:r>
      <w:r w:rsidR="00D947EF">
        <w:rPr>
          <w:rFonts w:ascii="Arial" w:hAnsi="Arial" w:cs="Arial"/>
          <w:sz w:val="28"/>
          <w:szCs w:val="28"/>
          <w:lang w:val="en-US"/>
        </w:rPr>
        <w:t xml:space="preserve">because it </w:t>
      </w:r>
      <w:r w:rsidR="00513537">
        <w:rPr>
          <w:rFonts w:ascii="Arial" w:hAnsi="Arial" w:cs="Arial"/>
          <w:sz w:val="28"/>
          <w:szCs w:val="28"/>
          <w:lang w:val="en-US"/>
        </w:rPr>
        <w:t xml:space="preserve">will </w:t>
      </w:r>
      <w:r w:rsidR="00D9352A">
        <w:rPr>
          <w:rFonts w:ascii="Arial" w:hAnsi="Arial" w:cs="Arial"/>
          <w:sz w:val="28"/>
          <w:szCs w:val="28"/>
          <w:lang w:val="en-US"/>
        </w:rPr>
        <w:t>amount to a</w:t>
      </w:r>
      <w:r w:rsidR="00513537">
        <w:rPr>
          <w:rFonts w:ascii="Arial" w:hAnsi="Arial" w:cs="Arial"/>
          <w:sz w:val="28"/>
          <w:szCs w:val="28"/>
          <w:lang w:val="en-US"/>
        </w:rPr>
        <w:t xml:space="preserve"> fitting for the reason that its an object that requires no more fixing than necessary for its enjoyment</w:t>
      </w:r>
      <w:r w:rsidR="00D9352A">
        <w:rPr>
          <w:rFonts w:ascii="Arial" w:hAnsi="Arial" w:cs="Arial"/>
          <w:sz w:val="28"/>
          <w:szCs w:val="28"/>
          <w:lang w:val="en-US"/>
        </w:rPr>
        <w:t>,</w:t>
      </w:r>
      <w:r w:rsidR="00513537">
        <w:rPr>
          <w:rFonts w:ascii="Arial" w:hAnsi="Arial" w:cs="Arial"/>
          <w:sz w:val="28"/>
          <w:szCs w:val="28"/>
          <w:lang w:val="en-US"/>
        </w:rPr>
        <w:t xml:space="preserve"> together with the fact that it can</w:t>
      </w:r>
      <w:r w:rsidR="00D125C6">
        <w:rPr>
          <w:rFonts w:ascii="Arial" w:hAnsi="Arial" w:cs="Arial"/>
          <w:sz w:val="28"/>
          <w:szCs w:val="28"/>
          <w:lang w:val="en-US"/>
        </w:rPr>
        <w:t xml:space="preserve"> be</w:t>
      </w:r>
      <w:r w:rsidR="00513537">
        <w:rPr>
          <w:rFonts w:ascii="Arial" w:hAnsi="Arial" w:cs="Arial"/>
          <w:sz w:val="28"/>
          <w:szCs w:val="28"/>
          <w:lang w:val="en-US"/>
        </w:rPr>
        <w:t xml:space="preserve"> removed from the ground without </w:t>
      </w:r>
      <w:r w:rsidR="00D9352A">
        <w:rPr>
          <w:rFonts w:ascii="Arial" w:hAnsi="Arial" w:cs="Arial"/>
          <w:sz w:val="28"/>
          <w:szCs w:val="28"/>
          <w:lang w:val="en-US"/>
        </w:rPr>
        <w:t xml:space="preserve">creating significant damage to the land as established in the case of </w:t>
      </w:r>
      <w:r w:rsidR="00D9352A">
        <w:rPr>
          <w:rFonts w:ascii="Arial" w:hAnsi="Arial" w:cs="Arial"/>
          <w:i/>
          <w:iCs/>
          <w:sz w:val="28"/>
          <w:szCs w:val="28"/>
          <w:lang w:val="en-US"/>
        </w:rPr>
        <w:t>‘</w:t>
      </w:r>
      <w:proofErr w:type="spellStart"/>
      <w:r w:rsidR="00D9352A">
        <w:rPr>
          <w:rFonts w:ascii="Arial" w:hAnsi="Arial" w:cs="Arial"/>
          <w:i/>
          <w:iCs/>
          <w:sz w:val="28"/>
          <w:szCs w:val="28"/>
          <w:lang w:val="en-US"/>
        </w:rPr>
        <w:t>Elitestone</w:t>
      </w:r>
      <w:proofErr w:type="spellEnd"/>
      <w:r w:rsidR="00D9352A">
        <w:rPr>
          <w:rFonts w:ascii="Arial" w:hAnsi="Arial" w:cs="Arial"/>
          <w:i/>
          <w:iCs/>
          <w:sz w:val="28"/>
          <w:szCs w:val="28"/>
          <w:lang w:val="en-US"/>
        </w:rPr>
        <w:t xml:space="preserve"> Ltd v Morris’ </w:t>
      </w:r>
      <w:r w:rsidR="00D9352A">
        <w:rPr>
          <w:rFonts w:ascii="Arial" w:hAnsi="Arial" w:cs="Arial"/>
          <w:sz w:val="28"/>
          <w:szCs w:val="28"/>
          <w:lang w:val="en-US"/>
        </w:rPr>
        <w:t>(1997)</w:t>
      </w:r>
      <w:r w:rsidR="005E4096">
        <w:rPr>
          <w:rFonts w:ascii="Arial" w:hAnsi="Arial" w:cs="Arial"/>
          <w:sz w:val="28"/>
          <w:szCs w:val="28"/>
          <w:lang w:val="en-US"/>
        </w:rPr>
        <w:t>.</w:t>
      </w:r>
      <w:r w:rsidR="00D947EF">
        <w:rPr>
          <w:rFonts w:ascii="Arial" w:hAnsi="Arial" w:cs="Arial"/>
          <w:sz w:val="28"/>
          <w:szCs w:val="28"/>
          <w:lang w:val="en-US"/>
        </w:rPr>
        <w:t xml:space="preserve"> </w:t>
      </w:r>
      <w:r w:rsidR="009118FE">
        <w:rPr>
          <w:rFonts w:ascii="Arial" w:hAnsi="Arial" w:cs="Arial"/>
          <w:sz w:val="28"/>
          <w:szCs w:val="28"/>
          <w:lang w:val="en-US"/>
        </w:rPr>
        <w:t xml:space="preserve">However, in </w:t>
      </w:r>
      <w:r w:rsidR="009118FE">
        <w:rPr>
          <w:rFonts w:ascii="Arial" w:hAnsi="Arial" w:cs="Arial"/>
          <w:i/>
          <w:iCs/>
          <w:sz w:val="28"/>
          <w:szCs w:val="28"/>
          <w:lang w:val="en-US"/>
        </w:rPr>
        <w:t>‘</w:t>
      </w:r>
      <w:proofErr w:type="spellStart"/>
      <w:r w:rsidR="009118FE">
        <w:rPr>
          <w:rFonts w:ascii="Arial" w:hAnsi="Arial" w:cs="Arial"/>
          <w:i/>
          <w:iCs/>
          <w:sz w:val="28"/>
          <w:szCs w:val="28"/>
          <w:lang w:val="en-US"/>
        </w:rPr>
        <w:t>D’E</w:t>
      </w:r>
      <w:r w:rsidR="005F4A23">
        <w:rPr>
          <w:rFonts w:ascii="Arial" w:hAnsi="Arial" w:cs="Arial"/>
          <w:i/>
          <w:iCs/>
          <w:sz w:val="28"/>
          <w:szCs w:val="28"/>
          <w:lang w:val="en-US"/>
        </w:rPr>
        <w:t>yncourt</w:t>
      </w:r>
      <w:proofErr w:type="spellEnd"/>
      <w:r w:rsidR="005F4A23">
        <w:rPr>
          <w:rFonts w:ascii="Arial" w:hAnsi="Arial" w:cs="Arial"/>
          <w:i/>
          <w:iCs/>
          <w:sz w:val="28"/>
          <w:szCs w:val="28"/>
          <w:lang w:val="en-US"/>
        </w:rPr>
        <w:t xml:space="preserve"> v Gregory’ </w:t>
      </w:r>
      <w:r w:rsidR="005F4A23">
        <w:rPr>
          <w:rFonts w:ascii="Arial" w:hAnsi="Arial" w:cs="Arial"/>
          <w:sz w:val="28"/>
          <w:szCs w:val="28"/>
          <w:lang w:val="en-US"/>
        </w:rPr>
        <w:t>(1866), stone garden chairs, flower holders and animal statues resting o</w:t>
      </w:r>
      <w:r w:rsidR="00D125C6">
        <w:rPr>
          <w:rFonts w:ascii="Arial" w:hAnsi="Arial" w:cs="Arial"/>
          <w:sz w:val="28"/>
          <w:szCs w:val="28"/>
          <w:lang w:val="en-US"/>
        </w:rPr>
        <w:t>n</w:t>
      </w:r>
      <w:r w:rsidR="005F4A23">
        <w:rPr>
          <w:rFonts w:ascii="Arial" w:hAnsi="Arial" w:cs="Arial"/>
          <w:sz w:val="28"/>
          <w:szCs w:val="28"/>
          <w:lang w:val="en-US"/>
        </w:rPr>
        <w:t xml:space="preserve"> their own weight were held to be fixtures, in contrast with other cases, claiming that the objects formed part of the architectural design of the land </w:t>
      </w:r>
      <w:r w:rsidR="00D125C6">
        <w:rPr>
          <w:rFonts w:ascii="Arial" w:hAnsi="Arial" w:cs="Arial"/>
          <w:sz w:val="28"/>
          <w:szCs w:val="28"/>
          <w:lang w:val="en-US"/>
        </w:rPr>
        <w:t>which</w:t>
      </w:r>
      <w:r w:rsidR="005F4A23">
        <w:rPr>
          <w:rFonts w:ascii="Arial" w:hAnsi="Arial" w:cs="Arial"/>
          <w:sz w:val="28"/>
          <w:szCs w:val="28"/>
          <w:lang w:val="en-US"/>
        </w:rPr>
        <w:t xml:space="preserve"> improves the </w:t>
      </w:r>
      <w:r w:rsidR="00D125C6">
        <w:rPr>
          <w:rFonts w:ascii="Arial" w:hAnsi="Arial" w:cs="Arial"/>
          <w:sz w:val="28"/>
          <w:szCs w:val="28"/>
          <w:lang w:val="en-US"/>
        </w:rPr>
        <w:t>property or its value</w:t>
      </w:r>
      <w:r w:rsidR="005F4A23">
        <w:rPr>
          <w:rFonts w:ascii="Arial" w:hAnsi="Arial" w:cs="Arial"/>
          <w:sz w:val="28"/>
          <w:szCs w:val="28"/>
          <w:lang w:val="en-US"/>
        </w:rPr>
        <w:t>.</w:t>
      </w:r>
      <w:r w:rsidR="00D125C6">
        <w:rPr>
          <w:rFonts w:ascii="Arial" w:hAnsi="Arial" w:cs="Arial"/>
          <w:sz w:val="28"/>
          <w:szCs w:val="28"/>
          <w:lang w:val="en-US"/>
        </w:rPr>
        <w:t xml:space="preserve"> </w:t>
      </w:r>
      <w:r w:rsidR="003A2518">
        <w:rPr>
          <w:rFonts w:ascii="Arial" w:hAnsi="Arial" w:cs="Arial"/>
          <w:sz w:val="28"/>
          <w:szCs w:val="28"/>
          <w:lang w:val="en-US"/>
        </w:rPr>
        <w:t>Additionally, it c</w:t>
      </w:r>
      <w:r w:rsidR="00222B46">
        <w:rPr>
          <w:rFonts w:ascii="Arial" w:hAnsi="Arial" w:cs="Arial"/>
          <w:sz w:val="28"/>
          <w:szCs w:val="28"/>
          <w:lang w:val="en-US"/>
        </w:rPr>
        <w:t>ould</w:t>
      </w:r>
      <w:r w:rsidR="003A2518">
        <w:rPr>
          <w:rFonts w:ascii="Arial" w:hAnsi="Arial" w:cs="Arial"/>
          <w:sz w:val="28"/>
          <w:szCs w:val="28"/>
          <w:lang w:val="en-US"/>
        </w:rPr>
        <w:t xml:space="preserve"> be inferred that Bob and Amy attached the summerhouse in their garden to increase the value of the land or to </w:t>
      </w:r>
      <w:r w:rsidR="00222B46">
        <w:rPr>
          <w:rFonts w:ascii="Arial" w:hAnsi="Arial" w:cs="Arial"/>
          <w:sz w:val="28"/>
          <w:szCs w:val="28"/>
          <w:lang w:val="en-US"/>
        </w:rPr>
        <w:t>elevate its use, however, they can</w:t>
      </w:r>
      <w:r w:rsidR="005C5060">
        <w:rPr>
          <w:rFonts w:ascii="Arial" w:hAnsi="Arial" w:cs="Arial"/>
          <w:sz w:val="28"/>
          <w:szCs w:val="28"/>
          <w:lang w:val="en-US"/>
        </w:rPr>
        <w:t xml:space="preserve"> prove</w:t>
      </w:r>
      <w:r w:rsidR="00222B46">
        <w:rPr>
          <w:rFonts w:ascii="Arial" w:hAnsi="Arial" w:cs="Arial"/>
          <w:sz w:val="28"/>
          <w:szCs w:val="28"/>
          <w:lang w:val="en-US"/>
        </w:rPr>
        <w:t xml:space="preserve"> that</w:t>
      </w:r>
      <w:r w:rsidR="005C5060">
        <w:rPr>
          <w:rFonts w:ascii="Arial" w:hAnsi="Arial" w:cs="Arial"/>
          <w:sz w:val="28"/>
          <w:szCs w:val="28"/>
          <w:lang w:val="en-US"/>
        </w:rPr>
        <w:t xml:space="preserve"> their intention was for the summerhouse to be part of the land by showing </w:t>
      </w:r>
      <w:r w:rsidR="005C5060">
        <w:rPr>
          <w:rFonts w:ascii="Arial" w:hAnsi="Arial" w:cs="Arial"/>
          <w:sz w:val="28"/>
          <w:szCs w:val="28"/>
          <w:lang w:val="en-US"/>
        </w:rPr>
        <w:lastRenderedPageBreak/>
        <w:t>that</w:t>
      </w:r>
      <w:r w:rsidR="00222B46">
        <w:rPr>
          <w:rFonts w:ascii="Arial" w:hAnsi="Arial" w:cs="Arial"/>
          <w:sz w:val="28"/>
          <w:szCs w:val="28"/>
          <w:lang w:val="en-US"/>
        </w:rPr>
        <w:t xml:space="preserve"> the</w:t>
      </w:r>
      <w:r w:rsidR="005C5060">
        <w:rPr>
          <w:rFonts w:ascii="Arial" w:hAnsi="Arial" w:cs="Arial"/>
          <w:sz w:val="28"/>
          <w:szCs w:val="28"/>
          <w:lang w:val="en-US"/>
        </w:rPr>
        <w:t xml:space="preserve"> object is</w:t>
      </w:r>
      <w:r w:rsidR="00222B46">
        <w:rPr>
          <w:rFonts w:ascii="Arial" w:hAnsi="Arial" w:cs="Arial"/>
          <w:sz w:val="28"/>
          <w:szCs w:val="28"/>
          <w:lang w:val="en-US"/>
        </w:rPr>
        <w:t xml:space="preserve"> anchored by bolts into the land </w:t>
      </w:r>
      <w:r w:rsidR="005C5060">
        <w:rPr>
          <w:rFonts w:ascii="Arial" w:hAnsi="Arial" w:cs="Arial"/>
          <w:sz w:val="28"/>
          <w:szCs w:val="28"/>
          <w:lang w:val="en-US"/>
        </w:rPr>
        <w:t>and so it cannot be removed without seeing significant damage</w:t>
      </w:r>
      <w:r w:rsidR="00AA7EF9">
        <w:rPr>
          <w:rFonts w:ascii="Arial" w:hAnsi="Arial" w:cs="Arial"/>
          <w:sz w:val="28"/>
          <w:szCs w:val="28"/>
          <w:lang w:val="en-US"/>
        </w:rPr>
        <w:t xml:space="preserve"> (Williams, 2018)</w:t>
      </w:r>
      <w:r w:rsidR="005C5060">
        <w:rPr>
          <w:rFonts w:ascii="Arial" w:hAnsi="Arial" w:cs="Arial"/>
          <w:sz w:val="28"/>
          <w:szCs w:val="28"/>
          <w:lang w:val="en-US"/>
        </w:rPr>
        <w:t>.</w:t>
      </w:r>
    </w:p>
    <w:p w14:paraId="436AB895" w14:textId="11A8D731" w:rsidR="00785965" w:rsidRPr="00A276DC" w:rsidRDefault="005F0459" w:rsidP="004440B9">
      <w:pPr>
        <w:spacing w:line="480" w:lineRule="auto"/>
        <w:rPr>
          <w:rFonts w:ascii="Arial" w:hAnsi="Arial" w:cs="Arial"/>
          <w:sz w:val="28"/>
          <w:szCs w:val="28"/>
          <w:lang w:val="en-US"/>
        </w:rPr>
      </w:pPr>
      <w:r>
        <w:rPr>
          <w:rFonts w:ascii="Arial" w:hAnsi="Arial" w:cs="Arial"/>
          <w:sz w:val="28"/>
          <w:szCs w:val="28"/>
          <w:lang w:val="en-US"/>
        </w:rPr>
        <w:tab/>
        <w:t>Given the advancement in modern-day technology and the passion for home improvement, the interpretation that all kitchen</w:t>
      </w:r>
      <w:r w:rsidR="00E751AB">
        <w:rPr>
          <w:rFonts w:ascii="Arial" w:hAnsi="Arial" w:cs="Arial"/>
          <w:sz w:val="28"/>
          <w:szCs w:val="28"/>
          <w:lang w:val="en-US"/>
        </w:rPr>
        <w:t xml:space="preserve"> units</w:t>
      </w:r>
      <w:r>
        <w:rPr>
          <w:rFonts w:ascii="Arial" w:hAnsi="Arial" w:cs="Arial"/>
          <w:sz w:val="28"/>
          <w:szCs w:val="28"/>
          <w:lang w:val="en-US"/>
        </w:rPr>
        <w:t xml:space="preserve"> are certainly fixtures may be clouded as there are numerous ways of removing fitted kitchen </w:t>
      </w:r>
      <w:r w:rsidR="007C2866">
        <w:rPr>
          <w:rFonts w:ascii="Arial" w:hAnsi="Arial" w:cs="Arial"/>
          <w:sz w:val="28"/>
          <w:szCs w:val="28"/>
          <w:lang w:val="en-US"/>
        </w:rPr>
        <w:t xml:space="preserve">units </w:t>
      </w:r>
      <w:r>
        <w:rPr>
          <w:rFonts w:ascii="Arial" w:hAnsi="Arial" w:cs="Arial"/>
          <w:sz w:val="28"/>
          <w:szCs w:val="28"/>
          <w:lang w:val="en-US"/>
        </w:rPr>
        <w:t>without causing damage to a property according to Caborn (2001).</w:t>
      </w:r>
      <w:r w:rsidR="00C25A51">
        <w:rPr>
          <w:rFonts w:ascii="Arial" w:hAnsi="Arial" w:cs="Arial"/>
          <w:sz w:val="28"/>
          <w:szCs w:val="28"/>
          <w:lang w:val="en-US"/>
        </w:rPr>
        <w:t xml:space="preserve"> In the case of </w:t>
      </w:r>
      <w:r w:rsidR="00C25A51">
        <w:rPr>
          <w:rFonts w:ascii="Arial" w:hAnsi="Arial" w:cs="Arial"/>
          <w:i/>
          <w:iCs/>
          <w:sz w:val="28"/>
          <w:szCs w:val="28"/>
          <w:lang w:val="en-US"/>
        </w:rPr>
        <w:t xml:space="preserve">‘TSB Bank Plc v Botham’ </w:t>
      </w:r>
      <w:r w:rsidR="00C25A51">
        <w:rPr>
          <w:rFonts w:ascii="Arial" w:hAnsi="Arial" w:cs="Arial"/>
          <w:sz w:val="28"/>
          <w:szCs w:val="28"/>
          <w:lang w:val="en-US"/>
        </w:rPr>
        <w:t>(1996</w:t>
      </w:r>
      <w:r w:rsidR="009978F0">
        <w:rPr>
          <w:rFonts w:ascii="Arial" w:hAnsi="Arial" w:cs="Arial"/>
          <w:sz w:val="28"/>
          <w:szCs w:val="28"/>
          <w:lang w:val="en-US"/>
        </w:rPr>
        <w:t>), it was illustrated that</w:t>
      </w:r>
      <w:r w:rsidR="00C25A51">
        <w:rPr>
          <w:rFonts w:ascii="Arial" w:hAnsi="Arial" w:cs="Arial"/>
          <w:sz w:val="28"/>
          <w:szCs w:val="28"/>
          <w:lang w:val="en-US"/>
        </w:rPr>
        <w:t xml:space="preserve"> kitchen units </w:t>
      </w:r>
      <w:r w:rsidR="009978F0">
        <w:rPr>
          <w:rFonts w:ascii="Arial" w:hAnsi="Arial" w:cs="Arial"/>
          <w:sz w:val="28"/>
          <w:szCs w:val="28"/>
          <w:lang w:val="en-US"/>
        </w:rPr>
        <w:t>were fixtures on the basis that they are objects which are necessary for the use of the particular room in question</w:t>
      </w:r>
      <w:r w:rsidR="00E53B6D">
        <w:rPr>
          <w:rFonts w:ascii="Arial" w:hAnsi="Arial" w:cs="Arial"/>
          <w:sz w:val="28"/>
          <w:szCs w:val="28"/>
          <w:lang w:val="en-US"/>
        </w:rPr>
        <w:t>,</w:t>
      </w:r>
      <w:r w:rsidR="009978F0">
        <w:rPr>
          <w:rFonts w:ascii="Arial" w:hAnsi="Arial" w:cs="Arial"/>
          <w:sz w:val="28"/>
          <w:szCs w:val="28"/>
          <w:lang w:val="en-US"/>
        </w:rPr>
        <w:t xml:space="preserve"> including also their permanence. Based on the degree of annexation with Amy and Bob’s kitchen units, it is certain that they will</w:t>
      </w:r>
      <w:r w:rsidR="00E53B6D">
        <w:rPr>
          <w:rFonts w:ascii="Arial" w:hAnsi="Arial" w:cs="Arial"/>
          <w:sz w:val="28"/>
          <w:szCs w:val="28"/>
          <w:lang w:val="en-US"/>
        </w:rPr>
        <w:t xml:space="preserve"> be</w:t>
      </w:r>
      <w:r w:rsidR="009978F0">
        <w:rPr>
          <w:rFonts w:ascii="Arial" w:hAnsi="Arial" w:cs="Arial"/>
          <w:sz w:val="28"/>
          <w:szCs w:val="28"/>
          <w:lang w:val="en-US"/>
        </w:rPr>
        <w:t xml:space="preserve"> </w:t>
      </w:r>
      <w:r w:rsidR="00A276DC">
        <w:rPr>
          <w:rFonts w:ascii="Arial" w:hAnsi="Arial" w:cs="Arial"/>
          <w:sz w:val="28"/>
          <w:szCs w:val="28"/>
          <w:lang w:val="en-US"/>
        </w:rPr>
        <w:t>allowed to remove the kitchen units</w:t>
      </w:r>
      <w:r w:rsidR="00E53B6D">
        <w:rPr>
          <w:rFonts w:ascii="Arial" w:hAnsi="Arial" w:cs="Arial"/>
          <w:sz w:val="28"/>
          <w:szCs w:val="28"/>
          <w:lang w:val="en-US"/>
        </w:rPr>
        <w:t xml:space="preserve"> from the land</w:t>
      </w:r>
      <w:r w:rsidR="00A276DC">
        <w:rPr>
          <w:rFonts w:ascii="Arial" w:hAnsi="Arial" w:cs="Arial"/>
          <w:sz w:val="28"/>
          <w:szCs w:val="28"/>
          <w:lang w:val="en-US"/>
        </w:rPr>
        <w:t xml:space="preserve"> because the objects have only a small degree of annexation which is insufficient for them to be fixtures according to the case of </w:t>
      </w:r>
      <w:r w:rsidR="00A276DC">
        <w:rPr>
          <w:rFonts w:ascii="Arial" w:hAnsi="Arial" w:cs="Arial"/>
          <w:i/>
          <w:iCs/>
          <w:sz w:val="28"/>
          <w:szCs w:val="28"/>
          <w:lang w:val="en-US"/>
        </w:rPr>
        <w:t xml:space="preserve">‘TSB Bank Plc v Botham’ </w:t>
      </w:r>
      <w:r w:rsidR="00A276DC">
        <w:rPr>
          <w:rFonts w:ascii="Arial" w:hAnsi="Arial" w:cs="Arial"/>
          <w:sz w:val="28"/>
          <w:szCs w:val="28"/>
          <w:lang w:val="en-US"/>
        </w:rPr>
        <w:t xml:space="preserve">(1996). </w:t>
      </w:r>
      <w:r w:rsidR="00D53B11">
        <w:rPr>
          <w:rFonts w:ascii="Arial" w:hAnsi="Arial" w:cs="Arial"/>
          <w:sz w:val="28"/>
          <w:szCs w:val="28"/>
          <w:lang w:val="en-US"/>
        </w:rPr>
        <w:t>It should be noted that fittings are physical objects which never becomes parcel to or part of the land even if they may be placed in a certain style that resembles a fixture</w:t>
      </w:r>
      <w:r w:rsidR="007C2866">
        <w:rPr>
          <w:rFonts w:ascii="Arial" w:hAnsi="Arial" w:cs="Arial"/>
          <w:sz w:val="28"/>
          <w:szCs w:val="28"/>
          <w:lang w:val="en-US"/>
        </w:rPr>
        <w:t>,</w:t>
      </w:r>
      <w:r w:rsidR="00D53B11">
        <w:rPr>
          <w:rFonts w:ascii="Arial" w:hAnsi="Arial" w:cs="Arial"/>
          <w:sz w:val="28"/>
          <w:szCs w:val="28"/>
          <w:lang w:val="en-US"/>
        </w:rPr>
        <w:t xml:space="preserve"> they do not pass when the property is being sold (Mglegal, 2019).</w:t>
      </w:r>
      <w:r w:rsidR="007C2866">
        <w:rPr>
          <w:rFonts w:ascii="Arial" w:hAnsi="Arial" w:cs="Arial"/>
          <w:sz w:val="28"/>
          <w:szCs w:val="28"/>
          <w:lang w:val="en-US"/>
        </w:rPr>
        <w:t xml:space="preserve"> On the other hand,</w:t>
      </w:r>
      <w:r w:rsidR="00D53B11">
        <w:rPr>
          <w:rFonts w:ascii="Arial" w:hAnsi="Arial" w:cs="Arial"/>
          <w:sz w:val="28"/>
          <w:szCs w:val="28"/>
          <w:lang w:val="en-US"/>
        </w:rPr>
        <w:t xml:space="preserve"> </w:t>
      </w:r>
      <w:r w:rsidR="007C2866">
        <w:rPr>
          <w:rFonts w:ascii="Arial" w:hAnsi="Arial" w:cs="Arial"/>
          <w:sz w:val="28"/>
          <w:szCs w:val="28"/>
          <w:lang w:val="en-US"/>
        </w:rPr>
        <w:t>t</w:t>
      </w:r>
      <w:r w:rsidR="00D53B11">
        <w:rPr>
          <w:rFonts w:ascii="Arial" w:hAnsi="Arial" w:cs="Arial"/>
          <w:sz w:val="28"/>
          <w:szCs w:val="28"/>
          <w:lang w:val="en-US"/>
        </w:rPr>
        <w:t xml:space="preserve">he overall logic behind fixtures is that whenever an item has formed part of the land it becomes </w:t>
      </w:r>
      <w:r w:rsidR="007C2866">
        <w:rPr>
          <w:rFonts w:ascii="Arial" w:hAnsi="Arial" w:cs="Arial"/>
          <w:sz w:val="28"/>
          <w:szCs w:val="28"/>
          <w:lang w:val="en-US"/>
        </w:rPr>
        <w:t xml:space="preserve">challenging to remove, therefore, fixtures are generally sold along with the property that it is attached to (Mglegal, 2019).  </w:t>
      </w:r>
    </w:p>
    <w:p w14:paraId="084E753C" w14:textId="3EDE6CE8" w:rsidR="00F261EB" w:rsidRDefault="00F261EB" w:rsidP="004440B9">
      <w:pPr>
        <w:spacing w:line="480" w:lineRule="auto"/>
        <w:rPr>
          <w:rFonts w:ascii="Arial" w:hAnsi="Arial" w:cs="Arial"/>
          <w:sz w:val="28"/>
          <w:szCs w:val="28"/>
          <w:lang w:val="en-US"/>
        </w:rPr>
      </w:pPr>
    </w:p>
    <w:p w14:paraId="7604CC2E" w14:textId="311A00FD" w:rsidR="00F261EB" w:rsidRDefault="00F261EB" w:rsidP="004440B9">
      <w:pPr>
        <w:spacing w:line="480" w:lineRule="auto"/>
        <w:rPr>
          <w:rFonts w:ascii="Arial" w:hAnsi="Arial" w:cs="Arial"/>
          <w:sz w:val="28"/>
          <w:szCs w:val="28"/>
          <w:lang w:val="en-US"/>
        </w:rPr>
      </w:pPr>
    </w:p>
    <w:p w14:paraId="4DA4C28D" w14:textId="77777777" w:rsidR="00F261EB" w:rsidRDefault="00F261EB" w:rsidP="004440B9">
      <w:pPr>
        <w:spacing w:line="480" w:lineRule="auto"/>
        <w:rPr>
          <w:rFonts w:ascii="Arial" w:hAnsi="Arial" w:cs="Arial"/>
          <w:sz w:val="28"/>
          <w:szCs w:val="28"/>
          <w:lang w:val="en-US"/>
        </w:rPr>
      </w:pPr>
    </w:p>
    <w:p w14:paraId="4A20FC2B" w14:textId="710A5B0F" w:rsidR="004440B9" w:rsidRDefault="004440B9" w:rsidP="004440B9">
      <w:pPr>
        <w:spacing w:line="480" w:lineRule="auto"/>
        <w:rPr>
          <w:rFonts w:ascii="Arial" w:hAnsi="Arial" w:cs="Arial"/>
          <w:sz w:val="28"/>
          <w:szCs w:val="28"/>
          <w:lang w:val="en-US"/>
        </w:rPr>
      </w:pPr>
      <w:r>
        <w:rPr>
          <w:rFonts w:ascii="Arial" w:hAnsi="Arial" w:cs="Arial"/>
          <w:sz w:val="28"/>
          <w:szCs w:val="28"/>
          <w:lang w:val="en-US"/>
        </w:rPr>
        <w:t xml:space="preserve">Question </w:t>
      </w:r>
      <w:r w:rsidR="006D732B">
        <w:rPr>
          <w:rFonts w:ascii="Arial" w:hAnsi="Arial" w:cs="Arial"/>
          <w:sz w:val="28"/>
          <w:szCs w:val="28"/>
          <w:lang w:val="en-US"/>
        </w:rPr>
        <w:t>2:</w:t>
      </w:r>
    </w:p>
    <w:p w14:paraId="006E6085" w14:textId="12BC0340" w:rsidR="006D732B" w:rsidRDefault="006D732B" w:rsidP="004440B9">
      <w:pPr>
        <w:spacing w:line="480" w:lineRule="auto"/>
        <w:rPr>
          <w:rFonts w:ascii="Arial" w:hAnsi="Arial" w:cs="Arial"/>
          <w:sz w:val="28"/>
          <w:szCs w:val="28"/>
          <w:lang w:val="en-US"/>
        </w:rPr>
      </w:pPr>
      <w:r>
        <w:rPr>
          <w:rFonts w:ascii="Arial" w:hAnsi="Arial" w:cs="Arial"/>
          <w:sz w:val="28"/>
          <w:szCs w:val="28"/>
          <w:lang w:val="en-US"/>
        </w:rPr>
        <w:tab/>
        <w:t>The legal characteristic of a Mortgage consists of the transfer of a proprietary interest in the borrower’s land to the lender</w:t>
      </w:r>
      <w:r w:rsidR="00DF4D15">
        <w:rPr>
          <w:rFonts w:ascii="Arial" w:hAnsi="Arial" w:cs="Arial"/>
          <w:sz w:val="28"/>
          <w:szCs w:val="28"/>
          <w:lang w:val="en-US"/>
        </w:rPr>
        <w:t xml:space="preserve">, </w:t>
      </w:r>
      <w:r>
        <w:rPr>
          <w:rFonts w:ascii="Arial" w:hAnsi="Arial" w:cs="Arial"/>
          <w:sz w:val="28"/>
          <w:szCs w:val="28"/>
          <w:lang w:val="en-US"/>
        </w:rPr>
        <w:t>which is subject to an agreement</w:t>
      </w:r>
      <w:r w:rsidR="00DF4D15">
        <w:rPr>
          <w:rFonts w:ascii="Arial" w:hAnsi="Arial" w:cs="Arial"/>
          <w:sz w:val="28"/>
          <w:szCs w:val="28"/>
          <w:lang w:val="en-US"/>
        </w:rPr>
        <w:t xml:space="preserve"> from the</w:t>
      </w:r>
      <w:r>
        <w:rPr>
          <w:rFonts w:ascii="Arial" w:hAnsi="Arial" w:cs="Arial"/>
          <w:sz w:val="28"/>
          <w:szCs w:val="28"/>
          <w:lang w:val="en-US"/>
        </w:rPr>
        <w:t xml:space="preserve"> lender to transfer the interest back to the borrower after the debt has been repaid as established in the case</w:t>
      </w:r>
      <w:r w:rsidR="006C5225">
        <w:rPr>
          <w:rFonts w:ascii="Arial" w:hAnsi="Arial" w:cs="Arial"/>
          <w:sz w:val="28"/>
          <w:szCs w:val="28"/>
          <w:lang w:val="en-US"/>
        </w:rPr>
        <w:t xml:space="preserve"> of</w:t>
      </w:r>
      <w:r>
        <w:rPr>
          <w:rFonts w:ascii="Arial" w:hAnsi="Arial" w:cs="Arial"/>
          <w:sz w:val="28"/>
          <w:szCs w:val="28"/>
          <w:lang w:val="en-US"/>
        </w:rPr>
        <w:t xml:space="preserve"> </w:t>
      </w:r>
      <w:r>
        <w:rPr>
          <w:rFonts w:ascii="Arial" w:hAnsi="Arial" w:cs="Arial"/>
          <w:i/>
          <w:iCs/>
          <w:sz w:val="28"/>
          <w:szCs w:val="28"/>
          <w:lang w:val="en-US"/>
        </w:rPr>
        <w:t xml:space="preserve">‘Swiss Bank Group v Lloyds Bank Ltd’ </w:t>
      </w:r>
      <w:r>
        <w:rPr>
          <w:rFonts w:ascii="Arial" w:hAnsi="Arial" w:cs="Arial"/>
          <w:sz w:val="28"/>
          <w:szCs w:val="28"/>
          <w:lang w:val="en-US"/>
        </w:rPr>
        <w:t>(1982). The right given to a lender by a mortgage can only be exercised to facilitate the recovery of their debt (</w:t>
      </w:r>
      <w:r w:rsidR="00095C3B">
        <w:rPr>
          <w:rFonts w:ascii="Arial" w:hAnsi="Arial" w:cs="Arial"/>
          <w:sz w:val="28"/>
          <w:szCs w:val="28"/>
          <w:lang w:val="en-US"/>
        </w:rPr>
        <w:t>McFarlane and Hopkins</w:t>
      </w:r>
      <w:r>
        <w:rPr>
          <w:rFonts w:ascii="Arial" w:hAnsi="Arial" w:cs="Arial"/>
          <w:sz w:val="28"/>
          <w:szCs w:val="28"/>
          <w:lang w:val="en-US"/>
        </w:rPr>
        <w:t>, 202</w:t>
      </w:r>
      <w:r w:rsidR="00095C3B">
        <w:rPr>
          <w:rFonts w:ascii="Arial" w:hAnsi="Arial" w:cs="Arial"/>
          <w:sz w:val="28"/>
          <w:szCs w:val="28"/>
          <w:lang w:val="en-US"/>
        </w:rPr>
        <w:t>0</w:t>
      </w:r>
      <w:r>
        <w:rPr>
          <w:rFonts w:ascii="Arial" w:hAnsi="Arial" w:cs="Arial"/>
          <w:sz w:val="28"/>
          <w:szCs w:val="28"/>
          <w:lang w:val="en-US"/>
        </w:rPr>
        <w:t>, p. 287)</w:t>
      </w:r>
      <w:r w:rsidR="00861ACC">
        <w:rPr>
          <w:rFonts w:ascii="Arial" w:hAnsi="Arial" w:cs="Arial"/>
          <w:sz w:val="28"/>
          <w:szCs w:val="28"/>
          <w:lang w:val="en-US"/>
        </w:rPr>
        <w:t xml:space="preserve">; Additionally, </w:t>
      </w:r>
      <w:r w:rsidR="00A90576">
        <w:rPr>
          <w:rFonts w:ascii="Arial" w:hAnsi="Arial" w:cs="Arial"/>
          <w:sz w:val="28"/>
          <w:szCs w:val="28"/>
          <w:lang w:val="en-US"/>
        </w:rPr>
        <w:t>M</w:t>
      </w:r>
      <w:r w:rsidR="00861ACC">
        <w:rPr>
          <w:rFonts w:ascii="Arial" w:hAnsi="Arial" w:cs="Arial"/>
          <w:sz w:val="28"/>
          <w:szCs w:val="28"/>
          <w:lang w:val="en-US"/>
        </w:rPr>
        <w:t>ortgages provided by lenders are security for the loan</w:t>
      </w:r>
      <w:r w:rsidR="008A39A4">
        <w:rPr>
          <w:rFonts w:ascii="Arial" w:hAnsi="Arial" w:cs="Arial"/>
          <w:sz w:val="28"/>
          <w:szCs w:val="28"/>
          <w:lang w:val="en-US"/>
        </w:rPr>
        <w:t xml:space="preserve"> which the lender (Mortgagee) can enforce, therefore</w:t>
      </w:r>
      <w:r w:rsidR="00861ACC">
        <w:rPr>
          <w:rFonts w:ascii="Arial" w:hAnsi="Arial" w:cs="Arial"/>
          <w:sz w:val="28"/>
          <w:szCs w:val="28"/>
          <w:lang w:val="en-US"/>
        </w:rPr>
        <w:t xml:space="preserve">, a mortgage is never deemed as </w:t>
      </w:r>
      <w:r w:rsidR="00A90576">
        <w:rPr>
          <w:rFonts w:ascii="Arial" w:hAnsi="Arial" w:cs="Arial"/>
          <w:sz w:val="28"/>
          <w:szCs w:val="28"/>
          <w:lang w:val="en-US"/>
        </w:rPr>
        <w:t>the</w:t>
      </w:r>
      <w:r w:rsidR="00861ACC">
        <w:rPr>
          <w:rFonts w:ascii="Arial" w:hAnsi="Arial" w:cs="Arial"/>
          <w:sz w:val="28"/>
          <w:szCs w:val="28"/>
          <w:lang w:val="en-US"/>
        </w:rPr>
        <w:t xml:space="preserve"> loan itself. </w:t>
      </w:r>
      <w:r w:rsidR="001E6C85">
        <w:rPr>
          <w:rFonts w:ascii="Arial" w:hAnsi="Arial" w:cs="Arial"/>
          <w:sz w:val="28"/>
          <w:szCs w:val="28"/>
          <w:lang w:val="en-US"/>
        </w:rPr>
        <w:t xml:space="preserve">Moreover, a mortgage provides a </w:t>
      </w:r>
      <w:r w:rsidR="00202B5E">
        <w:rPr>
          <w:rFonts w:ascii="Arial" w:hAnsi="Arial" w:cs="Arial"/>
          <w:sz w:val="28"/>
          <w:szCs w:val="28"/>
          <w:lang w:val="en-US"/>
        </w:rPr>
        <w:t>lender</w:t>
      </w:r>
      <w:r w:rsidR="001E6C85">
        <w:rPr>
          <w:rFonts w:ascii="Arial" w:hAnsi="Arial" w:cs="Arial"/>
          <w:sz w:val="28"/>
          <w:szCs w:val="28"/>
          <w:lang w:val="en-US"/>
        </w:rPr>
        <w:t xml:space="preserve"> with a </w:t>
      </w:r>
      <w:r w:rsidR="00202B5E">
        <w:rPr>
          <w:rFonts w:ascii="Arial" w:hAnsi="Arial" w:cs="Arial"/>
          <w:sz w:val="28"/>
          <w:szCs w:val="28"/>
          <w:lang w:val="en-US"/>
        </w:rPr>
        <w:t xml:space="preserve">clear legal or equitable property right in the mortgagor’s land which confers upon the mortgagee a variety of rights </w:t>
      </w:r>
      <w:r w:rsidR="006C5225">
        <w:rPr>
          <w:rFonts w:ascii="Arial" w:hAnsi="Arial" w:cs="Arial"/>
          <w:sz w:val="28"/>
          <w:szCs w:val="28"/>
          <w:lang w:val="en-US"/>
        </w:rPr>
        <w:t>that</w:t>
      </w:r>
      <w:r w:rsidR="00202B5E">
        <w:rPr>
          <w:rFonts w:ascii="Arial" w:hAnsi="Arial" w:cs="Arial"/>
          <w:sz w:val="28"/>
          <w:szCs w:val="28"/>
          <w:lang w:val="en-US"/>
        </w:rPr>
        <w:t xml:space="preserve"> they can make use of if the borrower fails to repay the </w:t>
      </w:r>
      <w:r w:rsidR="008E5026">
        <w:rPr>
          <w:rFonts w:ascii="Arial" w:hAnsi="Arial" w:cs="Arial"/>
          <w:sz w:val="28"/>
          <w:szCs w:val="28"/>
          <w:lang w:val="en-US"/>
        </w:rPr>
        <w:t>loan (</w:t>
      </w:r>
      <w:r w:rsidR="005142E2">
        <w:rPr>
          <w:rFonts w:ascii="Arial" w:hAnsi="Arial" w:cs="Arial"/>
          <w:sz w:val="28"/>
          <w:szCs w:val="28"/>
          <w:lang w:val="en-US"/>
        </w:rPr>
        <w:t xml:space="preserve">Scamell, 1961, p. 386). </w:t>
      </w:r>
      <w:r w:rsidR="00774902">
        <w:rPr>
          <w:rFonts w:ascii="Arial" w:hAnsi="Arial" w:cs="Arial"/>
          <w:sz w:val="28"/>
          <w:szCs w:val="28"/>
          <w:lang w:val="en-US"/>
        </w:rPr>
        <w:t xml:space="preserve">As an example, </w:t>
      </w:r>
      <w:r w:rsidR="005C6DB9">
        <w:rPr>
          <w:rFonts w:ascii="Arial" w:hAnsi="Arial" w:cs="Arial"/>
          <w:sz w:val="28"/>
          <w:szCs w:val="28"/>
          <w:lang w:val="en-US"/>
        </w:rPr>
        <w:t xml:space="preserve">the security granted by a mortgage enables a lender to achieve possession and sell the property of a borrower </w:t>
      </w:r>
      <w:r w:rsidR="000950E2">
        <w:rPr>
          <w:rFonts w:ascii="Arial" w:hAnsi="Arial" w:cs="Arial"/>
          <w:sz w:val="28"/>
          <w:szCs w:val="28"/>
          <w:lang w:val="en-US"/>
        </w:rPr>
        <w:t xml:space="preserve">in order to repay their debt (Bender, 2014, p. 585). </w:t>
      </w:r>
      <w:r w:rsidR="00523D9C">
        <w:rPr>
          <w:rFonts w:ascii="Arial" w:hAnsi="Arial" w:cs="Arial"/>
          <w:sz w:val="28"/>
          <w:szCs w:val="28"/>
          <w:lang w:val="en-US"/>
        </w:rPr>
        <w:t>Furthermore</w:t>
      </w:r>
      <w:r w:rsidR="000950E2">
        <w:rPr>
          <w:rFonts w:ascii="Arial" w:hAnsi="Arial" w:cs="Arial"/>
          <w:sz w:val="28"/>
          <w:szCs w:val="28"/>
          <w:lang w:val="en-US"/>
        </w:rPr>
        <w:t xml:space="preserve">, </w:t>
      </w:r>
      <w:r w:rsidR="00523D9C">
        <w:rPr>
          <w:rFonts w:ascii="Arial" w:hAnsi="Arial" w:cs="Arial"/>
          <w:sz w:val="28"/>
          <w:szCs w:val="28"/>
          <w:lang w:val="en-US"/>
        </w:rPr>
        <w:t xml:space="preserve">it should be noted that </w:t>
      </w:r>
      <w:r w:rsidR="000950E2">
        <w:rPr>
          <w:rFonts w:ascii="Arial" w:hAnsi="Arial" w:cs="Arial"/>
          <w:sz w:val="28"/>
          <w:szCs w:val="28"/>
          <w:lang w:val="en-US"/>
        </w:rPr>
        <w:t>the creation of legal mortgages</w:t>
      </w:r>
      <w:r w:rsidR="00523D9C">
        <w:rPr>
          <w:rFonts w:ascii="Arial" w:hAnsi="Arial" w:cs="Arial"/>
          <w:sz w:val="28"/>
          <w:szCs w:val="28"/>
          <w:lang w:val="en-US"/>
        </w:rPr>
        <w:t xml:space="preserve"> is now governed solely by the Law of </w:t>
      </w:r>
      <w:r w:rsidR="00523D9C">
        <w:rPr>
          <w:rFonts w:ascii="Arial" w:hAnsi="Arial" w:cs="Arial"/>
          <w:sz w:val="28"/>
          <w:szCs w:val="28"/>
          <w:lang w:val="en-US"/>
        </w:rPr>
        <w:lastRenderedPageBreak/>
        <w:t>Property Act 1925</w:t>
      </w:r>
      <w:r w:rsidR="003054BC">
        <w:rPr>
          <w:rFonts w:ascii="Arial" w:hAnsi="Arial" w:cs="Arial"/>
          <w:sz w:val="28"/>
          <w:szCs w:val="28"/>
          <w:lang w:val="en-US"/>
        </w:rPr>
        <w:t xml:space="preserve">, which </w:t>
      </w:r>
      <w:r w:rsidR="00666C18">
        <w:rPr>
          <w:rFonts w:ascii="Arial" w:hAnsi="Arial" w:cs="Arial"/>
          <w:sz w:val="28"/>
          <w:szCs w:val="28"/>
          <w:lang w:val="en-US"/>
        </w:rPr>
        <w:t xml:space="preserve">intention </w:t>
      </w:r>
      <w:r w:rsidR="006C5225">
        <w:rPr>
          <w:rFonts w:ascii="Arial" w:hAnsi="Arial" w:cs="Arial"/>
          <w:sz w:val="28"/>
          <w:szCs w:val="28"/>
          <w:lang w:val="en-US"/>
        </w:rPr>
        <w:t>was</w:t>
      </w:r>
      <w:r w:rsidR="00666C18">
        <w:rPr>
          <w:rFonts w:ascii="Arial" w:hAnsi="Arial" w:cs="Arial"/>
          <w:sz w:val="28"/>
          <w:szCs w:val="28"/>
          <w:lang w:val="en-US"/>
        </w:rPr>
        <w:t xml:space="preserve"> to minimize the barrage of repossession by organizing a series of guidelines and precautions that the lender must satisfy before successfully </w:t>
      </w:r>
      <w:r w:rsidR="000A513B">
        <w:rPr>
          <w:rFonts w:ascii="Arial" w:hAnsi="Arial" w:cs="Arial"/>
          <w:sz w:val="28"/>
          <w:szCs w:val="28"/>
          <w:lang w:val="en-US"/>
        </w:rPr>
        <w:t xml:space="preserve">possessing the property of the borrower as stated by (McAuslan, 2009). </w:t>
      </w:r>
    </w:p>
    <w:p w14:paraId="1BF4E7B5" w14:textId="4D6AF8B4" w:rsidR="00952129" w:rsidRDefault="000A513B" w:rsidP="004440B9">
      <w:pPr>
        <w:spacing w:line="480" w:lineRule="auto"/>
        <w:rPr>
          <w:rFonts w:ascii="Arial" w:hAnsi="Arial" w:cs="Arial"/>
          <w:sz w:val="28"/>
          <w:szCs w:val="28"/>
          <w:lang w:val="en-US"/>
        </w:rPr>
      </w:pPr>
      <w:r>
        <w:rPr>
          <w:rFonts w:ascii="Arial" w:hAnsi="Arial" w:cs="Arial"/>
          <w:sz w:val="28"/>
          <w:szCs w:val="28"/>
          <w:lang w:val="en-US"/>
        </w:rPr>
        <w:tab/>
      </w:r>
      <w:r w:rsidR="00107349">
        <w:rPr>
          <w:rFonts w:ascii="Arial" w:hAnsi="Arial" w:cs="Arial"/>
          <w:sz w:val="28"/>
          <w:szCs w:val="28"/>
          <w:lang w:val="en-US"/>
        </w:rPr>
        <w:t xml:space="preserve">Importantly, in circumstances where the mortgagee (Trinity Bank) wants to take legal action against a borrower who is on default, the lender’s duty is to make sure that the sale of the property is conducted in good </w:t>
      </w:r>
      <w:r w:rsidR="006C5225">
        <w:rPr>
          <w:rFonts w:ascii="Arial" w:hAnsi="Arial" w:cs="Arial"/>
          <w:sz w:val="28"/>
          <w:szCs w:val="28"/>
          <w:lang w:val="en-US"/>
        </w:rPr>
        <w:t>faith</w:t>
      </w:r>
      <w:r w:rsidR="00107349">
        <w:rPr>
          <w:rFonts w:ascii="Arial" w:hAnsi="Arial" w:cs="Arial"/>
          <w:sz w:val="28"/>
          <w:szCs w:val="28"/>
          <w:lang w:val="en-US"/>
        </w:rPr>
        <w:t xml:space="preserve"> </w:t>
      </w:r>
      <w:r w:rsidR="00765184">
        <w:rPr>
          <w:rFonts w:ascii="Arial" w:hAnsi="Arial" w:cs="Arial"/>
          <w:sz w:val="28"/>
          <w:szCs w:val="28"/>
          <w:lang w:val="en-US"/>
        </w:rPr>
        <w:t>and after</w:t>
      </w:r>
      <w:r w:rsidR="00A75CBB">
        <w:rPr>
          <w:rFonts w:ascii="Arial" w:hAnsi="Arial" w:cs="Arial"/>
          <w:sz w:val="28"/>
          <w:szCs w:val="28"/>
          <w:lang w:val="en-US"/>
        </w:rPr>
        <w:t xml:space="preserve"> the sum owed to the lender has been paid, the remainder (if any) of the money should be handed over to the mortgagor’s trustee or to the borrower themselves if they are debt-free according to </w:t>
      </w:r>
      <w:r w:rsidR="00907DEF">
        <w:rPr>
          <w:rFonts w:ascii="Arial" w:hAnsi="Arial" w:cs="Arial"/>
          <w:sz w:val="28"/>
          <w:szCs w:val="28"/>
          <w:lang w:val="en-US"/>
        </w:rPr>
        <w:t>Harwood (2019).</w:t>
      </w:r>
      <w:r w:rsidR="00107349">
        <w:rPr>
          <w:rFonts w:ascii="Arial" w:hAnsi="Arial" w:cs="Arial"/>
          <w:sz w:val="28"/>
          <w:szCs w:val="28"/>
          <w:lang w:val="en-US"/>
        </w:rPr>
        <w:t xml:space="preserve"> </w:t>
      </w:r>
      <w:r w:rsidR="007A3555">
        <w:rPr>
          <w:rFonts w:ascii="Arial" w:hAnsi="Arial" w:cs="Arial"/>
          <w:sz w:val="28"/>
          <w:szCs w:val="28"/>
          <w:lang w:val="en-US"/>
        </w:rPr>
        <w:t xml:space="preserve">Consequently, </w:t>
      </w:r>
      <w:r w:rsidR="00430B3B">
        <w:rPr>
          <w:rFonts w:ascii="Arial" w:hAnsi="Arial" w:cs="Arial"/>
          <w:sz w:val="28"/>
          <w:szCs w:val="28"/>
          <w:lang w:val="en-US"/>
        </w:rPr>
        <w:t>Peter (mortgagor)</w:t>
      </w:r>
      <w:r w:rsidR="007A3555">
        <w:rPr>
          <w:rFonts w:ascii="Arial" w:hAnsi="Arial" w:cs="Arial"/>
          <w:sz w:val="28"/>
          <w:szCs w:val="28"/>
          <w:lang w:val="en-US"/>
        </w:rPr>
        <w:t xml:space="preserve"> </w:t>
      </w:r>
      <w:r w:rsidR="005264F5">
        <w:rPr>
          <w:rFonts w:ascii="Arial" w:hAnsi="Arial" w:cs="Arial"/>
          <w:sz w:val="28"/>
          <w:szCs w:val="28"/>
          <w:lang w:val="en-US"/>
        </w:rPr>
        <w:t>would</w:t>
      </w:r>
      <w:r w:rsidR="007A3555">
        <w:rPr>
          <w:rFonts w:ascii="Arial" w:hAnsi="Arial" w:cs="Arial"/>
          <w:sz w:val="28"/>
          <w:szCs w:val="28"/>
          <w:lang w:val="en-US"/>
        </w:rPr>
        <w:t xml:space="preserve"> be inclined to pay off the debts owed to </w:t>
      </w:r>
      <w:r w:rsidR="00430B3B">
        <w:rPr>
          <w:rFonts w:ascii="Arial" w:hAnsi="Arial" w:cs="Arial"/>
          <w:sz w:val="28"/>
          <w:szCs w:val="28"/>
          <w:lang w:val="en-US"/>
        </w:rPr>
        <w:t>Trinity Bank (mortgagee)</w:t>
      </w:r>
      <w:r w:rsidR="005264F5">
        <w:rPr>
          <w:rFonts w:ascii="Arial" w:hAnsi="Arial" w:cs="Arial"/>
          <w:sz w:val="28"/>
          <w:szCs w:val="28"/>
          <w:lang w:val="en-US"/>
        </w:rPr>
        <w:t xml:space="preserve"> due to the power of the lender’s right (</w:t>
      </w:r>
      <w:r w:rsidR="00095C3B">
        <w:rPr>
          <w:rFonts w:ascii="Arial" w:hAnsi="Arial" w:cs="Arial"/>
          <w:sz w:val="28"/>
          <w:szCs w:val="28"/>
          <w:lang w:val="en-US"/>
        </w:rPr>
        <w:t>McFarlane and Hopkins</w:t>
      </w:r>
      <w:r w:rsidR="005264F5">
        <w:rPr>
          <w:rFonts w:ascii="Arial" w:hAnsi="Arial" w:cs="Arial"/>
          <w:sz w:val="28"/>
          <w:szCs w:val="28"/>
          <w:lang w:val="en-US"/>
        </w:rPr>
        <w:t>, 202</w:t>
      </w:r>
      <w:r w:rsidR="00095C3B">
        <w:rPr>
          <w:rFonts w:ascii="Arial" w:hAnsi="Arial" w:cs="Arial"/>
          <w:sz w:val="28"/>
          <w:szCs w:val="28"/>
          <w:lang w:val="en-US"/>
        </w:rPr>
        <w:t>0</w:t>
      </w:r>
      <w:r w:rsidR="005264F5">
        <w:rPr>
          <w:rFonts w:ascii="Arial" w:hAnsi="Arial" w:cs="Arial"/>
          <w:sz w:val="28"/>
          <w:szCs w:val="28"/>
          <w:lang w:val="en-US"/>
        </w:rPr>
        <w:t>, p. 276).</w:t>
      </w:r>
      <w:r w:rsidR="00430B3B">
        <w:rPr>
          <w:rFonts w:ascii="Arial" w:hAnsi="Arial" w:cs="Arial"/>
          <w:sz w:val="28"/>
          <w:szCs w:val="28"/>
          <w:lang w:val="en-US"/>
        </w:rPr>
        <w:t xml:space="preserve"> </w:t>
      </w:r>
      <w:r w:rsidR="008F3B9E" w:rsidRPr="007C482E">
        <w:rPr>
          <w:rFonts w:ascii="Arial" w:hAnsi="Arial" w:cs="Arial"/>
          <w:sz w:val="28"/>
          <w:szCs w:val="28"/>
          <w:lang w:val="en-US"/>
        </w:rPr>
        <w:t>Additionally, the borrowe</w:t>
      </w:r>
      <w:r w:rsidR="00430B3B" w:rsidRPr="007C482E">
        <w:rPr>
          <w:rFonts w:ascii="Arial" w:hAnsi="Arial" w:cs="Arial"/>
          <w:sz w:val="28"/>
          <w:szCs w:val="28"/>
          <w:lang w:val="en-US"/>
        </w:rPr>
        <w:t>r’s</w:t>
      </w:r>
      <w:r w:rsidR="008F3B9E" w:rsidRPr="007C482E">
        <w:rPr>
          <w:rFonts w:ascii="Arial" w:hAnsi="Arial" w:cs="Arial"/>
          <w:sz w:val="28"/>
          <w:szCs w:val="28"/>
          <w:lang w:val="en-US"/>
        </w:rPr>
        <w:t xml:space="preserve"> right to recover their property</w:t>
      </w:r>
      <w:r w:rsidR="009E331D" w:rsidRPr="007C482E">
        <w:rPr>
          <w:rFonts w:ascii="Arial" w:hAnsi="Arial" w:cs="Arial"/>
          <w:sz w:val="28"/>
          <w:szCs w:val="28"/>
          <w:lang w:val="en-US"/>
        </w:rPr>
        <w:t xml:space="preserve"> </w:t>
      </w:r>
      <w:r w:rsidR="009E331D" w:rsidRPr="007C482E">
        <w:rPr>
          <w:rFonts w:ascii="Arial" w:hAnsi="Arial" w:cs="Arial"/>
          <w:color w:val="000000" w:themeColor="text1"/>
          <w:sz w:val="28"/>
          <w:szCs w:val="28"/>
          <w:lang w:val="en-US"/>
        </w:rPr>
        <w:t>after the loan has been repaid</w:t>
      </w:r>
      <w:r w:rsidR="008F3B9E" w:rsidRPr="007C482E">
        <w:rPr>
          <w:rFonts w:ascii="Arial" w:hAnsi="Arial" w:cs="Arial"/>
          <w:color w:val="000000" w:themeColor="text1"/>
          <w:sz w:val="28"/>
          <w:szCs w:val="28"/>
          <w:lang w:val="en-US"/>
        </w:rPr>
        <w:t xml:space="preserve"> </w:t>
      </w:r>
      <w:r w:rsidR="008F3B9E" w:rsidRPr="007C482E">
        <w:rPr>
          <w:rFonts w:ascii="Arial" w:hAnsi="Arial" w:cs="Arial"/>
          <w:sz w:val="28"/>
          <w:szCs w:val="28"/>
          <w:lang w:val="en-US"/>
        </w:rPr>
        <w:t xml:space="preserve">is </w:t>
      </w:r>
      <w:r w:rsidR="009E331D" w:rsidRPr="007C482E">
        <w:rPr>
          <w:rFonts w:ascii="Arial" w:hAnsi="Arial" w:cs="Arial"/>
          <w:sz w:val="28"/>
          <w:szCs w:val="28"/>
          <w:lang w:val="en-US"/>
        </w:rPr>
        <w:t>granted</w:t>
      </w:r>
      <w:r w:rsidR="008F3B9E" w:rsidRPr="007C482E">
        <w:rPr>
          <w:rFonts w:ascii="Arial" w:hAnsi="Arial" w:cs="Arial"/>
          <w:sz w:val="28"/>
          <w:szCs w:val="28"/>
          <w:lang w:val="en-US"/>
        </w:rPr>
        <w:t xml:space="preserve"> as an equitable property right, capable of binding third parties, known as the borrower’s equity of redemption representing the value of the property less the amount required to redeem the mortgage</w:t>
      </w:r>
      <w:r w:rsidR="007C482E">
        <w:rPr>
          <w:rFonts w:ascii="Arial" w:hAnsi="Arial" w:cs="Arial"/>
          <w:sz w:val="28"/>
          <w:szCs w:val="28"/>
          <w:lang w:val="en-US"/>
        </w:rPr>
        <w:t xml:space="preserve"> </w:t>
      </w:r>
      <w:r w:rsidR="00947A5F">
        <w:rPr>
          <w:rFonts w:ascii="Arial" w:hAnsi="Arial" w:cs="Arial"/>
          <w:sz w:val="28"/>
          <w:szCs w:val="28"/>
          <w:lang w:val="en-US"/>
        </w:rPr>
        <w:t xml:space="preserve">(Harvard Law Review, 1934, p.1066). </w:t>
      </w:r>
    </w:p>
    <w:p w14:paraId="77B8031A" w14:textId="25F5B785" w:rsidR="003B7028" w:rsidRDefault="00F81B1D" w:rsidP="004440B9">
      <w:pPr>
        <w:spacing w:line="480" w:lineRule="auto"/>
        <w:rPr>
          <w:rFonts w:ascii="Arial" w:hAnsi="Arial" w:cs="Arial"/>
          <w:sz w:val="28"/>
          <w:szCs w:val="28"/>
          <w:lang w:val="en-US"/>
        </w:rPr>
      </w:pPr>
      <w:r>
        <w:rPr>
          <w:rFonts w:ascii="Arial" w:hAnsi="Arial" w:cs="Arial"/>
          <w:sz w:val="28"/>
          <w:szCs w:val="28"/>
          <w:lang w:val="en-US"/>
        </w:rPr>
        <w:tab/>
      </w:r>
      <w:r w:rsidR="00511ED8">
        <w:rPr>
          <w:rFonts w:ascii="Arial" w:hAnsi="Arial" w:cs="Arial"/>
          <w:sz w:val="28"/>
          <w:szCs w:val="28"/>
          <w:lang w:val="en-US"/>
        </w:rPr>
        <w:t>As a result of t</w:t>
      </w:r>
      <w:r>
        <w:rPr>
          <w:rFonts w:ascii="Arial" w:hAnsi="Arial" w:cs="Arial"/>
          <w:sz w:val="28"/>
          <w:szCs w:val="28"/>
          <w:lang w:val="en-US"/>
        </w:rPr>
        <w:t>he Law of Property Act 1925</w:t>
      </w:r>
      <w:r w:rsidR="008214D1">
        <w:rPr>
          <w:rFonts w:ascii="Arial" w:hAnsi="Arial" w:cs="Arial"/>
          <w:sz w:val="28"/>
          <w:szCs w:val="28"/>
          <w:lang w:val="en-US"/>
        </w:rPr>
        <w:t xml:space="preserve">, a legal mortgage over land is now generally </w:t>
      </w:r>
      <w:r w:rsidR="006D0B0E">
        <w:rPr>
          <w:rFonts w:ascii="Arial" w:hAnsi="Arial" w:cs="Arial"/>
          <w:sz w:val="28"/>
          <w:szCs w:val="28"/>
          <w:lang w:val="en-US"/>
        </w:rPr>
        <w:t>produced</w:t>
      </w:r>
      <w:r w:rsidR="008214D1">
        <w:rPr>
          <w:rFonts w:ascii="Arial" w:hAnsi="Arial" w:cs="Arial"/>
          <w:sz w:val="28"/>
          <w:szCs w:val="28"/>
          <w:lang w:val="en-US"/>
        </w:rPr>
        <w:t xml:space="preserve"> by a document </w:t>
      </w:r>
      <w:r w:rsidR="006D0B0E">
        <w:rPr>
          <w:rFonts w:ascii="Arial" w:hAnsi="Arial" w:cs="Arial"/>
          <w:sz w:val="28"/>
          <w:szCs w:val="28"/>
          <w:lang w:val="en-US"/>
        </w:rPr>
        <w:t>making</w:t>
      </w:r>
      <w:r w:rsidR="008214D1">
        <w:rPr>
          <w:rFonts w:ascii="Arial" w:hAnsi="Arial" w:cs="Arial"/>
          <w:sz w:val="28"/>
          <w:szCs w:val="28"/>
          <w:lang w:val="en-US"/>
        </w:rPr>
        <w:t xml:space="preserve"> a “charge by deed </w:t>
      </w:r>
      <w:r w:rsidR="008214D1">
        <w:rPr>
          <w:rFonts w:ascii="Arial" w:hAnsi="Arial" w:cs="Arial"/>
          <w:sz w:val="28"/>
          <w:szCs w:val="28"/>
          <w:lang w:val="en-US"/>
        </w:rPr>
        <w:lastRenderedPageBreak/>
        <w:t xml:space="preserve">expressed to be by way of legal mortgage” rather than by the mortgagee; </w:t>
      </w:r>
      <w:r w:rsidR="00C27EF4">
        <w:rPr>
          <w:rFonts w:ascii="Arial" w:hAnsi="Arial" w:cs="Arial"/>
          <w:sz w:val="28"/>
          <w:szCs w:val="28"/>
          <w:lang w:val="en-US"/>
        </w:rPr>
        <w:t xml:space="preserve">section 87(1) of the LPA 1925 expresses that the </w:t>
      </w:r>
      <w:r w:rsidR="000A47B4">
        <w:rPr>
          <w:rFonts w:ascii="Arial" w:hAnsi="Arial" w:cs="Arial"/>
          <w:sz w:val="28"/>
          <w:szCs w:val="28"/>
          <w:lang w:val="en-US"/>
        </w:rPr>
        <w:t>lender</w:t>
      </w:r>
      <w:r w:rsidR="00C27EF4">
        <w:rPr>
          <w:rFonts w:ascii="Arial" w:hAnsi="Arial" w:cs="Arial"/>
          <w:sz w:val="28"/>
          <w:szCs w:val="28"/>
          <w:lang w:val="en-US"/>
        </w:rPr>
        <w:t xml:space="preserve"> under a legal charge by way of mortgage enjoys the same </w:t>
      </w:r>
      <w:r w:rsidR="000A47B4">
        <w:rPr>
          <w:rFonts w:ascii="Arial" w:hAnsi="Arial" w:cs="Arial"/>
          <w:sz w:val="28"/>
          <w:szCs w:val="28"/>
          <w:lang w:val="en-US"/>
        </w:rPr>
        <w:t xml:space="preserve">rights and remedies as if they held a traditional mortgage as seen in the case of </w:t>
      </w:r>
      <w:r w:rsidR="000A47B4">
        <w:rPr>
          <w:rFonts w:ascii="Arial" w:hAnsi="Arial" w:cs="Arial"/>
          <w:i/>
          <w:iCs/>
          <w:sz w:val="28"/>
          <w:szCs w:val="28"/>
          <w:lang w:val="en-US"/>
        </w:rPr>
        <w:t xml:space="preserve">‘Re Cosslett Contractors Ltd’ </w:t>
      </w:r>
      <w:r w:rsidR="000A47B4">
        <w:rPr>
          <w:rFonts w:ascii="Arial" w:hAnsi="Arial" w:cs="Arial"/>
          <w:sz w:val="28"/>
          <w:szCs w:val="28"/>
          <w:lang w:val="en-US"/>
        </w:rPr>
        <w:t>(1998).</w:t>
      </w:r>
      <w:r w:rsidR="006D0B0E">
        <w:rPr>
          <w:rFonts w:ascii="Arial" w:hAnsi="Arial" w:cs="Arial"/>
          <w:sz w:val="28"/>
          <w:szCs w:val="28"/>
          <w:lang w:val="en-US"/>
        </w:rPr>
        <w:t xml:space="preserve"> A legal charge by way of mortgage is </w:t>
      </w:r>
      <w:r w:rsidR="00B276B5">
        <w:rPr>
          <w:rFonts w:ascii="Arial" w:hAnsi="Arial" w:cs="Arial"/>
          <w:sz w:val="28"/>
          <w:szCs w:val="28"/>
          <w:lang w:val="en-US"/>
        </w:rPr>
        <w:t xml:space="preserve">a </w:t>
      </w:r>
      <w:r w:rsidR="006D0B0E">
        <w:rPr>
          <w:rFonts w:ascii="Arial" w:hAnsi="Arial" w:cs="Arial"/>
          <w:sz w:val="28"/>
          <w:szCs w:val="28"/>
          <w:lang w:val="en-US"/>
        </w:rPr>
        <w:t>unique</w:t>
      </w:r>
      <w:r w:rsidR="00765636">
        <w:rPr>
          <w:rFonts w:ascii="Arial" w:hAnsi="Arial" w:cs="Arial"/>
          <w:sz w:val="28"/>
          <w:szCs w:val="28"/>
          <w:lang w:val="en-US"/>
        </w:rPr>
        <w:t xml:space="preserve"> security over land</w:t>
      </w:r>
      <w:r w:rsidR="006D0B0E">
        <w:rPr>
          <w:rFonts w:ascii="Arial" w:hAnsi="Arial" w:cs="Arial"/>
          <w:sz w:val="28"/>
          <w:szCs w:val="28"/>
          <w:lang w:val="en-US"/>
        </w:rPr>
        <w:t xml:space="preserve"> as there is no transfer </w:t>
      </w:r>
      <w:r w:rsidR="00765636">
        <w:rPr>
          <w:rFonts w:ascii="Arial" w:hAnsi="Arial" w:cs="Arial"/>
          <w:sz w:val="28"/>
          <w:szCs w:val="28"/>
          <w:lang w:val="en-US"/>
        </w:rPr>
        <w:t>of the borrower’s pre-existing proprietary right, however, the most popular remedies that lender</w:t>
      </w:r>
      <w:r w:rsidR="00105846">
        <w:rPr>
          <w:rFonts w:ascii="Arial" w:hAnsi="Arial" w:cs="Arial"/>
          <w:sz w:val="28"/>
          <w:szCs w:val="28"/>
          <w:lang w:val="en-US"/>
        </w:rPr>
        <w:t>s seek is the</w:t>
      </w:r>
      <w:r w:rsidR="00F85393">
        <w:rPr>
          <w:rFonts w:ascii="Arial" w:hAnsi="Arial" w:cs="Arial"/>
          <w:sz w:val="28"/>
          <w:szCs w:val="28"/>
          <w:lang w:val="en-US"/>
        </w:rPr>
        <w:t xml:space="preserve"> power</w:t>
      </w:r>
      <w:r w:rsidR="00105846">
        <w:rPr>
          <w:rFonts w:ascii="Arial" w:hAnsi="Arial" w:cs="Arial"/>
          <w:sz w:val="28"/>
          <w:szCs w:val="28"/>
          <w:lang w:val="en-US"/>
        </w:rPr>
        <w:t xml:space="preserve"> to sell the mortgaged property in order to recover debts </w:t>
      </w:r>
      <w:r w:rsidR="00F85393">
        <w:rPr>
          <w:rFonts w:ascii="Arial" w:hAnsi="Arial" w:cs="Arial"/>
          <w:sz w:val="28"/>
          <w:szCs w:val="28"/>
          <w:lang w:val="en-US"/>
        </w:rPr>
        <w:t xml:space="preserve">(Gooderson, 1961, p. 89). </w:t>
      </w:r>
      <w:r w:rsidR="00745B74">
        <w:rPr>
          <w:rFonts w:ascii="Arial" w:hAnsi="Arial" w:cs="Arial"/>
          <w:sz w:val="28"/>
          <w:szCs w:val="28"/>
          <w:lang w:val="en-US"/>
        </w:rPr>
        <w:t xml:space="preserve">Since Peter’s mortgage was for commercial purposes, a lender (Trinity Bank) in these circumstances may occasionally want to take over the management of the property to collect income it generates to pay off the debt as seen in the case </w:t>
      </w:r>
      <w:r w:rsidR="00B11415">
        <w:rPr>
          <w:rFonts w:ascii="Arial" w:hAnsi="Arial" w:cs="Arial"/>
          <w:i/>
          <w:iCs/>
          <w:sz w:val="28"/>
          <w:szCs w:val="28"/>
          <w:lang w:val="en-US"/>
        </w:rPr>
        <w:t xml:space="preserve">‘Braithwaite v Winwood’ </w:t>
      </w:r>
      <w:r w:rsidR="00B11415">
        <w:rPr>
          <w:rFonts w:ascii="Arial" w:hAnsi="Arial" w:cs="Arial"/>
          <w:sz w:val="28"/>
          <w:szCs w:val="28"/>
          <w:lang w:val="en-US"/>
        </w:rPr>
        <w:t>(1960)</w:t>
      </w:r>
      <w:r w:rsidR="00745B74">
        <w:rPr>
          <w:rFonts w:ascii="Arial" w:hAnsi="Arial" w:cs="Arial"/>
          <w:sz w:val="28"/>
          <w:szCs w:val="28"/>
          <w:lang w:val="en-US"/>
        </w:rPr>
        <w:t xml:space="preserve">. During these </w:t>
      </w:r>
      <w:r w:rsidR="00051C69">
        <w:rPr>
          <w:rFonts w:ascii="Arial" w:hAnsi="Arial" w:cs="Arial"/>
          <w:sz w:val="28"/>
          <w:szCs w:val="28"/>
          <w:lang w:val="en-US"/>
        </w:rPr>
        <w:t xml:space="preserve">situations, as demonstrated in the case of </w:t>
      </w:r>
      <w:r w:rsidR="00051C69">
        <w:rPr>
          <w:rFonts w:ascii="Arial" w:hAnsi="Arial" w:cs="Arial"/>
          <w:i/>
          <w:iCs/>
          <w:sz w:val="28"/>
          <w:szCs w:val="28"/>
          <w:lang w:val="en-US"/>
        </w:rPr>
        <w:t xml:space="preserve">‘Braithwaite v Winwood’ </w:t>
      </w:r>
      <w:r w:rsidR="00051C69">
        <w:rPr>
          <w:rFonts w:ascii="Arial" w:hAnsi="Arial" w:cs="Arial"/>
          <w:sz w:val="28"/>
          <w:szCs w:val="28"/>
          <w:lang w:val="en-US"/>
        </w:rPr>
        <w:t>(1960), the law enables the mortgagee to appoint a receiver who will normally be granted the power to collect the income produced from the property</w:t>
      </w:r>
      <w:r w:rsidR="00767577">
        <w:rPr>
          <w:rFonts w:ascii="Arial" w:hAnsi="Arial" w:cs="Arial"/>
          <w:sz w:val="28"/>
          <w:szCs w:val="28"/>
          <w:lang w:val="en-US"/>
        </w:rPr>
        <w:t xml:space="preserve"> to pay off the debt</w:t>
      </w:r>
      <w:r w:rsidR="00051C69">
        <w:rPr>
          <w:rFonts w:ascii="Arial" w:hAnsi="Arial" w:cs="Arial"/>
          <w:sz w:val="28"/>
          <w:szCs w:val="28"/>
          <w:lang w:val="en-US"/>
        </w:rPr>
        <w:t xml:space="preserve"> along with </w:t>
      </w:r>
      <w:r w:rsidR="00EA6EC5">
        <w:rPr>
          <w:rFonts w:ascii="Arial" w:hAnsi="Arial" w:cs="Arial"/>
          <w:sz w:val="28"/>
          <w:szCs w:val="28"/>
          <w:lang w:val="en-US"/>
        </w:rPr>
        <w:t>management powers like the power of sell</w:t>
      </w:r>
      <w:r w:rsidR="00767577">
        <w:rPr>
          <w:rFonts w:ascii="Arial" w:hAnsi="Arial" w:cs="Arial"/>
          <w:sz w:val="28"/>
          <w:szCs w:val="28"/>
          <w:lang w:val="en-US"/>
        </w:rPr>
        <w:t xml:space="preserve"> whenever a mortgagor defaults</w:t>
      </w:r>
      <w:r w:rsidR="00EA6EC5">
        <w:rPr>
          <w:rFonts w:ascii="Arial" w:hAnsi="Arial" w:cs="Arial"/>
          <w:sz w:val="28"/>
          <w:szCs w:val="28"/>
          <w:lang w:val="en-US"/>
        </w:rPr>
        <w:t xml:space="preserve">. </w:t>
      </w:r>
      <w:r w:rsidR="003B7028">
        <w:rPr>
          <w:rFonts w:ascii="Arial" w:hAnsi="Arial" w:cs="Arial"/>
          <w:sz w:val="28"/>
          <w:szCs w:val="28"/>
          <w:lang w:val="en-US"/>
        </w:rPr>
        <w:t xml:space="preserve">However, the Administration of Justice Act 1970 section 36 regulates the lender’s right to seek possession by providing that whenever a lender seeks possession of a property, </w:t>
      </w:r>
      <w:r w:rsidR="004C76B0">
        <w:rPr>
          <w:rFonts w:ascii="Arial" w:hAnsi="Arial" w:cs="Arial"/>
          <w:sz w:val="28"/>
          <w:szCs w:val="28"/>
          <w:lang w:val="en-US"/>
        </w:rPr>
        <w:t xml:space="preserve">they must ensure that all possible solutions have been explored to help the borrower fulfill their </w:t>
      </w:r>
      <w:r w:rsidR="004C76B0">
        <w:rPr>
          <w:rFonts w:ascii="Arial" w:hAnsi="Arial" w:cs="Arial"/>
          <w:sz w:val="28"/>
          <w:szCs w:val="28"/>
          <w:lang w:val="en-US"/>
        </w:rPr>
        <w:lastRenderedPageBreak/>
        <w:t>debt repayments</w:t>
      </w:r>
      <w:r w:rsidR="00143A57">
        <w:rPr>
          <w:rFonts w:ascii="Arial" w:hAnsi="Arial" w:cs="Arial"/>
          <w:sz w:val="28"/>
          <w:szCs w:val="28"/>
          <w:lang w:val="en-US"/>
        </w:rPr>
        <w:t xml:space="preserve"> upon default</w:t>
      </w:r>
      <w:r w:rsidR="004C76B0">
        <w:rPr>
          <w:rFonts w:ascii="Arial" w:hAnsi="Arial" w:cs="Arial"/>
          <w:sz w:val="28"/>
          <w:szCs w:val="28"/>
          <w:lang w:val="en-US"/>
        </w:rPr>
        <w:t>, which includes methods such as capitalizing the arears (apply interest) as listed in the Mortgage Conduct of Business rules (</w:t>
      </w:r>
      <w:r w:rsidR="001A4C1F">
        <w:rPr>
          <w:rFonts w:ascii="Arial" w:hAnsi="Arial" w:cs="Arial"/>
          <w:sz w:val="28"/>
          <w:szCs w:val="28"/>
          <w:lang w:val="en-US"/>
        </w:rPr>
        <w:t xml:space="preserve">Haley, </w:t>
      </w:r>
      <w:r w:rsidR="00143A57">
        <w:rPr>
          <w:rFonts w:ascii="Arial" w:hAnsi="Arial" w:cs="Arial"/>
          <w:sz w:val="28"/>
          <w:szCs w:val="28"/>
          <w:lang w:val="en-US"/>
        </w:rPr>
        <w:t xml:space="preserve">1997, p.485). Nonetheless, </w:t>
      </w:r>
      <w:r w:rsidR="00DD7B90">
        <w:rPr>
          <w:rFonts w:ascii="Arial" w:hAnsi="Arial" w:cs="Arial"/>
          <w:sz w:val="28"/>
          <w:szCs w:val="28"/>
          <w:lang w:val="en-US"/>
        </w:rPr>
        <w:t>before reaching the stage of legal action, a lender under a legal charge by way of mortgage is immediately entitled to a right to possession regardless of whether the borrower defaults or not</w:t>
      </w:r>
      <w:r w:rsidR="00B15717">
        <w:rPr>
          <w:rFonts w:ascii="Arial" w:hAnsi="Arial" w:cs="Arial"/>
          <w:sz w:val="28"/>
          <w:szCs w:val="28"/>
          <w:lang w:val="en-US"/>
        </w:rPr>
        <w:t xml:space="preserve"> as</w:t>
      </w:r>
      <w:r w:rsidR="00DD7B90">
        <w:rPr>
          <w:rFonts w:ascii="Arial" w:hAnsi="Arial" w:cs="Arial"/>
          <w:sz w:val="28"/>
          <w:szCs w:val="28"/>
          <w:lang w:val="en-US"/>
        </w:rPr>
        <w:t xml:space="preserve"> established in the case of </w:t>
      </w:r>
      <w:r w:rsidR="00DD7B90">
        <w:rPr>
          <w:rFonts w:ascii="Arial" w:hAnsi="Arial" w:cs="Arial"/>
          <w:i/>
          <w:iCs/>
          <w:sz w:val="28"/>
          <w:szCs w:val="28"/>
          <w:lang w:val="en-US"/>
        </w:rPr>
        <w:t xml:space="preserve">‘Four-Maids Ltd v Dudley Marshall (Properties) </w:t>
      </w:r>
      <w:r w:rsidR="00B15717">
        <w:rPr>
          <w:rFonts w:ascii="Arial" w:hAnsi="Arial" w:cs="Arial"/>
          <w:i/>
          <w:iCs/>
          <w:sz w:val="28"/>
          <w:szCs w:val="28"/>
          <w:lang w:val="en-US"/>
        </w:rPr>
        <w:t xml:space="preserve">Ltd’ </w:t>
      </w:r>
      <w:r w:rsidR="00B15717">
        <w:rPr>
          <w:rFonts w:ascii="Arial" w:hAnsi="Arial" w:cs="Arial"/>
          <w:sz w:val="28"/>
          <w:szCs w:val="28"/>
          <w:lang w:val="en-US"/>
        </w:rPr>
        <w:t xml:space="preserve">(1957). </w:t>
      </w:r>
      <w:r w:rsidR="008A2D8A">
        <w:rPr>
          <w:rFonts w:ascii="Arial" w:hAnsi="Arial" w:cs="Arial"/>
          <w:sz w:val="28"/>
          <w:szCs w:val="28"/>
          <w:lang w:val="en-US"/>
        </w:rPr>
        <w:t>Consequently</w:t>
      </w:r>
      <w:r w:rsidR="00B15717">
        <w:rPr>
          <w:rFonts w:ascii="Arial" w:hAnsi="Arial" w:cs="Arial"/>
          <w:sz w:val="28"/>
          <w:szCs w:val="28"/>
          <w:lang w:val="en-US"/>
        </w:rPr>
        <w:t xml:space="preserve">, </w:t>
      </w:r>
      <w:r w:rsidR="008A5955">
        <w:rPr>
          <w:rFonts w:ascii="Arial" w:hAnsi="Arial" w:cs="Arial"/>
          <w:sz w:val="28"/>
          <w:szCs w:val="28"/>
          <w:lang w:val="en-US"/>
        </w:rPr>
        <w:t>Trinity Bank’s right to take possession will not be inter</w:t>
      </w:r>
      <w:r w:rsidR="00E16CA2">
        <w:rPr>
          <w:rFonts w:ascii="Arial" w:hAnsi="Arial" w:cs="Arial"/>
          <w:sz w:val="28"/>
          <w:szCs w:val="28"/>
          <w:lang w:val="en-US"/>
        </w:rPr>
        <w:t>fered</w:t>
      </w:r>
      <w:r w:rsidR="008A5955">
        <w:rPr>
          <w:rFonts w:ascii="Arial" w:hAnsi="Arial" w:cs="Arial"/>
          <w:sz w:val="28"/>
          <w:szCs w:val="28"/>
          <w:lang w:val="en-US"/>
        </w:rPr>
        <w:t xml:space="preserve"> with by equity but it will be controlled in terms of how it will be exercised (</w:t>
      </w:r>
      <w:r w:rsidR="00095C3B">
        <w:rPr>
          <w:rFonts w:ascii="Arial" w:hAnsi="Arial" w:cs="Arial"/>
          <w:sz w:val="28"/>
          <w:szCs w:val="28"/>
          <w:lang w:val="en-US"/>
        </w:rPr>
        <w:t>McFarlane and Hopkins</w:t>
      </w:r>
      <w:r w:rsidR="008A5955">
        <w:rPr>
          <w:rFonts w:ascii="Arial" w:hAnsi="Arial" w:cs="Arial"/>
          <w:sz w:val="28"/>
          <w:szCs w:val="28"/>
          <w:lang w:val="en-US"/>
        </w:rPr>
        <w:t>, 202</w:t>
      </w:r>
      <w:r w:rsidR="00095C3B">
        <w:rPr>
          <w:rFonts w:ascii="Arial" w:hAnsi="Arial" w:cs="Arial"/>
          <w:sz w:val="28"/>
          <w:szCs w:val="28"/>
          <w:lang w:val="en-US"/>
        </w:rPr>
        <w:t>0</w:t>
      </w:r>
      <w:r w:rsidR="008A5955">
        <w:rPr>
          <w:rFonts w:ascii="Arial" w:hAnsi="Arial" w:cs="Arial"/>
          <w:sz w:val="28"/>
          <w:szCs w:val="28"/>
          <w:lang w:val="en-US"/>
        </w:rPr>
        <w:t>, p. 287).</w:t>
      </w:r>
      <w:r w:rsidR="00041D28">
        <w:rPr>
          <w:rFonts w:ascii="Arial" w:hAnsi="Arial" w:cs="Arial"/>
          <w:sz w:val="28"/>
          <w:szCs w:val="28"/>
          <w:lang w:val="en-US"/>
        </w:rPr>
        <w:t xml:space="preserve"> </w:t>
      </w:r>
    </w:p>
    <w:p w14:paraId="62A6191C" w14:textId="56C4671D" w:rsidR="00D05105" w:rsidRDefault="008A2D8A" w:rsidP="004440B9">
      <w:pPr>
        <w:spacing w:line="480" w:lineRule="auto"/>
        <w:rPr>
          <w:rFonts w:ascii="Arial" w:hAnsi="Arial" w:cs="Arial"/>
          <w:sz w:val="28"/>
          <w:szCs w:val="28"/>
          <w:lang w:val="en-US"/>
        </w:rPr>
      </w:pPr>
      <w:r>
        <w:rPr>
          <w:rFonts w:ascii="Arial" w:hAnsi="Arial" w:cs="Arial"/>
          <w:sz w:val="28"/>
          <w:szCs w:val="28"/>
          <w:lang w:val="en-US"/>
        </w:rPr>
        <w:tab/>
        <w:t>The law will not allow Trinity Bank to</w:t>
      </w:r>
      <w:r w:rsidR="008546E4">
        <w:rPr>
          <w:rFonts w:ascii="Arial" w:hAnsi="Arial" w:cs="Arial"/>
          <w:sz w:val="28"/>
          <w:szCs w:val="28"/>
          <w:lang w:val="en-US"/>
        </w:rPr>
        <w:t xml:space="preserve"> claim possession of Blackacre Farm because they want to simply occupy the premises,</w:t>
      </w:r>
      <w:r w:rsidR="006D691A">
        <w:rPr>
          <w:rFonts w:ascii="Arial" w:hAnsi="Arial" w:cs="Arial"/>
          <w:sz w:val="28"/>
          <w:szCs w:val="28"/>
          <w:lang w:val="en-US"/>
        </w:rPr>
        <w:t xml:space="preserve"> the Bank</w:t>
      </w:r>
      <w:r w:rsidR="00BD78C7">
        <w:rPr>
          <w:rFonts w:ascii="Arial" w:hAnsi="Arial" w:cs="Arial"/>
          <w:sz w:val="28"/>
          <w:szCs w:val="28"/>
          <w:lang w:val="en-US"/>
        </w:rPr>
        <w:t xml:space="preserve"> will</w:t>
      </w:r>
      <w:r w:rsidR="006D691A">
        <w:rPr>
          <w:rFonts w:ascii="Arial" w:hAnsi="Arial" w:cs="Arial"/>
          <w:sz w:val="28"/>
          <w:szCs w:val="28"/>
          <w:lang w:val="en-US"/>
        </w:rPr>
        <w:t xml:space="preserve"> strictly</w:t>
      </w:r>
      <w:r w:rsidR="00BD78C7">
        <w:rPr>
          <w:rFonts w:ascii="Arial" w:hAnsi="Arial" w:cs="Arial"/>
          <w:sz w:val="28"/>
          <w:szCs w:val="28"/>
          <w:lang w:val="en-US"/>
        </w:rPr>
        <w:t xml:space="preserve"> be</w:t>
      </w:r>
      <w:r w:rsidR="006D691A">
        <w:rPr>
          <w:rFonts w:ascii="Arial" w:hAnsi="Arial" w:cs="Arial"/>
          <w:sz w:val="28"/>
          <w:szCs w:val="28"/>
          <w:lang w:val="en-US"/>
        </w:rPr>
        <w:t xml:space="preserve"> permitted to seek possession for the benefit of paying their </w:t>
      </w:r>
      <w:r w:rsidR="00125FAA">
        <w:rPr>
          <w:rFonts w:ascii="Arial" w:hAnsi="Arial" w:cs="Arial"/>
          <w:sz w:val="28"/>
          <w:szCs w:val="28"/>
          <w:lang w:val="en-US"/>
        </w:rPr>
        <w:t>loan</w:t>
      </w:r>
      <w:r w:rsidR="006D691A">
        <w:rPr>
          <w:rFonts w:ascii="Arial" w:hAnsi="Arial" w:cs="Arial"/>
          <w:sz w:val="28"/>
          <w:szCs w:val="28"/>
          <w:lang w:val="en-US"/>
        </w:rPr>
        <w:t>;</w:t>
      </w:r>
      <w:r w:rsidR="00ED785D">
        <w:rPr>
          <w:rFonts w:ascii="Arial" w:hAnsi="Arial" w:cs="Arial"/>
          <w:sz w:val="28"/>
          <w:szCs w:val="28"/>
          <w:lang w:val="en-US"/>
        </w:rPr>
        <w:t xml:space="preserve"> Similarly,</w:t>
      </w:r>
      <w:r w:rsidR="006D691A">
        <w:rPr>
          <w:rFonts w:ascii="Arial" w:hAnsi="Arial" w:cs="Arial"/>
          <w:sz w:val="28"/>
          <w:szCs w:val="28"/>
          <w:lang w:val="en-US"/>
        </w:rPr>
        <w:t xml:space="preserve"> </w:t>
      </w:r>
      <w:r w:rsidR="00ED785D">
        <w:rPr>
          <w:rFonts w:ascii="Arial" w:hAnsi="Arial" w:cs="Arial"/>
          <w:sz w:val="28"/>
          <w:szCs w:val="28"/>
          <w:lang w:val="en-US"/>
        </w:rPr>
        <w:t>i</w:t>
      </w:r>
      <w:r w:rsidR="006D691A">
        <w:rPr>
          <w:rFonts w:ascii="Arial" w:hAnsi="Arial" w:cs="Arial"/>
          <w:sz w:val="28"/>
          <w:szCs w:val="28"/>
          <w:lang w:val="en-US"/>
        </w:rPr>
        <w:t xml:space="preserve">n the case of </w:t>
      </w:r>
      <w:r w:rsidR="006D691A">
        <w:rPr>
          <w:rFonts w:ascii="Arial" w:hAnsi="Arial" w:cs="Arial"/>
          <w:i/>
          <w:iCs/>
          <w:sz w:val="28"/>
          <w:szCs w:val="28"/>
          <w:lang w:val="en-US"/>
        </w:rPr>
        <w:t>‘</w:t>
      </w:r>
      <w:proofErr w:type="spellStart"/>
      <w:r w:rsidR="006D691A">
        <w:rPr>
          <w:rFonts w:ascii="Arial" w:hAnsi="Arial" w:cs="Arial"/>
          <w:i/>
          <w:iCs/>
          <w:sz w:val="28"/>
          <w:szCs w:val="28"/>
          <w:lang w:val="en-US"/>
        </w:rPr>
        <w:t>Quennel</w:t>
      </w:r>
      <w:proofErr w:type="spellEnd"/>
      <w:r w:rsidR="00ED785D">
        <w:rPr>
          <w:rFonts w:ascii="Arial" w:hAnsi="Arial" w:cs="Arial"/>
          <w:i/>
          <w:iCs/>
          <w:sz w:val="28"/>
          <w:szCs w:val="28"/>
          <w:lang w:val="en-US"/>
        </w:rPr>
        <w:t xml:space="preserve"> v Maltby’ </w:t>
      </w:r>
      <w:r w:rsidR="00ED785D">
        <w:rPr>
          <w:rFonts w:ascii="Arial" w:hAnsi="Arial" w:cs="Arial"/>
          <w:sz w:val="28"/>
          <w:szCs w:val="28"/>
          <w:lang w:val="en-US"/>
        </w:rPr>
        <w:t>(1979), the court refused to grant</w:t>
      </w:r>
      <w:r w:rsidR="00125FAA">
        <w:rPr>
          <w:rFonts w:ascii="Arial" w:hAnsi="Arial" w:cs="Arial"/>
          <w:sz w:val="28"/>
          <w:szCs w:val="28"/>
          <w:lang w:val="en-US"/>
        </w:rPr>
        <w:t xml:space="preserve"> the</w:t>
      </w:r>
      <w:r w:rsidR="00ED785D">
        <w:rPr>
          <w:rFonts w:ascii="Arial" w:hAnsi="Arial" w:cs="Arial"/>
          <w:sz w:val="28"/>
          <w:szCs w:val="28"/>
          <w:lang w:val="en-US"/>
        </w:rPr>
        <w:t xml:space="preserve"> lender </w:t>
      </w:r>
      <w:r w:rsidR="00125FAA">
        <w:rPr>
          <w:rFonts w:ascii="Arial" w:hAnsi="Arial" w:cs="Arial"/>
          <w:sz w:val="28"/>
          <w:szCs w:val="28"/>
          <w:lang w:val="en-US"/>
        </w:rPr>
        <w:t>the order</w:t>
      </w:r>
      <w:r w:rsidR="00ED785D">
        <w:rPr>
          <w:rFonts w:ascii="Arial" w:hAnsi="Arial" w:cs="Arial"/>
          <w:sz w:val="28"/>
          <w:szCs w:val="28"/>
          <w:lang w:val="en-US"/>
        </w:rPr>
        <w:t xml:space="preserve"> for possession of a</w:t>
      </w:r>
      <w:r w:rsidR="00125FAA">
        <w:rPr>
          <w:rFonts w:ascii="Arial" w:hAnsi="Arial" w:cs="Arial"/>
          <w:sz w:val="28"/>
          <w:szCs w:val="28"/>
          <w:lang w:val="en-US"/>
        </w:rPr>
        <w:t xml:space="preserve"> student house for the reason that the purpose of the claim was to evict the students rather than </w:t>
      </w:r>
      <w:r w:rsidR="00085228">
        <w:rPr>
          <w:rFonts w:ascii="Arial" w:hAnsi="Arial" w:cs="Arial"/>
          <w:sz w:val="28"/>
          <w:szCs w:val="28"/>
          <w:lang w:val="en-US"/>
        </w:rPr>
        <w:t xml:space="preserve">to </w:t>
      </w:r>
      <w:r w:rsidR="00125FAA">
        <w:rPr>
          <w:rFonts w:ascii="Arial" w:hAnsi="Arial" w:cs="Arial"/>
          <w:sz w:val="28"/>
          <w:szCs w:val="28"/>
          <w:lang w:val="en-US"/>
        </w:rPr>
        <w:t>recover their loan.</w:t>
      </w:r>
      <w:r w:rsidR="00085228">
        <w:rPr>
          <w:rFonts w:ascii="Arial" w:hAnsi="Arial" w:cs="Arial"/>
          <w:sz w:val="28"/>
          <w:szCs w:val="28"/>
          <w:lang w:val="en-US"/>
        </w:rPr>
        <w:t xml:space="preserve"> Moreover, Trinity Bank must ensure that Blackacre Farm has the prospects to repay their loan in the future by accessing the cash flow of the property, if not, any claim for possession will be presumed by the court as putting </w:t>
      </w:r>
      <w:r w:rsidR="00BF4B64">
        <w:rPr>
          <w:rFonts w:ascii="Arial" w:hAnsi="Arial" w:cs="Arial"/>
          <w:sz w:val="28"/>
          <w:szCs w:val="28"/>
          <w:lang w:val="en-US"/>
        </w:rPr>
        <w:t xml:space="preserve">pressure on the borrower even though there is little to no evidence that they are capable of fulfilling their loan obligations </w:t>
      </w:r>
      <w:r w:rsidR="009E455A">
        <w:rPr>
          <w:rFonts w:ascii="Arial" w:hAnsi="Arial" w:cs="Arial"/>
          <w:sz w:val="28"/>
          <w:szCs w:val="28"/>
          <w:lang w:val="en-US"/>
        </w:rPr>
        <w:t xml:space="preserve">as </w:t>
      </w:r>
      <w:r w:rsidR="009E455A">
        <w:rPr>
          <w:rFonts w:ascii="Arial" w:hAnsi="Arial" w:cs="Arial"/>
          <w:sz w:val="28"/>
          <w:szCs w:val="28"/>
          <w:lang w:val="en-US"/>
        </w:rPr>
        <w:lastRenderedPageBreak/>
        <w:t xml:space="preserve">expressed in </w:t>
      </w:r>
      <w:r w:rsidR="009E455A">
        <w:rPr>
          <w:rFonts w:ascii="Arial" w:hAnsi="Arial" w:cs="Arial"/>
          <w:i/>
          <w:iCs/>
          <w:sz w:val="28"/>
          <w:szCs w:val="28"/>
          <w:lang w:val="en-US"/>
        </w:rPr>
        <w:t xml:space="preserve">‘Albany Home Loans Ltd v Massey’ </w:t>
      </w:r>
      <w:r w:rsidR="009E455A">
        <w:rPr>
          <w:rFonts w:ascii="Arial" w:hAnsi="Arial" w:cs="Arial"/>
          <w:sz w:val="28"/>
          <w:szCs w:val="28"/>
          <w:lang w:val="en-US"/>
        </w:rPr>
        <w:t>(1997).</w:t>
      </w:r>
      <w:r w:rsidR="005F5790">
        <w:rPr>
          <w:rFonts w:ascii="Arial" w:hAnsi="Arial" w:cs="Arial"/>
          <w:sz w:val="28"/>
          <w:szCs w:val="28"/>
          <w:lang w:val="en-US"/>
        </w:rPr>
        <w:t xml:space="preserve"> A lender has no real obligation to seek order</w:t>
      </w:r>
      <w:r w:rsidR="005A0C15">
        <w:rPr>
          <w:rFonts w:ascii="Arial" w:hAnsi="Arial" w:cs="Arial"/>
          <w:sz w:val="28"/>
          <w:szCs w:val="28"/>
          <w:lang w:val="en-US"/>
        </w:rPr>
        <w:t xml:space="preserve"> from the court prior to a claim for possession of a property</w:t>
      </w:r>
      <w:r w:rsidR="005F5790">
        <w:rPr>
          <w:rFonts w:ascii="Arial" w:hAnsi="Arial" w:cs="Arial"/>
          <w:sz w:val="28"/>
          <w:szCs w:val="28"/>
          <w:lang w:val="en-US"/>
        </w:rPr>
        <w:t>, even though it has been suggested</w:t>
      </w:r>
      <w:r w:rsidR="007F2CC0">
        <w:rPr>
          <w:rFonts w:ascii="Arial" w:hAnsi="Arial" w:cs="Arial"/>
          <w:sz w:val="28"/>
          <w:szCs w:val="28"/>
          <w:lang w:val="en-US"/>
        </w:rPr>
        <w:t xml:space="preserve"> by the Financial Conduct Authority (regulator)</w:t>
      </w:r>
      <w:r w:rsidR="005F5790">
        <w:rPr>
          <w:rFonts w:ascii="Arial" w:hAnsi="Arial" w:cs="Arial"/>
          <w:sz w:val="28"/>
          <w:szCs w:val="28"/>
          <w:lang w:val="en-US"/>
        </w:rPr>
        <w:t xml:space="preserve"> that </w:t>
      </w:r>
      <w:r w:rsidR="007F2CC0">
        <w:rPr>
          <w:rFonts w:ascii="Arial" w:hAnsi="Arial" w:cs="Arial"/>
          <w:sz w:val="28"/>
          <w:szCs w:val="28"/>
          <w:lang w:val="en-US"/>
        </w:rPr>
        <w:t>the court</w:t>
      </w:r>
      <w:r w:rsidR="00E35124">
        <w:rPr>
          <w:rFonts w:ascii="Arial" w:hAnsi="Arial" w:cs="Arial"/>
          <w:sz w:val="28"/>
          <w:szCs w:val="28"/>
          <w:lang w:val="en-US"/>
        </w:rPr>
        <w:t xml:space="preserve"> should</w:t>
      </w:r>
      <w:r w:rsidR="007F2CC0">
        <w:rPr>
          <w:rFonts w:ascii="Arial" w:hAnsi="Arial" w:cs="Arial"/>
          <w:sz w:val="28"/>
          <w:szCs w:val="28"/>
          <w:lang w:val="en-US"/>
        </w:rPr>
        <w:t xml:space="preserve"> ensure that </w:t>
      </w:r>
      <w:r w:rsidR="005F5790">
        <w:rPr>
          <w:rFonts w:ascii="Arial" w:hAnsi="Arial" w:cs="Arial"/>
          <w:sz w:val="28"/>
          <w:szCs w:val="28"/>
          <w:lang w:val="en-US"/>
        </w:rPr>
        <w:t xml:space="preserve">a lender </w:t>
      </w:r>
      <w:r w:rsidR="007F2CC0">
        <w:rPr>
          <w:rFonts w:ascii="Arial" w:hAnsi="Arial" w:cs="Arial"/>
          <w:sz w:val="28"/>
          <w:szCs w:val="28"/>
          <w:lang w:val="en-US"/>
        </w:rPr>
        <w:t>has</w:t>
      </w:r>
      <w:r w:rsidR="005F5790">
        <w:rPr>
          <w:rFonts w:ascii="Arial" w:hAnsi="Arial" w:cs="Arial"/>
          <w:sz w:val="28"/>
          <w:szCs w:val="28"/>
          <w:lang w:val="en-US"/>
        </w:rPr>
        <w:t xml:space="preserve"> considered </w:t>
      </w:r>
      <w:r w:rsidR="005A0C15">
        <w:rPr>
          <w:rFonts w:ascii="Arial" w:hAnsi="Arial" w:cs="Arial"/>
          <w:sz w:val="28"/>
          <w:szCs w:val="28"/>
          <w:lang w:val="en-US"/>
        </w:rPr>
        <w:t xml:space="preserve">forbearance before exercising a right to possess </w:t>
      </w:r>
      <w:r w:rsidR="007F2CC0">
        <w:rPr>
          <w:rFonts w:ascii="Arial" w:hAnsi="Arial" w:cs="Arial"/>
          <w:sz w:val="28"/>
          <w:szCs w:val="28"/>
          <w:lang w:val="en-US"/>
        </w:rPr>
        <w:t xml:space="preserve">as seen the case of </w:t>
      </w:r>
      <w:r w:rsidR="007F2CC0">
        <w:rPr>
          <w:rFonts w:ascii="Arial" w:hAnsi="Arial" w:cs="Arial"/>
          <w:i/>
          <w:iCs/>
          <w:sz w:val="28"/>
          <w:szCs w:val="28"/>
          <w:lang w:val="en-US"/>
        </w:rPr>
        <w:t xml:space="preserve">‘Thakker v Northern Rock plc’ </w:t>
      </w:r>
      <w:r w:rsidR="007F2CC0">
        <w:rPr>
          <w:rFonts w:ascii="Arial" w:hAnsi="Arial" w:cs="Arial"/>
          <w:sz w:val="28"/>
          <w:szCs w:val="28"/>
          <w:lang w:val="en-US"/>
        </w:rPr>
        <w:t>(2014)</w:t>
      </w:r>
      <w:r w:rsidR="005A0C15">
        <w:rPr>
          <w:rFonts w:ascii="Arial" w:hAnsi="Arial" w:cs="Arial"/>
          <w:sz w:val="28"/>
          <w:szCs w:val="28"/>
          <w:lang w:val="en-US"/>
        </w:rPr>
        <w:t xml:space="preserve">. </w:t>
      </w:r>
      <w:r w:rsidR="007F2CC0">
        <w:rPr>
          <w:rFonts w:ascii="Arial" w:hAnsi="Arial" w:cs="Arial"/>
          <w:sz w:val="28"/>
          <w:szCs w:val="28"/>
          <w:lang w:val="en-US"/>
        </w:rPr>
        <w:t>Therefore</w:t>
      </w:r>
      <w:r w:rsidR="00C30E9A">
        <w:rPr>
          <w:rFonts w:ascii="Arial" w:hAnsi="Arial" w:cs="Arial"/>
          <w:sz w:val="28"/>
          <w:szCs w:val="28"/>
          <w:lang w:val="en-US"/>
        </w:rPr>
        <w:t>, Trinity Bank has a duty to ensure that Peter receive</w:t>
      </w:r>
      <w:r w:rsidR="0035508A">
        <w:rPr>
          <w:rFonts w:ascii="Arial" w:hAnsi="Arial" w:cs="Arial"/>
          <w:sz w:val="28"/>
          <w:szCs w:val="28"/>
          <w:lang w:val="en-US"/>
        </w:rPr>
        <w:t>s some</w:t>
      </w:r>
      <w:r w:rsidR="00C30E9A">
        <w:rPr>
          <w:rFonts w:ascii="Arial" w:hAnsi="Arial" w:cs="Arial"/>
          <w:sz w:val="28"/>
          <w:szCs w:val="28"/>
          <w:lang w:val="en-US"/>
        </w:rPr>
        <w:t xml:space="preserve"> opportunities to remedy the default or repay the loan by providing options </w:t>
      </w:r>
      <w:r w:rsidR="00C1511F">
        <w:rPr>
          <w:rFonts w:ascii="Arial" w:hAnsi="Arial" w:cs="Arial"/>
          <w:sz w:val="28"/>
          <w:szCs w:val="28"/>
          <w:lang w:val="en-US"/>
        </w:rPr>
        <w:t>like</w:t>
      </w:r>
      <w:r w:rsidR="00C26169">
        <w:rPr>
          <w:rFonts w:ascii="Arial" w:hAnsi="Arial" w:cs="Arial"/>
          <w:sz w:val="28"/>
          <w:szCs w:val="28"/>
          <w:lang w:val="en-US"/>
        </w:rPr>
        <w:t>:</w:t>
      </w:r>
      <w:r w:rsidR="00C1511F">
        <w:rPr>
          <w:rFonts w:ascii="Arial" w:hAnsi="Arial" w:cs="Arial"/>
          <w:sz w:val="28"/>
          <w:szCs w:val="28"/>
          <w:lang w:val="en-US"/>
        </w:rPr>
        <w:t xml:space="preserve"> </w:t>
      </w:r>
      <w:r w:rsidR="00C30E9A">
        <w:rPr>
          <w:rFonts w:ascii="Arial" w:hAnsi="Arial" w:cs="Arial"/>
          <w:sz w:val="28"/>
          <w:szCs w:val="28"/>
          <w:lang w:val="en-US"/>
        </w:rPr>
        <w:t xml:space="preserve">postponing the execution of the </w:t>
      </w:r>
      <w:r w:rsidR="00C26169">
        <w:rPr>
          <w:rFonts w:ascii="Arial" w:hAnsi="Arial" w:cs="Arial"/>
          <w:sz w:val="28"/>
          <w:szCs w:val="28"/>
          <w:lang w:val="en-US"/>
        </w:rPr>
        <w:t>possession process or withdrawing the order, because</w:t>
      </w:r>
      <w:r w:rsidR="00C1511F">
        <w:rPr>
          <w:rFonts w:ascii="Arial" w:hAnsi="Arial" w:cs="Arial"/>
          <w:sz w:val="28"/>
          <w:szCs w:val="28"/>
          <w:lang w:val="en-US"/>
        </w:rPr>
        <w:t xml:space="preserve"> as </w:t>
      </w:r>
      <w:r w:rsidR="00C1511F">
        <w:rPr>
          <w:rFonts w:ascii="Arial" w:hAnsi="Arial" w:cs="Arial"/>
          <w:sz w:val="28"/>
          <w:szCs w:val="28"/>
          <w:lang w:val="en-US"/>
        </w:rPr>
        <w:t>stated</w:t>
      </w:r>
      <w:r w:rsidR="00C1511F">
        <w:rPr>
          <w:rFonts w:ascii="Arial" w:hAnsi="Arial" w:cs="Arial"/>
          <w:sz w:val="28"/>
          <w:szCs w:val="28"/>
          <w:lang w:val="en-US"/>
        </w:rPr>
        <w:t xml:space="preserve"> under section 36 of the Administration of Justice Act 1970</w:t>
      </w:r>
      <w:r w:rsidR="00C1511F">
        <w:rPr>
          <w:rFonts w:ascii="Arial" w:hAnsi="Arial" w:cs="Arial"/>
          <w:sz w:val="28"/>
          <w:szCs w:val="28"/>
          <w:lang w:val="en-US"/>
        </w:rPr>
        <w:t xml:space="preserve">, </w:t>
      </w:r>
      <w:r w:rsidR="00C26169">
        <w:rPr>
          <w:rFonts w:ascii="Arial" w:hAnsi="Arial" w:cs="Arial"/>
          <w:sz w:val="28"/>
          <w:szCs w:val="28"/>
          <w:lang w:val="en-US"/>
        </w:rPr>
        <w:t xml:space="preserve">the court </w:t>
      </w:r>
      <w:r w:rsidR="00C1511F">
        <w:rPr>
          <w:rFonts w:ascii="Arial" w:hAnsi="Arial" w:cs="Arial"/>
          <w:sz w:val="28"/>
          <w:szCs w:val="28"/>
          <w:lang w:val="en-US"/>
        </w:rPr>
        <w:t xml:space="preserve">have </w:t>
      </w:r>
      <w:r w:rsidR="00C26169">
        <w:rPr>
          <w:rFonts w:ascii="Arial" w:hAnsi="Arial" w:cs="Arial"/>
          <w:sz w:val="28"/>
          <w:szCs w:val="28"/>
          <w:lang w:val="en-US"/>
        </w:rPr>
        <w:t xml:space="preserve">the power to </w:t>
      </w:r>
      <w:r w:rsidR="00C1511F">
        <w:rPr>
          <w:rFonts w:ascii="Arial" w:hAnsi="Arial" w:cs="Arial"/>
          <w:sz w:val="28"/>
          <w:szCs w:val="28"/>
          <w:lang w:val="en-US"/>
        </w:rPr>
        <w:t>take these actions</w:t>
      </w:r>
      <w:r w:rsidR="00C26169">
        <w:rPr>
          <w:rFonts w:ascii="Arial" w:hAnsi="Arial" w:cs="Arial"/>
          <w:sz w:val="28"/>
          <w:szCs w:val="28"/>
          <w:lang w:val="en-US"/>
        </w:rPr>
        <w:t xml:space="preserve"> themselves if they are satisfied that Peter is likely to be able to repay the loan within a given reasonable time</w:t>
      </w:r>
      <w:r w:rsidR="0035508A">
        <w:rPr>
          <w:rFonts w:ascii="Arial" w:hAnsi="Arial" w:cs="Arial"/>
          <w:sz w:val="28"/>
          <w:szCs w:val="28"/>
          <w:lang w:val="en-US"/>
        </w:rPr>
        <w:t xml:space="preserve"> </w:t>
      </w:r>
      <w:r w:rsidR="004B4539">
        <w:rPr>
          <w:rFonts w:ascii="Arial" w:hAnsi="Arial" w:cs="Arial"/>
          <w:sz w:val="28"/>
          <w:szCs w:val="28"/>
          <w:lang w:val="en-US"/>
        </w:rPr>
        <w:t xml:space="preserve">(Wonnacott, </w:t>
      </w:r>
      <w:r w:rsidR="0035508A">
        <w:rPr>
          <w:rFonts w:ascii="Arial" w:hAnsi="Arial" w:cs="Arial"/>
          <w:sz w:val="28"/>
          <w:szCs w:val="28"/>
          <w:lang w:val="en-US"/>
        </w:rPr>
        <w:t>2009, p.</w:t>
      </w:r>
      <w:r w:rsidR="004B4539">
        <w:rPr>
          <w:rFonts w:ascii="Arial" w:hAnsi="Arial" w:cs="Arial"/>
          <w:sz w:val="28"/>
          <w:szCs w:val="28"/>
          <w:lang w:val="en-US"/>
        </w:rPr>
        <w:t xml:space="preserve"> 22). </w:t>
      </w:r>
      <w:r w:rsidR="00C1511F">
        <w:rPr>
          <w:rFonts w:ascii="Arial" w:hAnsi="Arial" w:cs="Arial"/>
          <w:sz w:val="28"/>
          <w:szCs w:val="28"/>
          <w:lang w:val="en-US"/>
        </w:rPr>
        <w:t>Likewise, t</w:t>
      </w:r>
      <w:r w:rsidR="002302DF">
        <w:rPr>
          <w:rFonts w:ascii="Arial" w:hAnsi="Arial" w:cs="Arial"/>
          <w:sz w:val="28"/>
          <w:szCs w:val="28"/>
          <w:lang w:val="en-US"/>
        </w:rPr>
        <w:t>o limit the cost of frequent applications to cancel or postpone legal proceedings, the court developed the requirement of accessing whether a borrower was likely to repay the complete loan owed back to the lender</w:t>
      </w:r>
      <w:r w:rsidR="0035508A">
        <w:rPr>
          <w:rFonts w:ascii="Arial" w:hAnsi="Arial" w:cs="Arial"/>
          <w:sz w:val="28"/>
          <w:szCs w:val="28"/>
          <w:lang w:val="en-US"/>
        </w:rPr>
        <w:t xml:space="preserve"> as established</w:t>
      </w:r>
      <w:r w:rsidR="002302DF">
        <w:rPr>
          <w:rFonts w:ascii="Arial" w:hAnsi="Arial" w:cs="Arial"/>
          <w:sz w:val="28"/>
          <w:szCs w:val="28"/>
          <w:lang w:val="en-US"/>
        </w:rPr>
        <w:t xml:space="preserve"> in the important case of </w:t>
      </w:r>
      <w:r w:rsidR="002302DF">
        <w:rPr>
          <w:rFonts w:ascii="Arial" w:hAnsi="Arial" w:cs="Arial"/>
          <w:i/>
          <w:iCs/>
          <w:sz w:val="28"/>
          <w:szCs w:val="28"/>
          <w:lang w:val="en-US"/>
        </w:rPr>
        <w:t xml:space="preserve">‘Cheltenham &amp; Gloucester </w:t>
      </w:r>
      <w:r w:rsidR="0035508A">
        <w:rPr>
          <w:rFonts w:ascii="Arial" w:hAnsi="Arial" w:cs="Arial"/>
          <w:i/>
          <w:iCs/>
          <w:sz w:val="28"/>
          <w:szCs w:val="28"/>
          <w:lang w:val="en-US"/>
        </w:rPr>
        <w:t xml:space="preserve">BS v Norgan’ </w:t>
      </w:r>
      <w:r w:rsidR="0035508A" w:rsidRPr="0035508A">
        <w:rPr>
          <w:rFonts w:ascii="Arial" w:hAnsi="Arial" w:cs="Arial"/>
          <w:sz w:val="28"/>
          <w:szCs w:val="28"/>
          <w:lang w:val="en-US"/>
        </w:rPr>
        <w:t>(</w:t>
      </w:r>
      <w:r w:rsidR="0035508A">
        <w:rPr>
          <w:rFonts w:ascii="Arial" w:hAnsi="Arial" w:cs="Arial"/>
          <w:sz w:val="28"/>
          <w:szCs w:val="28"/>
          <w:lang w:val="en-US"/>
        </w:rPr>
        <w:t>1996).</w:t>
      </w:r>
      <w:r w:rsidR="00216B5C">
        <w:rPr>
          <w:rFonts w:ascii="Arial" w:hAnsi="Arial" w:cs="Arial"/>
          <w:sz w:val="28"/>
          <w:szCs w:val="28"/>
          <w:lang w:val="en-US"/>
        </w:rPr>
        <w:t xml:space="preserve"> A mortgagee owes a duty to the borrower to take reasonable care in the manner of sale which regards the exploration of a proper market for the property if a </w:t>
      </w:r>
      <w:r w:rsidR="008A351A">
        <w:rPr>
          <w:rFonts w:ascii="Arial" w:hAnsi="Arial" w:cs="Arial"/>
          <w:sz w:val="28"/>
          <w:szCs w:val="28"/>
          <w:lang w:val="en-US"/>
        </w:rPr>
        <w:t>borrower default</w:t>
      </w:r>
      <w:r w:rsidR="00216B5C">
        <w:rPr>
          <w:rFonts w:ascii="Arial" w:hAnsi="Arial" w:cs="Arial"/>
          <w:sz w:val="28"/>
          <w:szCs w:val="28"/>
          <w:lang w:val="en-US"/>
        </w:rPr>
        <w:t xml:space="preserve"> (</w:t>
      </w:r>
      <w:r w:rsidR="00095C3B">
        <w:rPr>
          <w:rFonts w:ascii="Arial" w:hAnsi="Arial" w:cs="Arial"/>
          <w:sz w:val="28"/>
          <w:szCs w:val="28"/>
          <w:lang w:val="en-US"/>
        </w:rPr>
        <w:t>McFarlane and Hopkins</w:t>
      </w:r>
      <w:r w:rsidR="00216B5C">
        <w:rPr>
          <w:rFonts w:ascii="Arial" w:hAnsi="Arial" w:cs="Arial"/>
          <w:sz w:val="28"/>
          <w:szCs w:val="28"/>
          <w:lang w:val="en-US"/>
        </w:rPr>
        <w:t>, 202</w:t>
      </w:r>
      <w:r w:rsidR="00095C3B">
        <w:rPr>
          <w:rFonts w:ascii="Arial" w:hAnsi="Arial" w:cs="Arial"/>
          <w:sz w:val="28"/>
          <w:szCs w:val="28"/>
          <w:lang w:val="en-US"/>
        </w:rPr>
        <w:t>0</w:t>
      </w:r>
      <w:r w:rsidR="00216B5C">
        <w:rPr>
          <w:rFonts w:ascii="Arial" w:hAnsi="Arial" w:cs="Arial"/>
          <w:sz w:val="28"/>
          <w:szCs w:val="28"/>
          <w:lang w:val="en-US"/>
        </w:rPr>
        <w:t>, p.293).</w:t>
      </w:r>
      <w:r w:rsidR="00CE0F13">
        <w:rPr>
          <w:rFonts w:ascii="Arial" w:hAnsi="Arial" w:cs="Arial"/>
          <w:sz w:val="28"/>
          <w:szCs w:val="28"/>
          <w:lang w:val="en-US"/>
        </w:rPr>
        <w:t xml:space="preserve"> </w:t>
      </w:r>
      <w:r w:rsidR="002F0D73">
        <w:rPr>
          <w:rFonts w:ascii="Arial" w:hAnsi="Arial" w:cs="Arial"/>
          <w:sz w:val="28"/>
          <w:szCs w:val="28"/>
          <w:lang w:val="en-US"/>
        </w:rPr>
        <w:t xml:space="preserve">Importantly, Trinity Bank </w:t>
      </w:r>
      <w:r w:rsidR="002F0D73">
        <w:rPr>
          <w:rFonts w:ascii="Arial" w:hAnsi="Arial" w:cs="Arial"/>
          <w:sz w:val="28"/>
          <w:szCs w:val="28"/>
          <w:lang w:val="en-US"/>
        </w:rPr>
        <w:lastRenderedPageBreak/>
        <w:t>has the right to choose a time of sale suitable for their interest in recovering their debt, however, it should be noted that a lender is not obligated to find steps to increase the value of the property</w:t>
      </w:r>
      <w:r w:rsidR="00A67168">
        <w:rPr>
          <w:rFonts w:ascii="Arial" w:hAnsi="Arial" w:cs="Arial"/>
          <w:sz w:val="28"/>
          <w:szCs w:val="28"/>
          <w:lang w:val="en-US"/>
        </w:rPr>
        <w:t xml:space="preserve"> because </w:t>
      </w:r>
      <w:r w:rsidR="0028468C">
        <w:rPr>
          <w:rFonts w:ascii="Arial" w:hAnsi="Arial" w:cs="Arial"/>
          <w:sz w:val="28"/>
          <w:szCs w:val="28"/>
          <w:lang w:val="en-US"/>
        </w:rPr>
        <w:t>it assumes that the lender is more concerned with making a profit rather than recovering their loan</w:t>
      </w:r>
      <w:r w:rsidR="00A67168">
        <w:rPr>
          <w:rFonts w:ascii="Arial" w:hAnsi="Arial" w:cs="Arial"/>
          <w:sz w:val="28"/>
          <w:szCs w:val="28"/>
          <w:lang w:val="en-US"/>
        </w:rPr>
        <w:t xml:space="preserve"> as stated in the case of </w:t>
      </w:r>
      <w:r w:rsidR="00A67168">
        <w:rPr>
          <w:rFonts w:ascii="Arial" w:hAnsi="Arial" w:cs="Arial"/>
          <w:i/>
          <w:iCs/>
          <w:sz w:val="28"/>
          <w:szCs w:val="28"/>
          <w:lang w:val="en-US"/>
        </w:rPr>
        <w:t xml:space="preserve">‘Silver v Properties Ltd v Royal Bank of Scotland’ </w:t>
      </w:r>
      <w:r w:rsidR="00A67168">
        <w:rPr>
          <w:rFonts w:ascii="Arial" w:hAnsi="Arial" w:cs="Arial"/>
          <w:sz w:val="28"/>
          <w:szCs w:val="28"/>
          <w:lang w:val="en-US"/>
        </w:rPr>
        <w:t>(2004)</w:t>
      </w:r>
      <w:r w:rsidR="009A1A63">
        <w:rPr>
          <w:rFonts w:ascii="Arial" w:hAnsi="Arial" w:cs="Arial"/>
          <w:sz w:val="28"/>
          <w:szCs w:val="28"/>
          <w:lang w:val="en-US"/>
        </w:rPr>
        <w:t>.</w:t>
      </w:r>
      <w:r w:rsidR="0028468C">
        <w:rPr>
          <w:rFonts w:ascii="Arial" w:hAnsi="Arial" w:cs="Arial"/>
          <w:sz w:val="28"/>
          <w:szCs w:val="28"/>
          <w:lang w:val="en-US"/>
        </w:rPr>
        <w:t xml:space="preserve"> </w:t>
      </w:r>
    </w:p>
    <w:p w14:paraId="41892BCB" w14:textId="77777777" w:rsidR="00757ABE" w:rsidRDefault="00D05105" w:rsidP="004440B9">
      <w:pPr>
        <w:spacing w:line="480" w:lineRule="auto"/>
        <w:rPr>
          <w:rFonts w:ascii="Arial" w:hAnsi="Arial" w:cs="Arial"/>
          <w:sz w:val="28"/>
          <w:szCs w:val="28"/>
          <w:lang w:val="en-US"/>
        </w:rPr>
      </w:pPr>
      <w:r>
        <w:rPr>
          <w:rFonts w:ascii="Arial" w:hAnsi="Arial" w:cs="Arial"/>
          <w:sz w:val="28"/>
          <w:szCs w:val="28"/>
          <w:lang w:val="en-US"/>
        </w:rPr>
        <w:tab/>
      </w:r>
    </w:p>
    <w:p w14:paraId="3642EC61" w14:textId="77777777" w:rsidR="00757ABE" w:rsidRDefault="00757ABE" w:rsidP="004440B9">
      <w:pPr>
        <w:spacing w:line="480" w:lineRule="auto"/>
        <w:rPr>
          <w:rFonts w:ascii="Arial" w:hAnsi="Arial" w:cs="Arial"/>
          <w:sz w:val="28"/>
          <w:szCs w:val="28"/>
          <w:lang w:val="en-US"/>
        </w:rPr>
      </w:pPr>
    </w:p>
    <w:p w14:paraId="18E9D18E" w14:textId="77777777" w:rsidR="00757ABE" w:rsidRDefault="00757ABE" w:rsidP="004440B9">
      <w:pPr>
        <w:spacing w:line="480" w:lineRule="auto"/>
        <w:rPr>
          <w:rFonts w:ascii="Arial" w:hAnsi="Arial" w:cs="Arial"/>
          <w:sz w:val="28"/>
          <w:szCs w:val="28"/>
          <w:lang w:val="en-US"/>
        </w:rPr>
      </w:pPr>
    </w:p>
    <w:p w14:paraId="22ECB88F" w14:textId="77777777" w:rsidR="00757ABE" w:rsidRDefault="00757ABE" w:rsidP="004440B9">
      <w:pPr>
        <w:spacing w:line="480" w:lineRule="auto"/>
        <w:rPr>
          <w:rFonts w:ascii="Arial" w:hAnsi="Arial" w:cs="Arial"/>
          <w:sz w:val="28"/>
          <w:szCs w:val="28"/>
          <w:lang w:val="en-US"/>
        </w:rPr>
      </w:pPr>
    </w:p>
    <w:p w14:paraId="3CEA9228" w14:textId="274F21E5" w:rsidR="000A513B" w:rsidRDefault="000A513B" w:rsidP="004440B9">
      <w:pPr>
        <w:spacing w:line="480" w:lineRule="auto"/>
        <w:rPr>
          <w:rFonts w:ascii="Arial" w:hAnsi="Arial" w:cs="Arial"/>
          <w:sz w:val="28"/>
          <w:szCs w:val="28"/>
          <w:lang w:val="en-US"/>
        </w:rPr>
      </w:pPr>
    </w:p>
    <w:p w14:paraId="5CE1C0BC" w14:textId="5BABC5E9" w:rsidR="00E00FC5" w:rsidRDefault="00E00FC5" w:rsidP="004440B9">
      <w:pPr>
        <w:spacing w:line="480" w:lineRule="auto"/>
        <w:rPr>
          <w:rFonts w:ascii="Arial" w:hAnsi="Arial" w:cs="Arial"/>
          <w:sz w:val="28"/>
          <w:szCs w:val="28"/>
          <w:lang w:val="en-US"/>
        </w:rPr>
      </w:pPr>
    </w:p>
    <w:p w14:paraId="248F8C9E" w14:textId="32124963" w:rsidR="00E00FC5" w:rsidRDefault="00E00FC5" w:rsidP="004440B9">
      <w:pPr>
        <w:spacing w:line="480" w:lineRule="auto"/>
        <w:rPr>
          <w:rFonts w:ascii="Arial" w:hAnsi="Arial" w:cs="Arial"/>
          <w:sz w:val="28"/>
          <w:szCs w:val="28"/>
          <w:lang w:val="en-US"/>
        </w:rPr>
      </w:pPr>
    </w:p>
    <w:p w14:paraId="02963974" w14:textId="7191F939" w:rsidR="00E00FC5" w:rsidRDefault="00E00FC5" w:rsidP="004440B9">
      <w:pPr>
        <w:spacing w:line="480" w:lineRule="auto"/>
        <w:rPr>
          <w:rFonts w:ascii="Arial" w:hAnsi="Arial" w:cs="Arial"/>
          <w:sz w:val="28"/>
          <w:szCs w:val="28"/>
          <w:lang w:val="en-US"/>
        </w:rPr>
      </w:pPr>
      <w:r>
        <w:rPr>
          <w:rFonts w:ascii="Arial" w:hAnsi="Arial" w:cs="Arial"/>
          <w:sz w:val="28"/>
          <w:szCs w:val="28"/>
          <w:lang w:val="en-US"/>
        </w:rPr>
        <w:t xml:space="preserve">                                                 Bibliography:</w:t>
      </w:r>
    </w:p>
    <w:p w14:paraId="19E4DFC0" w14:textId="0423B034" w:rsidR="00626EA5" w:rsidRDefault="00626EA5" w:rsidP="004440B9">
      <w:pPr>
        <w:spacing w:line="480" w:lineRule="auto"/>
        <w:rPr>
          <w:rFonts w:ascii="Arial" w:hAnsi="Arial" w:cs="Arial"/>
          <w:sz w:val="28"/>
          <w:szCs w:val="28"/>
          <w:lang w:val="en-US"/>
        </w:rPr>
      </w:pPr>
      <w:r>
        <w:rPr>
          <w:rFonts w:ascii="Arial" w:hAnsi="Arial" w:cs="Arial"/>
          <w:sz w:val="28"/>
          <w:szCs w:val="28"/>
          <w:lang w:val="en-US"/>
        </w:rPr>
        <w:t xml:space="preserve">Bevan, C. (2021) ‘The law of fixtures and chattels: recalibration, rationalization and reform’, </w:t>
      </w:r>
      <w:r>
        <w:rPr>
          <w:rFonts w:ascii="Arial" w:hAnsi="Arial" w:cs="Arial"/>
          <w:i/>
          <w:iCs/>
          <w:sz w:val="28"/>
          <w:szCs w:val="28"/>
          <w:lang w:val="en-US"/>
        </w:rPr>
        <w:t xml:space="preserve">Cambridge University Press, </w:t>
      </w:r>
      <w:r>
        <w:rPr>
          <w:rFonts w:ascii="Arial" w:hAnsi="Arial" w:cs="Arial"/>
          <w:sz w:val="28"/>
          <w:szCs w:val="28"/>
          <w:lang w:val="en-US"/>
        </w:rPr>
        <w:t>1 (1), p</w:t>
      </w:r>
      <w:r w:rsidR="00F96D7C">
        <w:rPr>
          <w:rFonts w:ascii="Arial" w:hAnsi="Arial" w:cs="Arial"/>
          <w:sz w:val="28"/>
          <w:szCs w:val="28"/>
          <w:lang w:val="en-US"/>
        </w:rPr>
        <w:t xml:space="preserve">p. 1- 18. Available at: </w:t>
      </w:r>
      <w:hyperlink r:id="rId6" w:history="1">
        <w:r w:rsidR="00F96D7C" w:rsidRPr="00D47072">
          <w:rPr>
            <w:rStyle w:val="Hyperlink"/>
            <w:rFonts w:ascii="Arial" w:hAnsi="Arial" w:cs="Arial"/>
            <w:sz w:val="28"/>
            <w:szCs w:val="28"/>
            <w:lang w:val="en-US"/>
          </w:rPr>
          <w:t>https://www-cambridge-org.ezproxy.uwtsd.ac.uk/core/journals/legal-studies/article/law-of-fixtures-and-chattels-recalibration-rationalisation-and-</w:t>
        </w:r>
        <w:r w:rsidR="00F96D7C" w:rsidRPr="00D47072">
          <w:rPr>
            <w:rStyle w:val="Hyperlink"/>
            <w:rFonts w:ascii="Arial" w:hAnsi="Arial" w:cs="Arial"/>
            <w:sz w:val="28"/>
            <w:szCs w:val="28"/>
            <w:lang w:val="en-US"/>
          </w:rPr>
          <w:lastRenderedPageBreak/>
          <w:t>reform/EE9FDF059B385809C97DC5EC6B8BCD75</w:t>
        </w:r>
      </w:hyperlink>
      <w:r w:rsidR="00F96D7C">
        <w:rPr>
          <w:rFonts w:ascii="Arial" w:hAnsi="Arial" w:cs="Arial"/>
          <w:sz w:val="28"/>
          <w:szCs w:val="28"/>
          <w:lang w:val="en-US"/>
        </w:rPr>
        <w:t xml:space="preserve"> (Accessed: 1 January 2022). </w:t>
      </w:r>
    </w:p>
    <w:p w14:paraId="64A3EEBC" w14:textId="2132387C" w:rsidR="00626EA5" w:rsidRDefault="00626EA5" w:rsidP="004440B9">
      <w:pPr>
        <w:spacing w:line="480" w:lineRule="auto"/>
        <w:rPr>
          <w:rFonts w:ascii="Arial" w:hAnsi="Arial" w:cs="Arial"/>
          <w:sz w:val="28"/>
          <w:szCs w:val="28"/>
          <w:lang w:val="en-US"/>
        </w:rPr>
      </w:pPr>
    </w:p>
    <w:p w14:paraId="569CDC3F" w14:textId="4BCB1CC8" w:rsidR="008B4C88" w:rsidRPr="00714D28" w:rsidRDefault="008B4C88" w:rsidP="004440B9">
      <w:pPr>
        <w:spacing w:line="480" w:lineRule="auto"/>
        <w:rPr>
          <w:rFonts w:ascii="Arial" w:hAnsi="Arial" w:cs="Arial"/>
          <w:sz w:val="28"/>
          <w:szCs w:val="28"/>
          <w:lang w:val="en-US"/>
        </w:rPr>
      </w:pPr>
      <w:proofErr w:type="spellStart"/>
      <w:r>
        <w:rPr>
          <w:rFonts w:ascii="Arial" w:hAnsi="Arial" w:cs="Arial"/>
          <w:sz w:val="28"/>
          <w:szCs w:val="28"/>
          <w:lang w:val="en-US"/>
        </w:rPr>
        <w:t>Carborn</w:t>
      </w:r>
      <w:proofErr w:type="spellEnd"/>
      <w:r>
        <w:rPr>
          <w:rFonts w:ascii="Arial" w:hAnsi="Arial" w:cs="Arial"/>
          <w:sz w:val="28"/>
          <w:szCs w:val="28"/>
          <w:lang w:val="en-US"/>
        </w:rPr>
        <w:t>, A. (2001) ‘Everything- except the sink</w:t>
      </w:r>
      <w:r w:rsidR="00714D28">
        <w:rPr>
          <w:rFonts w:ascii="Arial" w:hAnsi="Arial" w:cs="Arial"/>
          <w:sz w:val="28"/>
          <w:szCs w:val="28"/>
          <w:lang w:val="en-US"/>
        </w:rPr>
        <w:t xml:space="preserve">’, </w:t>
      </w:r>
      <w:r w:rsidR="00714D28">
        <w:rPr>
          <w:rFonts w:ascii="Arial" w:hAnsi="Arial" w:cs="Arial"/>
          <w:i/>
          <w:iCs/>
          <w:sz w:val="28"/>
          <w:szCs w:val="28"/>
          <w:lang w:val="en-US"/>
        </w:rPr>
        <w:t xml:space="preserve">The Guardian </w:t>
      </w:r>
      <w:r w:rsidR="00714D28">
        <w:rPr>
          <w:rFonts w:ascii="Arial" w:hAnsi="Arial" w:cs="Arial"/>
          <w:sz w:val="28"/>
          <w:szCs w:val="28"/>
          <w:lang w:val="en-US"/>
        </w:rPr>
        <w:t>[blog]. 4</w:t>
      </w:r>
      <w:r w:rsidR="00714D28" w:rsidRPr="00714D28">
        <w:rPr>
          <w:rFonts w:ascii="Arial" w:hAnsi="Arial" w:cs="Arial"/>
          <w:sz w:val="28"/>
          <w:szCs w:val="28"/>
          <w:vertAlign w:val="superscript"/>
          <w:lang w:val="en-US"/>
        </w:rPr>
        <w:t>th</w:t>
      </w:r>
      <w:r w:rsidR="00714D28">
        <w:rPr>
          <w:rFonts w:ascii="Arial" w:hAnsi="Arial" w:cs="Arial"/>
          <w:sz w:val="28"/>
          <w:szCs w:val="28"/>
          <w:lang w:val="en-US"/>
        </w:rPr>
        <w:t xml:space="preserve"> March. Available at: </w:t>
      </w:r>
      <w:hyperlink r:id="rId7" w:history="1">
        <w:r w:rsidR="00714D28" w:rsidRPr="00D47072">
          <w:rPr>
            <w:rStyle w:val="Hyperlink"/>
            <w:rFonts w:ascii="Arial" w:hAnsi="Arial" w:cs="Arial"/>
            <w:sz w:val="28"/>
            <w:szCs w:val="28"/>
            <w:lang w:val="en-US"/>
          </w:rPr>
          <w:t>https://www.theguardian.com/money/2001/mar/04/observercashsection.theobserver10</w:t>
        </w:r>
      </w:hyperlink>
      <w:r w:rsidR="00714D28">
        <w:rPr>
          <w:rFonts w:ascii="Arial" w:hAnsi="Arial" w:cs="Arial"/>
          <w:sz w:val="28"/>
          <w:szCs w:val="28"/>
          <w:lang w:val="en-US"/>
        </w:rPr>
        <w:t xml:space="preserve"> (Accessed: 4</w:t>
      </w:r>
      <w:r w:rsidR="00714D28" w:rsidRPr="00714D28">
        <w:rPr>
          <w:rFonts w:ascii="Arial" w:hAnsi="Arial" w:cs="Arial"/>
          <w:sz w:val="28"/>
          <w:szCs w:val="28"/>
          <w:vertAlign w:val="superscript"/>
          <w:lang w:val="en-US"/>
        </w:rPr>
        <w:t>th</w:t>
      </w:r>
      <w:r w:rsidR="00714D28">
        <w:rPr>
          <w:rFonts w:ascii="Arial" w:hAnsi="Arial" w:cs="Arial"/>
          <w:sz w:val="28"/>
          <w:szCs w:val="28"/>
          <w:lang w:val="en-US"/>
        </w:rPr>
        <w:t xml:space="preserve"> January 2022). </w:t>
      </w:r>
    </w:p>
    <w:p w14:paraId="48BF75D1" w14:textId="77777777" w:rsidR="00017F76" w:rsidRDefault="00017F76" w:rsidP="004440B9">
      <w:pPr>
        <w:spacing w:line="480" w:lineRule="auto"/>
        <w:rPr>
          <w:rFonts w:ascii="Arial" w:hAnsi="Arial" w:cs="Arial"/>
          <w:sz w:val="28"/>
          <w:szCs w:val="28"/>
          <w:lang w:val="en-US"/>
        </w:rPr>
      </w:pPr>
    </w:p>
    <w:p w14:paraId="0812F07A" w14:textId="1214C873" w:rsidR="00E00FC5" w:rsidRDefault="00E00FC5" w:rsidP="004440B9">
      <w:pPr>
        <w:spacing w:line="480" w:lineRule="auto"/>
        <w:rPr>
          <w:rFonts w:ascii="Arial" w:hAnsi="Arial" w:cs="Arial"/>
          <w:sz w:val="28"/>
          <w:szCs w:val="28"/>
          <w:lang w:val="en-US"/>
        </w:rPr>
      </w:pPr>
      <w:r>
        <w:rPr>
          <w:rFonts w:ascii="Arial" w:hAnsi="Arial" w:cs="Arial"/>
          <w:sz w:val="28"/>
          <w:szCs w:val="28"/>
          <w:lang w:val="en-US"/>
        </w:rPr>
        <w:t xml:space="preserve">Designing Buildings (2021) </w:t>
      </w:r>
      <w:r>
        <w:rPr>
          <w:rFonts w:ascii="Arial" w:hAnsi="Arial" w:cs="Arial"/>
          <w:i/>
          <w:iCs/>
          <w:sz w:val="28"/>
          <w:szCs w:val="28"/>
          <w:lang w:val="en-US"/>
        </w:rPr>
        <w:t xml:space="preserve">Land Law. </w:t>
      </w:r>
      <w:r>
        <w:rPr>
          <w:rFonts w:ascii="Arial" w:hAnsi="Arial" w:cs="Arial"/>
          <w:sz w:val="28"/>
          <w:szCs w:val="28"/>
          <w:lang w:val="en-US"/>
        </w:rPr>
        <w:t xml:space="preserve">Available at: </w:t>
      </w:r>
      <w:hyperlink r:id="rId8" w:history="1">
        <w:r w:rsidRPr="00D47072">
          <w:rPr>
            <w:rStyle w:val="Hyperlink"/>
            <w:rFonts w:ascii="Arial" w:hAnsi="Arial" w:cs="Arial"/>
            <w:sz w:val="28"/>
            <w:szCs w:val="28"/>
            <w:lang w:val="en-US"/>
          </w:rPr>
          <w:t>https://www.designingbuildings.co.uk/wiki/Land_law</w:t>
        </w:r>
      </w:hyperlink>
      <w:r>
        <w:rPr>
          <w:rFonts w:ascii="Arial" w:hAnsi="Arial" w:cs="Arial"/>
          <w:sz w:val="28"/>
          <w:szCs w:val="28"/>
          <w:lang w:val="en-US"/>
        </w:rPr>
        <w:t xml:space="preserve"> (Accessed: 1 January 2022). </w:t>
      </w:r>
    </w:p>
    <w:p w14:paraId="206F89F2" w14:textId="47DFFAE9" w:rsidR="00A90A41" w:rsidRDefault="00A90A41" w:rsidP="004440B9">
      <w:pPr>
        <w:spacing w:line="480" w:lineRule="auto"/>
        <w:rPr>
          <w:rFonts w:ascii="Arial" w:hAnsi="Arial" w:cs="Arial"/>
          <w:i/>
          <w:iCs/>
          <w:sz w:val="28"/>
          <w:szCs w:val="28"/>
          <w:lang w:val="en-US"/>
        </w:rPr>
      </w:pPr>
    </w:p>
    <w:p w14:paraId="35202623" w14:textId="3A13FED3" w:rsidR="00885DD1" w:rsidRPr="00F41161" w:rsidRDefault="008508CE" w:rsidP="004440B9">
      <w:pPr>
        <w:spacing w:line="480" w:lineRule="auto"/>
        <w:rPr>
          <w:rFonts w:ascii="Arial" w:hAnsi="Arial" w:cs="Arial"/>
          <w:sz w:val="28"/>
          <w:szCs w:val="28"/>
          <w:lang w:val="en-US"/>
        </w:rPr>
      </w:pPr>
      <w:r>
        <w:rPr>
          <w:rFonts w:ascii="Arial" w:hAnsi="Arial" w:cs="Arial"/>
          <w:sz w:val="28"/>
          <w:szCs w:val="28"/>
          <w:lang w:val="en-US"/>
        </w:rPr>
        <w:t xml:space="preserve">Financial Times (2015) </w:t>
      </w:r>
      <w:r>
        <w:rPr>
          <w:rFonts w:ascii="Arial" w:hAnsi="Arial" w:cs="Arial"/>
          <w:i/>
          <w:iCs/>
          <w:sz w:val="28"/>
          <w:szCs w:val="28"/>
          <w:lang w:val="en-US"/>
        </w:rPr>
        <w:t>Property Law: how to decide if an item is a fixture or a fitting</w:t>
      </w:r>
      <w:r w:rsidR="00F41161">
        <w:rPr>
          <w:rFonts w:ascii="Arial" w:hAnsi="Arial" w:cs="Arial"/>
          <w:i/>
          <w:iCs/>
          <w:sz w:val="28"/>
          <w:szCs w:val="28"/>
          <w:lang w:val="en-US"/>
        </w:rPr>
        <w:t xml:space="preserve">. </w:t>
      </w:r>
      <w:r w:rsidR="00F41161">
        <w:rPr>
          <w:rFonts w:ascii="Arial" w:hAnsi="Arial" w:cs="Arial"/>
          <w:sz w:val="28"/>
          <w:szCs w:val="28"/>
          <w:lang w:val="en-US"/>
        </w:rPr>
        <w:t xml:space="preserve">Available at: </w:t>
      </w:r>
      <w:hyperlink r:id="rId9" w:history="1">
        <w:r w:rsidR="00F41161" w:rsidRPr="00D47072">
          <w:rPr>
            <w:rStyle w:val="Hyperlink"/>
            <w:rFonts w:ascii="Arial" w:hAnsi="Arial" w:cs="Arial"/>
            <w:sz w:val="28"/>
            <w:szCs w:val="28"/>
            <w:lang w:val="en-US"/>
          </w:rPr>
          <w:t>https://www.ft.com/content/07a9af5a-4104-11e5-9abe-5b335da3a90e</w:t>
        </w:r>
      </w:hyperlink>
      <w:r w:rsidR="00F41161">
        <w:rPr>
          <w:rFonts w:ascii="Arial" w:hAnsi="Arial" w:cs="Arial"/>
          <w:sz w:val="28"/>
          <w:szCs w:val="28"/>
          <w:lang w:val="en-US"/>
        </w:rPr>
        <w:t xml:space="preserve"> (Accessed: 2 January 2022). </w:t>
      </w:r>
    </w:p>
    <w:p w14:paraId="6860777F" w14:textId="1B4F315C" w:rsidR="00885DD1" w:rsidRDefault="00885DD1" w:rsidP="004440B9">
      <w:pPr>
        <w:spacing w:line="480" w:lineRule="auto"/>
        <w:rPr>
          <w:rFonts w:ascii="Arial" w:hAnsi="Arial" w:cs="Arial"/>
          <w:sz w:val="28"/>
          <w:szCs w:val="28"/>
          <w:lang w:val="en-US"/>
        </w:rPr>
      </w:pPr>
    </w:p>
    <w:p w14:paraId="48255450" w14:textId="5605265D" w:rsidR="00017F76" w:rsidRPr="003D5D65" w:rsidRDefault="00017F76" w:rsidP="004440B9">
      <w:pPr>
        <w:spacing w:line="480" w:lineRule="auto"/>
        <w:rPr>
          <w:rFonts w:ascii="Arial" w:hAnsi="Arial" w:cs="Arial"/>
          <w:sz w:val="28"/>
          <w:szCs w:val="28"/>
          <w:lang w:val="en-US"/>
        </w:rPr>
      </w:pPr>
      <w:r>
        <w:rPr>
          <w:rFonts w:ascii="Arial" w:hAnsi="Arial" w:cs="Arial"/>
          <w:sz w:val="28"/>
          <w:szCs w:val="28"/>
          <w:lang w:val="en-US"/>
        </w:rPr>
        <w:t xml:space="preserve">Gooderson, R.N. (1961) ‘Mortgage—Power of Sale—Possession’, </w:t>
      </w:r>
      <w:r>
        <w:rPr>
          <w:rFonts w:ascii="Arial" w:hAnsi="Arial" w:cs="Arial"/>
          <w:i/>
          <w:iCs/>
          <w:sz w:val="28"/>
          <w:szCs w:val="28"/>
          <w:lang w:val="en-US"/>
        </w:rPr>
        <w:t xml:space="preserve">The Cambridge Law Journal, </w:t>
      </w:r>
      <w:r w:rsidR="003D5D65">
        <w:rPr>
          <w:rFonts w:ascii="Arial" w:hAnsi="Arial" w:cs="Arial"/>
          <w:sz w:val="28"/>
          <w:szCs w:val="28"/>
          <w:lang w:val="en-US"/>
        </w:rPr>
        <w:t xml:space="preserve">19(1), pp. 39-41. Available at: </w:t>
      </w:r>
      <w:hyperlink r:id="rId10" w:history="1">
        <w:r w:rsidR="003D5D65" w:rsidRPr="00D47072">
          <w:rPr>
            <w:rStyle w:val="Hyperlink"/>
            <w:rFonts w:ascii="Arial" w:hAnsi="Arial" w:cs="Arial"/>
            <w:sz w:val="28"/>
            <w:szCs w:val="28"/>
            <w:lang w:val="en-US"/>
          </w:rPr>
          <w:t>https://www-cambridge-org.ezproxy.uwtsd.ac.uk/core/journals/cambridge-law-journal/article/mortgagepower-of-</w:t>
        </w:r>
        <w:r w:rsidR="003D5D65" w:rsidRPr="00D47072">
          <w:rPr>
            <w:rStyle w:val="Hyperlink"/>
            <w:rFonts w:ascii="Arial" w:hAnsi="Arial" w:cs="Arial"/>
            <w:sz w:val="28"/>
            <w:szCs w:val="28"/>
            <w:lang w:val="en-US"/>
          </w:rPr>
          <w:lastRenderedPageBreak/>
          <w:t>salepossession/132C700BD6F0C35ECB3305F09F76697D#</w:t>
        </w:r>
      </w:hyperlink>
      <w:r w:rsidR="003D5D65">
        <w:rPr>
          <w:rFonts w:ascii="Arial" w:hAnsi="Arial" w:cs="Arial"/>
          <w:sz w:val="28"/>
          <w:szCs w:val="28"/>
          <w:lang w:val="en-US"/>
        </w:rPr>
        <w:t xml:space="preserve"> (Accessed: 29 December 2021).</w:t>
      </w:r>
    </w:p>
    <w:p w14:paraId="4CB01CD7" w14:textId="2284FE04" w:rsidR="00017F76" w:rsidRDefault="00017F76" w:rsidP="004440B9">
      <w:pPr>
        <w:spacing w:line="480" w:lineRule="auto"/>
        <w:rPr>
          <w:rFonts w:ascii="Arial" w:hAnsi="Arial" w:cs="Arial"/>
          <w:sz w:val="28"/>
          <w:szCs w:val="28"/>
          <w:lang w:val="en-US"/>
        </w:rPr>
      </w:pPr>
    </w:p>
    <w:p w14:paraId="631191A7" w14:textId="0FFFBA4B" w:rsidR="003D5D65" w:rsidRDefault="00AD58A3" w:rsidP="004440B9">
      <w:pPr>
        <w:spacing w:line="480" w:lineRule="auto"/>
        <w:rPr>
          <w:rFonts w:ascii="Arial" w:hAnsi="Arial" w:cs="Arial"/>
          <w:sz w:val="28"/>
          <w:szCs w:val="28"/>
          <w:lang w:val="en-US"/>
        </w:rPr>
      </w:pPr>
      <w:r>
        <w:rPr>
          <w:rFonts w:ascii="Arial" w:hAnsi="Arial" w:cs="Arial"/>
          <w:sz w:val="28"/>
          <w:szCs w:val="28"/>
          <w:lang w:val="en-US"/>
        </w:rPr>
        <w:t xml:space="preserve">Haley, M. (1997) ‘Mortgage default: possession, relief and judicial discretion’, Cambridge University Press, 17(3), pp. 483-497. Available at: </w:t>
      </w:r>
      <w:hyperlink r:id="rId11" w:history="1">
        <w:r w:rsidRPr="00D47072">
          <w:rPr>
            <w:rStyle w:val="Hyperlink"/>
            <w:rFonts w:ascii="Arial" w:hAnsi="Arial" w:cs="Arial"/>
            <w:sz w:val="28"/>
            <w:szCs w:val="28"/>
            <w:lang w:val="en-US"/>
          </w:rPr>
          <w:t>https://www.cambridge.org/core/journals/legal-studies/article/abs/mortgage-default-possession-relief-and-judicial-discretion/7347ED54E1F9DB8D61489B699B30A7D0</w:t>
        </w:r>
      </w:hyperlink>
      <w:r>
        <w:rPr>
          <w:rFonts w:ascii="Arial" w:hAnsi="Arial" w:cs="Arial"/>
          <w:sz w:val="28"/>
          <w:szCs w:val="28"/>
          <w:lang w:val="en-US"/>
        </w:rPr>
        <w:t xml:space="preserve"> (Accessed: 29 December 2021).</w:t>
      </w:r>
    </w:p>
    <w:p w14:paraId="609A7708" w14:textId="77777777" w:rsidR="00AD58A3" w:rsidRPr="00AD58A3" w:rsidRDefault="00AD58A3" w:rsidP="004440B9">
      <w:pPr>
        <w:spacing w:line="480" w:lineRule="auto"/>
        <w:rPr>
          <w:rFonts w:ascii="Arial" w:hAnsi="Arial" w:cs="Arial"/>
          <w:i/>
          <w:iCs/>
          <w:sz w:val="28"/>
          <w:szCs w:val="28"/>
          <w:lang w:val="en-US"/>
        </w:rPr>
      </w:pPr>
    </w:p>
    <w:p w14:paraId="0AFF979A" w14:textId="77777777" w:rsidR="003D5D65" w:rsidRDefault="003D5D65" w:rsidP="004440B9">
      <w:pPr>
        <w:spacing w:line="480" w:lineRule="auto"/>
        <w:rPr>
          <w:rFonts w:ascii="Arial" w:hAnsi="Arial" w:cs="Arial"/>
          <w:sz w:val="28"/>
          <w:szCs w:val="28"/>
          <w:lang w:val="en-US"/>
        </w:rPr>
      </w:pPr>
    </w:p>
    <w:p w14:paraId="550D33FF" w14:textId="35478EF4" w:rsidR="00F968E1" w:rsidRDefault="00F968E1" w:rsidP="004440B9">
      <w:pPr>
        <w:spacing w:line="480" w:lineRule="auto"/>
        <w:rPr>
          <w:rFonts w:ascii="Arial" w:hAnsi="Arial" w:cs="Arial"/>
          <w:sz w:val="28"/>
          <w:szCs w:val="28"/>
          <w:lang w:val="en-US"/>
        </w:rPr>
      </w:pPr>
      <w:r>
        <w:rPr>
          <w:rFonts w:ascii="Arial" w:hAnsi="Arial" w:cs="Arial"/>
          <w:sz w:val="28"/>
          <w:szCs w:val="28"/>
          <w:lang w:val="en-US"/>
        </w:rPr>
        <w:t xml:space="preserve">Hardwood, S. (2019) </w:t>
      </w:r>
      <w:r w:rsidRPr="00F968E1">
        <w:rPr>
          <w:rFonts w:ascii="Arial" w:hAnsi="Arial" w:cs="Arial"/>
          <w:i/>
          <w:iCs/>
          <w:sz w:val="28"/>
          <w:szCs w:val="28"/>
          <w:lang w:val="en-US"/>
        </w:rPr>
        <w:t>How reasonable do lenders need to be?</w:t>
      </w:r>
      <w:r>
        <w:rPr>
          <w:rFonts w:ascii="Arial" w:hAnsi="Arial" w:cs="Arial"/>
          <w:i/>
          <w:iCs/>
          <w:sz w:val="28"/>
          <w:szCs w:val="28"/>
          <w:lang w:val="en-US"/>
        </w:rPr>
        <w:t xml:space="preserve"> </w:t>
      </w:r>
      <w:r w:rsidR="003929D0">
        <w:rPr>
          <w:rFonts w:ascii="Arial" w:hAnsi="Arial" w:cs="Arial"/>
          <w:sz w:val="28"/>
          <w:szCs w:val="28"/>
          <w:lang w:val="en-US"/>
        </w:rPr>
        <w:t>Available at:</w:t>
      </w:r>
      <w:r w:rsidR="003929D0" w:rsidRPr="003929D0">
        <w:t xml:space="preserve"> </w:t>
      </w:r>
      <w:hyperlink r:id="rId12" w:history="1">
        <w:r w:rsidR="003929D0" w:rsidRPr="00D47072">
          <w:rPr>
            <w:rStyle w:val="Hyperlink"/>
            <w:rFonts w:ascii="Arial" w:hAnsi="Arial" w:cs="Arial"/>
            <w:sz w:val="28"/>
            <w:szCs w:val="28"/>
            <w:lang w:val="en-US"/>
          </w:rPr>
          <w:t>https://www.shlegal.com/news/how-reasonable-do-lenders-need-to-be</w:t>
        </w:r>
      </w:hyperlink>
      <w:r w:rsidR="003929D0">
        <w:rPr>
          <w:rFonts w:ascii="Arial" w:hAnsi="Arial" w:cs="Arial"/>
          <w:sz w:val="28"/>
          <w:szCs w:val="28"/>
          <w:lang w:val="en-US"/>
        </w:rPr>
        <w:t xml:space="preserve"> (Accessed: 28 December 2021). </w:t>
      </w:r>
      <w:r>
        <w:rPr>
          <w:rFonts w:ascii="Arial" w:hAnsi="Arial" w:cs="Arial"/>
          <w:sz w:val="28"/>
          <w:szCs w:val="28"/>
          <w:lang w:val="en-US"/>
        </w:rPr>
        <w:t xml:space="preserve"> </w:t>
      </w:r>
    </w:p>
    <w:p w14:paraId="27D009CD" w14:textId="77777777" w:rsidR="00F968E1" w:rsidRDefault="00F968E1" w:rsidP="004440B9">
      <w:pPr>
        <w:spacing w:line="480" w:lineRule="auto"/>
        <w:rPr>
          <w:rFonts w:ascii="Arial" w:hAnsi="Arial" w:cs="Arial"/>
          <w:sz w:val="28"/>
          <w:szCs w:val="28"/>
          <w:lang w:val="en-US"/>
        </w:rPr>
      </w:pPr>
    </w:p>
    <w:p w14:paraId="1D0CBDFC" w14:textId="46C17AFD" w:rsidR="00885DD1" w:rsidRPr="00885DD1" w:rsidRDefault="00885DD1" w:rsidP="004440B9">
      <w:pPr>
        <w:spacing w:line="480" w:lineRule="auto"/>
        <w:rPr>
          <w:rFonts w:ascii="Arial" w:hAnsi="Arial" w:cs="Arial"/>
          <w:sz w:val="28"/>
          <w:szCs w:val="28"/>
          <w:lang w:val="en-US"/>
        </w:rPr>
      </w:pPr>
      <w:r>
        <w:rPr>
          <w:rFonts w:ascii="Arial" w:hAnsi="Arial" w:cs="Arial"/>
          <w:sz w:val="28"/>
          <w:szCs w:val="28"/>
          <w:lang w:val="en-US"/>
        </w:rPr>
        <w:t xml:space="preserve">Hasa (2016) ‘Differences between Fixtures and Fittings’, </w:t>
      </w:r>
      <w:r>
        <w:rPr>
          <w:rFonts w:ascii="Arial" w:hAnsi="Arial" w:cs="Arial"/>
          <w:i/>
          <w:iCs/>
          <w:sz w:val="28"/>
          <w:szCs w:val="28"/>
          <w:lang w:val="en-US"/>
        </w:rPr>
        <w:t xml:space="preserve">Pediaa </w:t>
      </w:r>
      <w:r>
        <w:rPr>
          <w:rFonts w:ascii="Arial" w:hAnsi="Arial" w:cs="Arial"/>
          <w:sz w:val="28"/>
          <w:szCs w:val="28"/>
          <w:lang w:val="en-US"/>
        </w:rPr>
        <w:t xml:space="preserve">[blog]. 3 September. Available at: </w:t>
      </w:r>
      <w:hyperlink r:id="rId13" w:history="1">
        <w:r w:rsidRPr="00D47072">
          <w:rPr>
            <w:rStyle w:val="Hyperlink"/>
            <w:rFonts w:ascii="Arial" w:hAnsi="Arial" w:cs="Arial"/>
            <w:sz w:val="28"/>
            <w:szCs w:val="28"/>
            <w:lang w:val="en-US"/>
          </w:rPr>
          <w:t>https://pediaa.com/difference-between-fixtures-and-fittings/</w:t>
        </w:r>
      </w:hyperlink>
      <w:r>
        <w:rPr>
          <w:rFonts w:ascii="Arial" w:hAnsi="Arial" w:cs="Arial"/>
          <w:sz w:val="28"/>
          <w:szCs w:val="28"/>
          <w:lang w:val="en-US"/>
        </w:rPr>
        <w:t xml:space="preserve"> (Accessed: 1 January 2022).</w:t>
      </w:r>
    </w:p>
    <w:p w14:paraId="0D318AE2" w14:textId="55D38CB7" w:rsidR="00885DD1" w:rsidRDefault="00885DD1" w:rsidP="004440B9">
      <w:pPr>
        <w:spacing w:line="480" w:lineRule="auto"/>
        <w:rPr>
          <w:rFonts w:ascii="Arial" w:hAnsi="Arial" w:cs="Arial"/>
          <w:i/>
          <w:iCs/>
          <w:sz w:val="28"/>
          <w:szCs w:val="28"/>
          <w:lang w:val="en-US"/>
        </w:rPr>
      </w:pPr>
    </w:p>
    <w:p w14:paraId="2FCA3833" w14:textId="69CEEC81" w:rsidR="003929D0" w:rsidRPr="003929D0" w:rsidRDefault="003929D0" w:rsidP="004440B9">
      <w:pPr>
        <w:spacing w:line="480" w:lineRule="auto"/>
        <w:rPr>
          <w:rFonts w:ascii="Arial" w:hAnsi="Arial" w:cs="Arial"/>
          <w:sz w:val="28"/>
          <w:szCs w:val="28"/>
          <w:lang w:val="en-US"/>
        </w:rPr>
      </w:pPr>
      <w:r>
        <w:rPr>
          <w:rFonts w:ascii="Arial" w:hAnsi="Arial" w:cs="Arial"/>
          <w:sz w:val="28"/>
          <w:szCs w:val="28"/>
          <w:lang w:val="en-US"/>
        </w:rPr>
        <w:lastRenderedPageBreak/>
        <w:t xml:space="preserve">Harvard Law Review (1934) ‘Mortgages. Assumptions of Mortgage. Effect of Release of Grantee by Mortgagor’, </w:t>
      </w:r>
      <w:r>
        <w:rPr>
          <w:rFonts w:ascii="Arial" w:hAnsi="Arial" w:cs="Arial"/>
          <w:i/>
          <w:iCs/>
          <w:sz w:val="28"/>
          <w:szCs w:val="28"/>
          <w:lang w:val="en-US"/>
        </w:rPr>
        <w:t>Harvard Law Review,</w:t>
      </w:r>
      <w:r>
        <w:rPr>
          <w:rFonts w:ascii="Arial" w:hAnsi="Arial" w:cs="Arial"/>
          <w:sz w:val="28"/>
          <w:szCs w:val="28"/>
          <w:lang w:val="en-US"/>
        </w:rPr>
        <w:t xml:space="preserve"> 47(6), pp. 1065-1066. Available at: </w:t>
      </w:r>
      <w:hyperlink r:id="rId14" w:history="1">
        <w:r w:rsidRPr="00D47072">
          <w:rPr>
            <w:rStyle w:val="Hyperlink"/>
            <w:rFonts w:ascii="Arial" w:hAnsi="Arial" w:cs="Arial"/>
            <w:sz w:val="28"/>
            <w:szCs w:val="28"/>
            <w:lang w:val="en-US"/>
          </w:rPr>
          <w:t>https://www-jstor-org.ezproxy.uwtsd.ac.uk/stable/1331595?Search=yes&amp;resultItemClick=true&amp;searchText=mortgage+mortgagor&amp;searchUri=%2Facti&amp;seq=1#metadata_info_tab_contents</w:t>
        </w:r>
      </w:hyperlink>
      <w:r>
        <w:rPr>
          <w:rFonts w:ascii="Arial" w:hAnsi="Arial" w:cs="Arial"/>
          <w:sz w:val="28"/>
          <w:szCs w:val="28"/>
          <w:lang w:val="en-US"/>
        </w:rPr>
        <w:t xml:space="preserve"> (Accessed: 28 December 2021). </w:t>
      </w:r>
    </w:p>
    <w:p w14:paraId="6DD314D8" w14:textId="05DB6FF9" w:rsidR="003929D0" w:rsidRDefault="003929D0" w:rsidP="004440B9">
      <w:pPr>
        <w:spacing w:line="480" w:lineRule="auto"/>
        <w:rPr>
          <w:rFonts w:ascii="Arial" w:hAnsi="Arial" w:cs="Arial"/>
          <w:i/>
          <w:iCs/>
          <w:sz w:val="28"/>
          <w:szCs w:val="28"/>
          <w:lang w:val="en-US"/>
        </w:rPr>
      </w:pPr>
    </w:p>
    <w:p w14:paraId="4E635A87" w14:textId="77777777" w:rsidR="00FC4609" w:rsidRDefault="00FC4609" w:rsidP="004440B9">
      <w:pPr>
        <w:spacing w:line="480" w:lineRule="auto"/>
        <w:rPr>
          <w:rFonts w:ascii="Arial" w:hAnsi="Arial" w:cs="Arial"/>
          <w:i/>
          <w:iCs/>
          <w:sz w:val="28"/>
          <w:szCs w:val="28"/>
          <w:lang w:val="en-US"/>
        </w:rPr>
      </w:pPr>
    </w:p>
    <w:p w14:paraId="6E5E4CB9" w14:textId="079811C8" w:rsidR="00F96D7C" w:rsidRDefault="00F96D7C" w:rsidP="004440B9">
      <w:pPr>
        <w:spacing w:line="480" w:lineRule="auto"/>
        <w:rPr>
          <w:rFonts w:ascii="Arial" w:hAnsi="Arial" w:cs="Arial"/>
          <w:sz w:val="28"/>
          <w:szCs w:val="28"/>
          <w:lang w:val="en-US"/>
        </w:rPr>
      </w:pPr>
      <w:r>
        <w:rPr>
          <w:rFonts w:ascii="Arial" w:hAnsi="Arial" w:cs="Arial"/>
          <w:sz w:val="28"/>
          <w:szCs w:val="28"/>
          <w:lang w:val="en-US"/>
        </w:rPr>
        <w:t xml:space="preserve">Kara, D. (2021) ‘Fittings and Fixtures – Filling a Form?’, </w:t>
      </w:r>
      <w:r>
        <w:rPr>
          <w:rFonts w:ascii="Arial" w:hAnsi="Arial" w:cs="Arial"/>
          <w:i/>
          <w:iCs/>
          <w:sz w:val="28"/>
          <w:szCs w:val="28"/>
          <w:lang w:val="en-US"/>
        </w:rPr>
        <w:t xml:space="preserve">Maggie’s Oven Services </w:t>
      </w:r>
      <w:r>
        <w:rPr>
          <w:rFonts w:ascii="Arial" w:hAnsi="Arial" w:cs="Arial"/>
          <w:sz w:val="28"/>
          <w:szCs w:val="28"/>
          <w:lang w:val="en-US"/>
        </w:rPr>
        <w:t>[blog]. 27</w:t>
      </w:r>
      <w:r w:rsidRPr="00F96D7C">
        <w:rPr>
          <w:rFonts w:ascii="Arial" w:hAnsi="Arial" w:cs="Arial"/>
          <w:sz w:val="28"/>
          <w:szCs w:val="28"/>
          <w:vertAlign w:val="superscript"/>
          <w:lang w:val="en-US"/>
        </w:rPr>
        <w:t>th</w:t>
      </w:r>
      <w:r>
        <w:rPr>
          <w:rFonts w:ascii="Arial" w:hAnsi="Arial" w:cs="Arial"/>
          <w:sz w:val="28"/>
          <w:szCs w:val="28"/>
          <w:lang w:val="en-US"/>
        </w:rPr>
        <w:t xml:space="preserve"> September. Available at: </w:t>
      </w:r>
      <w:hyperlink r:id="rId15" w:history="1">
        <w:r w:rsidRPr="00D47072">
          <w:rPr>
            <w:rStyle w:val="Hyperlink"/>
            <w:rFonts w:ascii="Arial" w:hAnsi="Arial" w:cs="Arial"/>
            <w:sz w:val="28"/>
            <w:szCs w:val="28"/>
            <w:lang w:val="en-US"/>
          </w:rPr>
          <w:t>https://www.maggiesovenservices.co.uk/blog/fixtures-or-fittings-property-contents-form-explained/</w:t>
        </w:r>
      </w:hyperlink>
      <w:r>
        <w:rPr>
          <w:rFonts w:ascii="Arial" w:hAnsi="Arial" w:cs="Arial"/>
          <w:sz w:val="28"/>
          <w:szCs w:val="28"/>
          <w:lang w:val="en-US"/>
        </w:rPr>
        <w:t xml:space="preserve"> </w:t>
      </w:r>
      <w:r w:rsidR="00885DD1">
        <w:rPr>
          <w:rFonts w:ascii="Arial" w:hAnsi="Arial" w:cs="Arial"/>
          <w:sz w:val="28"/>
          <w:szCs w:val="28"/>
          <w:lang w:val="en-US"/>
        </w:rPr>
        <w:t xml:space="preserve">(Accessed: 1 January 2022). </w:t>
      </w:r>
    </w:p>
    <w:p w14:paraId="6FEEDF46" w14:textId="5494DA4A" w:rsidR="0014330B" w:rsidRDefault="0014330B" w:rsidP="004440B9">
      <w:pPr>
        <w:spacing w:line="480" w:lineRule="auto"/>
        <w:rPr>
          <w:rFonts w:ascii="Arial" w:hAnsi="Arial" w:cs="Arial"/>
          <w:sz w:val="28"/>
          <w:szCs w:val="28"/>
          <w:lang w:val="en-US"/>
        </w:rPr>
      </w:pPr>
    </w:p>
    <w:p w14:paraId="6D871C47" w14:textId="77777777" w:rsidR="00FC4609" w:rsidRDefault="00FC4609" w:rsidP="004440B9">
      <w:pPr>
        <w:spacing w:line="480" w:lineRule="auto"/>
        <w:rPr>
          <w:rFonts w:ascii="Arial" w:hAnsi="Arial" w:cs="Arial"/>
          <w:sz w:val="28"/>
          <w:szCs w:val="28"/>
          <w:lang w:val="en-US"/>
        </w:rPr>
      </w:pPr>
    </w:p>
    <w:p w14:paraId="1C761CE5" w14:textId="0053EFAE" w:rsidR="00A46A6D" w:rsidRPr="00095C3B" w:rsidRDefault="00A46A6D" w:rsidP="004440B9">
      <w:pPr>
        <w:spacing w:line="480" w:lineRule="auto"/>
        <w:rPr>
          <w:rFonts w:ascii="Arial" w:hAnsi="Arial" w:cs="Arial"/>
          <w:sz w:val="28"/>
          <w:szCs w:val="28"/>
          <w:lang w:val="en-US"/>
        </w:rPr>
      </w:pPr>
      <w:r>
        <w:rPr>
          <w:rFonts w:ascii="Arial" w:hAnsi="Arial" w:cs="Arial"/>
          <w:sz w:val="28"/>
          <w:szCs w:val="28"/>
          <w:lang w:val="en-US"/>
        </w:rPr>
        <w:t xml:space="preserve">McAuslan, P. (2021) </w:t>
      </w:r>
      <w:r w:rsidRPr="00A46A6D">
        <w:rPr>
          <w:rFonts w:ascii="Arial" w:hAnsi="Arial" w:cs="Arial"/>
          <w:i/>
          <w:iCs/>
          <w:sz w:val="28"/>
          <w:szCs w:val="28"/>
          <w:lang w:val="en-US"/>
        </w:rPr>
        <w:t>Whose mortgage is it anyway? Producers, consumers and the law in the UK mortgage market</w:t>
      </w:r>
      <w:r>
        <w:rPr>
          <w:rFonts w:ascii="Arial" w:hAnsi="Arial" w:cs="Arial"/>
          <w:i/>
          <w:iCs/>
          <w:sz w:val="28"/>
          <w:szCs w:val="28"/>
          <w:lang w:val="en-US"/>
        </w:rPr>
        <w:t xml:space="preserve">. </w:t>
      </w:r>
      <w:r w:rsidR="00095C3B">
        <w:rPr>
          <w:rFonts w:ascii="Arial" w:hAnsi="Arial" w:cs="Arial"/>
          <w:sz w:val="28"/>
          <w:szCs w:val="28"/>
          <w:lang w:val="en-US"/>
        </w:rPr>
        <w:t xml:space="preserve">Available at: </w:t>
      </w:r>
      <w:hyperlink r:id="rId16" w:history="1">
        <w:r w:rsidR="00095C3B" w:rsidRPr="00D47072">
          <w:rPr>
            <w:rStyle w:val="Hyperlink"/>
            <w:rFonts w:ascii="Arial" w:hAnsi="Arial" w:cs="Arial"/>
            <w:sz w:val="28"/>
            <w:szCs w:val="28"/>
            <w:lang w:val="en-US"/>
          </w:rPr>
          <w:t>https://sas-space.sas.ac.uk/3422/1/McAuslan%2C_Patrick_-The_Reform_of_Mortgage_Law3.pdf</w:t>
        </w:r>
      </w:hyperlink>
      <w:r w:rsidR="00095C3B">
        <w:rPr>
          <w:rFonts w:ascii="Arial" w:hAnsi="Arial" w:cs="Arial"/>
          <w:sz w:val="28"/>
          <w:szCs w:val="28"/>
          <w:lang w:val="en-US"/>
        </w:rPr>
        <w:t xml:space="preserve"> (Accessed: 27 December 2021). </w:t>
      </w:r>
    </w:p>
    <w:p w14:paraId="671DCC10" w14:textId="667ED118" w:rsidR="00A46A6D" w:rsidRDefault="00A46A6D" w:rsidP="004440B9">
      <w:pPr>
        <w:spacing w:line="480" w:lineRule="auto"/>
        <w:rPr>
          <w:rFonts w:ascii="Arial" w:hAnsi="Arial" w:cs="Arial"/>
          <w:sz w:val="28"/>
          <w:szCs w:val="28"/>
          <w:lang w:val="en-US"/>
        </w:rPr>
      </w:pPr>
    </w:p>
    <w:p w14:paraId="6E1698D9" w14:textId="598EEFDC" w:rsidR="00F968E1" w:rsidRDefault="00F968E1" w:rsidP="004440B9">
      <w:pPr>
        <w:spacing w:line="480" w:lineRule="auto"/>
        <w:rPr>
          <w:rFonts w:ascii="Arial" w:hAnsi="Arial" w:cs="Arial"/>
          <w:sz w:val="28"/>
          <w:szCs w:val="28"/>
          <w:lang w:val="en-US"/>
        </w:rPr>
      </w:pPr>
      <w:r>
        <w:rPr>
          <w:rFonts w:ascii="Arial" w:hAnsi="Arial" w:cs="Arial"/>
          <w:sz w:val="28"/>
          <w:szCs w:val="28"/>
          <w:lang w:val="en-US"/>
        </w:rPr>
        <w:lastRenderedPageBreak/>
        <w:t xml:space="preserve">McFarlane, B. and Hopkins, N. (2020) </w:t>
      </w:r>
      <w:r>
        <w:rPr>
          <w:rFonts w:ascii="Arial" w:hAnsi="Arial" w:cs="Arial"/>
          <w:i/>
          <w:iCs/>
          <w:sz w:val="28"/>
          <w:szCs w:val="28"/>
          <w:lang w:val="en-US"/>
        </w:rPr>
        <w:t xml:space="preserve">Land Law. </w:t>
      </w:r>
      <w:r>
        <w:rPr>
          <w:rFonts w:ascii="Arial" w:hAnsi="Arial" w:cs="Arial"/>
          <w:sz w:val="28"/>
          <w:szCs w:val="28"/>
          <w:lang w:val="en-US"/>
        </w:rPr>
        <w:t xml:space="preserve">Oxford: Oxford University Press. </w:t>
      </w:r>
    </w:p>
    <w:p w14:paraId="5B94B16C" w14:textId="77777777" w:rsidR="00F968E1" w:rsidRDefault="00F968E1" w:rsidP="004440B9">
      <w:pPr>
        <w:spacing w:line="480" w:lineRule="auto"/>
        <w:rPr>
          <w:rFonts w:ascii="Arial" w:hAnsi="Arial" w:cs="Arial"/>
          <w:sz w:val="28"/>
          <w:szCs w:val="28"/>
          <w:lang w:val="en-US"/>
        </w:rPr>
      </w:pPr>
    </w:p>
    <w:p w14:paraId="3EF51A80" w14:textId="77777777" w:rsidR="00F968E1" w:rsidRDefault="00F968E1" w:rsidP="004440B9">
      <w:pPr>
        <w:spacing w:line="480" w:lineRule="auto"/>
        <w:rPr>
          <w:rFonts w:ascii="Arial" w:hAnsi="Arial" w:cs="Arial"/>
          <w:sz w:val="28"/>
          <w:szCs w:val="28"/>
          <w:lang w:val="en-US"/>
        </w:rPr>
      </w:pPr>
    </w:p>
    <w:p w14:paraId="25C033B8" w14:textId="2EC7EFA0" w:rsidR="00714D28" w:rsidRDefault="00714D28" w:rsidP="004440B9">
      <w:pPr>
        <w:spacing w:line="480" w:lineRule="auto"/>
        <w:rPr>
          <w:rFonts w:ascii="Arial" w:hAnsi="Arial" w:cs="Arial"/>
          <w:sz w:val="28"/>
          <w:szCs w:val="28"/>
          <w:lang w:val="en-US"/>
        </w:rPr>
      </w:pPr>
      <w:r>
        <w:rPr>
          <w:rFonts w:ascii="Arial" w:hAnsi="Arial" w:cs="Arial"/>
          <w:sz w:val="28"/>
          <w:szCs w:val="28"/>
          <w:lang w:val="en-US"/>
        </w:rPr>
        <w:t xml:space="preserve">MG Legal (2019) </w:t>
      </w:r>
      <w:r>
        <w:rPr>
          <w:rFonts w:ascii="Arial" w:hAnsi="Arial" w:cs="Arial"/>
          <w:i/>
          <w:iCs/>
          <w:sz w:val="28"/>
          <w:szCs w:val="28"/>
          <w:lang w:val="en-US"/>
        </w:rPr>
        <w:t xml:space="preserve">Buying or selling a house? Welcome to the great fixtures and fittings debate! </w:t>
      </w:r>
      <w:r>
        <w:rPr>
          <w:rFonts w:ascii="Arial" w:hAnsi="Arial" w:cs="Arial"/>
          <w:sz w:val="28"/>
          <w:szCs w:val="28"/>
          <w:lang w:val="en-US"/>
        </w:rPr>
        <w:t xml:space="preserve">Available at: </w:t>
      </w:r>
      <w:hyperlink r:id="rId17" w:history="1">
        <w:r w:rsidRPr="00D47072">
          <w:rPr>
            <w:rStyle w:val="Hyperlink"/>
            <w:rFonts w:ascii="Arial" w:hAnsi="Arial" w:cs="Arial"/>
            <w:sz w:val="28"/>
            <w:szCs w:val="28"/>
            <w:lang w:val="en-US"/>
          </w:rPr>
          <w:t>https://www.mglegal.co.uk/legal-news/buying-or-selling-a-house-welcome-to-the-great-fixtures-and-fittings-debate/</w:t>
        </w:r>
      </w:hyperlink>
      <w:r>
        <w:rPr>
          <w:rFonts w:ascii="Arial" w:hAnsi="Arial" w:cs="Arial"/>
          <w:sz w:val="28"/>
          <w:szCs w:val="28"/>
          <w:lang w:val="en-US"/>
        </w:rPr>
        <w:t xml:space="preserve"> </w:t>
      </w:r>
      <w:r w:rsidR="003A1227">
        <w:rPr>
          <w:rFonts w:ascii="Arial" w:hAnsi="Arial" w:cs="Arial"/>
          <w:sz w:val="28"/>
          <w:szCs w:val="28"/>
          <w:lang w:val="en-US"/>
        </w:rPr>
        <w:t>(Accessed: 4</w:t>
      </w:r>
      <w:r w:rsidR="003A1227" w:rsidRPr="003A1227">
        <w:rPr>
          <w:rFonts w:ascii="Arial" w:hAnsi="Arial" w:cs="Arial"/>
          <w:sz w:val="28"/>
          <w:szCs w:val="28"/>
          <w:vertAlign w:val="superscript"/>
          <w:lang w:val="en-US"/>
        </w:rPr>
        <w:t>th</w:t>
      </w:r>
      <w:r w:rsidR="003A1227">
        <w:rPr>
          <w:rFonts w:ascii="Arial" w:hAnsi="Arial" w:cs="Arial"/>
          <w:sz w:val="28"/>
          <w:szCs w:val="28"/>
          <w:lang w:val="en-US"/>
        </w:rPr>
        <w:t xml:space="preserve"> January 2022). </w:t>
      </w:r>
    </w:p>
    <w:p w14:paraId="55FE02CC" w14:textId="77777777" w:rsidR="00540D0C" w:rsidRDefault="00540D0C" w:rsidP="004440B9">
      <w:pPr>
        <w:spacing w:line="480" w:lineRule="auto"/>
        <w:rPr>
          <w:rFonts w:ascii="Arial" w:hAnsi="Arial" w:cs="Arial"/>
          <w:sz w:val="28"/>
          <w:szCs w:val="28"/>
          <w:lang w:val="en-US"/>
        </w:rPr>
      </w:pPr>
    </w:p>
    <w:p w14:paraId="0B970D9B" w14:textId="579ACC72" w:rsidR="0014330B" w:rsidRDefault="0014330B" w:rsidP="004440B9">
      <w:pPr>
        <w:spacing w:line="480" w:lineRule="auto"/>
        <w:rPr>
          <w:rFonts w:ascii="Arial" w:hAnsi="Arial" w:cs="Arial"/>
          <w:sz w:val="28"/>
          <w:szCs w:val="28"/>
          <w:lang w:val="en-US"/>
        </w:rPr>
      </w:pPr>
      <w:r>
        <w:rPr>
          <w:rFonts w:ascii="Arial" w:hAnsi="Arial" w:cs="Arial"/>
          <w:sz w:val="28"/>
          <w:szCs w:val="28"/>
          <w:lang w:val="en-US"/>
        </w:rPr>
        <w:t xml:space="preserve">Moys, J. (2021) ‘Fixtures and Fittings: A simple guide’, </w:t>
      </w:r>
      <w:r>
        <w:rPr>
          <w:rFonts w:ascii="Arial" w:hAnsi="Arial" w:cs="Arial"/>
          <w:i/>
          <w:iCs/>
          <w:sz w:val="28"/>
          <w:szCs w:val="28"/>
          <w:lang w:val="en-US"/>
        </w:rPr>
        <w:t xml:space="preserve">Homeviews </w:t>
      </w:r>
      <w:r>
        <w:rPr>
          <w:rFonts w:ascii="Arial" w:hAnsi="Arial" w:cs="Arial"/>
          <w:sz w:val="28"/>
          <w:szCs w:val="28"/>
          <w:lang w:val="en-US"/>
        </w:rPr>
        <w:t>[blog]. 5</w:t>
      </w:r>
      <w:r w:rsidRPr="0014330B">
        <w:rPr>
          <w:rFonts w:ascii="Arial" w:hAnsi="Arial" w:cs="Arial"/>
          <w:sz w:val="28"/>
          <w:szCs w:val="28"/>
          <w:vertAlign w:val="superscript"/>
          <w:lang w:val="en-US"/>
        </w:rPr>
        <w:t>th</w:t>
      </w:r>
      <w:r>
        <w:rPr>
          <w:rFonts w:ascii="Arial" w:hAnsi="Arial" w:cs="Arial"/>
          <w:sz w:val="28"/>
          <w:szCs w:val="28"/>
          <w:lang w:val="en-US"/>
        </w:rPr>
        <w:t xml:space="preserve"> January. Available at</w:t>
      </w:r>
      <w:r w:rsidRPr="0014330B">
        <w:rPr>
          <w:rFonts w:ascii="Arial" w:hAnsi="Arial" w:cs="Arial"/>
          <w:sz w:val="28"/>
          <w:szCs w:val="28"/>
          <w:lang w:val="en-US"/>
        </w:rPr>
        <w:t xml:space="preserve">: </w:t>
      </w:r>
      <w:hyperlink r:id="rId18" w:history="1">
        <w:r w:rsidRPr="00D47072">
          <w:rPr>
            <w:rStyle w:val="Hyperlink"/>
            <w:rFonts w:ascii="Arial" w:hAnsi="Arial" w:cs="Arial"/>
            <w:sz w:val="28"/>
            <w:szCs w:val="28"/>
            <w:lang w:val="en-US"/>
          </w:rPr>
          <w:t>https://www.homeviews.com/blog/fixtures-and-fittings-a-simple-guide/</w:t>
        </w:r>
      </w:hyperlink>
      <w:r>
        <w:rPr>
          <w:rFonts w:ascii="Arial" w:hAnsi="Arial" w:cs="Arial"/>
          <w:sz w:val="28"/>
          <w:szCs w:val="28"/>
          <w:lang w:val="en-US"/>
        </w:rPr>
        <w:t xml:space="preserve"> (Accessed: 3 January 2022).</w:t>
      </w:r>
    </w:p>
    <w:p w14:paraId="68A227F3" w14:textId="7354B000" w:rsidR="0014330B" w:rsidRDefault="0014330B" w:rsidP="004440B9">
      <w:pPr>
        <w:spacing w:line="480" w:lineRule="auto"/>
        <w:rPr>
          <w:rFonts w:ascii="Arial" w:hAnsi="Arial" w:cs="Arial"/>
          <w:sz w:val="28"/>
          <w:szCs w:val="28"/>
          <w:lang w:val="en-US"/>
        </w:rPr>
      </w:pPr>
    </w:p>
    <w:p w14:paraId="12F0D289" w14:textId="77777777" w:rsidR="00FC4609" w:rsidRDefault="00FC4609" w:rsidP="004440B9">
      <w:pPr>
        <w:spacing w:line="480" w:lineRule="auto"/>
        <w:rPr>
          <w:rFonts w:ascii="Arial" w:hAnsi="Arial" w:cs="Arial"/>
          <w:sz w:val="28"/>
          <w:szCs w:val="28"/>
          <w:lang w:val="en-US"/>
        </w:rPr>
      </w:pPr>
    </w:p>
    <w:p w14:paraId="39EC3911" w14:textId="35C1E4AA" w:rsidR="007A0A25" w:rsidRPr="00A46A6D" w:rsidRDefault="007A0A25" w:rsidP="004440B9">
      <w:pPr>
        <w:spacing w:line="480" w:lineRule="auto"/>
        <w:rPr>
          <w:rFonts w:ascii="Arial" w:hAnsi="Arial" w:cs="Arial"/>
          <w:sz w:val="28"/>
          <w:szCs w:val="28"/>
          <w:lang w:val="en-US"/>
        </w:rPr>
      </w:pPr>
      <w:r>
        <w:rPr>
          <w:rFonts w:ascii="Arial" w:hAnsi="Arial" w:cs="Arial"/>
          <w:sz w:val="28"/>
          <w:szCs w:val="28"/>
          <w:lang w:val="en-US"/>
        </w:rPr>
        <w:t xml:space="preserve">Scamell, E.H. (1961) ‘Once a Mortgage, </w:t>
      </w:r>
      <w:r w:rsidR="00A46A6D">
        <w:rPr>
          <w:rFonts w:ascii="Arial" w:hAnsi="Arial" w:cs="Arial"/>
          <w:sz w:val="28"/>
          <w:szCs w:val="28"/>
          <w:lang w:val="en-US"/>
        </w:rPr>
        <w:t>always</w:t>
      </w:r>
      <w:r>
        <w:rPr>
          <w:rFonts w:ascii="Arial" w:hAnsi="Arial" w:cs="Arial"/>
          <w:sz w:val="28"/>
          <w:szCs w:val="28"/>
          <w:lang w:val="en-US"/>
        </w:rPr>
        <w:t xml:space="preserve"> a Mortgage’, </w:t>
      </w:r>
      <w:r>
        <w:rPr>
          <w:rFonts w:ascii="Arial" w:hAnsi="Arial" w:cs="Arial"/>
          <w:i/>
          <w:iCs/>
          <w:sz w:val="28"/>
          <w:szCs w:val="28"/>
          <w:lang w:val="en-US"/>
        </w:rPr>
        <w:t>The Modern Law Review</w:t>
      </w:r>
      <w:r w:rsidR="00A46A6D">
        <w:rPr>
          <w:rFonts w:ascii="Arial" w:hAnsi="Arial" w:cs="Arial"/>
          <w:i/>
          <w:iCs/>
          <w:sz w:val="28"/>
          <w:szCs w:val="28"/>
          <w:lang w:val="en-US"/>
        </w:rPr>
        <w:t>,</w:t>
      </w:r>
      <w:r w:rsidR="00A46A6D">
        <w:rPr>
          <w:rFonts w:ascii="Arial" w:hAnsi="Arial" w:cs="Arial"/>
          <w:sz w:val="28"/>
          <w:szCs w:val="28"/>
          <w:lang w:val="en-US"/>
        </w:rPr>
        <w:t xml:space="preserve"> 24(3), pp. 385- 387. Available at: </w:t>
      </w:r>
      <w:hyperlink r:id="rId19" w:history="1">
        <w:r w:rsidR="00A46A6D" w:rsidRPr="00D47072">
          <w:rPr>
            <w:rStyle w:val="Hyperlink"/>
            <w:rFonts w:ascii="Arial" w:hAnsi="Arial" w:cs="Arial"/>
            <w:sz w:val="28"/>
            <w:szCs w:val="28"/>
            <w:lang w:val="en-US"/>
          </w:rPr>
          <w:t>https://www-jstor-org.ezproxy.uwtsd.ac.uk/stable/1092792?Search=yes&amp;resultItemClick=true&amp;searchText=what+is+a+mortgage&amp;searchUri=%2Facti&amp;seq=1#metadata_info_tab_contents</w:t>
        </w:r>
      </w:hyperlink>
      <w:r w:rsidR="00A46A6D">
        <w:rPr>
          <w:rFonts w:ascii="Arial" w:hAnsi="Arial" w:cs="Arial"/>
          <w:sz w:val="28"/>
          <w:szCs w:val="28"/>
          <w:lang w:val="en-US"/>
        </w:rPr>
        <w:t xml:space="preserve"> (Accessed: 27 December 2021). </w:t>
      </w:r>
    </w:p>
    <w:p w14:paraId="003E0628" w14:textId="4253FA4A" w:rsidR="00095C3B" w:rsidRDefault="00095C3B" w:rsidP="004440B9">
      <w:pPr>
        <w:spacing w:line="480" w:lineRule="auto"/>
        <w:rPr>
          <w:rFonts w:ascii="Arial" w:hAnsi="Arial" w:cs="Arial"/>
          <w:sz w:val="28"/>
          <w:szCs w:val="28"/>
          <w:lang w:val="en-US"/>
        </w:rPr>
      </w:pPr>
    </w:p>
    <w:p w14:paraId="2AB5B22A" w14:textId="77777777" w:rsidR="003929D0" w:rsidRDefault="003929D0" w:rsidP="004440B9">
      <w:pPr>
        <w:spacing w:line="480" w:lineRule="auto"/>
        <w:rPr>
          <w:rFonts w:ascii="Arial" w:hAnsi="Arial" w:cs="Arial"/>
          <w:sz w:val="28"/>
          <w:szCs w:val="28"/>
          <w:lang w:val="en-US"/>
        </w:rPr>
      </w:pPr>
    </w:p>
    <w:p w14:paraId="7984F72C" w14:textId="34708918" w:rsidR="008B4C88" w:rsidRPr="008B4C88" w:rsidRDefault="008B4C88" w:rsidP="004440B9">
      <w:pPr>
        <w:spacing w:line="480" w:lineRule="auto"/>
        <w:rPr>
          <w:rFonts w:ascii="Arial" w:hAnsi="Arial" w:cs="Arial"/>
          <w:sz w:val="28"/>
          <w:szCs w:val="28"/>
          <w:lang w:val="en-US"/>
        </w:rPr>
      </w:pPr>
      <w:r>
        <w:rPr>
          <w:rFonts w:ascii="Arial" w:hAnsi="Arial" w:cs="Arial"/>
          <w:sz w:val="28"/>
          <w:szCs w:val="28"/>
          <w:lang w:val="en-US"/>
        </w:rPr>
        <w:t xml:space="preserve">Williams, A. (2018) ‘Chattels, Fixtures and 300 Years of Case Law’, </w:t>
      </w:r>
      <w:r>
        <w:rPr>
          <w:rFonts w:ascii="Arial" w:hAnsi="Arial" w:cs="Arial"/>
          <w:i/>
          <w:iCs/>
          <w:sz w:val="28"/>
          <w:szCs w:val="28"/>
          <w:lang w:val="en-US"/>
        </w:rPr>
        <w:t xml:space="preserve">Exchange Chambers </w:t>
      </w:r>
      <w:r>
        <w:rPr>
          <w:rFonts w:ascii="Arial" w:hAnsi="Arial" w:cs="Arial"/>
          <w:sz w:val="28"/>
          <w:szCs w:val="28"/>
          <w:lang w:val="en-US"/>
        </w:rPr>
        <w:t>[blog]. 15</w:t>
      </w:r>
      <w:r w:rsidRPr="008B4C88">
        <w:rPr>
          <w:rFonts w:ascii="Arial" w:hAnsi="Arial" w:cs="Arial"/>
          <w:sz w:val="28"/>
          <w:szCs w:val="28"/>
          <w:vertAlign w:val="superscript"/>
          <w:lang w:val="en-US"/>
        </w:rPr>
        <w:t>th</w:t>
      </w:r>
      <w:r>
        <w:rPr>
          <w:rFonts w:ascii="Arial" w:hAnsi="Arial" w:cs="Arial"/>
          <w:sz w:val="28"/>
          <w:szCs w:val="28"/>
          <w:lang w:val="en-US"/>
        </w:rPr>
        <w:t xml:space="preserve"> February. Available at: </w:t>
      </w:r>
      <w:hyperlink r:id="rId20" w:history="1">
        <w:r w:rsidRPr="00D47072">
          <w:rPr>
            <w:rStyle w:val="Hyperlink"/>
            <w:rFonts w:ascii="Arial" w:hAnsi="Arial" w:cs="Arial"/>
            <w:sz w:val="28"/>
            <w:szCs w:val="28"/>
            <w:lang w:val="en-US"/>
          </w:rPr>
          <w:t>https://www.exchangechambers.co.uk/chattels-fixtures-300-years-case-law/</w:t>
        </w:r>
      </w:hyperlink>
      <w:r>
        <w:rPr>
          <w:rFonts w:ascii="Arial" w:hAnsi="Arial" w:cs="Arial"/>
          <w:sz w:val="28"/>
          <w:szCs w:val="28"/>
          <w:lang w:val="en-US"/>
        </w:rPr>
        <w:t xml:space="preserve"> (Accessed: 4</w:t>
      </w:r>
      <w:r w:rsidRPr="008B4C88">
        <w:rPr>
          <w:rFonts w:ascii="Arial" w:hAnsi="Arial" w:cs="Arial"/>
          <w:sz w:val="28"/>
          <w:szCs w:val="28"/>
          <w:vertAlign w:val="superscript"/>
          <w:lang w:val="en-US"/>
        </w:rPr>
        <w:t>th</w:t>
      </w:r>
      <w:r>
        <w:rPr>
          <w:rFonts w:ascii="Arial" w:hAnsi="Arial" w:cs="Arial"/>
          <w:sz w:val="28"/>
          <w:szCs w:val="28"/>
          <w:lang w:val="en-US"/>
        </w:rPr>
        <w:t xml:space="preserve"> January 2022). </w:t>
      </w:r>
    </w:p>
    <w:p w14:paraId="37E79A26" w14:textId="1F4DF5B9" w:rsidR="008B4C88" w:rsidRDefault="008B4C88" w:rsidP="004440B9">
      <w:pPr>
        <w:spacing w:line="480" w:lineRule="auto"/>
        <w:rPr>
          <w:rFonts w:ascii="Arial" w:hAnsi="Arial" w:cs="Arial"/>
          <w:sz w:val="28"/>
          <w:szCs w:val="28"/>
          <w:lang w:val="en-US"/>
        </w:rPr>
      </w:pPr>
    </w:p>
    <w:p w14:paraId="0CD871BB" w14:textId="28DE13D6" w:rsidR="00E16C18" w:rsidRPr="00E16C18" w:rsidRDefault="00E16C18" w:rsidP="004440B9">
      <w:pPr>
        <w:spacing w:line="480" w:lineRule="auto"/>
        <w:rPr>
          <w:rFonts w:ascii="Arial" w:hAnsi="Arial" w:cs="Arial"/>
          <w:sz w:val="28"/>
          <w:szCs w:val="28"/>
          <w:lang w:val="en-US"/>
        </w:rPr>
      </w:pPr>
      <w:proofErr w:type="spellStart"/>
      <w:r>
        <w:rPr>
          <w:rFonts w:ascii="Arial" w:hAnsi="Arial" w:cs="Arial"/>
          <w:sz w:val="28"/>
          <w:szCs w:val="28"/>
          <w:lang w:val="en-US"/>
        </w:rPr>
        <w:t>Wonnocott</w:t>
      </w:r>
      <w:proofErr w:type="spellEnd"/>
      <w:r>
        <w:rPr>
          <w:rFonts w:ascii="Arial" w:hAnsi="Arial" w:cs="Arial"/>
          <w:sz w:val="28"/>
          <w:szCs w:val="28"/>
          <w:lang w:val="en-US"/>
        </w:rPr>
        <w:t xml:space="preserve">, M. (2009) ‘Protection of Possession’, </w:t>
      </w:r>
      <w:r>
        <w:rPr>
          <w:rFonts w:ascii="Arial" w:hAnsi="Arial" w:cs="Arial"/>
          <w:i/>
          <w:iCs/>
          <w:sz w:val="28"/>
          <w:szCs w:val="28"/>
          <w:lang w:val="en-US"/>
        </w:rPr>
        <w:t xml:space="preserve">Cambridge University Press, </w:t>
      </w:r>
      <w:r>
        <w:rPr>
          <w:rFonts w:ascii="Arial" w:hAnsi="Arial" w:cs="Arial"/>
          <w:sz w:val="28"/>
          <w:szCs w:val="28"/>
          <w:lang w:val="en-US"/>
        </w:rPr>
        <w:t xml:space="preserve">1 (1), pp. 19-34. Available at: </w:t>
      </w:r>
      <w:hyperlink r:id="rId21" w:history="1">
        <w:r w:rsidRPr="00D47072">
          <w:rPr>
            <w:rStyle w:val="Hyperlink"/>
            <w:rFonts w:ascii="Arial" w:hAnsi="Arial" w:cs="Arial"/>
            <w:sz w:val="28"/>
            <w:szCs w:val="28"/>
            <w:lang w:val="en-US"/>
          </w:rPr>
          <w:t>https://www-cambridge-org.ezproxy.uwtsd.ac.uk/core/books/abs/possession-of-land/protection-of-possession/10754325F7382053392E19736980D48B</w:t>
        </w:r>
      </w:hyperlink>
      <w:r>
        <w:rPr>
          <w:rFonts w:ascii="Arial" w:hAnsi="Arial" w:cs="Arial"/>
          <w:sz w:val="28"/>
          <w:szCs w:val="28"/>
          <w:lang w:val="en-US"/>
        </w:rPr>
        <w:t xml:space="preserve"> (Accessed: 30 December 2021). </w:t>
      </w:r>
    </w:p>
    <w:p w14:paraId="1ED6537F" w14:textId="77777777" w:rsidR="00E16C18" w:rsidRDefault="00E16C18" w:rsidP="004440B9">
      <w:pPr>
        <w:spacing w:line="480" w:lineRule="auto"/>
        <w:rPr>
          <w:rFonts w:ascii="Arial" w:hAnsi="Arial" w:cs="Arial"/>
          <w:sz w:val="28"/>
          <w:szCs w:val="28"/>
          <w:lang w:val="en-US"/>
        </w:rPr>
      </w:pPr>
    </w:p>
    <w:p w14:paraId="4535CC08" w14:textId="3C9F114E" w:rsidR="0014330B" w:rsidRPr="00540D0C" w:rsidRDefault="0014330B" w:rsidP="004440B9">
      <w:pPr>
        <w:spacing w:line="480" w:lineRule="auto"/>
        <w:rPr>
          <w:rFonts w:ascii="Arial" w:hAnsi="Arial" w:cs="Arial"/>
          <w:sz w:val="28"/>
          <w:szCs w:val="28"/>
          <w:lang w:val="en-US"/>
        </w:rPr>
      </w:pPr>
      <w:r>
        <w:rPr>
          <w:rFonts w:ascii="Arial" w:hAnsi="Arial" w:cs="Arial"/>
          <w:sz w:val="28"/>
          <w:szCs w:val="28"/>
          <w:lang w:val="en-US"/>
        </w:rPr>
        <w:t>Woodgate, A. (2017) ‘</w:t>
      </w:r>
      <w:r w:rsidR="00540D0C">
        <w:rPr>
          <w:rFonts w:ascii="Arial" w:hAnsi="Arial" w:cs="Arial"/>
          <w:sz w:val="28"/>
          <w:szCs w:val="28"/>
          <w:lang w:val="en-US"/>
        </w:rPr>
        <w:t xml:space="preserve">Expert View: The difference between fixtures and fittings revealed’, </w:t>
      </w:r>
      <w:r w:rsidR="00540D0C">
        <w:rPr>
          <w:rFonts w:ascii="Arial" w:hAnsi="Arial" w:cs="Arial"/>
          <w:i/>
          <w:iCs/>
          <w:sz w:val="28"/>
          <w:szCs w:val="28"/>
          <w:lang w:val="en-US"/>
        </w:rPr>
        <w:t xml:space="preserve">The Herts Advertiser </w:t>
      </w:r>
      <w:r w:rsidR="00540D0C">
        <w:rPr>
          <w:rFonts w:ascii="Arial" w:hAnsi="Arial" w:cs="Arial"/>
          <w:sz w:val="28"/>
          <w:szCs w:val="28"/>
          <w:lang w:val="en-US"/>
        </w:rPr>
        <w:t xml:space="preserve">[blog]. 1 November. Available at: </w:t>
      </w:r>
      <w:hyperlink r:id="rId22" w:history="1">
        <w:r w:rsidR="00540D0C" w:rsidRPr="00D47072">
          <w:rPr>
            <w:rStyle w:val="Hyperlink"/>
            <w:rFonts w:ascii="Arial" w:hAnsi="Arial" w:cs="Arial"/>
            <w:sz w:val="28"/>
            <w:szCs w:val="28"/>
            <w:lang w:val="en-US"/>
          </w:rPr>
          <w:t>https://www.hertsad.co.uk/lifestyle/property/expert-view-the-difference-between-fixtures-and-fittings-revealed-5089164</w:t>
        </w:r>
      </w:hyperlink>
      <w:r w:rsidR="00540D0C">
        <w:rPr>
          <w:rFonts w:ascii="Arial" w:hAnsi="Arial" w:cs="Arial"/>
          <w:sz w:val="28"/>
          <w:szCs w:val="28"/>
          <w:lang w:val="en-US"/>
        </w:rPr>
        <w:t xml:space="preserve"> (Accessed: 3 January 2022). </w:t>
      </w:r>
    </w:p>
    <w:p w14:paraId="7AB21ADC" w14:textId="0CBE25CD" w:rsidR="00F96D7C" w:rsidRDefault="00F96D7C" w:rsidP="004440B9">
      <w:pPr>
        <w:spacing w:line="480" w:lineRule="auto"/>
        <w:rPr>
          <w:rFonts w:ascii="Arial" w:hAnsi="Arial" w:cs="Arial"/>
          <w:sz w:val="28"/>
          <w:szCs w:val="28"/>
          <w:lang w:val="en-US"/>
        </w:rPr>
      </w:pPr>
    </w:p>
    <w:p w14:paraId="058BA5D8" w14:textId="27AC5AA4" w:rsidR="00540D0C" w:rsidRPr="00B81B79" w:rsidRDefault="008665EA" w:rsidP="004440B9">
      <w:pPr>
        <w:spacing w:line="480" w:lineRule="auto"/>
        <w:rPr>
          <w:rFonts w:ascii="Arial" w:hAnsi="Arial" w:cs="Arial"/>
          <w:sz w:val="28"/>
          <w:szCs w:val="28"/>
          <w:lang w:val="en-US"/>
        </w:rPr>
      </w:pPr>
      <w:r>
        <w:rPr>
          <w:rFonts w:ascii="Arial" w:hAnsi="Arial" w:cs="Arial"/>
          <w:i/>
          <w:iCs/>
          <w:sz w:val="28"/>
          <w:szCs w:val="28"/>
          <w:lang w:val="en-US"/>
        </w:rPr>
        <w:t xml:space="preserve">‘Albany Home Loans Ltd v Massey’ </w:t>
      </w:r>
      <w:r>
        <w:rPr>
          <w:rFonts w:ascii="Arial" w:hAnsi="Arial" w:cs="Arial"/>
          <w:sz w:val="28"/>
          <w:szCs w:val="28"/>
          <w:lang w:val="en-US"/>
        </w:rPr>
        <w:t>(1997) Court of Appeal (Civil Division)</w:t>
      </w:r>
      <w:r w:rsidR="00B81B79">
        <w:rPr>
          <w:rFonts w:ascii="Arial" w:hAnsi="Arial" w:cs="Arial"/>
          <w:sz w:val="28"/>
          <w:szCs w:val="28"/>
          <w:lang w:val="en-US"/>
        </w:rPr>
        <w:t xml:space="preserve">, case 902. </w:t>
      </w:r>
      <w:r w:rsidR="00B81B79">
        <w:rPr>
          <w:rFonts w:ascii="Arial" w:hAnsi="Arial" w:cs="Arial"/>
          <w:i/>
          <w:iCs/>
          <w:sz w:val="28"/>
          <w:szCs w:val="28"/>
          <w:lang w:val="en-US"/>
        </w:rPr>
        <w:t xml:space="preserve">Westlaw Edge UK </w:t>
      </w:r>
      <w:r w:rsidR="00B81B79">
        <w:rPr>
          <w:rFonts w:ascii="Arial" w:hAnsi="Arial" w:cs="Arial"/>
          <w:sz w:val="28"/>
          <w:szCs w:val="28"/>
          <w:lang w:val="en-US"/>
        </w:rPr>
        <w:t xml:space="preserve">[Online] Available at: </w:t>
      </w:r>
      <w:hyperlink r:id="rId23" w:history="1">
        <w:r w:rsidR="00B81B79" w:rsidRPr="00D47072">
          <w:rPr>
            <w:rStyle w:val="Hyperlink"/>
            <w:rFonts w:ascii="Arial" w:hAnsi="Arial" w:cs="Arial"/>
            <w:sz w:val="28"/>
            <w:szCs w:val="28"/>
            <w:lang w:val="en-US"/>
          </w:rPr>
          <w:t>https://uk.westlaw.com/Document/I5455FD70E42711DA8FC2A0F0355337E9/View/FullText.html</w:t>
        </w:r>
      </w:hyperlink>
      <w:r w:rsidR="00B81B79">
        <w:rPr>
          <w:rFonts w:ascii="Arial" w:hAnsi="Arial" w:cs="Arial"/>
          <w:sz w:val="28"/>
          <w:szCs w:val="28"/>
          <w:lang w:val="en-US"/>
        </w:rPr>
        <w:t xml:space="preserve"> (Accessed: 30 December 2021).</w:t>
      </w:r>
    </w:p>
    <w:p w14:paraId="11318CAE" w14:textId="77777777" w:rsidR="008665EA" w:rsidRDefault="008665EA" w:rsidP="004440B9">
      <w:pPr>
        <w:spacing w:line="480" w:lineRule="auto"/>
        <w:rPr>
          <w:rFonts w:ascii="Arial" w:hAnsi="Arial" w:cs="Arial"/>
          <w:i/>
          <w:iCs/>
          <w:sz w:val="28"/>
          <w:szCs w:val="28"/>
          <w:lang w:val="en-US"/>
        </w:rPr>
      </w:pPr>
    </w:p>
    <w:p w14:paraId="32B26B51" w14:textId="2EB01C65" w:rsidR="00540D0C" w:rsidRDefault="00540D0C" w:rsidP="004440B9">
      <w:pPr>
        <w:spacing w:line="480" w:lineRule="auto"/>
        <w:rPr>
          <w:rFonts w:ascii="Arial" w:hAnsi="Arial" w:cs="Arial"/>
          <w:sz w:val="28"/>
          <w:szCs w:val="28"/>
          <w:lang w:val="en-US"/>
        </w:rPr>
      </w:pPr>
      <w:r>
        <w:rPr>
          <w:rFonts w:ascii="Arial" w:hAnsi="Arial" w:cs="Arial"/>
          <w:i/>
          <w:iCs/>
          <w:sz w:val="28"/>
          <w:szCs w:val="28"/>
          <w:lang w:val="en-US"/>
        </w:rPr>
        <w:t xml:space="preserve">‘Berkley v </w:t>
      </w:r>
      <w:proofErr w:type="spellStart"/>
      <w:r>
        <w:rPr>
          <w:rFonts w:ascii="Arial" w:hAnsi="Arial" w:cs="Arial"/>
          <w:i/>
          <w:iCs/>
          <w:sz w:val="28"/>
          <w:szCs w:val="28"/>
          <w:lang w:val="en-US"/>
        </w:rPr>
        <w:t>Poulett</w:t>
      </w:r>
      <w:proofErr w:type="spellEnd"/>
      <w:r>
        <w:rPr>
          <w:rFonts w:ascii="Arial" w:hAnsi="Arial" w:cs="Arial"/>
          <w:i/>
          <w:iCs/>
          <w:sz w:val="28"/>
          <w:szCs w:val="28"/>
          <w:lang w:val="en-US"/>
        </w:rPr>
        <w:t xml:space="preserve">’ </w:t>
      </w:r>
      <w:r>
        <w:rPr>
          <w:rFonts w:ascii="Arial" w:hAnsi="Arial" w:cs="Arial"/>
          <w:sz w:val="28"/>
          <w:szCs w:val="28"/>
          <w:lang w:val="en-US"/>
        </w:rPr>
        <w:t xml:space="preserve">(1976) Court of Appeal (Civil Division), case 13.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24" w:history="1">
        <w:r w:rsidRPr="00D47072">
          <w:rPr>
            <w:rStyle w:val="Hyperlink"/>
            <w:rFonts w:ascii="Arial" w:hAnsi="Arial" w:cs="Arial"/>
            <w:sz w:val="28"/>
            <w:szCs w:val="28"/>
            <w:lang w:val="en-US"/>
          </w:rPr>
          <w:t>https://uk.westlaw.com/Document/I3804B350E43611DA8FC2A0F0355337E9/View/FullText.html</w:t>
        </w:r>
      </w:hyperlink>
    </w:p>
    <w:p w14:paraId="353E28D5" w14:textId="77777777" w:rsidR="00017F76" w:rsidRPr="00540D0C" w:rsidRDefault="00017F76" w:rsidP="004440B9">
      <w:pPr>
        <w:spacing w:line="480" w:lineRule="auto"/>
        <w:rPr>
          <w:rFonts w:ascii="Arial" w:hAnsi="Arial" w:cs="Arial"/>
          <w:sz w:val="28"/>
          <w:szCs w:val="28"/>
          <w:lang w:val="en-US"/>
        </w:rPr>
      </w:pPr>
    </w:p>
    <w:p w14:paraId="3BB26641" w14:textId="77777777" w:rsidR="008B4C88" w:rsidRDefault="008B4C88" w:rsidP="004440B9">
      <w:pPr>
        <w:spacing w:line="480" w:lineRule="auto"/>
        <w:rPr>
          <w:rFonts w:ascii="Arial" w:hAnsi="Arial" w:cs="Arial"/>
          <w:i/>
          <w:iCs/>
          <w:sz w:val="28"/>
          <w:szCs w:val="28"/>
          <w:lang w:val="en-US"/>
        </w:rPr>
      </w:pPr>
    </w:p>
    <w:p w14:paraId="13392D0E" w14:textId="6768D4A3" w:rsidR="00E00FC5" w:rsidRDefault="00E00FC5" w:rsidP="004440B9">
      <w:pPr>
        <w:spacing w:line="480" w:lineRule="auto"/>
        <w:rPr>
          <w:rFonts w:ascii="Arial" w:hAnsi="Arial" w:cs="Arial"/>
          <w:sz w:val="28"/>
          <w:szCs w:val="28"/>
          <w:lang w:val="en-US"/>
        </w:rPr>
      </w:pPr>
      <w:r>
        <w:rPr>
          <w:rFonts w:ascii="Arial" w:hAnsi="Arial" w:cs="Arial"/>
          <w:i/>
          <w:iCs/>
          <w:sz w:val="28"/>
          <w:szCs w:val="28"/>
          <w:lang w:val="en-US"/>
        </w:rPr>
        <w:t xml:space="preserve">‘Bocardo </w:t>
      </w:r>
      <w:r w:rsidR="00A90A41">
        <w:rPr>
          <w:rFonts w:ascii="Arial" w:hAnsi="Arial" w:cs="Arial"/>
          <w:i/>
          <w:iCs/>
          <w:sz w:val="28"/>
          <w:szCs w:val="28"/>
          <w:lang w:val="en-US"/>
        </w:rPr>
        <w:t xml:space="preserve">SA v Star Energy UK Onshore Ltd’ </w:t>
      </w:r>
      <w:r w:rsidR="00A90A41">
        <w:rPr>
          <w:rFonts w:ascii="Arial" w:hAnsi="Arial" w:cs="Arial"/>
          <w:sz w:val="28"/>
          <w:szCs w:val="28"/>
          <w:lang w:val="en-US"/>
        </w:rPr>
        <w:t xml:space="preserve">(2010) Supreme Court, case 380. </w:t>
      </w:r>
      <w:r w:rsidR="00A90A41">
        <w:rPr>
          <w:rFonts w:ascii="Arial" w:hAnsi="Arial" w:cs="Arial"/>
          <w:i/>
          <w:iCs/>
          <w:sz w:val="28"/>
          <w:szCs w:val="28"/>
          <w:lang w:val="en-US"/>
        </w:rPr>
        <w:t xml:space="preserve">Westlaw Edge UK </w:t>
      </w:r>
      <w:r w:rsidR="00A90A41">
        <w:rPr>
          <w:rFonts w:ascii="Arial" w:hAnsi="Arial" w:cs="Arial"/>
          <w:sz w:val="28"/>
          <w:szCs w:val="28"/>
          <w:lang w:val="en-US"/>
        </w:rPr>
        <w:t xml:space="preserve">[Online] Available at: </w:t>
      </w:r>
      <w:hyperlink r:id="rId25" w:history="1">
        <w:r w:rsidR="00A90A41" w:rsidRPr="00D47072">
          <w:rPr>
            <w:rStyle w:val="Hyperlink"/>
            <w:rFonts w:ascii="Arial" w:hAnsi="Arial" w:cs="Arial"/>
            <w:sz w:val="28"/>
            <w:szCs w:val="28"/>
            <w:lang w:val="en-US"/>
          </w:rPr>
          <w:t>https://uk.westlaw.com/Document/IF7C3B2705B2511E0B779B79192E7B690/View/FullText.html</w:t>
        </w:r>
      </w:hyperlink>
      <w:r w:rsidR="00A90A41">
        <w:rPr>
          <w:rFonts w:ascii="Arial" w:hAnsi="Arial" w:cs="Arial"/>
          <w:sz w:val="28"/>
          <w:szCs w:val="28"/>
          <w:lang w:val="en-US"/>
        </w:rPr>
        <w:t xml:space="preserve"> . (Accessed: 1 January 2022). </w:t>
      </w:r>
    </w:p>
    <w:p w14:paraId="33C63E2F" w14:textId="77777777" w:rsidR="00AD58A3" w:rsidRDefault="00AD58A3" w:rsidP="004440B9">
      <w:pPr>
        <w:spacing w:line="480" w:lineRule="auto"/>
        <w:rPr>
          <w:rFonts w:ascii="Arial" w:hAnsi="Arial" w:cs="Arial"/>
          <w:i/>
          <w:iCs/>
          <w:sz w:val="28"/>
          <w:szCs w:val="28"/>
          <w:lang w:val="en-US"/>
        </w:rPr>
      </w:pPr>
    </w:p>
    <w:p w14:paraId="2AAE392C" w14:textId="77777777" w:rsidR="00AD58A3" w:rsidRDefault="00AD58A3" w:rsidP="004440B9">
      <w:pPr>
        <w:spacing w:line="480" w:lineRule="auto"/>
        <w:rPr>
          <w:rFonts w:ascii="Arial" w:hAnsi="Arial" w:cs="Arial"/>
          <w:i/>
          <w:iCs/>
          <w:sz w:val="28"/>
          <w:szCs w:val="28"/>
          <w:lang w:val="en-US"/>
        </w:rPr>
      </w:pPr>
    </w:p>
    <w:p w14:paraId="622959D9" w14:textId="574C7195" w:rsidR="008B4C88" w:rsidRPr="003D5D65" w:rsidRDefault="003D5D65" w:rsidP="004440B9">
      <w:pPr>
        <w:spacing w:line="480" w:lineRule="auto"/>
        <w:rPr>
          <w:rFonts w:ascii="Arial" w:hAnsi="Arial" w:cs="Arial"/>
          <w:sz w:val="28"/>
          <w:szCs w:val="28"/>
          <w:lang w:val="en-US"/>
        </w:rPr>
      </w:pPr>
      <w:r>
        <w:rPr>
          <w:rFonts w:ascii="Arial" w:hAnsi="Arial" w:cs="Arial"/>
          <w:i/>
          <w:iCs/>
          <w:sz w:val="28"/>
          <w:szCs w:val="28"/>
          <w:lang w:val="en-US"/>
        </w:rPr>
        <w:t xml:space="preserve">‘Braithwaite v Winwood’ </w:t>
      </w:r>
      <w:r>
        <w:rPr>
          <w:rFonts w:ascii="Arial" w:hAnsi="Arial" w:cs="Arial"/>
          <w:sz w:val="28"/>
          <w:szCs w:val="28"/>
          <w:lang w:val="en-US"/>
        </w:rPr>
        <w:t xml:space="preserve">(1960) Chancery Division, case 1257.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26" w:history="1">
        <w:r w:rsidRPr="00D47072">
          <w:rPr>
            <w:rStyle w:val="Hyperlink"/>
            <w:rFonts w:ascii="Arial" w:hAnsi="Arial" w:cs="Arial"/>
            <w:sz w:val="28"/>
            <w:szCs w:val="28"/>
            <w:lang w:val="en-US"/>
          </w:rPr>
          <w:t>https://uk.westlaw.com/Document/I79D1A1D0E42711DA8FC2A0F0355337E9/View/FullText.html</w:t>
        </w:r>
      </w:hyperlink>
      <w:r>
        <w:rPr>
          <w:rFonts w:ascii="Arial" w:hAnsi="Arial" w:cs="Arial"/>
          <w:sz w:val="28"/>
          <w:szCs w:val="28"/>
          <w:lang w:val="en-US"/>
        </w:rPr>
        <w:t xml:space="preserve">. (Accessed: 29 December 2021). </w:t>
      </w:r>
    </w:p>
    <w:p w14:paraId="2091F27F" w14:textId="77777777" w:rsidR="003D5D65" w:rsidRDefault="003D5D65" w:rsidP="004440B9">
      <w:pPr>
        <w:spacing w:line="480" w:lineRule="auto"/>
        <w:rPr>
          <w:rFonts w:ascii="Arial" w:hAnsi="Arial" w:cs="Arial"/>
          <w:sz w:val="28"/>
          <w:szCs w:val="28"/>
          <w:lang w:val="en-US"/>
        </w:rPr>
      </w:pPr>
    </w:p>
    <w:p w14:paraId="26206F38" w14:textId="5B5BE44E" w:rsidR="00017F76" w:rsidRPr="00017F76" w:rsidRDefault="00017F76" w:rsidP="004440B9">
      <w:pPr>
        <w:spacing w:line="480" w:lineRule="auto"/>
        <w:rPr>
          <w:rFonts w:ascii="Arial" w:hAnsi="Arial" w:cs="Arial"/>
          <w:sz w:val="28"/>
          <w:szCs w:val="28"/>
          <w:lang w:val="en-US"/>
        </w:rPr>
      </w:pPr>
      <w:r>
        <w:rPr>
          <w:rFonts w:ascii="Arial" w:hAnsi="Arial" w:cs="Arial"/>
          <w:i/>
          <w:iCs/>
          <w:sz w:val="28"/>
          <w:szCs w:val="28"/>
          <w:lang w:val="en-US"/>
        </w:rPr>
        <w:lastRenderedPageBreak/>
        <w:t xml:space="preserve">‘Cosslett (Contractors) Ltd, Re’ </w:t>
      </w:r>
      <w:r>
        <w:rPr>
          <w:rFonts w:ascii="Arial" w:hAnsi="Arial" w:cs="Arial"/>
          <w:sz w:val="28"/>
          <w:szCs w:val="28"/>
          <w:lang w:val="en-US"/>
        </w:rPr>
        <w:t xml:space="preserve">(1997) Court of Appeal (Civil Division), case 495.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27" w:history="1">
        <w:r w:rsidRPr="00D47072">
          <w:rPr>
            <w:rStyle w:val="Hyperlink"/>
            <w:rFonts w:ascii="Arial" w:hAnsi="Arial" w:cs="Arial"/>
            <w:sz w:val="28"/>
            <w:szCs w:val="28"/>
            <w:lang w:val="en-US"/>
          </w:rPr>
          <w:t>https://uk.westlaw.com/Document/I8EDAC390E42711DA8FC2A0F0355337E9/View/FullText.html</w:t>
        </w:r>
      </w:hyperlink>
      <w:r>
        <w:rPr>
          <w:rFonts w:ascii="Arial" w:hAnsi="Arial" w:cs="Arial"/>
          <w:sz w:val="28"/>
          <w:szCs w:val="28"/>
          <w:lang w:val="en-US"/>
        </w:rPr>
        <w:t>. (Accessed: 28 December 2021).</w:t>
      </w:r>
    </w:p>
    <w:p w14:paraId="49E57B34" w14:textId="6AABB1E9" w:rsidR="00017F76" w:rsidRDefault="00017F76" w:rsidP="004440B9">
      <w:pPr>
        <w:spacing w:line="480" w:lineRule="auto"/>
        <w:rPr>
          <w:rFonts w:ascii="Arial" w:hAnsi="Arial" w:cs="Arial"/>
          <w:i/>
          <w:iCs/>
          <w:sz w:val="28"/>
          <w:szCs w:val="28"/>
          <w:lang w:val="en-US"/>
        </w:rPr>
      </w:pPr>
    </w:p>
    <w:p w14:paraId="57D52830" w14:textId="05C1A735" w:rsidR="00E16C18" w:rsidRPr="00E16C18" w:rsidRDefault="00E16C18" w:rsidP="004440B9">
      <w:pPr>
        <w:spacing w:line="480" w:lineRule="auto"/>
        <w:rPr>
          <w:rFonts w:ascii="Arial" w:hAnsi="Arial" w:cs="Arial"/>
          <w:sz w:val="28"/>
          <w:szCs w:val="28"/>
          <w:lang w:val="en-US"/>
        </w:rPr>
      </w:pPr>
      <w:r>
        <w:rPr>
          <w:rFonts w:ascii="Arial" w:hAnsi="Arial" w:cs="Arial"/>
          <w:i/>
          <w:iCs/>
          <w:sz w:val="28"/>
          <w:szCs w:val="28"/>
          <w:lang w:val="en-US"/>
        </w:rPr>
        <w:t xml:space="preserve">‘Cheltenham and Gloucester Building Society v Norgan’ </w:t>
      </w:r>
      <w:r>
        <w:rPr>
          <w:rFonts w:ascii="Arial" w:hAnsi="Arial" w:cs="Arial"/>
          <w:sz w:val="28"/>
          <w:szCs w:val="28"/>
          <w:lang w:val="en-US"/>
        </w:rPr>
        <w:t xml:space="preserve">(1996) Court of Appeal (Civil Division), case 343.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28" w:history="1">
        <w:r w:rsidRPr="00D47072">
          <w:rPr>
            <w:rStyle w:val="Hyperlink"/>
            <w:rFonts w:ascii="Arial" w:hAnsi="Arial" w:cs="Arial"/>
            <w:sz w:val="28"/>
            <w:szCs w:val="28"/>
            <w:lang w:val="en-US"/>
          </w:rPr>
          <w:t>https://uk.westlaw.com/Document/I86667510E42711DA8FC2A0F0355337E9/View/FullText.html</w:t>
        </w:r>
      </w:hyperlink>
      <w:r>
        <w:rPr>
          <w:rFonts w:ascii="Arial" w:hAnsi="Arial" w:cs="Arial"/>
          <w:sz w:val="28"/>
          <w:szCs w:val="28"/>
          <w:lang w:val="en-US"/>
        </w:rPr>
        <w:t xml:space="preserve"> . (Accessed: 30 December 2021).</w:t>
      </w:r>
    </w:p>
    <w:p w14:paraId="16E3281B" w14:textId="77777777" w:rsidR="00E16C18" w:rsidRDefault="00E16C18" w:rsidP="004440B9">
      <w:pPr>
        <w:spacing w:line="480" w:lineRule="auto"/>
        <w:rPr>
          <w:rFonts w:ascii="Arial" w:hAnsi="Arial" w:cs="Arial"/>
          <w:i/>
          <w:iCs/>
          <w:sz w:val="28"/>
          <w:szCs w:val="28"/>
          <w:lang w:val="en-US"/>
        </w:rPr>
      </w:pPr>
    </w:p>
    <w:p w14:paraId="49A46E91" w14:textId="73280A8B" w:rsidR="008B4C88" w:rsidRPr="004475CD" w:rsidRDefault="004475CD" w:rsidP="004440B9">
      <w:pPr>
        <w:spacing w:line="480" w:lineRule="auto"/>
        <w:rPr>
          <w:rFonts w:ascii="Arial" w:hAnsi="Arial" w:cs="Arial"/>
          <w:sz w:val="28"/>
          <w:szCs w:val="28"/>
          <w:lang w:val="en-US"/>
        </w:rPr>
      </w:pPr>
      <w:r>
        <w:rPr>
          <w:rFonts w:ascii="Arial" w:hAnsi="Arial" w:cs="Arial"/>
          <w:i/>
          <w:iCs/>
          <w:sz w:val="28"/>
          <w:szCs w:val="28"/>
          <w:lang w:val="en-US"/>
        </w:rPr>
        <w:t xml:space="preserve">‘D’eyncourt v Gregory (No.1)’ </w:t>
      </w:r>
      <w:r>
        <w:rPr>
          <w:rFonts w:ascii="Arial" w:hAnsi="Arial" w:cs="Arial"/>
          <w:sz w:val="28"/>
          <w:szCs w:val="28"/>
          <w:lang w:val="en-US"/>
        </w:rPr>
        <w:t xml:space="preserve">(1866) Court of Chancery, case 382.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29" w:history="1">
        <w:r w:rsidRPr="00D47072">
          <w:rPr>
            <w:rStyle w:val="Hyperlink"/>
            <w:rFonts w:ascii="Arial" w:hAnsi="Arial" w:cs="Arial"/>
            <w:sz w:val="28"/>
            <w:szCs w:val="28"/>
            <w:lang w:val="en-US"/>
          </w:rPr>
          <w:t>https://uk.westlaw.com/Document/I93B06780E42711DA8FC2A0F0355337E9/View/FullText.html</w:t>
        </w:r>
      </w:hyperlink>
      <w:r>
        <w:rPr>
          <w:rFonts w:ascii="Arial" w:hAnsi="Arial" w:cs="Arial"/>
          <w:sz w:val="28"/>
          <w:szCs w:val="28"/>
          <w:lang w:val="en-US"/>
        </w:rPr>
        <w:t xml:space="preserve"> . (Accessed: </w:t>
      </w:r>
      <w:r w:rsidR="008B4C88">
        <w:rPr>
          <w:rFonts w:ascii="Arial" w:hAnsi="Arial" w:cs="Arial"/>
          <w:sz w:val="28"/>
          <w:szCs w:val="28"/>
          <w:lang w:val="en-US"/>
        </w:rPr>
        <w:t xml:space="preserve">4 January 2022). </w:t>
      </w:r>
    </w:p>
    <w:p w14:paraId="567BB191" w14:textId="78D410DE" w:rsidR="008B4C88" w:rsidRDefault="008B4C88" w:rsidP="004440B9">
      <w:pPr>
        <w:spacing w:line="480" w:lineRule="auto"/>
        <w:rPr>
          <w:rFonts w:ascii="Arial" w:hAnsi="Arial" w:cs="Arial"/>
          <w:i/>
          <w:iCs/>
          <w:sz w:val="28"/>
          <w:szCs w:val="28"/>
          <w:lang w:val="en-US"/>
        </w:rPr>
      </w:pPr>
    </w:p>
    <w:p w14:paraId="7A980437" w14:textId="77777777" w:rsidR="00AD58A3" w:rsidRDefault="00AD58A3" w:rsidP="004440B9">
      <w:pPr>
        <w:spacing w:line="480" w:lineRule="auto"/>
        <w:rPr>
          <w:rFonts w:ascii="Arial" w:hAnsi="Arial" w:cs="Arial"/>
          <w:i/>
          <w:iCs/>
          <w:sz w:val="28"/>
          <w:szCs w:val="28"/>
          <w:lang w:val="en-US"/>
        </w:rPr>
      </w:pPr>
    </w:p>
    <w:p w14:paraId="248ED42D" w14:textId="211C51D2" w:rsidR="008508CE" w:rsidRPr="008508CE" w:rsidRDefault="008508CE" w:rsidP="004440B9">
      <w:pPr>
        <w:spacing w:line="480" w:lineRule="auto"/>
        <w:rPr>
          <w:rFonts w:ascii="Arial" w:hAnsi="Arial" w:cs="Arial"/>
          <w:sz w:val="28"/>
          <w:szCs w:val="28"/>
          <w:lang w:val="en-US"/>
        </w:rPr>
      </w:pPr>
      <w:r>
        <w:rPr>
          <w:rFonts w:ascii="Arial" w:hAnsi="Arial" w:cs="Arial"/>
          <w:i/>
          <w:iCs/>
          <w:sz w:val="28"/>
          <w:szCs w:val="28"/>
          <w:lang w:val="en-US"/>
        </w:rPr>
        <w:t>‘</w:t>
      </w:r>
      <w:proofErr w:type="spellStart"/>
      <w:r>
        <w:rPr>
          <w:rFonts w:ascii="Arial" w:hAnsi="Arial" w:cs="Arial"/>
          <w:i/>
          <w:iCs/>
          <w:sz w:val="28"/>
          <w:szCs w:val="28"/>
          <w:lang w:val="en-US"/>
        </w:rPr>
        <w:t>Elitestone</w:t>
      </w:r>
      <w:proofErr w:type="spellEnd"/>
      <w:r>
        <w:rPr>
          <w:rFonts w:ascii="Arial" w:hAnsi="Arial" w:cs="Arial"/>
          <w:i/>
          <w:iCs/>
          <w:sz w:val="28"/>
          <w:szCs w:val="28"/>
          <w:lang w:val="en-US"/>
        </w:rPr>
        <w:t xml:space="preserve"> Ltd v Morris’ </w:t>
      </w:r>
      <w:r>
        <w:rPr>
          <w:rFonts w:ascii="Arial" w:hAnsi="Arial" w:cs="Arial"/>
          <w:sz w:val="28"/>
          <w:szCs w:val="28"/>
          <w:lang w:val="en-US"/>
        </w:rPr>
        <w:t xml:space="preserve">(1997) House of Lords, case 687.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0" w:history="1">
        <w:r w:rsidRPr="00D47072">
          <w:rPr>
            <w:rStyle w:val="Hyperlink"/>
            <w:rFonts w:ascii="Arial" w:hAnsi="Arial" w:cs="Arial"/>
            <w:sz w:val="28"/>
            <w:szCs w:val="28"/>
            <w:lang w:val="en-US"/>
          </w:rPr>
          <w:t>https://uk.westlaw.com/Document/IA0DD0DF0E42711DA8FC2A0F0355337E9/View/FullText.html</w:t>
        </w:r>
      </w:hyperlink>
      <w:r>
        <w:rPr>
          <w:rFonts w:ascii="Arial" w:hAnsi="Arial" w:cs="Arial"/>
          <w:sz w:val="28"/>
          <w:szCs w:val="28"/>
          <w:lang w:val="en-US"/>
        </w:rPr>
        <w:t xml:space="preserve"> . (Accessed: 1 January 2022). </w:t>
      </w:r>
    </w:p>
    <w:p w14:paraId="38F66D4E" w14:textId="34E69DA7" w:rsidR="00540D0C" w:rsidRDefault="00540D0C" w:rsidP="004440B9">
      <w:pPr>
        <w:spacing w:line="480" w:lineRule="auto"/>
        <w:rPr>
          <w:rFonts w:ascii="Arial" w:hAnsi="Arial" w:cs="Arial"/>
          <w:sz w:val="28"/>
          <w:szCs w:val="28"/>
          <w:lang w:val="en-US"/>
        </w:rPr>
      </w:pPr>
    </w:p>
    <w:p w14:paraId="0E3AEA42" w14:textId="20F0DDD1" w:rsidR="00AD58A3" w:rsidRPr="00AD58A3" w:rsidRDefault="00AD58A3" w:rsidP="004440B9">
      <w:pPr>
        <w:spacing w:line="480" w:lineRule="auto"/>
        <w:rPr>
          <w:rFonts w:ascii="Arial" w:hAnsi="Arial" w:cs="Arial"/>
          <w:sz w:val="28"/>
          <w:szCs w:val="28"/>
          <w:lang w:val="en-US"/>
        </w:rPr>
      </w:pPr>
      <w:r>
        <w:rPr>
          <w:rFonts w:ascii="Arial" w:hAnsi="Arial" w:cs="Arial"/>
          <w:i/>
          <w:iCs/>
          <w:sz w:val="28"/>
          <w:szCs w:val="28"/>
          <w:lang w:val="en-US"/>
        </w:rPr>
        <w:t xml:space="preserve">‘Four-maids Ltd v Dudley Marshall (Properties) Ltd’ </w:t>
      </w:r>
      <w:r>
        <w:rPr>
          <w:rFonts w:ascii="Arial" w:hAnsi="Arial" w:cs="Arial"/>
          <w:sz w:val="28"/>
          <w:szCs w:val="28"/>
          <w:lang w:val="en-US"/>
        </w:rPr>
        <w:t xml:space="preserve">(1957) Chancery Division, case 317.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1" w:history="1">
        <w:r w:rsidRPr="00D47072">
          <w:rPr>
            <w:rStyle w:val="Hyperlink"/>
            <w:rFonts w:ascii="Arial" w:hAnsi="Arial" w:cs="Arial"/>
            <w:sz w:val="28"/>
            <w:szCs w:val="28"/>
            <w:lang w:val="en-US"/>
          </w:rPr>
          <w:t>https://uk.westlaw.com/Document/IA8B802A1E42711DA8FC2A0F0355337E9/View/FullText.html</w:t>
        </w:r>
      </w:hyperlink>
      <w:r>
        <w:rPr>
          <w:rFonts w:ascii="Arial" w:hAnsi="Arial" w:cs="Arial"/>
          <w:sz w:val="28"/>
          <w:szCs w:val="28"/>
          <w:lang w:val="en-US"/>
        </w:rPr>
        <w:t xml:space="preserve"> . (Accessed: 29 December 2021).</w:t>
      </w:r>
    </w:p>
    <w:p w14:paraId="0304007B" w14:textId="77777777" w:rsidR="004475CD" w:rsidRDefault="004475CD" w:rsidP="004440B9">
      <w:pPr>
        <w:spacing w:line="480" w:lineRule="auto"/>
        <w:rPr>
          <w:rFonts w:ascii="Arial" w:hAnsi="Arial" w:cs="Arial"/>
          <w:i/>
          <w:iCs/>
          <w:sz w:val="28"/>
          <w:szCs w:val="28"/>
          <w:lang w:val="en-US"/>
        </w:rPr>
      </w:pPr>
    </w:p>
    <w:p w14:paraId="6D38BF2A" w14:textId="350AA193" w:rsidR="004475CD" w:rsidRPr="004475CD" w:rsidRDefault="00540D0C" w:rsidP="004440B9">
      <w:pPr>
        <w:spacing w:line="480" w:lineRule="auto"/>
        <w:rPr>
          <w:rFonts w:ascii="Arial" w:hAnsi="Arial" w:cs="Arial"/>
          <w:sz w:val="28"/>
          <w:szCs w:val="28"/>
          <w:lang w:val="en-US"/>
        </w:rPr>
      </w:pPr>
      <w:r>
        <w:rPr>
          <w:rFonts w:ascii="Arial" w:hAnsi="Arial" w:cs="Arial"/>
          <w:i/>
          <w:iCs/>
          <w:sz w:val="28"/>
          <w:szCs w:val="28"/>
          <w:lang w:val="en-US"/>
        </w:rPr>
        <w:t xml:space="preserve">‘Hamp v Bygrave’ </w:t>
      </w:r>
      <w:r>
        <w:rPr>
          <w:rFonts w:ascii="Arial" w:hAnsi="Arial" w:cs="Arial"/>
          <w:sz w:val="28"/>
          <w:szCs w:val="28"/>
          <w:lang w:val="en-US"/>
        </w:rPr>
        <w:t>(1983)</w:t>
      </w:r>
      <w:r w:rsidR="004475CD">
        <w:rPr>
          <w:rFonts w:ascii="Arial" w:hAnsi="Arial" w:cs="Arial"/>
          <w:sz w:val="28"/>
          <w:szCs w:val="28"/>
          <w:lang w:val="en-US"/>
        </w:rPr>
        <w:t xml:space="preserve"> Queen’s Bench Division, case 233. </w:t>
      </w:r>
      <w:r w:rsidR="004475CD">
        <w:rPr>
          <w:rFonts w:ascii="Arial" w:hAnsi="Arial" w:cs="Arial"/>
          <w:i/>
          <w:iCs/>
          <w:sz w:val="28"/>
          <w:szCs w:val="28"/>
          <w:lang w:val="en-US"/>
        </w:rPr>
        <w:t xml:space="preserve">Westlaw Edge UK </w:t>
      </w:r>
      <w:r w:rsidR="004475CD">
        <w:rPr>
          <w:rFonts w:ascii="Arial" w:hAnsi="Arial" w:cs="Arial"/>
          <w:sz w:val="28"/>
          <w:szCs w:val="28"/>
          <w:lang w:val="en-US"/>
        </w:rPr>
        <w:t xml:space="preserve">[Online] Available at: </w:t>
      </w:r>
      <w:hyperlink r:id="rId32" w:history="1">
        <w:r w:rsidR="004475CD" w:rsidRPr="00D47072">
          <w:rPr>
            <w:rStyle w:val="Hyperlink"/>
            <w:rFonts w:ascii="Arial" w:hAnsi="Arial" w:cs="Arial"/>
            <w:sz w:val="28"/>
            <w:szCs w:val="28"/>
            <w:lang w:val="en-US"/>
          </w:rPr>
          <w:t>https://uk.westlaw.com/Document/I646D9100E43611DA8FC2A0F0355337E9/View/FullText.html</w:t>
        </w:r>
      </w:hyperlink>
      <w:proofErr w:type="gramStart"/>
      <w:r w:rsidR="004475CD" w:rsidRPr="004475CD">
        <w:rPr>
          <w:rFonts w:ascii="Arial" w:hAnsi="Arial" w:cs="Arial"/>
          <w:sz w:val="28"/>
          <w:szCs w:val="28"/>
          <w:lang w:val="en-US"/>
        </w:rPr>
        <w:t>?</w:t>
      </w:r>
      <w:r w:rsidR="004475CD">
        <w:rPr>
          <w:rFonts w:ascii="Arial" w:hAnsi="Arial" w:cs="Arial"/>
          <w:sz w:val="28"/>
          <w:szCs w:val="28"/>
          <w:lang w:val="en-US"/>
        </w:rPr>
        <w:t xml:space="preserve"> .</w:t>
      </w:r>
      <w:proofErr w:type="gramEnd"/>
      <w:r w:rsidR="004475CD">
        <w:rPr>
          <w:rFonts w:ascii="Arial" w:hAnsi="Arial" w:cs="Arial"/>
          <w:sz w:val="28"/>
          <w:szCs w:val="28"/>
          <w:lang w:val="en-US"/>
        </w:rPr>
        <w:t xml:space="preserve"> (Accessed: 3 January 2022).</w:t>
      </w:r>
    </w:p>
    <w:p w14:paraId="0EF7F966" w14:textId="314CD28D" w:rsidR="00F41161" w:rsidRDefault="00F41161" w:rsidP="004440B9">
      <w:pPr>
        <w:spacing w:line="480" w:lineRule="auto"/>
        <w:rPr>
          <w:rFonts w:ascii="Arial" w:hAnsi="Arial" w:cs="Arial"/>
          <w:i/>
          <w:iCs/>
          <w:sz w:val="28"/>
          <w:szCs w:val="28"/>
          <w:lang w:val="en-US"/>
        </w:rPr>
      </w:pPr>
    </w:p>
    <w:p w14:paraId="6B3642F6" w14:textId="77777777" w:rsidR="004475CD" w:rsidRDefault="004475CD" w:rsidP="004440B9">
      <w:pPr>
        <w:spacing w:line="480" w:lineRule="auto"/>
        <w:rPr>
          <w:rFonts w:ascii="Arial" w:hAnsi="Arial" w:cs="Arial"/>
          <w:i/>
          <w:iCs/>
          <w:sz w:val="28"/>
          <w:szCs w:val="28"/>
          <w:lang w:val="en-US"/>
        </w:rPr>
      </w:pPr>
    </w:p>
    <w:p w14:paraId="723E7A38" w14:textId="475764BE" w:rsidR="00F41161" w:rsidRDefault="00F41161" w:rsidP="004440B9">
      <w:pPr>
        <w:spacing w:line="480" w:lineRule="auto"/>
        <w:rPr>
          <w:rFonts w:ascii="Arial" w:hAnsi="Arial" w:cs="Arial"/>
          <w:sz w:val="28"/>
          <w:szCs w:val="28"/>
          <w:lang w:val="en-US"/>
        </w:rPr>
      </w:pPr>
      <w:r>
        <w:rPr>
          <w:rFonts w:ascii="Arial" w:hAnsi="Arial" w:cs="Arial"/>
          <w:i/>
          <w:iCs/>
          <w:sz w:val="28"/>
          <w:szCs w:val="28"/>
          <w:lang w:val="en-US"/>
        </w:rPr>
        <w:t xml:space="preserve">‘Holland v Hodgson’ </w:t>
      </w:r>
      <w:r>
        <w:rPr>
          <w:rFonts w:ascii="Arial" w:hAnsi="Arial" w:cs="Arial"/>
          <w:sz w:val="28"/>
          <w:szCs w:val="28"/>
          <w:lang w:val="en-US"/>
        </w:rPr>
        <w:t xml:space="preserve">(1872) Court of Exchequer Chamber, case 328.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3" w:history="1">
        <w:r w:rsidRPr="00D47072">
          <w:rPr>
            <w:rStyle w:val="Hyperlink"/>
            <w:rFonts w:ascii="Arial" w:hAnsi="Arial" w:cs="Arial"/>
            <w:sz w:val="28"/>
            <w:szCs w:val="28"/>
            <w:lang w:val="en-US"/>
          </w:rPr>
          <w:t>https://uk.westlaw.com/Document/IC2CC0920E42711DA8FC2A0F0355337E9/View/FullText.html</w:t>
        </w:r>
      </w:hyperlink>
      <w:r>
        <w:rPr>
          <w:rFonts w:ascii="Arial" w:hAnsi="Arial" w:cs="Arial"/>
          <w:sz w:val="28"/>
          <w:szCs w:val="28"/>
          <w:lang w:val="en-US"/>
        </w:rPr>
        <w:t xml:space="preserve"> . (Accessed: 2 January 2022). </w:t>
      </w:r>
    </w:p>
    <w:p w14:paraId="17C95B5A" w14:textId="7AC20637" w:rsidR="00F41161" w:rsidRDefault="00F41161" w:rsidP="004440B9">
      <w:pPr>
        <w:spacing w:line="480" w:lineRule="auto"/>
        <w:rPr>
          <w:rFonts w:ascii="Arial" w:hAnsi="Arial" w:cs="Arial"/>
          <w:sz w:val="28"/>
          <w:szCs w:val="28"/>
          <w:lang w:val="en-US"/>
        </w:rPr>
      </w:pPr>
    </w:p>
    <w:p w14:paraId="00756631" w14:textId="77777777" w:rsidR="00F41161" w:rsidRPr="00F41161" w:rsidRDefault="00F41161" w:rsidP="004440B9">
      <w:pPr>
        <w:spacing w:line="480" w:lineRule="auto"/>
        <w:rPr>
          <w:rFonts w:ascii="Arial" w:hAnsi="Arial" w:cs="Arial"/>
          <w:sz w:val="28"/>
          <w:szCs w:val="28"/>
          <w:lang w:val="en-US"/>
        </w:rPr>
      </w:pPr>
    </w:p>
    <w:p w14:paraId="4A047A72" w14:textId="37545324" w:rsidR="00A90A41" w:rsidRDefault="00A90A41" w:rsidP="004440B9">
      <w:pPr>
        <w:spacing w:line="480" w:lineRule="auto"/>
        <w:rPr>
          <w:rFonts w:ascii="Arial" w:hAnsi="Arial" w:cs="Arial"/>
          <w:sz w:val="28"/>
          <w:szCs w:val="28"/>
          <w:lang w:val="en-US"/>
        </w:rPr>
      </w:pPr>
      <w:r>
        <w:rPr>
          <w:rFonts w:ascii="Arial" w:hAnsi="Arial" w:cs="Arial"/>
          <w:i/>
          <w:iCs/>
          <w:sz w:val="28"/>
          <w:szCs w:val="28"/>
          <w:lang w:val="en-US"/>
        </w:rPr>
        <w:t xml:space="preserve">‘Lord Bernstein v </w:t>
      </w:r>
      <w:proofErr w:type="spellStart"/>
      <w:r>
        <w:rPr>
          <w:rFonts w:ascii="Arial" w:hAnsi="Arial" w:cs="Arial"/>
          <w:i/>
          <w:iCs/>
          <w:sz w:val="28"/>
          <w:szCs w:val="28"/>
          <w:lang w:val="en-US"/>
        </w:rPr>
        <w:t>Skyviews</w:t>
      </w:r>
      <w:proofErr w:type="spellEnd"/>
      <w:r>
        <w:rPr>
          <w:rFonts w:ascii="Arial" w:hAnsi="Arial" w:cs="Arial"/>
          <w:i/>
          <w:iCs/>
          <w:sz w:val="28"/>
          <w:szCs w:val="28"/>
          <w:lang w:val="en-US"/>
        </w:rPr>
        <w:t xml:space="preserve"> and General Ltd’ </w:t>
      </w:r>
      <w:r>
        <w:rPr>
          <w:rFonts w:ascii="Arial" w:hAnsi="Arial" w:cs="Arial"/>
          <w:sz w:val="28"/>
          <w:szCs w:val="28"/>
          <w:lang w:val="en-US"/>
        </w:rPr>
        <w:t xml:space="preserve">(1977) Queen’s Bench Division, case 479.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4" w:history="1">
        <w:r w:rsidRPr="00D47072">
          <w:rPr>
            <w:rStyle w:val="Hyperlink"/>
            <w:rFonts w:ascii="Arial" w:hAnsi="Arial" w:cs="Arial"/>
            <w:sz w:val="28"/>
            <w:szCs w:val="28"/>
            <w:lang w:val="en-US"/>
          </w:rPr>
          <w:t>https://uk.westlaw.com/Document/IE3878D61E42711DA8FC2A0F0355337E9/View/FullText.html</w:t>
        </w:r>
      </w:hyperlink>
      <w:r>
        <w:rPr>
          <w:rFonts w:ascii="Arial" w:hAnsi="Arial" w:cs="Arial"/>
          <w:sz w:val="28"/>
          <w:szCs w:val="28"/>
          <w:lang w:val="en-US"/>
        </w:rPr>
        <w:t xml:space="preserve"> . (A</w:t>
      </w:r>
      <w:r w:rsidR="00EB772D">
        <w:rPr>
          <w:rFonts w:ascii="Arial" w:hAnsi="Arial" w:cs="Arial"/>
          <w:sz w:val="28"/>
          <w:szCs w:val="28"/>
          <w:lang w:val="en-US"/>
        </w:rPr>
        <w:t>c</w:t>
      </w:r>
      <w:r w:rsidR="00626EA5">
        <w:rPr>
          <w:rFonts w:ascii="Arial" w:hAnsi="Arial" w:cs="Arial"/>
          <w:sz w:val="28"/>
          <w:szCs w:val="28"/>
          <w:lang w:val="en-US"/>
        </w:rPr>
        <w:t xml:space="preserve">cessed: 1 January 2022). </w:t>
      </w:r>
    </w:p>
    <w:p w14:paraId="6939DD14" w14:textId="6BE3276C" w:rsidR="00017F76" w:rsidRDefault="00017F76" w:rsidP="004440B9">
      <w:pPr>
        <w:spacing w:line="480" w:lineRule="auto"/>
        <w:rPr>
          <w:rFonts w:ascii="Arial" w:hAnsi="Arial" w:cs="Arial"/>
          <w:sz w:val="28"/>
          <w:szCs w:val="28"/>
          <w:lang w:val="en-US"/>
        </w:rPr>
      </w:pPr>
    </w:p>
    <w:p w14:paraId="046C4E4D" w14:textId="2C5694A1" w:rsidR="00017F76" w:rsidRPr="008665EA" w:rsidRDefault="008665EA" w:rsidP="004440B9">
      <w:pPr>
        <w:spacing w:line="480" w:lineRule="auto"/>
        <w:rPr>
          <w:rFonts w:ascii="Arial" w:hAnsi="Arial" w:cs="Arial"/>
          <w:sz w:val="28"/>
          <w:szCs w:val="28"/>
          <w:lang w:val="en-US"/>
        </w:rPr>
      </w:pPr>
      <w:r>
        <w:rPr>
          <w:rFonts w:ascii="Arial" w:hAnsi="Arial" w:cs="Arial"/>
          <w:i/>
          <w:iCs/>
          <w:sz w:val="28"/>
          <w:szCs w:val="28"/>
          <w:lang w:val="en-US"/>
        </w:rPr>
        <w:t>‘</w:t>
      </w:r>
      <w:proofErr w:type="spellStart"/>
      <w:r>
        <w:rPr>
          <w:rFonts w:ascii="Arial" w:hAnsi="Arial" w:cs="Arial"/>
          <w:i/>
          <w:iCs/>
          <w:sz w:val="28"/>
          <w:szCs w:val="28"/>
          <w:lang w:val="en-US"/>
        </w:rPr>
        <w:t>Quennell</w:t>
      </w:r>
      <w:proofErr w:type="spellEnd"/>
      <w:r>
        <w:rPr>
          <w:rFonts w:ascii="Arial" w:hAnsi="Arial" w:cs="Arial"/>
          <w:i/>
          <w:iCs/>
          <w:sz w:val="28"/>
          <w:szCs w:val="28"/>
          <w:lang w:val="en-US"/>
        </w:rPr>
        <w:t xml:space="preserve"> v Maltby’ </w:t>
      </w:r>
      <w:r>
        <w:rPr>
          <w:rFonts w:ascii="Arial" w:hAnsi="Arial" w:cs="Arial"/>
          <w:sz w:val="28"/>
          <w:szCs w:val="28"/>
          <w:lang w:val="en-US"/>
        </w:rPr>
        <w:t xml:space="preserve">(1978) Queen’s Bench Division, case 318.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5" w:history="1">
        <w:r w:rsidRPr="00D47072">
          <w:rPr>
            <w:rStyle w:val="Hyperlink"/>
            <w:rFonts w:ascii="Arial" w:hAnsi="Arial" w:cs="Arial"/>
            <w:sz w:val="28"/>
            <w:szCs w:val="28"/>
            <w:lang w:val="en-US"/>
          </w:rPr>
          <w:t>https://uk.westlaw.com/Document/I2E41F430E42811DA8FC2A0F0355337E9/View/FullText.html</w:t>
        </w:r>
      </w:hyperlink>
      <w:r>
        <w:rPr>
          <w:rFonts w:ascii="Arial" w:hAnsi="Arial" w:cs="Arial"/>
          <w:sz w:val="28"/>
          <w:szCs w:val="28"/>
          <w:lang w:val="en-US"/>
        </w:rPr>
        <w:t xml:space="preserve"> . (Accessed: 30 December 2021). </w:t>
      </w:r>
    </w:p>
    <w:p w14:paraId="178E868A" w14:textId="77777777" w:rsidR="00AD58A3" w:rsidRDefault="00AD58A3" w:rsidP="004440B9">
      <w:pPr>
        <w:spacing w:line="480" w:lineRule="auto"/>
        <w:rPr>
          <w:rFonts w:ascii="Arial" w:hAnsi="Arial" w:cs="Arial"/>
          <w:sz w:val="28"/>
          <w:szCs w:val="28"/>
          <w:lang w:val="en-US"/>
        </w:rPr>
      </w:pPr>
    </w:p>
    <w:p w14:paraId="25F2D53B" w14:textId="696E9E8F" w:rsidR="007A0A25" w:rsidRPr="007A0A25" w:rsidRDefault="007A0A25" w:rsidP="004440B9">
      <w:pPr>
        <w:spacing w:line="480" w:lineRule="auto"/>
        <w:rPr>
          <w:rFonts w:ascii="Arial" w:hAnsi="Arial" w:cs="Arial"/>
          <w:sz w:val="28"/>
          <w:szCs w:val="28"/>
          <w:lang w:val="en-US"/>
        </w:rPr>
      </w:pPr>
      <w:r>
        <w:rPr>
          <w:rFonts w:ascii="Arial" w:hAnsi="Arial" w:cs="Arial"/>
          <w:i/>
          <w:iCs/>
          <w:sz w:val="28"/>
          <w:szCs w:val="28"/>
          <w:lang w:val="en-US"/>
        </w:rPr>
        <w:t xml:space="preserve">‘Swiss Bank Corp v Lloyds Bank Ltd’ </w:t>
      </w:r>
      <w:r>
        <w:rPr>
          <w:rFonts w:ascii="Arial" w:hAnsi="Arial" w:cs="Arial"/>
          <w:sz w:val="28"/>
          <w:szCs w:val="28"/>
          <w:lang w:val="en-US"/>
        </w:rPr>
        <w:t xml:space="preserve">(1981) House of Lords, case 584.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6" w:history="1">
        <w:r w:rsidRPr="00D47072">
          <w:rPr>
            <w:rStyle w:val="Hyperlink"/>
            <w:rFonts w:ascii="Arial" w:hAnsi="Arial" w:cs="Arial"/>
            <w:sz w:val="28"/>
            <w:szCs w:val="28"/>
            <w:lang w:val="en-US"/>
          </w:rPr>
          <w:t>https://uk.westlaw.com/Document/IC7220050E42811DA8FC2A0F0355337E9/View/FullText.html</w:t>
        </w:r>
      </w:hyperlink>
      <w:r>
        <w:rPr>
          <w:rFonts w:ascii="Arial" w:hAnsi="Arial" w:cs="Arial"/>
          <w:sz w:val="28"/>
          <w:szCs w:val="28"/>
          <w:lang w:val="en-US"/>
        </w:rPr>
        <w:t xml:space="preserve"> . (Accessed: 27 December 2021).</w:t>
      </w:r>
    </w:p>
    <w:p w14:paraId="26BBC987" w14:textId="1A1E0CC3" w:rsidR="007A0A25" w:rsidRDefault="007A0A25" w:rsidP="004440B9">
      <w:pPr>
        <w:spacing w:line="480" w:lineRule="auto"/>
        <w:rPr>
          <w:rFonts w:ascii="Arial" w:hAnsi="Arial" w:cs="Arial"/>
          <w:sz w:val="28"/>
          <w:szCs w:val="28"/>
          <w:lang w:val="en-US"/>
        </w:rPr>
      </w:pPr>
    </w:p>
    <w:p w14:paraId="15466E34" w14:textId="0EA7CEC7" w:rsidR="00B81B79" w:rsidRPr="00B81B79" w:rsidRDefault="00B81B79" w:rsidP="004440B9">
      <w:pPr>
        <w:spacing w:line="480" w:lineRule="auto"/>
        <w:rPr>
          <w:rFonts w:ascii="Arial" w:hAnsi="Arial" w:cs="Arial"/>
          <w:sz w:val="28"/>
          <w:szCs w:val="28"/>
          <w:lang w:val="en-US"/>
        </w:rPr>
      </w:pPr>
      <w:r>
        <w:rPr>
          <w:rFonts w:ascii="Arial" w:hAnsi="Arial" w:cs="Arial"/>
          <w:i/>
          <w:iCs/>
          <w:sz w:val="28"/>
          <w:szCs w:val="28"/>
          <w:lang w:val="en-US"/>
        </w:rPr>
        <w:t xml:space="preserve">‘Thakker v Northern Rock (Asset Management) Plc’ </w:t>
      </w:r>
      <w:r>
        <w:rPr>
          <w:rFonts w:ascii="Arial" w:hAnsi="Arial" w:cs="Arial"/>
          <w:sz w:val="28"/>
          <w:szCs w:val="28"/>
          <w:lang w:val="en-US"/>
        </w:rPr>
        <w:t xml:space="preserve">(2014) Queen’s Bench Division, case 2107.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7" w:history="1">
        <w:r w:rsidRPr="00D47072">
          <w:rPr>
            <w:rStyle w:val="Hyperlink"/>
            <w:rFonts w:ascii="Arial" w:hAnsi="Arial" w:cs="Arial"/>
            <w:sz w:val="28"/>
            <w:szCs w:val="28"/>
            <w:lang w:val="en-US"/>
          </w:rPr>
          <w:t>https://uk.westlaw.com/Document/I3DAF98118FB411E38982D7B8664FBD5D/View/FullText.html</w:t>
        </w:r>
      </w:hyperlink>
      <w:r>
        <w:rPr>
          <w:rFonts w:ascii="Arial" w:hAnsi="Arial" w:cs="Arial"/>
          <w:sz w:val="28"/>
          <w:szCs w:val="28"/>
          <w:lang w:val="en-US"/>
        </w:rPr>
        <w:t xml:space="preserve"> . (Accessed: 30 December 2021).</w:t>
      </w:r>
    </w:p>
    <w:p w14:paraId="44948B5C" w14:textId="77777777" w:rsidR="00B81B79" w:rsidRDefault="00B81B79" w:rsidP="004440B9">
      <w:pPr>
        <w:spacing w:line="480" w:lineRule="auto"/>
        <w:rPr>
          <w:rFonts w:ascii="Arial" w:hAnsi="Arial" w:cs="Arial"/>
          <w:sz w:val="28"/>
          <w:szCs w:val="28"/>
          <w:lang w:val="en-US"/>
        </w:rPr>
      </w:pPr>
    </w:p>
    <w:p w14:paraId="78FEA599" w14:textId="04256F5A" w:rsidR="00626EA5" w:rsidRDefault="0014330B" w:rsidP="004440B9">
      <w:pPr>
        <w:spacing w:line="480" w:lineRule="auto"/>
        <w:rPr>
          <w:rFonts w:ascii="Arial" w:hAnsi="Arial" w:cs="Arial"/>
          <w:sz w:val="28"/>
          <w:szCs w:val="28"/>
          <w:lang w:val="en-US"/>
        </w:rPr>
      </w:pPr>
      <w:r>
        <w:rPr>
          <w:rFonts w:ascii="Arial" w:hAnsi="Arial" w:cs="Arial"/>
          <w:i/>
          <w:iCs/>
          <w:sz w:val="28"/>
          <w:szCs w:val="28"/>
          <w:lang w:val="en-US"/>
        </w:rPr>
        <w:t xml:space="preserve">‘Tower Hamlets LBC v </w:t>
      </w:r>
      <w:proofErr w:type="spellStart"/>
      <w:r>
        <w:rPr>
          <w:rFonts w:ascii="Arial" w:hAnsi="Arial" w:cs="Arial"/>
          <w:i/>
          <w:iCs/>
          <w:sz w:val="28"/>
          <w:szCs w:val="28"/>
          <w:lang w:val="en-US"/>
        </w:rPr>
        <w:t>Brombley</w:t>
      </w:r>
      <w:proofErr w:type="spellEnd"/>
      <w:r>
        <w:rPr>
          <w:rFonts w:ascii="Arial" w:hAnsi="Arial" w:cs="Arial"/>
          <w:i/>
          <w:iCs/>
          <w:sz w:val="28"/>
          <w:szCs w:val="28"/>
          <w:lang w:val="en-US"/>
        </w:rPr>
        <w:t xml:space="preserve"> LBC’ </w:t>
      </w:r>
      <w:r>
        <w:rPr>
          <w:rFonts w:ascii="Arial" w:hAnsi="Arial" w:cs="Arial"/>
          <w:sz w:val="28"/>
          <w:szCs w:val="28"/>
          <w:lang w:val="en-US"/>
        </w:rPr>
        <w:t xml:space="preserve">(2015) Chancery Division, case 2271.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8" w:history="1">
        <w:r w:rsidRPr="00D47072">
          <w:rPr>
            <w:rStyle w:val="Hyperlink"/>
            <w:rFonts w:ascii="Arial" w:hAnsi="Arial" w:cs="Arial"/>
            <w:sz w:val="28"/>
            <w:szCs w:val="28"/>
            <w:lang w:val="en-US"/>
          </w:rPr>
          <w:t>https://uk.westlaw.com/Document/IC1148D0037A111E580EDC1E93B507754/View/FullText.html</w:t>
        </w:r>
      </w:hyperlink>
      <w:r>
        <w:rPr>
          <w:rFonts w:ascii="Arial" w:hAnsi="Arial" w:cs="Arial"/>
          <w:sz w:val="28"/>
          <w:szCs w:val="28"/>
          <w:lang w:val="en-US"/>
        </w:rPr>
        <w:t xml:space="preserve"> . (Accessed: 2 January 2022). </w:t>
      </w:r>
    </w:p>
    <w:p w14:paraId="2B2D7D54" w14:textId="0B2DCABF" w:rsidR="0014330B" w:rsidRDefault="0014330B" w:rsidP="004440B9">
      <w:pPr>
        <w:spacing w:line="480" w:lineRule="auto"/>
        <w:rPr>
          <w:rFonts w:ascii="Arial" w:hAnsi="Arial" w:cs="Arial"/>
          <w:sz w:val="28"/>
          <w:szCs w:val="28"/>
          <w:lang w:val="en-US"/>
        </w:rPr>
      </w:pPr>
    </w:p>
    <w:p w14:paraId="76C7C2F2" w14:textId="7C4635A4" w:rsidR="0014330B" w:rsidRDefault="00714D28" w:rsidP="004440B9">
      <w:pPr>
        <w:spacing w:line="480" w:lineRule="auto"/>
        <w:rPr>
          <w:rFonts w:ascii="Arial" w:hAnsi="Arial" w:cs="Arial"/>
          <w:sz w:val="28"/>
          <w:szCs w:val="28"/>
          <w:lang w:val="en-US"/>
        </w:rPr>
      </w:pPr>
      <w:r>
        <w:rPr>
          <w:rFonts w:ascii="Arial" w:hAnsi="Arial" w:cs="Arial"/>
          <w:i/>
          <w:iCs/>
          <w:sz w:val="28"/>
          <w:szCs w:val="28"/>
          <w:lang w:val="en-US"/>
        </w:rPr>
        <w:t xml:space="preserve">‘TSB Bank Plc v Botham’ </w:t>
      </w:r>
      <w:r>
        <w:rPr>
          <w:rFonts w:ascii="Arial" w:hAnsi="Arial" w:cs="Arial"/>
          <w:sz w:val="28"/>
          <w:szCs w:val="28"/>
          <w:lang w:val="en-US"/>
        </w:rPr>
        <w:t xml:space="preserve">(1996) Court of Appeal (Civil Division), case 470.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9" w:history="1">
        <w:r w:rsidRPr="00D47072">
          <w:rPr>
            <w:rStyle w:val="Hyperlink"/>
            <w:rFonts w:ascii="Arial" w:hAnsi="Arial" w:cs="Arial"/>
            <w:sz w:val="28"/>
            <w:szCs w:val="28"/>
            <w:lang w:val="en-US"/>
          </w:rPr>
          <w:t>https://uk.westlaw.com/Document/I76E6DDF0E42711DA8FC2A0F0355337E9/View/FullText.html</w:t>
        </w:r>
      </w:hyperlink>
      <w:r>
        <w:rPr>
          <w:rFonts w:ascii="Arial" w:hAnsi="Arial" w:cs="Arial"/>
          <w:sz w:val="28"/>
          <w:szCs w:val="28"/>
          <w:lang w:val="en-US"/>
        </w:rPr>
        <w:t xml:space="preserve"> (Accessed: 4th January 2022). </w:t>
      </w:r>
    </w:p>
    <w:p w14:paraId="2C84DBAD" w14:textId="77777777" w:rsidR="00714D28" w:rsidRDefault="00714D28" w:rsidP="004440B9">
      <w:pPr>
        <w:spacing w:line="480" w:lineRule="auto"/>
        <w:rPr>
          <w:rFonts w:ascii="Arial" w:hAnsi="Arial" w:cs="Arial"/>
          <w:sz w:val="28"/>
          <w:szCs w:val="28"/>
          <w:lang w:val="en-US"/>
        </w:rPr>
      </w:pPr>
    </w:p>
    <w:p w14:paraId="00F1E56C" w14:textId="77777777" w:rsidR="00714D28" w:rsidRPr="00714D28" w:rsidRDefault="00714D28" w:rsidP="004440B9">
      <w:pPr>
        <w:spacing w:line="480" w:lineRule="auto"/>
        <w:rPr>
          <w:rFonts w:ascii="Arial" w:hAnsi="Arial" w:cs="Arial"/>
          <w:sz w:val="28"/>
          <w:szCs w:val="28"/>
          <w:lang w:val="en-US"/>
        </w:rPr>
      </w:pPr>
    </w:p>
    <w:p w14:paraId="349DE26B" w14:textId="2803F73E" w:rsidR="0014330B" w:rsidRDefault="0014330B" w:rsidP="004440B9">
      <w:pPr>
        <w:spacing w:line="480" w:lineRule="auto"/>
        <w:rPr>
          <w:rFonts w:ascii="Arial" w:hAnsi="Arial" w:cs="Arial"/>
          <w:sz w:val="28"/>
          <w:szCs w:val="28"/>
          <w:lang w:val="en-US"/>
        </w:rPr>
      </w:pPr>
    </w:p>
    <w:p w14:paraId="3B30CD3B" w14:textId="77777777" w:rsidR="0014330B" w:rsidRPr="0014330B" w:rsidRDefault="0014330B" w:rsidP="004440B9">
      <w:pPr>
        <w:spacing w:line="480" w:lineRule="auto"/>
        <w:rPr>
          <w:rFonts w:ascii="Arial" w:hAnsi="Arial" w:cs="Arial"/>
          <w:sz w:val="28"/>
          <w:szCs w:val="28"/>
          <w:lang w:val="en-US"/>
        </w:rPr>
      </w:pPr>
    </w:p>
    <w:sectPr w:rsidR="0014330B" w:rsidRPr="0014330B">
      <w:headerReference w:type="default" r:id="rId4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4E7FB" w14:textId="77777777" w:rsidR="00C6167D" w:rsidRDefault="00C6167D" w:rsidP="00A04AAB">
      <w:r>
        <w:separator/>
      </w:r>
    </w:p>
  </w:endnote>
  <w:endnote w:type="continuationSeparator" w:id="0">
    <w:p w14:paraId="33626FF8" w14:textId="77777777" w:rsidR="00C6167D" w:rsidRDefault="00C6167D" w:rsidP="00A0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320A3" w14:textId="77777777" w:rsidR="00C6167D" w:rsidRDefault="00C6167D" w:rsidP="00A04AAB">
      <w:r>
        <w:separator/>
      </w:r>
    </w:p>
  </w:footnote>
  <w:footnote w:type="continuationSeparator" w:id="0">
    <w:p w14:paraId="2F5BD3E5" w14:textId="77777777" w:rsidR="00C6167D" w:rsidRDefault="00C6167D" w:rsidP="00A04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A1370" w14:textId="7AF5FFBF" w:rsidR="00A04AAB" w:rsidRDefault="00A04AAB">
    <w:pPr>
      <w:pStyle w:val="Header"/>
      <w:rPr>
        <w:lang w:val="en-US"/>
      </w:rPr>
    </w:pPr>
    <w:r>
      <w:rPr>
        <w:lang w:val="en-US"/>
      </w:rPr>
      <w:t xml:space="preserve">Sekou </w:t>
    </w:r>
    <w:proofErr w:type="spellStart"/>
    <w:r>
      <w:rPr>
        <w:lang w:val="en-US"/>
      </w:rPr>
      <w:t>Guilavogui</w:t>
    </w:r>
    <w:proofErr w:type="spellEnd"/>
  </w:p>
  <w:p w14:paraId="4A6140F1" w14:textId="77777777" w:rsidR="00A04AAB" w:rsidRPr="00A04AAB" w:rsidRDefault="00A04AAB">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0B9"/>
    <w:rsid w:val="000015D6"/>
    <w:rsid w:val="00017F76"/>
    <w:rsid w:val="00031736"/>
    <w:rsid w:val="00041D28"/>
    <w:rsid w:val="000453FC"/>
    <w:rsid w:val="000457D6"/>
    <w:rsid w:val="00051C69"/>
    <w:rsid w:val="00085228"/>
    <w:rsid w:val="00090828"/>
    <w:rsid w:val="000950E2"/>
    <w:rsid w:val="00095C3B"/>
    <w:rsid w:val="00096F60"/>
    <w:rsid w:val="000976BC"/>
    <w:rsid w:val="000A47B4"/>
    <w:rsid w:val="000A4EAB"/>
    <w:rsid w:val="000A513B"/>
    <w:rsid w:val="000A65AB"/>
    <w:rsid w:val="000F2180"/>
    <w:rsid w:val="00105846"/>
    <w:rsid w:val="00107349"/>
    <w:rsid w:val="00125FAA"/>
    <w:rsid w:val="00126448"/>
    <w:rsid w:val="00140CA8"/>
    <w:rsid w:val="0014330B"/>
    <w:rsid w:val="00143A57"/>
    <w:rsid w:val="00144B41"/>
    <w:rsid w:val="0014568F"/>
    <w:rsid w:val="00151092"/>
    <w:rsid w:val="001A4C1F"/>
    <w:rsid w:val="001A65F3"/>
    <w:rsid w:val="001D3ED5"/>
    <w:rsid w:val="001E6C85"/>
    <w:rsid w:val="001F2B61"/>
    <w:rsid w:val="00202B5E"/>
    <w:rsid w:val="00216B5C"/>
    <w:rsid w:val="00222B46"/>
    <w:rsid w:val="002302DF"/>
    <w:rsid w:val="002442F5"/>
    <w:rsid w:val="00257066"/>
    <w:rsid w:val="002573FA"/>
    <w:rsid w:val="00263FED"/>
    <w:rsid w:val="00275743"/>
    <w:rsid w:val="0028468C"/>
    <w:rsid w:val="002E1F15"/>
    <w:rsid w:val="002F0D73"/>
    <w:rsid w:val="003054BC"/>
    <w:rsid w:val="0035508A"/>
    <w:rsid w:val="003574D9"/>
    <w:rsid w:val="00363EB3"/>
    <w:rsid w:val="00367BF9"/>
    <w:rsid w:val="00372F24"/>
    <w:rsid w:val="0039212D"/>
    <w:rsid w:val="003929D0"/>
    <w:rsid w:val="003A1227"/>
    <w:rsid w:val="003A2518"/>
    <w:rsid w:val="003B7028"/>
    <w:rsid w:val="003D1A73"/>
    <w:rsid w:val="003D5D65"/>
    <w:rsid w:val="00430B3B"/>
    <w:rsid w:val="004440B9"/>
    <w:rsid w:val="004475CD"/>
    <w:rsid w:val="004558DD"/>
    <w:rsid w:val="00462D96"/>
    <w:rsid w:val="00477EC1"/>
    <w:rsid w:val="0048311C"/>
    <w:rsid w:val="00490303"/>
    <w:rsid w:val="004922EC"/>
    <w:rsid w:val="0049359A"/>
    <w:rsid w:val="004949C1"/>
    <w:rsid w:val="004A0789"/>
    <w:rsid w:val="004B4539"/>
    <w:rsid w:val="004C76B0"/>
    <w:rsid w:val="00511ED8"/>
    <w:rsid w:val="00513537"/>
    <w:rsid w:val="005142E2"/>
    <w:rsid w:val="00523D9C"/>
    <w:rsid w:val="005264F5"/>
    <w:rsid w:val="005268F7"/>
    <w:rsid w:val="00540D0C"/>
    <w:rsid w:val="0055069D"/>
    <w:rsid w:val="005A0C15"/>
    <w:rsid w:val="005C5060"/>
    <w:rsid w:val="005C6DB9"/>
    <w:rsid w:val="005E26EF"/>
    <w:rsid w:val="005E4096"/>
    <w:rsid w:val="005F0459"/>
    <w:rsid w:val="005F4A23"/>
    <w:rsid w:val="005F5790"/>
    <w:rsid w:val="00626EA5"/>
    <w:rsid w:val="00657893"/>
    <w:rsid w:val="00666C18"/>
    <w:rsid w:val="006727F3"/>
    <w:rsid w:val="00693C57"/>
    <w:rsid w:val="006A4427"/>
    <w:rsid w:val="006C5225"/>
    <w:rsid w:val="006D0B0E"/>
    <w:rsid w:val="006D0CAA"/>
    <w:rsid w:val="006D691A"/>
    <w:rsid w:val="006D732B"/>
    <w:rsid w:val="007017BC"/>
    <w:rsid w:val="00714D28"/>
    <w:rsid w:val="007209E0"/>
    <w:rsid w:val="00745B74"/>
    <w:rsid w:val="007525BF"/>
    <w:rsid w:val="00757ABE"/>
    <w:rsid w:val="00765184"/>
    <w:rsid w:val="00765636"/>
    <w:rsid w:val="00767577"/>
    <w:rsid w:val="00774902"/>
    <w:rsid w:val="00785965"/>
    <w:rsid w:val="00796F65"/>
    <w:rsid w:val="007A0A25"/>
    <w:rsid w:val="007A3142"/>
    <w:rsid w:val="007A3555"/>
    <w:rsid w:val="007B00D4"/>
    <w:rsid w:val="007C2866"/>
    <w:rsid w:val="007C482E"/>
    <w:rsid w:val="007D251F"/>
    <w:rsid w:val="007F0C62"/>
    <w:rsid w:val="007F2CC0"/>
    <w:rsid w:val="008214D1"/>
    <w:rsid w:val="008508CE"/>
    <w:rsid w:val="008546E4"/>
    <w:rsid w:val="008571C5"/>
    <w:rsid w:val="00861ACC"/>
    <w:rsid w:val="008665EA"/>
    <w:rsid w:val="00885DD1"/>
    <w:rsid w:val="008A2D8A"/>
    <w:rsid w:val="008A351A"/>
    <w:rsid w:val="008A39A4"/>
    <w:rsid w:val="008A5955"/>
    <w:rsid w:val="008B1C2D"/>
    <w:rsid w:val="008B4C88"/>
    <w:rsid w:val="008B58F9"/>
    <w:rsid w:val="008C3FC9"/>
    <w:rsid w:val="008D5C8E"/>
    <w:rsid w:val="008E5026"/>
    <w:rsid w:val="008F3B9E"/>
    <w:rsid w:val="008F5633"/>
    <w:rsid w:val="009062A7"/>
    <w:rsid w:val="00907DEF"/>
    <w:rsid w:val="009118FE"/>
    <w:rsid w:val="0094203B"/>
    <w:rsid w:val="00947A5F"/>
    <w:rsid w:val="00952129"/>
    <w:rsid w:val="00974539"/>
    <w:rsid w:val="009978F0"/>
    <w:rsid w:val="009A1A63"/>
    <w:rsid w:val="009A410C"/>
    <w:rsid w:val="009A619C"/>
    <w:rsid w:val="009B2EB7"/>
    <w:rsid w:val="009E331D"/>
    <w:rsid w:val="009E455A"/>
    <w:rsid w:val="00A04AAB"/>
    <w:rsid w:val="00A276DC"/>
    <w:rsid w:val="00A46A6D"/>
    <w:rsid w:val="00A56C6D"/>
    <w:rsid w:val="00A67168"/>
    <w:rsid w:val="00A75CBB"/>
    <w:rsid w:val="00A90576"/>
    <w:rsid w:val="00A90A41"/>
    <w:rsid w:val="00A96EFD"/>
    <w:rsid w:val="00AA0772"/>
    <w:rsid w:val="00AA7EF9"/>
    <w:rsid w:val="00AC47C1"/>
    <w:rsid w:val="00AD35F0"/>
    <w:rsid w:val="00AD58A3"/>
    <w:rsid w:val="00AE2A74"/>
    <w:rsid w:val="00B04A18"/>
    <w:rsid w:val="00B07576"/>
    <w:rsid w:val="00B11415"/>
    <w:rsid w:val="00B12A69"/>
    <w:rsid w:val="00B15717"/>
    <w:rsid w:val="00B276B5"/>
    <w:rsid w:val="00B35285"/>
    <w:rsid w:val="00B81B79"/>
    <w:rsid w:val="00B83BAB"/>
    <w:rsid w:val="00B95A42"/>
    <w:rsid w:val="00BB4A56"/>
    <w:rsid w:val="00BC259E"/>
    <w:rsid w:val="00BD78C7"/>
    <w:rsid w:val="00BE12C9"/>
    <w:rsid w:val="00BF32D7"/>
    <w:rsid w:val="00BF4B64"/>
    <w:rsid w:val="00C12169"/>
    <w:rsid w:val="00C1511F"/>
    <w:rsid w:val="00C25A51"/>
    <w:rsid w:val="00C26169"/>
    <w:rsid w:val="00C27EF4"/>
    <w:rsid w:val="00C30E9A"/>
    <w:rsid w:val="00C561C7"/>
    <w:rsid w:val="00C6167D"/>
    <w:rsid w:val="00C76D46"/>
    <w:rsid w:val="00CA1DEA"/>
    <w:rsid w:val="00CA5575"/>
    <w:rsid w:val="00CD3C8C"/>
    <w:rsid w:val="00CE0F13"/>
    <w:rsid w:val="00CF3875"/>
    <w:rsid w:val="00D05105"/>
    <w:rsid w:val="00D125C6"/>
    <w:rsid w:val="00D53B11"/>
    <w:rsid w:val="00D75C99"/>
    <w:rsid w:val="00D911AE"/>
    <w:rsid w:val="00D91944"/>
    <w:rsid w:val="00D9352A"/>
    <w:rsid w:val="00D947EF"/>
    <w:rsid w:val="00DD1928"/>
    <w:rsid w:val="00DD7B90"/>
    <w:rsid w:val="00DF4D15"/>
    <w:rsid w:val="00E00FC5"/>
    <w:rsid w:val="00E07CE5"/>
    <w:rsid w:val="00E16C18"/>
    <w:rsid w:val="00E16CA2"/>
    <w:rsid w:val="00E23902"/>
    <w:rsid w:val="00E35124"/>
    <w:rsid w:val="00E35C44"/>
    <w:rsid w:val="00E53B6D"/>
    <w:rsid w:val="00E70117"/>
    <w:rsid w:val="00E751AB"/>
    <w:rsid w:val="00E96B44"/>
    <w:rsid w:val="00EA6EC5"/>
    <w:rsid w:val="00EB772D"/>
    <w:rsid w:val="00EC5BB3"/>
    <w:rsid w:val="00EC5F38"/>
    <w:rsid w:val="00ED785D"/>
    <w:rsid w:val="00EE6832"/>
    <w:rsid w:val="00F043C2"/>
    <w:rsid w:val="00F20162"/>
    <w:rsid w:val="00F261EB"/>
    <w:rsid w:val="00F317A2"/>
    <w:rsid w:val="00F36C03"/>
    <w:rsid w:val="00F41161"/>
    <w:rsid w:val="00F71519"/>
    <w:rsid w:val="00F77B4E"/>
    <w:rsid w:val="00F81B1D"/>
    <w:rsid w:val="00F85393"/>
    <w:rsid w:val="00F875CB"/>
    <w:rsid w:val="00F968E1"/>
    <w:rsid w:val="00F96D7C"/>
    <w:rsid w:val="00FC2069"/>
    <w:rsid w:val="00FC4609"/>
    <w:rsid w:val="00FC5355"/>
    <w:rsid w:val="00FF2553"/>
  </w:rsids>
  <m:mathPr>
    <m:mathFont m:val="Cambria Math"/>
    <m:brkBin m:val="before"/>
    <m:brkBinSub m:val="--"/>
    <m:smallFrac m:val="0"/>
    <m:dispDef/>
    <m:lMargin m:val="0"/>
    <m:rMargin m:val="0"/>
    <m:defJc m:val="centerGroup"/>
    <m:wrapIndent m:val="1440"/>
    <m:intLim m:val="subSup"/>
    <m:naryLim m:val="undOvr"/>
  </m:mathPr>
  <w:themeFontLang w:val="en-GN"/>
  <w:clrSchemeMapping w:bg1="light1" w:t1="dark1" w:bg2="light2" w:t2="dark2" w:accent1="accent1" w:accent2="accent2" w:accent3="accent3" w:accent4="accent4" w:accent5="accent5" w:accent6="accent6" w:hyperlink="hyperlink" w:followedHyperlink="followedHyperlink"/>
  <w:decimalSymbol w:val=","/>
  <w:listSeparator w:val=","/>
  <w14:docId w14:val="2790A031"/>
  <w15:docId w15:val="{C795E500-5B1C-9A44-96D2-310BB9A9E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736"/>
    <w:rPr>
      <w:color w:val="0563C1" w:themeColor="hyperlink"/>
      <w:u w:val="single"/>
    </w:rPr>
  </w:style>
  <w:style w:type="character" w:styleId="UnresolvedMention">
    <w:name w:val="Unresolved Mention"/>
    <w:basedOn w:val="DefaultParagraphFont"/>
    <w:uiPriority w:val="99"/>
    <w:semiHidden/>
    <w:unhideWhenUsed/>
    <w:rsid w:val="00031736"/>
    <w:rPr>
      <w:color w:val="605E5C"/>
      <w:shd w:val="clear" w:color="auto" w:fill="E1DFDD"/>
    </w:rPr>
  </w:style>
  <w:style w:type="character" w:styleId="FollowedHyperlink">
    <w:name w:val="FollowedHyperlink"/>
    <w:basedOn w:val="DefaultParagraphFont"/>
    <w:uiPriority w:val="99"/>
    <w:semiHidden/>
    <w:unhideWhenUsed/>
    <w:rsid w:val="00D91944"/>
    <w:rPr>
      <w:color w:val="954F72" w:themeColor="followedHyperlink"/>
      <w:u w:val="single"/>
    </w:rPr>
  </w:style>
  <w:style w:type="paragraph" w:styleId="Header">
    <w:name w:val="header"/>
    <w:basedOn w:val="Normal"/>
    <w:link w:val="HeaderChar"/>
    <w:uiPriority w:val="99"/>
    <w:unhideWhenUsed/>
    <w:rsid w:val="00A04AAB"/>
    <w:pPr>
      <w:tabs>
        <w:tab w:val="center" w:pos="4680"/>
        <w:tab w:val="right" w:pos="9360"/>
      </w:tabs>
    </w:pPr>
  </w:style>
  <w:style w:type="character" w:customStyle="1" w:styleId="HeaderChar">
    <w:name w:val="Header Char"/>
    <w:basedOn w:val="DefaultParagraphFont"/>
    <w:link w:val="Header"/>
    <w:uiPriority w:val="99"/>
    <w:rsid w:val="00A04AAB"/>
  </w:style>
  <w:style w:type="paragraph" w:styleId="Footer">
    <w:name w:val="footer"/>
    <w:basedOn w:val="Normal"/>
    <w:link w:val="FooterChar"/>
    <w:uiPriority w:val="99"/>
    <w:unhideWhenUsed/>
    <w:rsid w:val="00A04AAB"/>
    <w:pPr>
      <w:tabs>
        <w:tab w:val="center" w:pos="4680"/>
        <w:tab w:val="right" w:pos="9360"/>
      </w:tabs>
    </w:pPr>
  </w:style>
  <w:style w:type="character" w:customStyle="1" w:styleId="FooterChar">
    <w:name w:val="Footer Char"/>
    <w:basedOn w:val="DefaultParagraphFont"/>
    <w:link w:val="Footer"/>
    <w:uiPriority w:val="99"/>
    <w:rsid w:val="00A04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pediaa.com/difference-between-fixtures-and-fittings/" TargetMode="External"/><Relationship Id="rId18" Type="http://schemas.openxmlformats.org/officeDocument/2006/relationships/hyperlink" Target="https://www.homeviews.com/blog/fixtures-and-fittings-a-simple-guide/" TargetMode="External"/><Relationship Id="rId26" Type="http://schemas.openxmlformats.org/officeDocument/2006/relationships/hyperlink" Target="https://uk.westlaw.com/Document/I79D1A1D0E42711DA8FC2A0F0355337E9/View/FullText.html" TargetMode="External"/><Relationship Id="rId39" Type="http://schemas.openxmlformats.org/officeDocument/2006/relationships/hyperlink" Target="https://uk.westlaw.com/Document/I76E6DDF0E42711DA8FC2A0F0355337E9/View/FullText.html" TargetMode="External"/><Relationship Id="rId21" Type="http://schemas.openxmlformats.org/officeDocument/2006/relationships/hyperlink" Target="https://www-cambridge-org.ezproxy.uwtsd.ac.uk/core/books/abs/possession-of-land/protection-of-possession/10754325F7382053392E19736980D48B" TargetMode="External"/><Relationship Id="rId34" Type="http://schemas.openxmlformats.org/officeDocument/2006/relationships/hyperlink" Target="https://uk.westlaw.com/Document/IE3878D61E42711DA8FC2A0F0355337E9/View/FullText.html" TargetMode="External"/><Relationship Id="rId42" Type="http://schemas.openxmlformats.org/officeDocument/2006/relationships/theme" Target="theme/theme1.xml"/><Relationship Id="rId7" Type="http://schemas.openxmlformats.org/officeDocument/2006/relationships/hyperlink" Target="https://www.theguardian.com/money/2001/mar/04/observercashsection.theobserver10" TargetMode="External"/><Relationship Id="rId2" Type="http://schemas.openxmlformats.org/officeDocument/2006/relationships/settings" Target="settings.xml"/><Relationship Id="rId16" Type="http://schemas.openxmlformats.org/officeDocument/2006/relationships/hyperlink" Target="https://sas-space.sas.ac.uk/3422/1/McAuslan%2C_Patrick_-The_Reform_of_Mortgage_Law3.pdf" TargetMode="External"/><Relationship Id="rId20" Type="http://schemas.openxmlformats.org/officeDocument/2006/relationships/hyperlink" Target="https://www.exchangechambers.co.uk/chattels-fixtures-300-years-case-law/" TargetMode="External"/><Relationship Id="rId29" Type="http://schemas.openxmlformats.org/officeDocument/2006/relationships/hyperlink" Target="https://uk.westlaw.com/Document/I93B06780E42711DA8FC2A0F0355337E9/View/FullText.html"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ambridge-org.ezproxy.uwtsd.ac.uk/core/journals/legal-studies/article/law-of-fixtures-and-chattels-recalibration-rationalisation-and-reform/EE9FDF059B385809C97DC5EC6B8BCD75" TargetMode="External"/><Relationship Id="rId11" Type="http://schemas.openxmlformats.org/officeDocument/2006/relationships/hyperlink" Target="https://www.cambridge.org/core/journals/legal-studies/article/abs/mortgage-default-possession-relief-and-judicial-discretion/7347ED54E1F9DB8D61489B699B30A7D0" TargetMode="External"/><Relationship Id="rId24" Type="http://schemas.openxmlformats.org/officeDocument/2006/relationships/hyperlink" Target="https://uk.westlaw.com/Document/I3804B350E43611DA8FC2A0F0355337E9/View/FullText.html" TargetMode="External"/><Relationship Id="rId32" Type="http://schemas.openxmlformats.org/officeDocument/2006/relationships/hyperlink" Target="https://uk.westlaw.com/Document/I646D9100E43611DA8FC2A0F0355337E9/View/FullText.html" TargetMode="External"/><Relationship Id="rId37" Type="http://schemas.openxmlformats.org/officeDocument/2006/relationships/hyperlink" Target="https://uk.westlaw.com/Document/I3DAF98118FB411E38982D7B8664FBD5D/View/FullText.html"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maggiesovenservices.co.uk/blog/fixtures-or-fittings-property-contents-form-explained/" TargetMode="External"/><Relationship Id="rId23" Type="http://schemas.openxmlformats.org/officeDocument/2006/relationships/hyperlink" Target="https://uk.westlaw.com/Document/I5455FD70E42711DA8FC2A0F0355337E9/View/FullText.html" TargetMode="External"/><Relationship Id="rId28" Type="http://schemas.openxmlformats.org/officeDocument/2006/relationships/hyperlink" Target="https://uk.westlaw.com/Document/I86667510E42711DA8FC2A0F0355337E9/View/FullText.html" TargetMode="External"/><Relationship Id="rId36" Type="http://schemas.openxmlformats.org/officeDocument/2006/relationships/hyperlink" Target="https://uk.westlaw.com/Document/IC7220050E42811DA8FC2A0F0355337E9/View/FullText.html" TargetMode="External"/><Relationship Id="rId10" Type="http://schemas.openxmlformats.org/officeDocument/2006/relationships/hyperlink" Target="https://www-cambridge-org.ezproxy.uwtsd.ac.uk/core/journals/cambridge-law-journal/article/mortgagepower-of-salepossession/132C700BD6F0C35ECB3305F09F76697D#" TargetMode="External"/><Relationship Id="rId19" Type="http://schemas.openxmlformats.org/officeDocument/2006/relationships/hyperlink" Target="https://www-jstor-org.ezproxy.uwtsd.ac.uk/stable/1092792?Search=yes&amp;resultItemClick=true&amp;searchText=what+is+a+mortgage&amp;searchUri=%2Facti&amp;seq=1#metadata_info_tab_contents" TargetMode="External"/><Relationship Id="rId31" Type="http://schemas.openxmlformats.org/officeDocument/2006/relationships/hyperlink" Target="https://uk.westlaw.com/Document/IA8B802A1E42711DA8FC2A0F0355337E9/View/FullText.html" TargetMode="External"/><Relationship Id="rId4" Type="http://schemas.openxmlformats.org/officeDocument/2006/relationships/footnotes" Target="footnotes.xml"/><Relationship Id="rId9" Type="http://schemas.openxmlformats.org/officeDocument/2006/relationships/hyperlink" Target="https://www.ft.com/content/07a9af5a-4104-11e5-9abe-5b335da3a90e" TargetMode="External"/><Relationship Id="rId14" Type="http://schemas.openxmlformats.org/officeDocument/2006/relationships/hyperlink" Target="https://www-jstor-org.ezproxy.uwtsd.ac.uk/stable/1331595?Search=yes&amp;resultItemClick=true&amp;searchText=mortgage+mortgagor&amp;searchUri=%2Facti&amp;seq=1#metadata_info_tab_contents" TargetMode="External"/><Relationship Id="rId22" Type="http://schemas.openxmlformats.org/officeDocument/2006/relationships/hyperlink" Target="https://www.hertsad.co.uk/lifestyle/property/expert-view-the-difference-between-fixtures-and-fittings-revealed-5089164" TargetMode="External"/><Relationship Id="rId27" Type="http://schemas.openxmlformats.org/officeDocument/2006/relationships/hyperlink" Target="https://uk.westlaw.com/Document/I8EDAC390E42711DA8FC2A0F0355337E9/View/FullText.html" TargetMode="External"/><Relationship Id="rId30" Type="http://schemas.openxmlformats.org/officeDocument/2006/relationships/hyperlink" Target="https://uk.westlaw.com/Document/IA0DD0DF0E42711DA8FC2A0F0355337E9/View/FullText.html" TargetMode="External"/><Relationship Id="rId35" Type="http://schemas.openxmlformats.org/officeDocument/2006/relationships/hyperlink" Target="https://uk.westlaw.com/Document/I2E41F430E42811DA8FC2A0F0355337E9/View/FullText.html" TargetMode="External"/><Relationship Id="rId8" Type="http://schemas.openxmlformats.org/officeDocument/2006/relationships/hyperlink" Target="https://www.designingbuildings.co.uk/wiki/Land_law" TargetMode="External"/><Relationship Id="rId3" Type="http://schemas.openxmlformats.org/officeDocument/2006/relationships/webSettings" Target="webSettings.xml"/><Relationship Id="rId12" Type="http://schemas.openxmlformats.org/officeDocument/2006/relationships/hyperlink" Target="https://www.shlegal.com/news/how-reasonable-do-lenders-need-to-be" TargetMode="External"/><Relationship Id="rId17" Type="http://schemas.openxmlformats.org/officeDocument/2006/relationships/hyperlink" Target="https://www.mglegal.co.uk/legal-news/buying-or-selling-a-house-welcome-to-the-great-fixtures-and-fittings-debate/" TargetMode="External"/><Relationship Id="rId25" Type="http://schemas.openxmlformats.org/officeDocument/2006/relationships/hyperlink" Target="https://uk.westlaw.com/Document/IF7C3B2705B2511E0B779B79192E7B690/View/FullText.html" TargetMode="External"/><Relationship Id="rId33" Type="http://schemas.openxmlformats.org/officeDocument/2006/relationships/hyperlink" Target="https://uk.westlaw.com/Document/IC2CC0920E42711DA8FC2A0F0355337E9/View/FullText.html" TargetMode="External"/><Relationship Id="rId38" Type="http://schemas.openxmlformats.org/officeDocument/2006/relationships/hyperlink" Target="https://uk.westlaw.com/Document/IC1148D0037A111E580EDC1E93B507754/View/FullTex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1087</TotalTime>
  <Pages>22</Pages>
  <Words>4187</Words>
  <Characters>23868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sekou guilavogui</dc:creator>
  <cp:keywords/>
  <dc:description/>
  <cp:lastModifiedBy>sekou guilavogui</cp:lastModifiedBy>
  <cp:revision>191</cp:revision>
  <dcterms:created xsi:type="dcterms:W3CDTF">2021-11-23T09:16:00Z</dcterms:created>
  <dcterms:modified xsi:type="dcterms:W3CDTF">2022-01-06T14:26:00Z</dcterms:modified>
</cp:coreProperties>
</file>