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7E79" w:rsidRPr="00C325B5" w:rsidRDefault="00FA7E79" w:rsidP="00C325B5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Brock, A., (2009) ‘Curriculum and Pedagogy of Play: A Multitude of Perspectives?’ In Brock, A.,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Dodds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S., Jarvis, P. and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Olusoga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Y., (ed.) </w:t>
      </w:r>
      <w:r w:rsidRPr="00C325B5">
        <w:rPr>
          <w:rFonts w:ascii="Times New Roman" w:hAnsi="Times New Roman"/>
          <w:i/>
          <w:color w:val="000000" w:themeColor="text1"/>
          <w:sz w:val="24"/>
          <w:szCs w:val="24"/>
        </w:rPr>
        <w:t xml:space="preserve">Perspectives on Play Learning for Life,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>Harlow: Pearson, pp. 67- 93</w:t>
      </w:r>
    </w:p>
    <w:p w:rsidR="000E1842" w:rsidRPr="00C325B5" w:rsidRDefault="000E1842" w:rsidP="00C325B5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Chazan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S. (2002)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Profiles of play: Assessing and observing structure and process in play therapy. </w:t>
      </w:r>
      <w:r w:rsidRPr="00C325B5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London: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Jessica Kingsley Publishers. 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DCELLS (2008)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Framework for Children's Learning for 3 to 7-year-olds in Wales, </w:t>
      </w:r>
      <w:r w:rsidRPr="00C325B5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Cardiff: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Welsh Assembly Government. </w:t>
      </w:r>
    </w:p>
    <w:p w:rsidR="000E1842" w:rsidRPr="00C325B5" w:rsidRDefault="00C325B5" w:rsidP="00C325B5">
      <w:pPr>
        <w:autoSpaceDE w:val="0"/>
        <w:autoSpaceDN w:val="0"/>
        <w:adjustRightInd w:val="0"/>
        <w:spacing w:line="320" w:lineRule="atLeast"/>
        <w:ind w:left="567" w:hanging="567"/>
        <w:rPr>
          <w:rFonts w:ascii="Times New Roman" w:hAnsi="Times New Roman" w:cs="Times New Roman"/>
          <w:color w:val="000000" w:themeColor="text1"/>
        </w:rPr>
      </w:pPr>
      <w:proofErr w:type="spellStart"/>
      <w:r w:rsidRPr="00C325B5">
        <w:rPr>
          <w:rFonts w:ascii="Times New Roman" w:hAnsi="Times New Roman" w:cs="Times New Roman"/>
          <w:color w:val="000000" w:themeColor="text1"/>
        </w:rPr>
        <w:t>Daimond</w:t>
      </w:r>
      <w:proofErr w:type="spellEnd"/>
      <w:r w:rsidRPr="00C325B5">
        <w:rPr>
          <w:rFonts w:ascii="Times New Roman" w:hAnsi="Times New Roman" w:cs="Times New Roman"/>
          <w:color w:val="000000" w:themeColor="text1"/>
        </w:rPr>
        <w:t xml:space="preserve"> A. (2015). Effects of physical exercise on executive functions: going beyond simply moving with thought. </w:t>
      </w:r>
      <w:r w:rsidRPr="00C325B5">
        <w:rPr>
          <w:rFonts w:ascii="Times New Roman" w:hAnsi="Times New Roman" w:cs="Times New Roman"/>
          <w:i/>
          <w:iCs/>
          <w:color w:val="000000" w:themeColor="text1"/>
        </w:rPr>
        <w:t xml:space="preserve">Ann sports med res </w:t>
      </w:r>
      <w:r w:rsidRPr="00C325B5">
        <w:rPr>
          <w:rFonts w:ascii="Times New Roman" w:hAnsi="Times New Roman" w:cs="Times New Roman"/>
          <w:color w:val="000000" w:themeColor="text1"/>
        </w:rPr>
        <w:t>2(1) :1011</w:t>
      </w:r>
    </w:p>
    <w:p w:rsidR="00B73D50" w:rsidRPr="00C325B5" w:rsidRDefault="00B73D50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>Edwards, L., Bryant, A., Keegan, R., Morgan, K. and Jones, A. (2017) Definitions, Foundations and Associations of Physical Literacy: A systematic Review. Sports Med Jan 47(1):113-126</w:t>
      </w:r>
    </w:p>
    <w:p w:rsidR="00B73D50" w:rsidRPr="00C325B5" w:rsidRDefault="00B73D50" w:rsidP="00C325B5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Edwards, L., Bryant, A., Keegan, R., Morgan, K., Cooper, S. and Jones, A. (2018) </w:t>
      </w:r>
      <w:r w:rsidRPr="00C325B5">
        <w:rPr>
          <w:rFonts w:ascii="Times New Roman" w:eastAsia="Times New Roman" w:hAnsi="Times New Roman"/>
          <w:bCs/>
          <w:color w:val="000000" w:themeColor="text1"/>
          <w:kern w:val="36"/>
          <w:sz w:val="24"/>
          <w:szCs w:val="24"/>
          <w:lang w:eastAsia="en-GB"/>
        </w:rPr>
        <w:t>'Measuring' Physical Literacy and Related Constructs: A Systematic Review of Empirical Findings.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 Sports Med Mar 48(3):659-682</w:t>
      </w:r>
    </w:p>
    <w:p w:rsidR="000E1842" w:rsidRPr="00C325B5" w:rsidRDefault="000E1842" w:rsidP="00C325B5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ESTYN (2002)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>Excellent Schools: A vision for schools in Wales in 21st century,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 ESTYN. 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Gill, T. (2007)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No fear: Growing up in a risk averse society. </w:t>
      </w:r>
      <w:r w:rsidRPr="00C325B5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London: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Calouste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Gulbenkian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 Foundation. 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Gallahue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D.L., Ozmun, J.C. and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Goodway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J.D.  (2012) </w:t>
      </w:r>
      <w:r w:rsidRPr="00C325B5">
        <w:rPr>
          <w:rFonts w:ascii="Times New Roman" w:hAnsi="Times New Roman"/>
          <w:i/>
          <w:color w:val="000000" w:themeColor="text1"/>
          <w:sz w:val="24"/>
          <w:szCs w:val="24"/>
        </w:rPr>
        <w:t xml:space="preserve">Understanding Motor Development: Infants, Children, Adolescents and Adults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>(7</w:t>
      </w:r>
      <w:r w:rsidRPr="00C325B5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th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 edition), Boston: McGraw-Hill.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Goodway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J.D. and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Branta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C.F. (2003) ‘Influence of a motor skill intervention on fundamental motor skill development of disadvantaged preschool children’,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Research Quarterly for Exercise and Sport,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74(1), pp. 36-46. </w:t>
      </w:r>
    </w:p>
    <w:p w:rsidR="000E1842" w:rsidRPr="00C325B5" w:rsidRDefault="000E1842" w:rsidP="000E1842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color w:val="000000" w:themeColor="text1"/>
        </w:rPr>
      </w:pPr>
      <w:proofErr w:type="spellStart"/>
      <w:r w:rsidRPr="00C325B5">
        <w:rPr>
          <w:rFonts w:ascii="Times New Roman" w:hAnsi="Times New Roman" w:cs="Times New Roman"/>
          <w:color w:val="000000" w:themeColor="text1"/>
        </w:rPr>
        <w:t>Goodway</w:t>
      </w:r>
      <w:proofErr w:type="spellEnd"/>
      <w:r w:rsidRPr="00C325B5">
        <w:rPr>
          <w:rFonts w:ascii="Times New Roman" w:hAnsi="Times New Roman" w:cs="Times New Roman"/>
          <w:color w:val="000000" w:themeColor="text1"/>
        </w:rPr>
        <w:t xml:space="preserve">, J.D., Brian, A., Chang, S.H., </w:t>
      </w:r>
      <w:proofErr w:type="spellStart"/>
      <w:r w:rsidRPr="00C325B5">
        <w:rPr>
          <w:rFonts w:ascii="Times New Roman" w:hAnsi="Times New Roman" w:cs="Times New Roman"/>
          <w:color w:val="000000" w:themeColor="text1"/>
        </w:rPr>
        <w:t>Famelia</w:t>
      </w:r>
      <w:proofErr w:type="spellEnd"/>
      <w:r w:rsidRPr="00C325B5">
        <w:rPr>
          <w:rFonts w:ascii="Times New Roman" w:hAnsi="Times New Roman" w:cs="Times New Roman"/>
          <w:color w:val="000000" w:themeColor="text1"/>
        </w:rPr>
        <w:t xml:space="preserve">, R., </w:t>
      </w:r>
      <w:proofErr w:type="spellStart"/>
      <w:r w:rsidRPr="00C325B5">
        <w:rPr>
          <w:rFonts w:ascii="Times New Roman" w:hAnsi="Times New Roman" w:cs="Times New Roman"/>
          <w:color w:val="000000" w:themeColor="text1"/>
        </w:rPr>
        <w:t>Suda</w:t>
      </w:r>
      <w:proofErr w:type="spellEnd"/>
      <w:r w:rsidRPr="00C325B5">
        <w:rPr>
          <w:rFonts w:ascii="Times New Roman" w:hAnsi="Times New Roman" w:cs="Times New Roman"/>
          <w:color w:val="000000" w:themeColor="text1"/>
        </w:rPr>
        <w:t xml:space="preserve">, E. and Robinson, L.E. (2013), ‘Promoting Physical Literacy in the Early Years Through Project SKIP’ </w:t>
      </w:r>
      <w:r w:rsidRPr="00C325B5">
        <w:rPr>
          <w:rFonts w:ascii="Times New Roman" w:hAnsi="Times New Roman" w:cs="Times New Roman"/>
          <w:i/>
          <w:iCs/>
          <w:color w:val="000000" w:themeColor="text1"/>
        </w:rPr>
        <w:t xml:space="preserve">ICSSPE Bulletin - Journal of Sport Science and Physical Education, </w:t>
      </w:r>
      <w:r w:rsidRPr="00C325B5">
        <w:rPr>
          <w:rFonts w:ascii="Times New Roman" w:hAnsi="Times New Roman" w:cs="Times New Roman"/>
          <w:color w:val="000000" w:themeColor="text1"/>
        </w:rPr>
        <w:t>vol. 65, pp. 121-129.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Goodway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J.D., Crowe, H. and Ward, P. (2003) ‘Effects of Motor Skill Instruction of Fundamental Motor Skill Development’,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Adapted Physical Activity Quarterly,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20(3), pp. 298-314. 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Goodway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J.D. and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Rudisill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M.E. (1997) ‘Perceived physical competence and actual motor skill competence of African American preschool children’, 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Adapted Physical Activity Quarterly,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vol. 14, pp. 314-326. 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Goodway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J.D., Savage, H. and Ward,  P. (2003) ‘Effects of motor skill instruction on fundamental motor skill development. </w:t>
      </w:r>
      <w:r w:rsidRPr="00C325B5">
        <w:rPr>
          <w:rFonts w:ascii="Times New Roman" w:hAnsi="Times New Roman"/>
          <w:i/>
          <w:color w:val="000000" w:themeColor="text1"/>
          <w:sz w:val="24"/>
          <w:szCs w:val="24"/>
        </w:rPr>
        <w:t xml:space="preserve">Adapted Physical Activity Quarterly,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20, 298-314. 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Harter, S. and Pike, R. (1984) ‘The pictorial scale of perceived competence and social acceptance for young children’,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>Child development,</w:t>
      </w:r>
      <w:r w:rsidRPr="00C325B5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55(6)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pp. 1969-1982. </w:t>
      </w:r>
    </w:p>
    <w:p w:rsidR="00FA7E79" w:rsidRPr="00C325B5" w:rsidRDefault="000E1842" w:rsidP="00C325B5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Haywood, K. and Getchell, N. (2009)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Life span motor development, </w:t>
      </w:r>
      <w:r w:rsidRPr="00C325B5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Champaign, IL: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Human Kinetics. </w:t>
      </w:r>
    </w:p>
    <w:p w:rsidR="00FA7E79" w:rsidRPr="00C325B5" w:rsidRDefault="00FA7E79" w:rsidP="00FA7E79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Howard, J. and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McInnes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>, K. (2010) ‘</w:t>
      </w:r>
      <w:r w:rsidRPr="00C325B5">
        <w:rPr>
          <w:rFonts w:ascii="Times New Roman" w:hAnsi="Times New Roman"/>
          <w:iCs/>
          <w:color w:val="000000" w:themeColor="text1"/>
          <w:sz w:val="24"/>
          <w:szCs w:val="24"/>
        </w:rPr>
        <w:t>Thinking Through the Challenge of a play-based curriculum, increasing playfulness via co-construction’,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 in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Moyles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>, J.R. (ed.)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Thinking about play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Berkshire: Open University Press. </w:t>
      </w:r>
    </w:p>
    <w:p w:rsidR="00FA7E79" w:rsidRPr="00C325B5" w:rsidRDefault="00FA7E79" w:rsidP="00FA7E79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Howard, J. (2002) ‘Eliciting young children's perceptions of play, work and learning using the activity apperception story procedure’,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Early Child Development and Care,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172(5), pp. 489-502. </w:t>
      </w:r>
    </w:p>
    <w:p w:rsidR="00FA7E79" w:rsidRPr="00C325B5" w:rsidRDefault="00C325B5" w:rsidP="00C325B5">
      <w:pPr>
        <w:autoSpaceDE w:val="0"/>
        <w:autoSpaceDN w:val="0"/>
        <w:adjustRightInd w:val="0"/>
        <w:spacing w:line="320" w:lineRule="atLeast"/>
        <w:ind w:left="426" w:hanging="426"/>
        <w:rPr>
          <w:rFonts w:ascii="Times New Roman" w:hAnsi="Times New Roman" w:cs="Times New Roman"/>
          <w:color w:val="000000" w:themeColor="text1"/>
        </w:rPr>
      </w:pPr>
      <w:r w:rsidRPr="00C325B5">
        <w:rPr>
          <w:rFonts w:ascii="Times New Roman" w:hAnsi="Times New Roman" w:cs="Times New Roman"/>
          <w:color w:val="000000" w:themeColor="text1"/>
        </w:rPr>
        <w:t>Iverson JM (2010) Developing Language in a developing body: the relationship between motor development and language development</w:t>
      </w:r>
      <w:r w:rsidRPr="00C325B5">
        <w:rPr>
          <w:rFonts w:ascii="Times New Roman" w:hAnsi="Times New Roman" w:cs="Times New Roman"/>
          <w:i/>
          <w:iCs/>
          <w:color w:val="000000" w:themeColor="text1"/>
        </w:rPr>
        <w:t>. J Child Lang 37(02) 229-61</w:t>
      </w:r>
    </w:p>
    <w:p w:rsidR="000E1842" w:rsidRPr="00C325B5" w:rsidRDefault="000E1842" w:rsidP="000E1842">
      <w:pPr>
        <w:ind w:left="567" w:hanging="567"/>
        <w:rPr>
          <w:rFonts w:ascii="Times New Roman" w:hAnsi="Times New Roman" w:cs="Times New Roman"/>
          <w:color w:val="000000" w:themeColor="text1"/>
        </w:rPr>
      </w:pPr>
      <w:r w:rsidRPr="00C325B5">
        <w:rPr>
          <w:rFonts w:ascii="Times New Roman" w:hAnsi="Times New Roman" w:cs="Times New Roman"/>
          <w:color w:val="000000" w:themeColor="text1"/>
        </w:rPr>
        <w:t xml:space="preserve">Kirby, A. and Drew, S. (2003) </w:t>
      </w:r>
      <w:r w:rsidRPr="00C325B5">
        <w:rPr>
          <w:rFonts w:ascii="Times New Roman" w:hAnsi="Times New Roman" w:cs="Times New Roman"/>
          <w:i/>
          <w:color w:val="000000" w:themeColor="text1"/>
        </w:rPr>
        <w:t xml:space="preserve">Guide to Dyspraxia and Developmental Coordination Disorder.  </w:t>
      </w:r>
      <w:r w:rsidRPr="00C325B5">
        <w:rPr>
          <w:rFonts w:ascii="Times New Roman" w:hAnsi="Times New Roman" w:cs="Times New Roman"/>
          <w:color w:val="000000" w:themeColor="text1"/>
        </w:rPr>
        <w:t>London: David Fulton Publishers.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lastRenderedPageBreak/>
        <w:t>Laevers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F. (1997) ‘Assessing the quality of childcare provision: “Involvement” as criterion’,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Researching Early Childhood,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vol. 3, pp. 151-165. 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Laevers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F. (1994b) </w:t>
      </w:r>
      <w:r w:rsidRPr="00C325B5">
        <w:rPr>
          <w:rFonts w:ascii="Times New Roman" w:hAnsi="Times New Roman"/>
          <w:i/>
          <w:color w:val="000000" w:themeColor="text1"/>
          <w:sz w:val="24"/>
          <w:szCs w:val="24"/>
        </w:rPr>
        <w:t>The Leuven Involvement Scale for Young Children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. Oxford: </w:t>
      </w:r>
      <w:r w:rsidRPr="00C325B5">
        <w:rPr>
          <w:rFonts w:ascii="Times New Roman" w:hAnsi="Times New Roman"/>
          <w:iCs/>
          <w:color w:val="000000" w:themeColor="text1"/>
          <w:sz w:val="24"/>
          <w:szCs w:val="24"/>
        </w:rPr>
        <w:t>Gecko publishing.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Louv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R. (2008)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Last child in the woods: Saving our children from nature-deficit disorder, </w:t>
      </w:r>
      <w:r w:rsidRPr="00C325B5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Chapel Hill, NC: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Algonquin Books. 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Macdonald, D. (2003) ‘Curriculum change and the post-modern world: Is the school curriculum-reform movement an anachronism?’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Journal of Curriculum Studies,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35(2), pp. 139-149. </w:t>
      </w:r>
    </w:p>
    <w:p w:rsidR="00B73D50" w:rsidRPr="00C325B5" w:rsidRDefault="00FA7E79" w:rsidP="00C325B5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Mandigo</w:t>
      </w:r>
      <w:proofErr w:type="spellEnd"/>
      <w:r w:rsidR="00B73D50"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J., Francis, N., </w:t>
      </w:r>
      <w:proofErr w:type="spellStart"/>
      <w:r w:rsidR="00B73D50" w:rsidRPr="00C325B5">
        <w:rPr>
          <w:rFonts w:ascii="Times New Roman" w:hAnsi="Times New Roman"/>
          <w:color w:val="000000" w:themeColor="text1"/>
          <w:sz w:val="24"/>
          <w:szCs w:val="24"/>
        </w:rPr>
        <w:t>Lodewyk</w:t>
      </w:r>
      <w:proofErr w:type="spellEnd"/>
      <w:r w:rsidR="00B73D50"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K and Lopez, R (2009) </w:t>
      </w:r>
      <w:r w:rsidR="00B73D50" w:rsidRPr="00C325B5">
        <w:rPr>
          <w:rFonts w:ascii="Times New Roman" w:hAnsi="Times New Roman"/>
          <w:i/>
          <w:color w:val="000000" w:themeColor="text1"/>
          <w:sz w:val="24"/>
          <w:szCs w:val="24"/>
        </w:rPr>
        <w:t xml:space="preserve">Physical Health Education Canada: Position paper- Physical literacy for educators. </w:t>
      </w:r>
      <w:r w:rsidR="00B73D50"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Retrieved from </w:t>
      </w:r>
      <w:hyperlink r:id="rId4" w:history="1">
        <w:r w:rsidR="00B73D50" w:rsidRPr="00C325B5">
          <w:rPr>
            <w:rStyle w:val="Hyperlink"/>
            <w:rFonts w:ascii="Times New Roman" w:hAnsi="Times New Roman"/>
            <w:color w:val="000000" w:themeColor="text1"/>
            <w:sz w:val="24"/>
            <w:szCs w:val="24"/>
          </w:rPr>
          <w:t>https://www.phecanada.ca/sites/default/files/pl_position_paper.pdf</w:t>
        </w:r>
      </w:hyperlink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Maynard, T. (2007) ‘Encounters with Forest School and Foucault: a risky business?’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Education 3–13,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35(4), pp. 379-391. 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>Maude, P. (2010) ‘Physical literacy and the young child’,</w:t>
      </w:r>
      <w:r w:rsidRPr="00C325B5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in Whitehead, M.E. (ed.), </w:t>
      </w:r>
      <w:r w:rsidRPr="00C325B5">
        <w:rPr>
          <w:rFonts w:ascii="Times New Roman" w:hAnsi="Times New Roman"/>
          <w:i/>
          <w:color w:val="000000" w:themeColor="text1"/>
          <w:sz w:val="24"/>
          <w:szCs w:val="24"/>
        </w:rPr>
        <w:t xml:space="preserve">Physical literacy throughout the </w:t>
      </w:r>
      <w:proofErr w:type="spellStart"/>
      <w:r w:rsidRPr="00C325B5">
        <w:rPr>
          <w:rFonts w:ascii="Times New Roman" w:hAnsi="Times New Roman"/>
          <w:i/>
          <w:color w:val="000000" w:themeColor="text1"/>
          <w:sz w:val="24"/>
          <w:szCs w:val="24"/>
        </w:rPr>
        <w:t>lifecourse</w:t>
      </w:r>
      <w:proofErr w:type="spellEnd"/>
      <w:r w:rsidRPr="00C325B5">
        <w:rPr>
          <w:rFonts w:ascii="Times New Roman" w:hAnsi="Times New Roman"/>
          <w:i/>
          <w:color w:val="000000" w:themeColor="text1"/>
          <w:sz w:val="24"/>
          <w:szCs w:val="24"/>
        </w:rPr>
        <w:t xml:space="preserve">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>London: Routledge.</w:t>
      </w:r>
    </w:p>
    <w:p w:rsidR="00FA7E79" w:rsidRPr="00C325B5" w:rsidRDefault="00FA7E79" w:rsidP="00C325B5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McInnes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K., Howard, J., Miles, G. and Crowley, K. (2011) ‘Differences in practitioners’ understanding of play and how this influences pedagogy and children’s perceptions of play’,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Early Years,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31(2), pp. 121-133. 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Merleau-Ponty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M. (1962) </w:t>
      </w:r>
      <w:r w:rsidRPr="00C325B5">
        <w:rPr>
          <w:rFonts w:ascii="Times New Roman" w:hAnsi="Times New Roman"/>
          <w:i/>
          <w:color w:val="000000" w:themeColor="text1"/>
          <w:sz w:val="24"/>
          <w:szCs w:val="24"/>
        </w:rPr>
        <w:t xml:space="preserve">Phenomenology of perception: An introduction,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London: Routledge. </w:t>
      </w:r>
    </w:p>
    <w:p w:rsidR="00FA7E79" w:rsidRPr="00C325B5" w:rsidRDefault="00FA7E79" w:rsidP="00C325B5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Moyles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J. (2010)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The excellence of play,  </w:t>
      </w:r>
      <w:r w:rsidRPr="00C325B5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New York: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McGraw-Hill International. </w:t>
      </w:r>
    </w:p>
    <w:p w:rsidR="00FA7E79" w:rsidRPr="00C325B5" w:rsidRDefault="00FA7E79" w:rsidP="00FA7E79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Pellegrini, A.D. (1991) </w:t>
      </w:r>
      <w:r w:rsidRPr="00C325B5">
        <w:rPr>
          <w:rFonts w:ascii="Times New Roman" w:hAnsi="Times New Roman"/>
          <w:i/>
          <w:color w:val="000000" w:themeColor="text1"/>
          <w:sz w:val="24"/>
          <w:szCs w:val="24"/>
        </w:rPr>
        <w:t>Applied child study,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 Hillsdale, NJ: Lawrence Erlbaum.</w:t>
      </w:r>
    </w:p>
    <w:p w:rsidR="00FA7E79" w:rsidRPr="00C325B5" w:rsidRDefault="00FA7E79" w:rsidP="00C325B5">
      <w:pPr>
        <w:ind w:left="567" w:hanging="567"/>
        <w:rPr>
          <w:rFonts w:ascii="Times New Roman" w:hAnsi="Times New Roman" w:cs="Times New Roman"/>
          <w:color w:val="000000" w:themeColor="text1"/>
        </w:rPr>
      </w:pPr>
      <w:r w:rsidRPr="00C325B5">
        <w:rPr>
          <w:rFonts w:ascii="Times New Roman" w:hAnsi="Times New Roman" w:cs="Times New Roman"/>
          <w:color w:val="000000" w:themeColor="text1"/>
        </w:rPr>
        <w:t xml:space="preserve">Piaget, J. (1951) </w:t>
      </w:r>
      <w:r w:rsidRPr="00C325B5">
        <w:rPr>
          <w:rFonts w:ascii="Times New Roman" w:hAnsi="Times New Roman" w:cs="Times New Roman"/>
          <w:i/>
          <w:color w:val="000000" w:themeColor="text1"/>
        </w:rPr>
        <w:t>Play, dreams and imitation in childhood</w:t>
      </w:r>
      <w:r w:rsidRPr="00C325B5">
        <w:rPr>
          <w:rFonts w:ascii="Times New Roman" w:hAnsi="Times New Roman" w:cs="Times New Roman"/>
          <w:color w:val="000000" w:themeColor="text1"/>
        </w:rPr>
        <w:t>, London: William Heinemann.</w:t>
      </w:r>
    </w:p>
    <w:p w:rsidR="00FA7E79" w:rsidRPr="00C325B5" w:rsidRDefault="00FA7E79" w:rsidP="00C325B5">
      <w:pPr>
        <w:ind w:left="567" w:hanging="567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C325B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Rubin, K.H., Fein, G., &amp; Vandenberg, B. (1983). Play. In E.M. Hetherington (Ed.), Handbook of child psychology: Vol 4. Socialization, personality, and social development. New York: Wiley. </w:t>
      </w:r>
    </w:p>
    <w:p w:rsidR="00FA7E79" w:rsidRPr="00C325B5" w:rsidRDefault="00FA7E79" w:rsidP="00571DC0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Sandberg, A. and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Heden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R. (2011) ‘Play's importance in school’, 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Education 3–13,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39(3), pp. 317-329. </w:t>
      </w:r>
    </w:p>
    <w:p w:rsidR="000E1842" w:rsidRPr="00C325B5" w:rsidRDefault="000E1842" w:rsidP="00571DC0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color w:val="000000" w:themeColor="text1"/>
        </w:rPr>
      </w:pPr>
      <w:proofErr w:type="spellStart"/>
      <w:r w:rsidRPr="00C325B5">
        <w:rPr>
          <w:rFonts w:ascii="Times New Roman" w:hAnsi="Times New Roman" w:cs="Times New Roman"/>
          <w:color w:val="000000" w:themeColor="text1"/>
        </w:rPr>
        <w:t>Seedfelt</w:t>
      </w:r>
      <w:proofErr w:type="spellEnd"/>
      <w:r w:rsidRPr="00C325B5">
        <w:rPr>
          <w:rFonts w:ascii="Times New Roman" w:hAnsi="Times New Roman" w:cs="Times New Roman"/>
          <w:color w:val="000000" w:themeColor="text1"/>
        </w:rPr>
        <w:t xml:space="preserve">, V. (1980) ‘The concepts of readiness applied to motor skill acquisition’, in Magill, R.A., Ash, M.J. and </w:t>
      </w:r>
      <w:proofErr w:type="spellStart"/>
      <w:r w:rsidRPr="00C325B5">
        <w:rPr>
          <w:rFonts w:ascii="Times New Roman" w:hAnsi="Times New Roman" w:cs="Times New Roman"/>
          <w:color w:val="000000" w:themeColor="text1"/>
        </w:rPr>
        <w:t>Smoll</w:t>
      </w:r>
      <w:proofErr w:type="spellEnd"/>
      <w:r w:rsidRPr="00C325B5">
        <w:rPr>
          <w:rFonts w:ascii="Times New Roman" w:hAnsi="Times New Roman" w:cs="Times New Roman"/>
          <w:color w:val="000000" w:themeColor="text1"/>
        </w:rPr>
        <w:t xml:space="preserve">, F.L. (ed.) </w:t>
      </w:r>
      <w:r w:rsidRPr="00C325B5">
        <w:rPr>
          <w:rFonts w:ascii="Times New Roman" w:hAnsi="Times New Roman" w:cs="Times New Roman"/>
          <w:i/>
          <w:color w:val="000000" w:themeColor="text1"/>
        </w:rPr>
        <w:t xml:space="preserve">Children in Sport, </w:t>
      </w:r>
      <w:r w:rsidRPr="00C325B5">
        <w:rPr>
          <w:rFonts w:ascii="Times New Roman" w:hAnsi="Times New Roman" w:cs="Times New Roman"/>
          <w:color w:val="000000" w:themeColor="text1"/>
        </w:rPr>
        <w:t xml:space="preserve">Champaign, IL: Human Kinetics </w:t>
      </w:r>
    </w:p>
    <w:p w:rsidR="000E1842" w:rsidRPr="00C325B5" w:rsidRDefault="000E1842" w:rsidP="000E1842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Stodden</w:t>
      </w:r>
      <w:proofErr w:type="spellEnd"/>
      <w:r w:rsidRPr="00C325B5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D.,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Goodway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J.,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Langendorfer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S.,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Roberton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M.,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Rudisill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>, M., Garcia, C., and Garcia, L. (2008</w:t>
      </w:r>
      <w:r w:rsidRPr="00C325B5">
        <w:rPr>
          <w:rFonts w:ascii="Times New Roman" w:hAnsi="Times New Roman"/>
          <w:iCs/>
          <w:color w:val="000000" w:themeColor="text1"/>
          <w:sz w:val="24"/>
          <w:szCs w:val="24"/>
        </w:rPr>
        <w:t>)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C325B5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 ‘</w:t>
      </w:r>
      <w:r w:rsidRPr="00C325B5">
        <w:rPr>
          <w:rFonts w:ascii="Times New Roman" w:hAnsi="Times New Roman"/>
          <w:iCs/>
          <w:color w:val="000000" w:themeColor="text1"/>
          <w:sz w:val="24"/>
          <w:szCs w:val="24"/>
        </w:rPr>
        <w:t>A Developmental Perspective on the Role of Motor Skill Competence in Physical Activity: An Emergent Relationship’,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Quest,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>60(2), pp.  290-306.</w:t>
      </w:r>
    </w:p>
    <w:p w:rsidR="000E1842" w:rsidRPr="00C325B5" w:rsidRDefault="00C325B5" w:rsidP="00571DC0">
      <w:pPr>
        <w:autoSpaceDE w:val="0"/>
        <w:autoSpaceDN w:val="0"/>
        <w:adjustRightInd w:val="0"/>
        <w:spacing w:line="320" w:lineRule="atLeast"/>
        <w:ind w:left="567" w:hanging="567"/>
        <w:rPr>
          <w:rFonts w:ascii="Times New Roman" w:hAnsi="Times New Roman" w:cs="Times New Roman"/>
          <w:color w:val="000000" w:themeColor="text1"/>
        </w:rPr>
      </w:pPr>
      <w:r w:rsidRPr="00C325B5">
        <w:rPr>
          <w:rFonts w:ascii="Times New Roman" w:hAnsi="Times New Roman" w:cs="Times New Roman"/>
          <w:color w:val="000000" w:themeColor="text1"/>
        </w:rPr>
        <w:t xml:space="preserve">Van der </w:t>
      </w:r>
      <w:proofErr w:type="spellStart"/>
      <w:r w:rsidRPr="00C325B5">
        <w:rPr>
          <w:rFonts w:ascii="Times New Roman" w:hAnsi="Times New Roman" w:cs="Times New Roman"/>
          <w:color w:val="000000" w:themeColor="text1"/>
        </w:rPr>
        <w:t>Fels</w:t>
      </w:r>
      <w:proofErr w:type="spellEnd"/>
      <w:r w:rsidRPr="00C325B5">
        <w:rPr>
          <w:rFonts w:ascii="Times New Roman" w:hAnsi="Times New Roman" w:cs="Times New Roman"/>
          <w:color w:val="000000" w:themeColor="text1"/>
        </w:rPr>
        <w:t xml:space="preserve"> IM, </w:t>
      </w:r>
      <w:proofErr w:type="spellStart"/>
      <w:r w:rsidRPr="00C325B5">
        <w:rPr>
          <w:rFonts w:ascii="Times New Roman" w:hAnsi="Times New Roman" w:cs="Times New Roman"/>
          <w:color w:val="000000" w:themeColor="text1"/>
        </w:rPr>
        <w:t>Te</w:t>
      </w:r>
      <w:proofErr w:type="spellEnd"/>
      <w:r w:rsidRPr="00C325B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C325B5">
        <w:rPr>
          <w:rFonts w:ascii="Times New Roman" w:hAnsi="Times New Roman" w:cs="Times New Roman"/>
          <w:color w:val="000000" w:themeColor="text1"/>
        </w:rPr>
        <w:t>Wierike</w:t>
      </w:r>
      <w:proofErr w:type="spellEnd"/>
      <w:r w:rsidRPr="00C325B5">
        <w:rPr>
          <w:rFonts w:ascii="Times New Roman" w:hAnsi="Times New Roman" w:cs="Times New Roman"/>
          <w:color w:val="000000" w:themeColor="text1"/>
        </w:rPr>
        <w:t xml:space="preserve"> SC, Hartman E, </w:t>
      </w:r>
      <w:proofErr w:type="spellStart"/>
      <w:r w:rsidRPr="00C325B5">
        <w:rPr>
          <w:rFonts w:ascii="Times New Roman" w:hAnsi="Times New Roman" w:cs="Times New Roman"/>
          <w:color w:val="000000" w:themeColor="text1"/>
        </w:rPr>
        <w:t>Elferink-Gemser</w:t>
      </w:r>
      <w:proofErr w:type="spellEnd"/>
      <w:r w:rsidRPr="00C325B5">
        <w:rPr>
          <w:rFonts w:ascii="Times New Roman" w:hAnsi="Times New Roman" w:cs="Times New Roman"/>
          <w:color w:val="000000" w:themeColor="text1"/>
        </w:rPr>
        <w:t xml:space="preserve"> MT Smith J, </w:t>
      </w:r>
      <w:proofErr w:type="spellStart"/>
      <w:r w:rsidRPr="00C325B5">
        <w:rPr>
          <w:rFonts w:ascii="Times New Roman" w:hAnsi="Times New Roman" w:cs="Times New Roman"/>
          <w:color w:val="000000" w:themeColor="text1"/>
        </w:rPr>
        <w:t>Visscher</w:t>
      </w:r>
      <w:proofErr w:type="spellEnd"/>
      <w:r w:rsidRPr="00C325B5">
        <w:rPr>
          <w:rFonts w:ascii="Times New Roman" w:hAnsi="Times New Roman" w:cs="Times New Roman"/>
          <w:color w:val="000000" w:themeColor="text1"/>
        </w:rPr>
        <w:t xml:space="preserve"> C. (2015).The relationship between motor skills and cognitive skills in 4 -16 year olds typically developing children: a systematic review. </w:t>
      </w:r>
      <w:r w:rsidRPr="00C325B5">
        <w:rPr>
          <w:rFonts w:ascii="Times New Roman" w:hAnsi="Times New Roman" w:cs="Times New Roman"/>
          <w:i/>
          <w:iCs/>
          <w:color w:val="000000" w:themeColor="text1"/>
        </w:rPr>
        <w:t xml:space="preserve">J </w:t>
      </w:r>
      <w:proofErr w:type="spellStart"/>
      <w:r w:rsidRPr="00C325B5">
        <w:rPr>
          <w:rFonts w:ascii="Times New Roman" w:hAnsi="Times New Roman" w:cs="Times New Roman"/>
          <w:i/>
          <w:iCs/>
          <w:color w:val="000000" w:themeColor="text1"/>
        </w:rPr>
        <w:t>Sci</w:t>
      </w:r>
      <w:proofErr w:type="spellEnd"/>
      <w:r w:rsidRPr="00C325B5">
        <w:rPr>
          <w:rFonts w:ascii="Times New Roman" w:hAnsi="Times New Roman" w:cs="Times New Roman"/>
          <w:i/>
          <w:iCs/>
          <w:color w:val="000000" w:themeColor="text1"/>
        </w:rPr>
        <w:t xml:space="preserve"> Med Sport 18(6) 697-703 </w:t>
      </w:r>
      <w:bookmarkStart w:id="0" w:name="_GoBack"/>
      <w:bookmarkEnd w:id="0"/>
    </w:p>
    <w:p w:rsidR="000E1842" w:rsidRPr="00C325B5" w:rsidRDefault="000E1842" w:rsidP="00C325B5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Wood, E. and </w:t>
      </w:r>
      <w:proofErr w:type="spellStart"/>
      <w:r w:rsidRPr="00C325B5">
        <w:rPr>
          <w:rFonts w:ascii="Times New Roman" w:hAnsi="Times New Roman"/>
          <w:color w:val="000000" w:themeColor="text1"/>
          <w:sz w:val="24"/>
          <w:szCs w:val="24"/>
        </w:rPr>
        <w:t>Attfield</w:t>
      </w:r>
      <w:proofErr w:type="spellEnd"/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, J. (2005)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Play, learning and the early childhood curriculum. </w:t>
      </w:r>
      <w:r w:rsidRPr="00C325B5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London: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Sage. </w:t>
      </w:r>
    </w:p>
    <w:p w:rsidR="00FA7E79" w:rsidRPr="00C325B5" w:rsidRDefault="00FA7E79" w:rsidP="00FA7E79">
      <w:pPr>
        <w:pStyle w:val="NormalWeb"/>
        <w:spacing w:before="2" w:after="2"/>
        <w:ind w:left="450" w:hanging="450"/>
        <w:rPr>
          <w:rFonts w:ascii="Times New Roman" w:hAnsi="Times New Roman"/>
          <w:color w:val="000000" w:themeColor="text1"/>
          <w:sz w:val="24"/>
          <w:szCs w:val="24"/>
        </w:rPr>
      </w:pP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Whitehead, M.E. (2010) </w:t>
      </w:r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Physical literacy: Throughout the </w:t>
      </w:r>
      <w:proofErr w:type="spellStart"/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>lifecourse</w:t>
      </w:r>
      <w:proofErr w:type="spellEnd"/>
      <w:r w:rsidRPr="00C325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, </w:t>
      </w:r>
      <w:r w:rsidRPr="00C325B5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London: </w:t>
      </w:r>
      <w:r w:rsidRPr="00C325B5">
        <w:rPr>
          <w:rFonts w:ascii="Times New Roman" w:hAnsi="Times New Roman"/>
          <w:color w:val="000000" w:themeColor="text1"/>
          <w:sz w:val="24"/>
          <w:szCs w:val="24"/>
        </w:rPr>
        <w:t xml:space="preserve">Routledge. </w:t>
      </w:r>
    </w:p>
    <w:p w:rsidR="001F0D30" w:rsidRPr="00C325B5" w:rsidRDefault="001F0D30">
      <w:pPr>
        <w:rPr>
          <w:rFonts w:ascii="Times New Roman" w:hAnsi="Times New Roman" w:cs="Times New Roman"/>
          <w:color w:val="000000" w:themeColor="text1"/>
        </w:rPr>
      </w:pPr>
    </w:p>
    <w:sectPr w:rsidR="001F0D30" w:rsidRPr="00C325B5" w:rsidSect="001860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842"/>
    <w:rsid w:val="000E1842"/>
    <w:rsid w:val="00186016"/>
    <w:rsid w:val="001F0D30"/>
    <w:rsid w:val="00571DC0"/>
    <w:rsid w:val="008E27F7"/>
    <w:rsid w:val="00A14F73"/>
    <w:rsid w:val="00B73D50"/>
    <w:rsid w:val="00C325B5"/>
    <w:rsid w:val="00F333E6"/>
    <w:rsid w:val="00F51675"/>
    <w:rsid w:val="00FA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56D897"/>
  <w15:chartTrackingRefBased/>
  <w15:docId w15:val="{16BE744B-B2CE-B246-B233-5DB8B88C9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73D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E1842"/>
    <w:pPr>
      <w:spacing w:beforeLines="1" w:afterLines="1"/>
    </w:pPr>
    <w:rPr>
      <w:rFonts w:ascii="Times" w:eastAsia="MS Mincho" w:hAnsi="Times" w:cs="Times New Roman"/>
      <w:sz w:val="20"/>
      <w:szCs w:val="20"/>
      <w:lang w:eastAsia="ja-JP"/>
    </w:rPr>
  </w:style>
  <w:style w:type="character" w:styleId="Hyperlink">
    <w:name w:val="Hyperlink"/>
    <w:basedOn w:val="DefaultParagraphFont"/>
    <w:uiPriority w:val="99"/>
    <w:unhideWhenUsed/>
    <w:rsid w:val="00B73D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B73D50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B73D5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98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1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7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hecanada.ca/sites/default/files/pl_position_paper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Nalda Wainwright</dc:creator>
  <cp:keywords/>
  <dc:description/>
  <cp:lastModifiedBy>Nalda Wainwright</cp:lastModifiedBy>
  <cp:revision>2</cp:revision>
  <dcterms:created xsi:type="dcterms:W3CDTF">2018-02-21T14:08:00Z</dcterms:created>
  <dcterms:modified xsi:type="dcterms:W3CDTF">2018-02-26T11:04:00Z</dcterms:modified>
</cp:coreProperties>
</file>