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1102651"/>
        <w:docPartObj>
          <w:docPartGallery w:val="Cover Pages"/>
          <w:docPartUnique/>
        </w:docPartObj>
      </w:sdtPr>
      <w:sdtContent>
        <w:p w14:paraId="58CAF2DC" w14:textId="0A03E46D" w:rsidR="00606E05" w:rsidRPr="00591802" w:rsidRDefault="00606E05">
          <w:r w:rsidRPr="00591802">
            <w:rPr>
              <w:noProof/>
            </w:rPr>
            <mc:AlternateContent>
              <mc:Choice Requires="wps">
                <w:drawing>
                  <wp:anchor distT="0" distB="0" distL="114300" distR="114300" simplePos="0" relativeHeight="251659264" behindDoc="0" locked="0" layoutInCell="1" allowOverlap="1" wp14:anchorId="320607BE" wp14:editId="2C63C284">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09"/>
                                  <w:gridCol w:w="1967"/>
                                </w:tblGrid>
                                <w:tr w:rsidR="00606E05" w:rsidRPr="00591802" w14:paraId="70E5C0FD" w14:textId="77777777">
                                  <w:trPr>
                                    <w:jc w:val="center"/>
                                  </w:trPr>
                                  <w:tc>
                                    <w:tcPr>
                                      <w:tcW w:w="2568" w:type="pct"/>
                                      <w:vAlign w:val="center"/>
                                    </w:tcPr>
                                    <w:p w14:paraId="59354182" w14:textId="5F81EFEB" w:rsidR="00606E05" w:rsidRPr="00591802" w:rsidRDefault="00606E05">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B1F082B" w14:textId="6A3739C1" w:rsidR="00606E05" w:rsidRPr="00591802" w:rsidRDefault="00B3718E">
                                          <w:pPr>
                                            <w:pStyle w:val="NoSpacing"/>
                                            <w:spacing w:line="312" w:lineRule="auto"/>
                                            <w:jc w:val="right"/>
                                            <w:rPr>
                                              <w:caps/>
                                              <w:color w:val="191919" w:themeColor="text1" w:themeTint="E6"/>
                                              <w:sz w:val="72"/>
                                              <w:szCs w:val="72"/>
                                            </w:rPr>
                                          </w:pPr>
                                          <w:r w:rsidRPr="00591802">
                                            <w:rPr>
                                              <w:caps/>
                                              <w:color w:val="191919" w:themeColor="text1" w:themeTint="E6"/>
                                              <w:sz w:val="72"/>
                                              <w:szCs w:val="72"/>
                                            </w:rPr>
                                            <w:t>Research and case scenario in Data Security and Compliance</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208941B3" w14:textId="1804BCB8" w:rsidR="00606E05" w:rsidRPr="00591802" w:rsidRDefault="00B3718E">
                                          <w:pPr>
                                            <w:jc w:val="right"/>
                                          </w:pPr>
                                          <w:r w:rsidRPr="00591802">
                                            <w:rPr>
                                              <w:color w:val="000000" w:themeColor="text1"/>
                                            </w:rPr>
                                            <w:t xml:space="preserve">     </w:t>
                                          </w:r>
                                        </w:p>
                                      </w:sdtContent>
                                    </w:sdt>
                                  </w:tc>
                                  <w:tc>
                                    <w:tcPr>
                                      <w:tcW w:w="2432" w:type="pct"/>
                                      <w:vAlign w:val="center"/>
                                    </w:tcPr>
                                    <w:p w14:paraId="37DB899F" w14:textId="48F776D1" w:rsidR="00606E05" w:rsidRPr="00591802" w:rsidRDefault="00606E05">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C3B5D51" w14:textId="09124A88" w:rsidR="00606E05" w:rsidRPr="00591802" w:rsidRDefault="00606E05">
                                          <w:pPr>
                                            <w:pStyle w:val="NoSpacing"/>
                                            <w:rPr>
                                              <w:color w:val="E97132" w:themeColor="accent2"/>
                                              <w:sz w:val="26"/>
                                              <w:szCs w:val="26"/>
                                            </w:rPr>
                                          </w:pPr>
                                          <w:r w:rsidRPr="00591802">
                                            <w:rPr>
                                              <w:color w:val="E97132" w:themeColor="accent2"/>
                                              <w:sz w:val="26"/>
                                              <w:szCs w:val="26"/>
                                            </w:rPr>
                                            <w:t>Tristan Budenis (2428021)</w:t>
                                          </w:r>
                                        </w:p>
                                      </w:sdtContent>
                                    </w:sdt>
                                    <w:p w14:paraId="0C77F459" w14:textId="3778C0BA" w:rsidR="00606E05" w:rsidRPr="00591802" w:rsidRDefault="00000000">
                                      <w:pPr>
                                        <w:pStyle w:val="NoSpacing"/>
                                      </w:pPr>
                                      <w:sdt>
                                        <w:sdtPr>
                                          <w:rPr>
                                            <w:rFonts w:ascii="Arial" w:hAnsi="Arial" w:cs="Arial"/>
                                            <w: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B3718E" w:rsidRPr="00591802">
                                            <w:rPr>
                                              <w:rFonts w:ascii="Arial" w:hAnsi="Arial" w:cs="Arial"/>
                                              <w:b/>
                                            </w:rPr>
                                            <w:t>Data Security and Compliance</w:t>
                                          </w:r>
                                        </w:sdtContent>
                                      </w:sdt>
                                    </w:p>
                                  </w:tc>
                                </w:tr>
                              </w:tbl>
                              <w:p w14:paraId="39298EC4" w14:textId="77777777" w:rsidR="00606E05" w:rsidRPr="00591802" w:rsidRDefault="00606E0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20607BE"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09"/>
                            <w:gridCol w:w="1967"/>
                          </w:tblGrid>
                          <w:tr w:rsidR="00606E05" w:rsidRPr="00591802" w14:paraId="70E5C0FD" w14:textId="77777777">
                            <w:trPr>
                              <w:jc w:val="center"/>
                            </w:trPr>
                            <w:tc>
                              <w:tcPr>
                                <w:tcW w:w="2568" w:type="pct"/>
                                <w:vAlign w:val="center"/>
                              </w:tcPr>
                              <w:p w14:paraId="59354182" w14:textId="5F81EFEB" w:rsidR="00606E05" w:rsidRPr="00591802" w:rsidRDefault="00606E05">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B1F082B" w14:textId="6A3739C1" w:rsidR="00606E05" w:rsidRPr="00591802" w:rsidRDefault="00B3718E">
                                    <w:pPr>
                                      <w:pStyle w:val="NoSpacing"/>
                                      <w:spacing w:line="312" w:lineRule="auto"/>
                                      <w:jc w:val="right"/>
                                      <w:rPr>
                                        <w:caps/>
                                        <w:color w:val="191919" w:themeColor="text1" w:themeTint="E6"/>
                                        <w:sz w:val="72"/>
                                        <w:szCs w:val="72"/>
                                      </w:rPr>
                                    </w:pPr>
                                    <w:r w:rsidRPr="00591802">
                                      <w:rPr>
                                        <w:caps/>
                                        <w:color w:val="191919" w:themeColor="text1" w:themeTint="E6"/>
                                        <w:sz w:val="72"/>
                                        <w:szCs w:val="72"/>
                                      </w:rPr>
                                      <w:t>Research and case scenario in Data Security and Compliance</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208941B3" w14:textId="1804BCB8" w:rsidR="00606E05" w:rsidRPr="00591802" w:rsidRDefault="00B3718E">
                                    <w:pPr>
                                      <w:jc w:val="right"/>
                                    </w:pPr>
                                    <w:r w:rsidRPr="00591802">
                                      <w:rPr>
                                        <w:color w:val="000000" w:themeColor="text1"/>
                                      </w:rPr>
                                      <w:t xml:space="preserve">     </w:t>
                                    </w:r>
                                  </w:p>
                                </w:sdtContent>
                              </w:sdt>
                            </w:tc>
                            <w:tc>
                              <w:tcPr>
                                <w:tcW w:w="2432" w:type="pct"/>
                                <w:vAlign w:val="center"/>
                              </w:tcPr>
                              <w:p w14:paraId="37DB899F" w14:textId="48F776D1" w:rsidR="00606E05" w:rsidRPr="00591802" w:rsidRDefault="00606E05">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C3B5D51" w14:textId="09124A88" w:rsidR="00606E05" w:rsidRPr="00591802" w:rsidRDefault="00606E05">
                                    <w:pPr>
                                      <w:pStyle w:val="NoSpacing"/>
                                      <w:rPr>
                                        <w:color w:val="E97132" w:themeColor="accent2"/>
                                        <w:sz w:val="26"/>
                                        <w:szCs w:val="26"/>
                                      </w:rPr>
                                    </w:pPr>
                                    <w:r w:rsidRPr="00591802">
                                      <w:rPr>
                                        <w:color w:val="E97132" w:themeColor="accent2"/>
                                        <w:sz w:val="26"/>
                                        <w:szCs w:val="26"/>
                                      </w:rPr>
                                      <w:t>Tristan Budenis (2428021)</w:t>
                                    </w:r>
                                  </w:p>
                                </w:sdtContent>
                              </w:sdt>
                              <w:p w14:paraId="0C77F459" w14:textId="3778C0BA" w:rsidR="00606E05" w:rsidRPr="00591802" w:rsidRDefault="00000000">
                                <w:pPr>
                                  <w:pStyle w:val="NoSpacing"/>
                                </w:pPr>
                                <w:sdt>
                                  <w:sdtPr>
                                    <w:rPr>
                                      <w:rFonts w:ascii="Arial" w:hAnsi="Arial" w:cs="Arial"/>
                                      <w: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B3718E" w:rsidRPr="00591802">
                                      <w:rPr>
                                        <w:rFonts w:ascii="Arial" w:hAnsi="Arial" w:cs="Arial"/>
                                        <w:b/>
                                      </w:rPr>
                                      <w:t>Data Security and Compliance</w:t>
                                    </w:r>
                                  </w:sdtContent>
                                </w:sdt>
                              </w:p>
                            </w:tc>
                          </w:tr>
                        </w:tbl>
                        <w:p w14:paraId="39298EC4" w14:textId="77777777" w:rsidR="00606E05" w:rsidRPr="00591802" w:rsidRDefault="00606E05"/>
                      </w:txbxContent>
                    </v:textbox>
                    <w10:wrap anchorx="page" anchory="page"/>
                  </v:shape>
                </w:pict>
              </mc:Fallback>
            </mc:AlternateContent>
          </w:r>
          <w:r w:rsidRPr="00591802">
            <w:br w:type="page"/>
          </w:r>
        </w:p>
      </w:sdtContent>
    </w:sdt>
    <w:sdt>
      <w:sdtPr>
        <w:rPr>
          <w:rFonts w:asciiTheme="minorHAnsi" w:eastAsiaTheme="minorHAnsi" w:hAnsiTheme="minorHAnsi" w:cstheme="minorBidi"/>
          <w:color w:val="auto"/>
          <w:kern w:val="2"/>
          <w:sz w:val="24"/>
          <w:szCs w:val="24"/>
          <w:lang w:eastAsia="en-US"/>
          <w14:ligatures w14:val="standardContextual"/>
        </w:rPr>
        <w:id w:val="161587154"/>
        <w:docPartObj>
          <w:docPartGallery w:val="Table of Contents"/>
          <w:docPartUnique/>
        </w:docPartObj>
      </w:sdtPr>
      <w:sdtEndPr>
        <w:rPr>
          <w:b/>
          <w:bCs/>
          <w:sz w:val="20"/>
          <w:szCs w:val="20"/>
        </w:rPr>
      </w:sdtEndPr>
      <w:sdtContent>
        <w:p w14:paraId="4C507120" w14:textId="4D851056" w:rsidR="00B3718E" w:rsidRPr="00591802" w:rsidRDefault="00B3718E">
          <w:pPr>
            <w:pStyle w:val="TOCHeading"/>
          </w:pPr>
          <w:r w:rsidRPr="00591802">
            <w:t>Contents</w:t>
          </w:r>
        </w:p>
        <w:p w14:paraId="3CE25562" w14:textId="3D980F0F" w:rsidR="007A45D3" w:rsidRPr="007A45D3" w:rsidRDefault="00B3718E">
          <w:pPr>
            <w:pStyle w:val="TOC1"/>
            <w:tabs>
              <w:tab w:val="right" w:leader="dot" w:pos="9016"/>
            </w:tabs>
            <w:rPr>
              <w:rFonts w:eastAsiaTheme="minorEastAsia"/>
              <w:noProof/>
              <w:sz w:val="20"/>
              <w:szCs w:val="20"/>
              <w:lang w:eastAsia="en-GB"/>
            </w:rPr>
          </w:pPr>
          <w:r w:rsidRPr="007A45D3">
            <w:rPr>
              <w:sz w:val="20"/>
              <w:szCs w:val="20"/>
            </w:rPr>
            <w:fldChar w:fldCharType="begin"/>
          </w:r>
          <w:r w:rsidRPr="007A45D3">
            <w:rPr>
              <w:sz w:val="20"/>
              <w:szCs w:val="20"/>
            </w:rPr>
            <w:instrText xml:space="preserve"> TOC \o "1-3" \h \z \u </w:instrText>
          </w:r>
          <w:r w:rsidRPr="007A45D3">
            <w:rPr>
              <w:sz w:val="20"/>
              <w:szCs w:val="20"/>
            </w:rPr>
            <w:fldChar w:fldCharType="separate"/>
          </w:r>
          <w:hyperlink w:anchor="_Toc236136443" w:history="1">
            <w:r w:rsidR="007A45D3" w:rsidRPr="007A45D3">
              <w:rPr>
                <w:rStyle w:val="Hyperlink"/>
                <w:noProof/>
                <w:sz w:val="20"/>
                <w:szCs w:val="20"/>
              </w:rPr>
              <w:t>Abstract</w:t>
            </w:r>
            <w:r w:rsidR="007A45D3" w:rsidRPr="007A45D3">
              <w:rPr>
                <w:noProof/>
                <w:webHidden/>
                <w:sz w:val="20"/>
                <w:szCs w:val="20"/>
              </w:rPr>
              <w:tab/>
            </w:r>
            <w:r w:rsidR="007A45D3" w:rsidRPr="007A45D3">
              <w:rPr>
                <w:noProof/>
                <w:webHidden/>
                <w:sz w:val="20"/>
                <w:szCs w:val="20"/>
              </w:rPr>
              <w:fldChar w:fldCharType="begin"/>
            </w:r>
            <w:r w:rsidR="007A45D3" w:rsidRPr="007A45D3">
              <w:rPr>
                <w:noProof/>
                <w:webHidden/>
                <w:sz w:val="20"/>
                <w:szCs w:val="20"/>
              </w:rPr>
              <w:instrText xml:space="preserve"> PAGEREF _Toc236136443 \h </w:instrText>
            </w:r>
            <w:r w:rsidR="007A45D3" w:rsidRPr="007A45D3">
              <w:rPr>
                <w:noProof/>
                <w:webHidden/>
                <w:sz w:val="20"/>
                <w:szCs w:val="20"/>
              </w:rPr>
            </w:r>
            <w:r w:rsidR="007A45D3" w:rsidRPr="007A45D3">
              <w:rPr>
                <w:noProof/>
                <w:webHidden/>
                <w:sz w:val="20"/>
                <w:szCs w:val="20"/>
              </w:rPr>
              <w:fldChar w:fldCharType="separate"/>
            </w:r>
            <w:r w:rsidR="007A45D3" w:rsidRPr="007A45D3">
              <w:rPr>
                <w:noProof/>
                <w:webHidden/>
                <w:sz w:val="20"/>
                <w:szCs w:val="20"/>
              </w:rPr>
              <w:t>3</w:t>
            </w:r>
            <w:r w:rsidR="007A45D3" w:rsidRPr="007A45D3">
              <w:rPr>
                <w:noProof/>
                <w:webHidden/>
                <w:sz w:val="20"/>
                <w:szCs w:val="20"/>
              </w:rPr>
              <w:fldChar w:fldCharType="end"/>
            </w:r>
          </w:hyperlink>
        </w:p>
        <w:p w14:paraId="51F270BC" w14:textId="7D7607EA" w:rsidR="007A45D3" w:rsidRPr="007A45D3" w:rsidRDefault="007A45D3">
          <w:pPr>
            <w:pStyle w:val="TOC1"/>
            <w:tabs>
              <w:tab w:val="right" w:leader="dot" w:pos="9016"/>
            </w:tabs>
            <w:rPr>
              <w:rFonts w:eastAsiaTheme="minorEastAsia"/>
              <w:noProof/>
              <w:sz w:val="20"/>
              <w:szCs w:val="20"/>
              <w:lang w:eastAsia="en-GB"/>
            </w:rPr>
          </w:pPr>
          <w:hyperlink w:anchor="_Toc236136444" w:history="1">
            <w:r w:rsidRPr="007A45D3">
              <w:rPr>
                <w:rStyle w:val="Hyperlink"/>
                <w:noProof/>
                <w:sz w:val="20"/>
                <w:szCs w:val="20"/>
              </w:rPr>
              <w:t>Task 1 – Implementing a Zero Trust Architecture: Principles, challenges, and technological enablers</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_Toc236136444 \h </w:instrText>
            </w:r>
            <w:r w:rsidRPr="007A45D3">
              <w:rPr>
                <w:noProof/>
                <w:webHidden/>
                <w:sz w:val="20"/>
                <w:szCs w:val="20"/>
              </w:rPr>
            </w:r>
            <w:r w:rsidRPr="007A45D3">
              <w:rPr>
                <w:noProof/>
                <w:webHidden/>
                <w:sz w:val="20"/>
                <w:szCs w:val="20"/>
              </w:rPr>
              <w:fldChar w:fldCharType="separate"/>
            </w:r>
            <w:r w:rsidRPr="007A45D3">
              <w:rPr>
                <w:noProof/>
                <w:webHidden/>
                <w:sz w:val="20"/>
                <w:szCs w:val="20"/>
              </w:rPr>
              <w:t>4</w:t>
            </w:r>
            <w:r w:rsidRPr="007A45D3">
              <w:rPr>
                <w:noProof/>
                <w:webHidden/>
                <w:sz w:val="20"/>
                <w:szCs w:val="20"/>
              </w:rPr>
              <w:fldChar w:fldCharType="end"/>
            </w:r>
          </w:hyperlink>
        </w:p>
        <w:p w14:paraId="5CDBB7DC" w14:textId="7AA5A3D8" w:rsidR="007A45D3" w:rsidRPr="007A45D3" w:rsidRDefault="007A45D3">
          <w:pPr>
            <w:pStyle w:val="TOC2"/>
            <w:tabs>
              <w:tab w:val="left" w:pos="720"/>
              <w:tab w:val="right" w:leader="dot" w:pos="9016"/>
            </w:tabs>
            <w:rPr>
              <w:rFonts w:eastAsiaTheme="minorEastAsia"/>
              <w:noProof/>
              <w:sz w:val="20"/>
              <w:szCs w:val="20"/>
              <w:lang w:eastAsia="en-GB"/>
            </w:rPr>
          </w:pPr>
          <w:hyperlink w:anchor="_Toc236136445" w:history="1">
            <w:r w:rsidRPr="007A45D3">
              <w:rPr>
                <w:rStyle w:val="Hyperlink"/>
                <w:noProof/>
                <w:sz w:val="20"/>
                <w:szCs w:val="20"/>
              </w:rPr>
              <w:t>1.</w:t>
            </w:r>
            <w:r w:rsidRPr="007A45D3">
              <w:rPr>
                <w:rFonts w:eastAsiaTheme="minorEastAsia"/>
                <w:noProof/>
                <w:sz w:val="20"/>
                <w:szCs w:val="20"/>
                <w:lang w:eastAsia="en-GB"/>
              </w:rPr>
              <w:tab/>
            </w:r>
            <w:r w:rsidRPr="007A45D3">
              <w:rPr>
                <w:rStyle w:val="Hyperlink"/>
                <w:noProof/>
                <w:sz w:val="20"/>
                <w:szCs w:val="20"/>
              </w:rPr>
              <w:t>Introduction</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_Toc236136445 \h </w:instrText>
            </w:r>
            <w:r w:rsidRPr="007A45D3">
              <w:rPr>
                <w:noProof/>
                <w:webHidden/>
                <w:sz w:val="20"/>
                <w:szCs w:val="20"/>
              </w:rPr>
            </w:r>
            <w:r w:rsidRPr="007A45D3">
              <w:rPr>
                <w:noProof/>
                <w:webHidden/>
                <w:sz w:val="20"/>
                <w:szCs w:val="20"/>
              </w:rPr>
              <w:fldChar w:fldCharType="separate"/>
            </w:r>
            <w:r w:rsidRPr="007A45D3">
              <w:rPr>
                <w:noProof/>
                <w:webHidden/>
                <w:sz w:val="20"/>
                <w:szCs w:val="20"/>
              </w:rPr>
              <w:t>4</w:t>
            </w:r>
            <w:r w:rsidRPr="007A45D3">
              <w:rPr>
                <w:noProof/>
                <w:webHidden/>
                <w:sz w:val="20"/>
                <w:szCs w:val="20"/>
              </w:rPr>
              <w:fldChar w:fldCharType="end"/>
            </w:r>
          </w:hyperlink>
        </w:p>
        <w:p w14:paraId="74294B69" w14:textId="6A21CBFC" w:rsidR="007A45D3" w:rsidRPr="007A45D3" w:rsidRDefault="007A45D3">
          <w:pPr>
            <w:pStyle w:val="TOC2"/>
            <w:tabs>
              <w:tab w:val="left" w:pos="720"/>
              <w:tab w:val="right" w:leader="dot" w:pos="9016"/>
            </w:tabs>
            <w:rPr>
              <w:rFonts w:eastAsiaTheme="minorEastAsia"/>
              <w:noProof/>
              <w:sz w:val="20"/>
              <w:szCs w:val="20"/>
              <w:lang w:eastAsia="en-GB"/>
            </w:rPr>
          </w:pPr>
          <w:hyperlink w:anchor="_Toc236136446" w:history="1">
            <w:r w:rsidRPr="007A45D3">
              <w:rPr>
                <w:rStyle w:val="Hyperlink"/>
                <w:noProof/>
                <w:sz w:val="20"/>
                <w:szCs w:val="20"/>
              </w:rPr>
              <w:t>2.</w:t>
            </w:r>
            <w:r w:rsidRPr="007A45D3">
              <w:rPr>
                <w:rFonts w:eastAsiaTheme="minorEastAsia"/>
                <w:noProof/>
                <w:sz w:val="20"/>
                <w:szCs w:val="20"/>
                <w:lang w:eastAsia="en-GB"/>
              </w:rPr>
              <w:tab/>
            </w:r>
            <w:r w:rsidRPr="007A45D3">
              <w:rPr>
                <w:rStyle w:val="Hyperlink"/>
                <w:noProof/>
                <w:sz w:val="20"/>
                <w:szCs w:val="20"/>
              </w:rPr>
              <w:t>Current cyber landscape</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_Toc236136446 \h </w:instrText>
            </w:r>
            <w:r w:rsidRPr="007A45D3">
              <w:rPr>
                <w:noProof/>
                <w:webHidden/>
                <w:sz w:val="20"/>
                <w:szCs w:val="20"/>
              </w:rPr>
            </w:r>
            <w:r w:rsidRPr="007A45D3">
              <w:rPr>
                <w:noProof/>
                <w:webHidden/>
                <w:sz w:val="20"/>
                <w:szCs w:val="20"/>
              </w:rPr>
              <w:fldChar w:fldCharType="separate"/>
            </w:r>
            <w:r w:rsidRPr="007A45D3">
              <w:rPr>
                <w:noProof/>
                <w:webHidden/>
                <w:sz w:val="20"/>
                <w:szCs w:val="20"/>
              </w:rPr>
              <w:t>4</w:t>
            </w:r>
            <w:r w:rsidRPr="007A45D3">
              <w:rPr>
                <w:noProof/>
                <w:webHidden/>
                <w:sz w:val="20"/>
                <w:szCs w:val="20"/>
              </w:rPr>
              <w:fldChar w:fldCharType="end"/>
            </w:r>
          </w:hyperlink>
        </w:p>
        <w:p w14:paraId="6F3EE8D6" w14:textId="3DDAA0A0" w:rsidR="007A45D3" w:rsidRPr="007A45D3" w:rsidRDefault="007A45D3">
          <w:pPr>
            <w:pStyle w:val="TOC2"/>
            <w:tabs>
              <w:tab w:val="left" w:pos="720"/>
              <w:tab w:val="right" w:leader="dot" w:pos="9016"/>
            </w:tabs>
            <w:rPr>
              <w:rFonts w:eastAsiaTheme="minorEastAsia"/>
              <w:noProof/>
              <w:sz w:val="20"/>
              <w:szCs w:val="20"/>
              <w:lang w:eastAsia="en-GB"/>
            </w:rPr>
          </w:pPr>
          <w:hyperlink w:anchor="_Toc236136447" w:history="1">
            <w:r w:rsidRPr="007A45D3">
              <w:rPr>
                <w:rStyle w:val="Hyperlink"/>
                <w:noProof/>
                <w:sz w:val="20"/>
                <w:szCs w:val="20"/>
              </w:rPr>
              <w:t>3.</w:t>
            </w:r>
            <w:r w:rsidRPr="007A45D3">
              <w:rPr>
                <w:rFonts w:eastAsiaTheme="minorEastAsia"/>
                <w:noProof/>
                <w:sz w:val="20"/>
                <w:szCs w:val="20"/>
                <w:lang w:eastAsia="en-GB"/>
              </w:rPr>
              <w:tab/>
            </w:r>
            <w:r w:rsidRPr="007A45D3">
              <w:rPr>
                <w:rStyle w:val="Hyperlink"/>
                <w:noProof/>
                <w:sz w:val="20"/>
                <w:szCs w:val="20"/>
              </w:rPr>
              <w:t>Principles Zero Trust</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_Toc236136447 \h </w:instrText>
            </w:r>
            <w:r w:rsidRPr="007A45D3">
              <w:rPr>
                <w:noProof/>
                <w:webHidden/>
                <w:sz w:val="20"/>
                <w:szCs w:val="20"/>
              </w:rPr>
            </w:r>
            <w:r w:rsidRPr="007A45D3">
              <w:rPr>
                <w:noProof/>
                <w:webHidden/>
                <w:sz w:val="20"/>
                <w:szCs w:val="20"/>
              </w:rPr>
              <w:fldChar w:fldCharType="separate"/>
            </w:r>
            <w:r w:rsidRPr="007A45D3">
              <w:rPr>
                <w:noProof/>
                <w:webHidden/>
                <w:sz w:val="20"/>
                <w:szCs w:val="20"/>
              </w:rPr>
              <w:t>6</w:t>
            </w:r>
            <w:r w:rsidRPr="007A45D3">
              <w:rPr>
                <w:noProof/>
                <w:webHidden/>
                <w:sz w:val="20"/>
                <w:szCs w:val="20"/>
              </w:rPr>
              <w:fldChar w:fldCharType="end"/>
            </w:r>
          </w:hyperlink>
        </w:p>
        <w:p w14:paraId="5B7756F2" w14:textId="48CE6F57" w:rsidR="007A45D3" w:rsidRPr="007A45D3" w:rsidRDefault="007A45D3">
          <w:pPr>
            <w:pStyle w:val="TOC3"/>
            <w:tabs>
              <w:tab w:val="left" w:pos="960"/>
              <w:tab w:val="right" w:leader="dot" w:pos="9016"/>
            </w:tabs>
            <w:rPr>
              <w:rFonts w:eastAsiaTheme="minorEastAsia"/>
              <w:noProof/>
              <w:sz w:val="20"/>
              <w:szCs w:val="20"/>
              <w:lang w:eastAsia="en-GB"/>
            </w:rPr>
          </w:pPr>
          <w:hyperlink w:anchor="_Toc236136448" w:history="1">
            <w:r w:rsidRPr="007A45D3">
              <w:rPr>
                <w:rStyle w:val="Hyperlink"/>
                <w:noProof/>
                <w:sz w:val="20"/>
                <w:szCs w:val="20"/>
              </w:rPr>
              <w:t>A.</w:t>
            </w:r>
            <w:r w:rsidRPr="007A45D3">
              <w:rPr>
                <w:rFonts w:eastAsiaTheme="minorEastAsia"/>
                <w:noProof/>
                <w:sz w:val="20"/>
                <w:szCs w:val="20"/>
                <w:lang w:eastAsia="en-GB"/>
              </w:rPr>
              <w:tab/>
            </w:r>
            <w:r w:rsidRPr="007A45D3">
              <w:rPr>
                <w:rStyle w:val="Hyperlink"/>
                <w:noProof/>
                <w:sz w:val="20"/>
                <w:szCs w:val="20"/>
              </w:rPr>
              <w:t>No implicit trust</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_Toc236136448 \h </w:instrText>
            </w:r>
            <w:r w:rsidRPr="007A45D3">
              <w:rPr>
                <w:noProof/>
                <w:webHidden/>
                <w:sz w:val="20"/>
                <w:szCs w:val="20"/>
              </w:rPr>
            </w:r>
            <w:r w:rsidRPr="007A45D3">
              <w:rPr>
                <w:noProof/>
                <w:webHidden/>
                <w:sz w:val="20"/>
                <w:szCs w:val="20"/>
              </w:rPr>
              <w:fldChar w:fldCharType="separate"/>
            </w:r>
            <w:r w:rsidRPr="007A45D3">
              <w:rPr>
                <w:noProof/>
                <w:webHidden/>
                <w:sz w:val="20"/>
                <w:szCs w:val="20"/>
              </w:rPr>
              <w:t>6</w:t>
            </w:r>
            <w:r w:rsidRPr="007A45D3">
              <w:rPr>
                <w:noProof/>
                <w:webHidden/>
                <w:sz w:val="20"/>
                <w:szCs w:val="20"/>
              </w:rPr>
              <w:fldChar w:fldCharType="end"/>
            </w:r>
          </w:hyperlink>
        </w:p>
        <w:p w14:paraId="0C4F6FD6" w14:textId="2F0B9BE8" w:rsidR="007A45D3" w:rsidRPr="007A45D3" w:rsidRDefault="007A45D3">
          <w:pPr>
            <w:pStyle w:val="TOC3"/>
            <w:tabs>
              <w:tab w:val="left" w:pos="960"/>
              <w:tab w:val="right" w:leader="dot" w:pos="9016"/>
            </w:tabs>
            <w:rPr>
              <w:rFonts w:eastAsiaTheme="minorEastAsia"/>
              <w:noProof/>
              <w:sz w:val="20"/>
              <w:szCs w:val="20"/>
              <w:lang w:eastAsia="en-GB"/>
            </w:rPr>
          </w:pPr>
          <w:hyperlink w:anchor="_Toc236136449" w:history="1">
            <w:r w:rsidRPr="007A45D3">
              <w:rPr>
                <w:rStyle w:val="Hyperlink"/>
                <w:noProof/>
                <w:sz w:val="20"/>
                <w:szCs w:val="20"/>
              </w:rPr>
              <w:t>B.</w:t>
            </w:r>
            <w:r w:rsidRPr="007A45D3">
              <w:rPr>
                <w:rFonts w:eastAsiaTheme="minorEastAsia"/>
                <w:noProof/>
                <w:sz w:val="20"/>
                <w:szCs w:val="20"/>
                <w:lang w:eastAsia="en-GB"/>
              </w:rPr>
              <w:tab/>
            </w:r>
            <w:r w:rsidRPr="007A45D3">
              <w:rPr>
                <w:rStyle w:val="Hyperlink"/>
                <w:noProof/>
                <w:sz w:val="20"/>
                <w:szCs w:val="20"/>
              </w:rPr>
              <w:t>Continuous verification</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_Toc236136449 \h </w:instrText>
            </w:r>
            <w:r w:rsidRPr="007A45D3">
              <w:rPr>
                <w:noProof/>
                <w:webHidden/>
                <w:sz w:val="20"/>
                <w:szCs w:val="20"/>
              </w:rPr>
            </w:r>
            <w:r w:rsidRPr="007A45D3">
              <w:rPr>
                <w:noProof/>
                <w:webHidden/>
                <w:sz w:val="20"/>
                <w:szCs w:val="20"/>
              </w:rPr>
              <w:fldChar w:fldCharType="separate"/>
            </w:r>
            <w:r w:rsidRPr="007A45D3">
              <w:rPr>
                <w:noProof/>
                <w:webHidden/>
                <w:sz w:val="20"/>
                <w:szCs w:val="20"/>
              </w:rPr>
              <w:t>6</w:t>
            </w:r>
            <w:r w:rsidRPr="007A45D3">
              <w:rPr>
                <w:noProof/>
                <w:webHidden/>
                <w:sz w:val="20"/>
                <w:szCs w:val="20"/>
              </w:rPr>
              <w:fldChar w:fldCharType="end"/>
            </w:r>
          </w:hyperlink>
        </w:p>
        <w:p w14:paraId="5E822A20" w14:textId="2FB19A39" w:rsidR="007A45D3" w:rsidRPr="007A45D3" w:rsidRDefault="007A45D3">
          <w:pPr>
            <w:pStyle w:val="TOC3"/>
            <w:tabs>
              <w:tab w:val="left" w:pos="960"/>
              <w:tab w:val="right" w:leader="dot" w:pos="9016"/>
            </w:tabs>
            <w:rPr>
              <w:rFonts w:eastAsiaTheme="minorEastAsia"/>
              <w:noProof/>
              <w:sz w:val="20"/>
              <w:szCs w:val="20"/>
              <w:lang w:eastAsia="en-GB"/>
            </w:rPr>
          </w:pPr>
          <w:hyperlink w:anchor="_Toc236136450" w:history="1">
            <w:r w:rsidRPr="007A45D3">
              <w:rPr>
                <w:rStyle w:val="Hyperlink"/>
                <w:noProof/>
                <w:sz w:val="20"/>
                <w:szCs w:val="20"/>
              </w:rPr>
              <w:t>C.</w:t>
            </w:r>
            <w:r w:rsidRPr="007A45D3">
              <w:rPr>
                <w:rFonts w:eastAsiaTheme="minorEastAsia"/>
                <w:noProof/>
                <w:sz w:val="20"/>
                <w:szCs w:val="20"/>
                <w:lang w:eastAsia="en-GB"/>
              </w:rPr>
              <w:tab/>
            </w:r>
            <w:r w:rsidRPr="007A45D3">
              <w:rPr>
                <w:rStyle w:val="Hyperlink"/>
                <w:noProof/>
                <w:sz w:val="20"/>
                <w:szCs w:val="20"/>
              </w:rPr>
              <w:t>Least privilege</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_Toc236136450 \h </w:instrText>
            </w:r>
            <w:r w:rsidRPr="007A45D3">
              <w:rPr>
                <w:noProof/>
                <w:webHidden/>
                <w:sz w:val="20"/>
                <w:szCs w:val="20"/>
              </w:rPr>
            </w:r>
            <w:r w:rsidRPr="007A45D3">
              <w:rPr>
                <w:noProof/>
                <w:webHidden/>
                <w:sz w:val="20"/>
                <w:szCs w:val="20"/>
              </w:rPr>
              <w:fldChar w:fldCharType="separate"/>
            </w:r>
            <w:r w:rsidRPr="007A45D3">
              <w:rPr>
                <w:noProof/>
                <w:webHidden/>
                <w:sz w:val="20"/>
                <w:szCs w:val="20"/>
              </w:rPr>
              <w:t>7</w:t>
            </w:r>
            <w:r w:rsidRPr="007A45D3">
              <w:rPr>
                <w:noProof/>
                <w:webHidden/>
                <w:sz w:val="20"/>
                <w:szCs w:val="20"/>
              </w:rPr>
              <w:fldChar w:fldCharType="end"/>
            </w:r>
          </w:hyperlink>
        </w:p>
        <w:p w14:paraId="4296EF1B" w14:textId="168F82C6" w:rsidR="007A45D3" w:rsidRPr="007A45D3" w:rsidRDefault="007A45D3">
          <w:pPr>
            <w:pStyle w:val="TOC3"/>
            <w:tabs>
              <w:tab w:val="left" w:pos="960"/>
              <w:tab w:val="right" w:leader="dot" w:pos="9016"/>
            </w:tabs>
            <w:rPr>
              <w:rFonts w:eastAsiaTheme="minorEastAsia"/>
              <w:noProof/>
              <w:sz w:val="20"/>
              <w:szCs w:val="20"/>
              <w:lang w:eastAsia="en-GB"/>
            </w:rPr>
          </w:pPr>
          <w:hyperlink w:anchor="_Toc236136451" w:history="1">
            <w:r w:rsidRPr="007A45D3">
              <w:rPr>
                <w:rStyle w:val="Hyperlink"/>
                <w:noProof/>
                <w:sz w:val="20"/>
                <w:szCs w:val="20"/>
              </w:rPr>
              <w:t>D.</w:t>
            </w:r>
            <w:r w:rsidRPr="007A45D3">
              <w:rPr>
                <w:rFonts w:eastAsiaTheme="minorEastAsia"/>
                <w:noProof/>
                <w:sz w:val="20"/>
                <w:szCs w:val="20"/>
                <w:lang w:eastAsia="en-GB"/>
              </w:rPr>
              <w:tab/>
            </w:r>
            <w:r w:rsidRPr="007A45D3">
              <w:rPr>
                <w:rStyle w:val="Hyperlink"/>
                <w:noProof/>
                <w:sz w:val="20"/>
                <w:szCs w:val="20"/>
              </w:rPr>
              <w:t>Assume breach</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_Toc236136451 \h </w:instrText>
            </w:r>
            <w:r w:rsidRPr="007A45D3">
              <w:rPr>
                <w:noProof/>
                <w:webHidden/>
                <w:sz w:val="20"/>
                <w:szCs w:val="20"/>
              </w:rPr>
            </w:r>
            <w:r w:rsidRPr="007A45D3">
              <w:rPr>
                <w:noProof/>
                <w:webHidden/>
                <w:sz w:val="20"/>
                <w:szCs w:val="20"/>
              </w:rPr>
              <w:fldChar w:fldCharType="separate"/>
            </w:r>
            <w:r w:rsidRPr="007A45D3">
              <w:rPr>
                <w:noProof/>
                <w:webHidden/>
                <w:sz w:val="20"/>
                <w:szCs w:val="20"/>
              </w:rPr>
              <w:t>7</w:t>
            </w:r>
            <w:r w:rsidRPr="007A45D3">
              <w:rPr>
                <w:noProof/>
                <w:webHidden/>
                <w:sz w:val="20"/>
                <w:szCs w:val="20"/>
              </w:rPr>
              <w:fldChar w:fldCharType="end"/>
            </w:r>
          </w:hyperlink>
        </w:p>
        <w:p w14:paraId="335FC4B6" w14:textId="6E61187F" w:rsidR="007A45D3" w:rsidRPr="007A45D3" w:rsidRDefault="007A45D3">
          <w:pPr>
            <w:pStyle w:val="TOC2"/>
            <w:tabs>
              <w:tab w:val="left" w:pos="720"/>
              <w:tab w:val="right" w:leader="dot" w:pos="9016"/>
            </w:tabs>
            <w:rPr>
              <w:rFonts w:eastAsiaTheme="minorEastAsia"/>
              <w:noProof/>
              <w:sz w:val="20"/>
              <w:szCs w:val="20"/>
              <w:lang w:eastAsia="en-GB"/>
            </w:rPr>
          </w:pPr>
          <w:hyperlink w:anchor="_Toc236136452" w:history="1">
            <w:r w:rsidRPr="007A45D3">
              <w:rPr>
                <w:rStyle w:val="Hyperlink"/>
                <w:noProof/>
                <w:sz w:val="20"/>
                <w:szCs w:val="20"/>
              </w:rPr>
              <w:t>4.</w:t>
            </w:r>
            <w:r w:rsidRPr="007A45D3">
              <w:rPr>
                <w:rFonts w:eastAsiaTheme="minorEastAsia"/>
                <w:noProof/>
                <w:sz w:val="20"/>
                <w:szCs w:val="20"/>
                <w:lang w:eastAsia="en-GB"/>
              </w:rPr>
              <w:tab/>
            </w:r>
            <w:r w:rsidRPr="007A45D3">
              <w:rPr>
                <w:rStyle w:val="Hyperlink"/>
                <w:noProof/>
                <w:sz w:val="20"/>
                <w:szCs w:val="20"/>
              </w:rPr>
              <w:t>Technology enablers</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_Toc236136452 \h </w:instrText>
            </w:r>
            <w:r w:rsidRPr="007A45D3">
              <w:rPr>
                <w:noProof/>
                <w:webHidden/>
                <w:sz w:val="20"/>
                <w:szCs w:val="20"/>
              </w:rPr>
            </w:r>
            <w:r w:rsidRPr="007A45D3">
              <w:rPr>
                <w:noProof/>
                <w:webHidden/>
                <w:sz w:val="20"/>
                <w:szCs w:val="20"/>
              </w:rPr>
              <w:fldChar w:fldCharType="separate"/>
            </w:r>
            <w:r w:rsidRPr="007A45D3">
              <w:rPr>
                <w:noProof/>
                <w:webHidden/>
                <w:sz w:val="20"/>
                <w:szCs w:val="20"/>
              </w:rPr>
              <w:t>8</w:t>
            </w:r>
            <w:r w:rsidRPr="007A45D3">
              <w:rPr>
                <w:noProof/>
                <w:webHidden/>
                <w:sz w:val="20"/>
                <w:szCs w:val="20"/>
              </w:rPr>
              <w:fldChar w:fldCharType="end"/>
            </w:r>
          </w:hyperlink>
        </w:p>
        <w:p w14:paraId="7C0A5527" w14:textId="78989312" w:rsidR="007A45D3" w:rsidRPr="007A45D3" w:rsidRDefault="007A45D3">
          <w:pPr>
            <w:pStyle w:val="TOC3"/>
            <w:tabs>
              <w:tab w:val="left" w:pos="960"/>
              <w:tab w:val="right" w:leader="dot" w:pos="9016"/>
            </w:tabs>
            <w:rPr>
              <w:rFonts w:eastAsiaTheme="minorEastAsia"/>
              <w:noProof/>
              <w:sz w:val="20"/>
              <w:szCs w:val="20"/>
              <w:lang w:eastAsia="en-GB"/>
            </w:rPr>
          </w:pPr>
          <w:hyperlink w:anchor="_Toc236136453" w:history="1">
            <w:r w:rsidRPr="007A45D3">
              <w:rPr>
                <w:rStyle w:val="Hyperlink"/>
                <w:noProof/>
                <w:sz w:val="20"/>
                <w:szCs w:val="20"/>
              </w:rPr>
              <w:t>A.</w:t>
            </w:r>
            <w:r w:rsidRPr="007A45D3">
              <w:rPr>
                <w:rFonts w:eastAsiaTheme="minorEastAsia"/>
                <w:noProof/>
                <w:sz w:val="20"/>
                <w:szCs w:val="20"/>
                <w:lang w:eastAsia="en-GB"/>
              </w:rPr>
              <w:tab/>
            </w:r>
            <w:r w:rsidRPr="007A45D3">
              <w:rPr>
                <w:rStyle w:val="Hyperlink"/>
                <w:noProof/>
                <w:sz w:val="20"/>
                <w:szCs w:val="20"/>
              </w:rPr>
              <w:t>Secure Access Service Edge</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_Toc236136453 \h </w:instrText>
            </w:r>
            <w:r w:rsidRPr="007A45D3">
              <w:rPr>
                <w:noProof/>
                <w:webHidden/>
                <w:sz w:val="20"/>
                <w:szCs w:val="20"/>
              </w:rPr>
            </w:r>
            <w:r w:rsidRPr="007A45D3">
              <w:rPr>
                <w:noProof/>
                <w:webHidden/>
                <w:sz w:val="20"/>
                <w:szCs w:val="20"/>
              </w:rPr>
              <w:fldChar w:fldCharType="separate"/>
            </w:r>
            <w:r w:rsidRPr="007A45D3">
              <w:rPr>
                <w:noProof/>
                <w:webHidden/>
                <w:sz w:val="20"/>
                <w:szCs w:val="20"/>
              </w:rPr>
              <w:t>8</w:t>
            </w:r>
            <w:r w:rsidRPr="007A45D3">
              <w:rPr>
                <w:noProof/>
                <w:webHidden/>
                <w:sz w:val="20"/>
                <w:szCs w:val="20"/>
              </w:rPr>
              <w:fldChar w:fldCharType="end"/>
            </w:r>
          </w:hyperlink>
        </w:p>
        <w:p w14:paraId="3371AD9C" w14:textId="474D6C51" w:rsidR="007A45D3" w:rsidRPr="007A45D3" w:rsidRDefault="007A45D3">
          <w:pPr>
            <w:pStyle w:val="TOC3"/>
            <w:tabs>
              <w:tab w:val="left" w:pos="960"/>
              <w:tab w:val="right" w:leader="dot" w:pos="9016"/>
            </w:tabs>
            <w:rPr>
              <w:rFonts w:eastAsiaTheme="minorEastAsia"/>
              <w:noProof/>
              <w:sz w:val="20"/>
              <w:szCs w:val="20"/>
              <w:lang w:eastAsia="en-GB"/>
            </w:rPr>
          </w:pPr>
          <w:hyperlink w:anchor="_Toc236136454" w:history="1">
            <w:r w:rsidRPr="007A45D3">
              <w:rPr>
                <w:rStyle w:val="Hyperlink"/>
                <w:noProof/>
                <w:sz w:val="20"/>
                <w:szCs w:val="20"/>
              </w:rPr>
              <w:t>B.</w:t>
            </w:r>
            <w:r w:rsidRPr="007A45D3">
              <w:rPr>
                <w:rFonts w:eastAsiaTheme="minorEastAsia"/>
                <w:noProof/>
                <w:sz w:val="20"/>
                <w:szCs w:val="20"/>
                <w:lang w:eastAsia="en-GB"/>
              </w:rPr>
              <w:tab/>
            </w:r>
            <w:r w:rsidRPr="007A45D3">
              <w:rPr>
                <w:rStyle w:val="Hyperlink"/>
                <w:noProof/>
                <w:sz w:val="20"/>
                <w:szCs w:val="20"/>
              </w:rPr>
              <w:t>Zero Trust Network Access</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_Toc236136454 \h </w:instrText>
            </w:r>
            <w:r w:rsidRPr="007A45D3">
              <w:rPr>
                <w:noProof/>
                <w:webHidden/>
                <w:sz w:val="20"/>
                <w:szCs w:val="20"/>
              </w:rPr>
            </w:r>
            <w:r w:rsidRPr="007A45D3">
              <w:rPr>
                <w:noProof/>
                <w:webHidden/>
                <w:sz w:val="20"/>
                <w:szCs w:val="20"/>
              </w:rPr>
              <w:fldChar w:fldCharType="separate"/>
            </w:r>
            <w:r w:rsidRPr="007A45D3">
              <w:rPr>
                <w:noProof/>
                <w:webHidden/>
                <w:sz w:val="20"/>
                <w:szCs w:val="20"/>
              </w:rPr>
              <w:t>8</w:t>
            </w:r>
            <w:r w:rsidRPr="007A45D3">
              <w:rPr>
                <w:noProof/>
                <w:webHidden/>
                <w:sz w:val="20"/>
                <w:szCs w:val="20"/>
              </w:rPr>
              <w:fldChar w:fldCharType="end"/>
            </w:r>
          </w:hyperlink>
        </w:p>
        <w:p w14:paraId="2B1DF7A4" w14:textId="61FF4EB5" w:rsidR="007A45D3" w:rsidRPr="007A45D3" w:rsidRDefault="007A45D3">
          <w:pPr>
            <w:pStyle w:val="TOC3"/>
            <w:tabs>
              <w:tab w:val="left" w:pos="960"/>
              <w:tab w:val="right" w:leader="dot" w:pos="9016"/>
            </w:tabs>
            <w:rPr>
              <w:rFonts w:eastAsiaTheme="minorEastAsia"/>
              <w:noProof/>
              <w:sz w:val="20"/>
              <w:szCs w:val="20"/>
              <w:lang w:eastAsia="en-GB"/>
            </w:rPr>
          </w:pPr>
          <w:hyperlink w:anchor="_Toc236136455" w:history="1">
            <w:r w:rsidRPr="007A45D3">
              <w:rPr>
                <w:rStyle w:val="Hyperlink"/>
                <w:noProof/>
                <w:sz w:val="20"/>
                <w:szCs w:val="20"/>
              </w:rPr>
              <w:t>C.</w:t>
            </w:r>
            <w:r w:rsidRPr="007A45D3">
              <w:rPr>
                <w:rFonts w:eastAsiaTheme="minorEastAsia"/>
                <w:noProof/>
                <w:sz w:val="20"/>
                <w:szCs w:val="20"/>
                <w:lang w:eastAsia="en-GB"/>
              </w:rPr>
              <w:tab/>
            </w:r>
            <w:r w:rsidRPr="007A45D3">
              <w:rPr>
                <w:rStyle w:val="Hyperlink"/>
                <w:noProof/>
                <w:sz w:val="20"/>
                <w:szCs w:val="20"/>
              </w:rPr>
              <w:t>Identity Governance</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_Toc236136455 \h </w:instrText>
            </w:r>
            <w:r w:rsidRPr="007A45D3">
              <w:rPr>
                <w:noProof/>
                <w:webHidden/>
                <w:sz w:val="20"/>
                <w:szCs w:val="20"/>
              </w:rPr>
            </w:r>
            <w:r w:rsidRPr="007A45D3">
              <w:rPr>
                <w:noProof/>
                <w:webHidden/>
                <w:sz w:val="20"/>
                <w:szCs w:val="20"/>
              </w:rPr>
              <w:fldChar w:fldCharType="separate"/>
            </w:r>
            <w:r w:rsidRPr="007A45D3">
              <w:rPr>
                <w:noProof/>
                <w:webHidden/>
                <w:sz w:val="20"/>
                <w:szCs w:val="20"/>
              </w:rPr>
              <w:t>9</w:t>
            </w:r>
            <w:r w:rsidRPr="007A45D3">
              <w:rPr>
                <w:noProof/>
                <w:webHidden/>
                <w:sz w:val="20"/>
                <w:szCs w:val="20"/>
              </w:rPr>
              <w:fldChar w:fldCharType="end"/>
            </w:r>
          </w:hyperlink>
        </w:p>
        <w:p w14:paraId="37B20A5F" w14:textId="0C3585E7" w:rsidR="007A45D3" w:rsidRPr="007A45D3" w:rsidRDefault="007A45D3">
          <w:pPr>
            <w:pStyle w:val="TOC2"/>
            <w:tabs>
              <w:tab w:val="left" w:pos="720"/>
              <w:tab w:val="right" w:leader="dot" w:pos="9016"/>
            </w:tabs>
            <w:rPr>
              <w:rFonts w:eastAsiaTheme="minorEastAsia"/>
              <w:noProof/>
              <w:sz w:val="20"/>
              <w:szCs w:val="20"/>
              <w:lang w:eastAsia="en-GB"/>
            </w:rPr>
          </w:pPr>
          <w:hyperlink w:anchor="_Toc236136456" w:history="1">
            <w:r w:rsidRPr="007A45D3">
              <w:rPr>
                <w:rStyle w:val="Hyperlink"/>
                <w:noProof/>
                <w:sz w:val="20"/>
                <w:szCs w:val="20"/>
              </w:rPr>
              <w:t>5.</w:t>
            </w:r>
            <w:r w:rsidRPr="007A45D3">
              <w:rPr>
                <w:rFonts w:eastAsiaTheme="minorEastAsia"/>
                <w:noProof/>
                <w:sz w:val="20"/>
                <w:szCs w:val="20"/>
                <w:lang w:eastAsia="en-GB"/>
              </w:rPr>
              <w:tab/>
            </w:r>
            <w:r w:rsidRPr="007A45D3">
              <w:rPr>
                <w:rStyle w:val="Hyperlink"/>
                <w:noProof/>
                <w:sz w:val="20"/>
                <w:szCs w:val="20"/>
              </w:rPr>
              <w:t>Challenges and limitations</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_Toc236136456 \h </w:instrText>
            </w:r>
            <w:r w:rsidRPr="007A45D3">
              <w:rPr>
                <w:noProof/>
                <w:webHidden/>
                <w:sz w:val="20"/>
                <w:szCs w:val="20"/>
              </w:rPr>
            </w:r>
            <w:r w:rsidRPr="007A45D3">
              <w:rPr>
                <w:noProof/>
                <w:webHidden/>
                <w:sz w:val="20"/>
                <w:szCs w:val="20"/>
              </w:rPr>
              <w:fldChar w:fldCharType="separate"/>
            </w:r>
            <w:r w:rsidRPr="007A45D3">
              <w:rPr>
                <w:noProof/>
                <w:webHidden/>
                <w:sz w:val="20"/>
                <w:szCs w:val="20"/>
              </w:rPr>
              <w:t>9</w:t>
            </w:r>
            <w:r w:rsidRPr="007A45D3">
              <w:rPr>
                <w:noProof/>
                <w:webHidden/>
                <w:sz w:val="20"/>
                <w:szCs w:val="20"/>
              </w:rPr>
              <w:fldChar w:fldCharType="end"/>
            </w:r>
          </w:hyperlink>
        </w:p>
        <w:p w14:paraId="4444B667" w14:textId="5796D6B2" w:rsidR="007A45D3" w:rsidRPr="007A45D3" w:rsidRDefault="007A45D3">
          <w:pPr>
            <w:pStyle w:val="TOC2"/>
            <w:tabs>
              <w:tab w:val="left" w:pos="720"/>
              <w:tab w:val="right" w:leader="dot" w:pos="9016"/>
            </w:tabs>
            <w:rPr>
              <w:rFonts w:eastAsiaTheme="minorEastAsia"/>
              <w:noProof/>
              <w:sz w:val="20"/>
              <w:szCs w:val="20"/>
              <w:lang w:eastAsia="en-GB"/>
            </w:rPr>
          </w:pPr>
          <w:hyperlink w:anchor="_Toc236136457" w:history="1">
            <w:r w:rsidRPr="007A45D3">
              <w:rPr>
                <w:rStyle w:val="Hyperlink"/>
                <w:noProof/>
                <w:sz w:val="20"/>
                <w:szCs w:val="20"/>
              </w:rPr>
              <w:t>6.</w:t>
            </w:r>
            <w:r w:rsidRPr="007A45D3">
              <w:rPr>
                <w:rFonts w:eastAsiaTheme="minorEastAsia"/>
                <w:noProof/>
                <w:sz w:val="20"/>
                <w:szCs w:val="20"/>
                <w:lang w:eastAsia="en-GB"/>
              </w:rPr>
              <w:tab/>
            </w:r>
            <w:r w:rsidRPr="007A45D3">
              <w:rPr>
                <w:rStyle w:val="Hyperlink"/>
                <w:noProof/>
                <w:sz w:val="20"/>
                <w:szCs w:val="20"/>
              </w:rPr>
              <w:t>Case study: Clarity AI</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_Toc236136457 \h </w:instrText>
            </w:r>
            <w:r w:rsidRPr="007A45D3">
              <w:rPr>
                <w:noProof/>
                <w:webHidden/>
                <w:sz w:val="20"/>
                <w:szCs w:val="20"/>
              </w:rPr>
            </w:r>
            <w:r w:rsidRPr="007A45D3">
              <w:rPr>
                <w:noProof/>
                <w:webHidden/>
                <w:sz w:val="20"/>
                <w:szCs w:val="20"/>
              </w:rPr>
              <w:fldChar w:fldCharType="separate"/>
            </w:r>
            <w:r w:rsidRPr="007A45D3">
              <w:rPr>
                <w:noProof/>
                <w:webHidden/>
                <w:sz w:val="20"/>
                <w:szCs w:val="20"/>
              </w:rPr>
              <w:t>11</w:t>
            </w:r>
            <w:r w:rsidRPr="007A45D3">
              <w:rPr>
                <w:noProof/>
                <w:webHidden/>
                <w:sz w:val="20"/>
                <w:szCs w:val="20"/>
              </w:rPr>
              <w:fldChar w:fldCharType="end"/>
            </w:r>
          </w:hyperlink>
        </w:p>
        <w:p w14:paraId="1B1669BB" w14:textId="23B4848D" w:rsidR="007A45D3" w:rsidRPr="007A45D3" w:rsidRDefault="007A45D3">
          <w:pPr>
            <w:pStyle w:val="TOC2"/>
            <w:tabs>
              <w:tab w:val="left" w:pos="720"/>
              <w:tab w:val="right" w:leader="dot" w:pos="9016"/>
            </w:tabs>
            <w:rPr>
              <w:rFonts w:eastAsiaTheme="minorEastAsia"/>
              <w:noProof/>
              <w:sz w:val="20"/>
              <w:szCs w:val="20"/>
              <w:lang w:eastAsia="en-GB"/>
            </w:rPr>
          </w:pPr>
          <w:hyperlink w:anchor="_Toc236136458" w:history="1">
            <w:r w:rsidRPr="007A45D3">
              <w:rPr>
                <w:rStyle w:val="Hyperlink"/>
                <w:noProof/>
                <w:sz w:val="20"/>
                <w:szCs w:val="20"/>
              </w:rPr>
              <w:t>7.</w:t>
            </w:r>
            <w:r w:rsidRPr="007A45D3">
              <w:rPr>
                <w:rFonts w:eastAsiaTheme="minorEastAsia"/>
                <w:noProof/>
                <w:sz w:val="20"/>
                <w:szCs w:val="20"/>
                <w:lang w:eastAsia="en-GB"/>
              </w:rPr>
              <w:tab/>
            </w:r>
            <w:r w:rsidRPr="007A45D3">
              <w:rPr>
                <w:rStyle w:val="Hyperlink"/>
                <w:noProof/>
                <w:sz w:val="20"/>
                <w:szCs w:val="20"/>
              </w:rPr>
              <w:t>Discussion</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_Toc236136458 \h </w:instrText>
            </w:r>
            <w:r w:rsidRPr="007A45D3">
              <w:rPr>
                <w:noProof/>
                <w:webHidden/>
                <w:sz w:val="20"/>
                <w:szCs w:val="20"/>
              </w:rPr>
            </w:r>
            <w:r w:rsidRPr="007A45D3">
              <w:rPr>
                <w:noProof/>
                <w:webHidden/>
                <w:sz w:val="20"/>
                <w:szCs w:val="20"/>
              </w:rPr>
              <w:fldChar w:fldCharType="separate"/>
            </w:r>
            <w:r w:rsidRPr="007A45D3">
              <w:rPr>
                <w:noProof/>
                <w:webHidden/>
                <w:sz w:val="20"/>
                <w:szCs w:val="20"/>
              </w:rPr>
              <w:t>11</w:t>
            </w:r>
            <w:r w:rsidRPr="007A45D3">
              <w:rPr>
                <w:noProof/>
                <w:webHidden/>
                <w:sz w:val="20"/>
                <w:szCs w:val="20"/>
              </w:rPr>
              <w:fldChar w:fldCharType="end"/>
            </w:r>
          </w:hyperlink>
        </w:p>
        <w:p w14:paraId="45E2FC61" w14:textId="4A469C97" w:rsidR="007A45D3" w:rsidRPr="007A45D3" w:rsidRDefault="007A45D3">
          <w:pPr>
            <w:pStyle w:val="TOC2"/>
            <w:tabs>
              <w:tab w:val="left" w:pos="720"/>
              <w:tab w:val="right" w:leader="dot" w:pos="9016"/>
            </w:tabs>
            <w:rPr>
              <w:rFonts w:eastAsiaTheme="minorEastAsia"/>
              <w:noProof/>
              <w:sz w:val="20"/>
              <w:szCs w:val="20"/>
              <w:lang w:eastAsia="en-GB"/>
            </w:rPr>
          </w:pPr>
          <w:hyperlink w:anchor="_Toc236136459" w:history="1">
            <w:r w:rsidRPr="007A45D3">
              <w:rPr>
                <w:rStyle w:val="Hyperlink"/>
                <w:noProof/>
                <w:sz w:val="20"/>
                <w:szCs w:val="20"/>
              </w:rPr>
              <w:t>8.</w:t>
            </w:r>
            <w:r w:rsidRPr="007A45D3">
              <w:rPr>
                <w:rFonts w:eastAsiaTheme="minorEastAsia"/>
                <w:noProof/>
                <w:sz w:val="20"/>
                <w:szCs w:val="20"/>
                <w:lang w:eastAsia="en-GB"/>
              </w:rPr>
              <w:tab/>
            </w:r>
            <w:r w:rsidRPr="007A45D3">
              <w:rPr>
                <w:rStyle w:val="Hyperlink"/>
                <w:noProof/>
                <w:sz w:val="20"/>
                <w:szCs w:val="20"/>
              </w:rPr>
              <w:t>Conclusion</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_Toc236136459 \h </w:instrText>
            </w:r>
            <w:r w:rsidRPr="007A45D3">
              <w:rPr>
                <w:noProof/>
                <w:webHidden/>
                <w:sz w:val="20"/>
                <w:szCs w:val="20"/>
              </w:rPr>
            </w:r>
            <w:r w:rsidRPr="007A45D3">
              <w:rPr>
                <w:noProof/>
                <w:webHidden/>
                <w:sz w:val="20"/>
                <w:szCs w:val="20"/>
              </w:rPr>
              <w:fldChar w:fldCharType="separate"/>
            </w:r>
            <w:r w:rsidRPr="007A45D3">
              <w:rPr>
                <w:noProof/>
                <w:webHidden/>
                <w:sz w:val="20"/>
                <w:szCs w:val="20"/>
              </w:rPr>
              <w:t>12</w:t>
            </w:r>
            <w:r w:rsidRPr="007A45D3">
              <w:rPr>
                <w:noProof/>
                <w:webHidden/>
                <w:sz w:val="20"/>
                <w:szCs w:val="20"/>
              </w:rPr>
              <w:fldChar w:fldCharType="end"/>
            </w:r>
          </w:hyperlink>
        </w:p>
        <w:p w14:paraId="2FF90016" w14:textId="11EB8A87" w:rsidR="007A45D3" w:rsidRPr="007A45D3" w:rsidRDefault="007A45D3">
          <w:pPr>
            <w:pStyle w:val="TOC1"/>
            <w:tabs>
              <w:tab w:val="right" w:leader="dot" w:pos="9016"/>
            </w:tabs>
            <w:rPr>
              <w:rFonts w:eastAsiaTheme="minorEastAsia"/>
              <w:noProof/>
              <w:sz w:val="20"/>
              <w:szCs w:val="20"/>
              <w:lang w:eastAsia="en-GB"/>
            </w:rPr>
          </w:pPr>
          <w:hyperlink w:anchor="_Toc236136460" w:history="1">
            <w:r w:rsidRPr="007A45D3">
              <w:rPr>
                <w:rStyle w:val="Hyperlink"/>
                <w:noProof/>
                <w:sz w:val="20"/>
                <w:szCs w:val="20"/>
              </w:rPr>
              <w:t>Task 2 – Work-Based Project: Chief Information Security Officer (CISO) Proposal</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_Toc236136460 \h </w:instrText>
            </w:r>
            <w:r w:rsidRPr="007A45D3">
              <w:rPr>
                <w:noProof/>
                <w:webHidden/>
                <w:sz w:val="20"/>
                <w:szCs w:val="20"/>
              </w:rPr>
            </w:r>
            <w:r w:rsidRPr="007A45D3">
              <w:rPr>
                <w:noProof/>
                <w:webHidden/>
                <w:sz w:val="20"/>
                <w:szCs w:val="20"/>
              </w:rPr>
              <w:fldChar w:fldCharType="separate"/>
            </w:r>
            <w:r w:rsidRPr="007A45D3">
              <w:rPr>
                <w:noProof/>
                <w:webHidden/>
                <w:sz w:val="20"/>
                <w:szCs w:val="20"/>
              </w:rPr>
              <w:t>13</w:t>
            </w:r>
            <w:r w:rsidRPr="007A45D3">
              <w:rPr>
                <w:noProof/>
                <w:webHidden/>
                <w:sz w:val="20"/>
                <w:szCs w:val="20"/>
              </w:rPr>
              <w:fldChar w:fldCharType="end"/>
            </w:r>
          </w:hyperlink>
        </w:p>
        <w:p w14:paraId="7E852694" w14:textId="49056FEA" w:rsidR="007A45D3" w:rsidRPr="007A45D3" w:rsidRDefault="007A45D3">
          <w:pPr>
            <w:pStyle w:val="TOC2"/>
            <w:tabs>
              <w:tab w:val="right" w:leader="dot" w:pos="9016"/>
            </w:tabs>
            <w:rPr>
              <w:rFonts w:eastAsiaTheme="minorEastAsia"/>
              <w:noProof/>
              <w:sz w:val="20"/>
              <w:szCs w:val="20"/>
              <w:lang w:eastAsia="en-GB"/>
            </w:rPr>
          </w:pPr>
          <w:hyperlink w:anchor="_Toc236136461" w:history="1">
            <w:r w:rsidRPr="007A45D3">
              <w:rPr>
                <w:rStyle w:val="Hyperlink"/>
                <w:noProof/>
                <w:sz w:val="20"/>
                <w:szCs w:val="20"/>
              </w:rPr>
              <w:t>Executive Summary</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_Toc236136461 \h </w:instrText>
            </w:r>
            <w:r w:rsidRPr="007A45D3">
              <w:rPr>
                <w:noProof/>
                <w:webHidden/>
                <w:sz w:val="20"/>
                <w:szCs w:val="20"/>
              </w:rPr>
            </w:r>
            <w:r w:rsidRPr="007A45D3">
              <w:rPr>
                <w:noProof/>
                <w:webHidden/>
                <w:sz w:val="20"/>
                <w:szCs w:val="20"/>
              </w:rPr>
              <w:fldChar w:fldCharType="separate"/>
            </w:r>
            <w:r w:rsidRPr="007A45D3">
              <w:rPr>
                <w:noProof/>
                <w:webHidden/>
                <w:sz w:val="20"/>
                <w:szCs w:val="20"/>
              </w:rPr>
              <w:t>13</w:t>
            </w:r>
            <w:r w:rsidRPr="007A45D3">
              <w:rPr>
                <w:noProof/>
                <w:webHidden/>
                <w:sz w:val="20"/>
                <w:szCs w:val="20"/>
              </w:rPr>
              <w:fldChar w:fldCharType="end"/>
            </w:r>
          </w:hyperlink>
        </w:p>
        <w:p w14:paraId="5525ECC2" w14:textId="4388287C" w:rsidR="007A45D3" w:rsidRPr="007A45D3" w:rsidRDefault="007A45D3">
          <w:pPr>
            <w:pStyle w:val="TOC2"/>
            <w:tabs>
              <w:tab w:val="right" w:leader="dot" w:pos="9016"/>
            </w:tabs>
            <w:rPr>
              <w:rFonts w:eastAsiaTheme="minorEastAsia"/>
              <w:noProof/>
              <w:sz w:val="20"/>
              <w:szCs w:val="20"/>
              <w:lang w:eastAsia="en-GB"/>
            </w:rPr>
          </w:pPr>
          <w:hyperlink w:anchor="_Toc236136462" w:history="1">
            <w:r w:rsidRPr="007A45D3">
              <w:rPr>
                <w:rStyle w:val="Hyperlink"/>
                <w:noProof/>
                <w:sz w:val="20"/>
                <w:szCs w:val="20"/>
              </w:rPr>
              <w:t>Work-Stream 1: Organizational Design &amp; Resourcing</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_Toc236136462 \h </w:instrText>
            </w:r>
            <w:r w:rsidRPr="007A45D3">
              <w:rPr>
                <w:noProof/>
                <w:webHidden/>
                <w:sz w:val="20"/>
                <w:szCs w:val="20"/>
              </w:rPr>
            </w:r>
            <w:r w:rsidRPr="007A45D3">
              <w:rPr>
                <w:noProof/>
                <w:webHidden/>
                <w:sz w:val="20"/>
                <w:szCs w:val="20"/>
              </w:rPr>
              <w:fldChar w:fldCharType="separate"/>
            </w:r>
            <w:r w:rsidRPr="007A45D3">
              <w:rPr>
                <w:noProof/>
                <w:webHidden/>
                <w:sz w:val="20"/>
                <w:szCs w:val="20"/>
              </w:rPr>
              <w:t>13</w:t>
            </w:r>
            <w:r w:rsidRPr="007A45D3">
              <w:rPr>
                <w:noProof/>
                <w:webHidden/>
                <w:sz w:val="20"/>
                <w:szCs w:val="20"/>
              </w:rPr>
              <w:fldChar w:fldCharType="end"/>
            </w:r>
          </w:hyperlink>
        </w:p>
        <w:p w14:paraId="2AF8A505" w14:textId="0299BCEF" w:rsidR="007A45D3" w:rsidRPr="007A45D3" w:rsidRDefault="007A45D3">
          <w:pPr>
            <w:pStyle w:val="TOC2"/>
            <w:tabs>
              <w:tab w:val="right" w:leader="dot" w:pos="9016"/>
            </w:tabs>
            <w:rPr>
              <w:rFonts w:eastAsiaTheme="minorEastAsia"/>
              <w:noProof/>
              <w:sz w:val="20"/>
              <w:szCs w:val="20"/>
              <w:lang w:eastAsia="en-GB"/>
            </w:rPr>
          </w:pPr>
          <w:hyperlink w:anchor="_Toc236136463" w:history="1">
            <w:r w:rsidRPr="007A45D3">
              <w:rPr>
                <w:rStyle w:val="Hyperlink"/>
                <w:noProof/>
                <w:sz w:val="20"/>
                <w:szCs w:val="20"/>
              </w:rPr>
              <w:t>Work-Stream 2: Policy Framework Development</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_Toc236136463 \h </w:instrText>
            </w:r>
            <w:r w:rsidRPr="007A45D3">
              <w:rPr>
                <w:noProof/>
                <w:webHidden/>
                <w:sz w:val="20"/>
                <w:szCs w:val="20"/>
              </w:rPr>
            </w:r>
            <w:r w:rsidRPr="007A45D3">
              <w:rPr>
                <w:noProof/>
                <w:webHidden/>
                <w:sz w:val="20"/>
                <w:szCs w:val="20"/>
              </w:rPr>
              <w:fldChar w:fldCharType="separate"/>
            </w:r>
            <w:r w:rsidRPr="007A45D3">
              <w:rPr>
                <w:noProof/>
                <w:webHidden/>
                <w:sz w:val="20"/>
                <w:szCs w:val="20"/>
              </w:rPr>
              <w:t>15</w:t>
            </w:r>
            <w:r w:rsidRPr="007A45D3">
              <w:rPr>
                <w:noProof/>
                <w:webHidden/>
                <w:sz w:val="20"/>
                <w:szCs w:val="20"/>
              </w:rPr>
              <w:fldChar w:fldCharType="end"/>
            </w:r>
          </w:hyperlink>
        </w:p>
        <w:p w14:paraId="1FDF82CA" w14:textId="7F80183F" w:rsidR="007A45D3" w:rsidRPr="007A45D3" w:rsidRDefault="007A45D3">
          <w:pPr>
            <w:pStyle w:val="TOC3"/>
            <w:tabs>
              <w:tab w:val="right" w:leader="dot" w:pos="9016"/>
            </w:tabs>
            <w:rPr>
              <w:rFonts w:eastAsiaTheme="minorEastAsia"/>
              <w:noProof/>
              <w:sz w:val="20"/>
              <w:szCs w:val="20"/>
              <w:lang w:eastAsia="en-GB"/>
            </w:rPr>
          </w:pPr>
          <w:hyperlink w:anchor="_Toc236136464" w:history="1">
            <w:r w:rsidRPr="007A45D3">
              <w:rPr>
                <w:rStyle w:val="Hyperlink"/>
                <w:noProof/>
                <w:sz w:val="20"/>
                <w:szCs w:val="20"/>
              </w:rPr>
              <w:t>Policy 1: Acceptable Use Policy for AI &amp; Cloud Services</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_Toc236136464 \h </w:instrText>
            </w:r>
            <w:r w:rsidRPr="007A45D3">
              <w:rPr>
                <w:noProof/>
                <w:webHidden/>
                <w:sz w:val="20"/>
                <w:szCs w:val="20"/>
              </w:rPr>
            </w:r>
            <w:r w:rsidRPr="007A45D3">
              <w:rPr>
                <w:noProof/>
                <w:webHidden/>
                <w:sz w:val="20"/>
                <w:szCs w:val="20"/>
              </w:rPr>
              <w:fldChar w:fldCharType="separate"/>
            </w:r>
            <w:r w:rsidRPr="007A45D3">
              <w:rPr>
                <w:noProof/>
                <w:webHidden/>
                <w:sz w:val="20"/>
                <w:szCs w:val="20"/>
              </w:rPr>
              <w:t>15</w:t>
            </w:r>
            <w:r w:rsidRPr="007A45D3">
              <w:rPr>
                <w:noProof/>
                <w:webHidden/>
                <w:sz w:val="20"/>
                <w:szCs w:val="20"/>
              </w:rPr>
              <w:fldChar w:fldCharType="end"/>
            </w:r>
          </w:hyperlink>
        </w:p>
        <w:p w14:paraId="5CA94E48" w14:textId="5942EBF7" w:rsidR="007A45D3" w:rsidRPr="007A45D3" w:rsidRDefault="007A45D3">
          <w:pPr>
            <w:pStyle w:val="TOC3"/>
            <w:tabs>
              <w:tab w:val="right" w:leader="dot" w:pos="9016"/>
            </w:tabs>
            <w:rPr>
              <w:rFonts w:eastAsiaTheme="minorEastAsia"/>
              <w:noProof/>
              <w:sz w:val="20"/>
              <w:szCs w:val="20"/>
              <w:lang w:eastAsia="en-GB"/>
            </w:rPr>
          </w:pPr>
          <w:hyperlink w:anchor="_Toc236136465" w:history="1">
            <w:r w:rsidRPr="007A45D3">
              <w:rPr>
                <w:rStyle w:val="Hyperlink"/>
                <w:noProof/>
                <w:sz w:val="20"/>
                <w:szCs w:val="20"/>
              </w:rPr>
              <w:t>Policy 2: Hybrid Work and Remote Access Security Policy</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_Toc236136465 \h </w:instrText>
            </w:r>
            <w:r w:rsidRPr="007A45D3">
              <w:rPr>
                <w:noProof/>
                <w:webHidden/>
                <w:sz w:val="20"/>
                <w:szCs w:val="20"/>
              </w:rPr>
            </w:r>
            <w:r w:rsidRPr="007A45D3">
              <w:rPr>
                <w:noProof/>
                <w:webHidden/>
                <w:sz w:val="20"/>
                <w:szCs w:val="20"/>
              </w:rPr>
              <w:fldChar w:fldCharType="separate"/>
            </w:r>
            <w:r w:rsidRPr="007A45D3">
              <w:rPr>
                <w:noProof/>
                <w:webHidden/>
                <w:sz w:val="20"/>
                <w:szCs w:val="20"/>
              </w:rPr>
              <w:t>15</w:t>
            </w:r>
            <w:r w:rsidRPr="007A45D3">
              <w:rPr>
                <w:noProof/>
                <w:webHidden/>
                <w:sz w:val="20"/>
                <w:szCs w:val="20"/>
              </w:rPr>
              <w:fldChar w:fldCharType="end"/>
            </w:r>
          </w:hyperlink>
        </w:p>
        <w:p w14:paraId="662D0442" w14:textId="36876E28" w:rsidR="007A45D3" w:rsidRPr="007A45D3" w:rsidRDefault="007A45D3">
          <w:pPr>
            <w:pStyle w:val="TOC3"/>
            <w:tabs>
              <w:tab w:val="right" w:leader="dot" w:pos="9016"/>
            </w:tabs>
            <w:rPr>
              <w:rFonts w:eastAsiaTheme="minorEastAsia"/>
              <w:noProof/>
              <w:sz w:val="20"/>
              <w:szCs w:val="20"/>
              <w:lang w:eastAsia="en-GB"/>
            </w:rPr>
          </w:pPr>
          <w:hyperlink w:anchor="_Toc236136466" w:history="1">
            <w:r w:rsidRPr="007A45D3">
              <w:rPr>
                <w:rStyle w:val="Hyperlink"/>
                <w:noProof/>
                <w:sz w:val="20"/>
                <w:szCs w:val="20"/>
              </w:rPr>
              <w:t>Policy 3: Third-Party and Cloud Vendor Risk Management Policy</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_Toc236136466 \h </w:instrText>
            </w:r>
            <w:r w:rsidRPr="007A45D3">
              <w:rPr>
                <w:noProof/>
                <w:webHidden/>
                <w:sz w:val="20"/>
                <w:szCs w:val="20"/>
              </w:rPr>
            </w:r>
            <w:r w:rsidRPr="007A45D3">
              <w:rPr>
                <w:noProof/>
                <w:webHidden/>
                <w:sz w:val="20"/>
                <w:szCs w:val="20"/>
              </w:rPr>
              <w:fldChar w:fldCharType="separate"/>
            </w:r>
            <w:r w:rsidRPr="007A45D3">
              <w:rPr>
                <w:noProof/>
                <w:webHidden/>
                <w:sz w:val="20"/>
                <w:szCs w:val="20"/>
              </w:rPr>
              <w:t>15</w:t>
            </w:r>
            <w:r w:rsidRPr="007A45D3">
              <w:rPr>
                <w:noProof/>
                <w:webHidden/>
                <w:sz w:val="20"/>
                <w:szCs w:val="20"/>
              </w:rPr>
              <w:fldChar w:fldCharType="end"/>
            </w:r>
          </w:hyperlink>
        </w:p>
        <w:p w14:paraId="68094B97" w14:textId="1CF35426" w:rsidR="007A45D3" w:rsidRPr="007A45D3" w:rsidRDefault="007A45D3">
          <w:pPr>
            <w:pStyle w:val="TOC2"/>
            <w:tabs>
              <w:tab w:val="right" w:leader="dot" w:pos="9016"/>
            </w:tabs>
            <w:rPr>
              <w:rFonts w:eastAsiaTheme="minorEastAsia"/>
              <w:noProof/>
              <w:sz w:val="20"/>
              <w:szCs w:val="20"/>
              <w:lang w:eastAsia="en-GB"/>
            </w:rPr>
          </w:pPr>
          <w:hyperlink w:anchor="_Toc236136467" w:history="1">
            <w:r w:rsidRPr="007A45D3">
              <w:rPr>
                <w:rStyle w:val="Hyperlink"/>
                <w:noProof/>
                <w:sz w:val="20"/>
                <w:szCs w:val="20"/>
              </w:rPr>
              <w:t>Work-Stream 3: Regulatory Compliance Strategy</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_Toc236136467 \h </w:instrText>
            </w:r>
            <w:r w:rsidRPr="007A45D3">
              <w:rPr>
                <w:noProof/>
                <w:webHidden/>
                <w:sz w:val="20"/>
                <w:szCs w:val="20"/>
              </w:rPr>
            </w:r>
            <w:r w:rsidRPr="007A45D3">
              <w:rPr>
                <w:noProof/>
                <w:webHidden/>
                <w:sz w:val="20"/>
                <w:szCs w:val="20"/>
              </w:rPr>
              <w:fldChar w:fldCharType="separate"/>
            </w:r>
            <w:r w:rsidRPr="007A45D3">
              <w:rPr>
                <w:noProof/>
                <w:webHidden/>
                <w:sz w:val="20"/>
                <w:szCs w:val="20"/>
              </w:rPr>
              <w:t>15</w:t>
            </w:r>
            <w:r w:rsidRPr="007A45D3">
              <w:rPr>
                <w:noProof/>
                <w:webHidden/>
                <w:sz w:val="20"/>
                <w:szCs w:val="20"/>
              </w:rPr>
              <w:fldChar w:fldCharType="end"/>
            </w:r>
          </w:hyperlink>
        </w:p>
        <w:p w14:paraId="47A5C41C" w14:textId="3BAC5499" w:rsidR="007A45D3" w:rsidRPr="007A45D3" w:rsidRDefault="007A45D3">
          <w:pPr>
            <w:pStyle w:val="TOC2"/>
            <w:tabs>
              <w:tab w:val="right" w:leader="dot" w:pos="9016"/>
            </w:tabs>
            <w:rPr>
              <w:rFonts w:eastAsiaTheme="minorEastAsia"/>
              <w:noProof/>
              <w:sz w:val="20"/>
              <w:szCs w:val="20"/>
              <w:lang w:eastAsia="en-GB"/>
            </w:rPr>
          </w:pPr>
          <w:hyperlink w:anchor="_Toc236136468" w:history="1">
            <w:r w:rsidRPr="007A45D3">
              <w:rPr>
                <w:rStyle w:val="Hyperlink"/>
                <w:noProof/>
                <w:sz w:val="20"/>
                <w:szCs w:val="20"/>
              </w:rPr>
              <w:t>Work-Stream 4: Technical Standards &amp; Architecture</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_Toc236136468 \h </w:instrText>
            </w:r>
            <w:r w:rsidRPr="007A45D3">
              <w:rPr>
                <w:noProof/>
                <w:webHidden/>
                <w:sz w:val="20"/>
                <w:szCs w:val="20"/>
              </w:rPr>
            </w:r>
            <w:r w:rsidRPr="007A45D3">
              <w:rPr>
                <w:noProof/>
                <w:webHidden/>
                <w:sz w:val="20"/>
                <w:szCs w:val="20"/>
              </w:rPr>
              <w:fldChar w:fldCharType="separate"/>
            </w:r>
            <w:r w:rsidRPr="007A45D3">
              <w:rPr>
                <w:noProof/>
                <w:webHidden/>
                <w:sz w:val="20"/>
                <w:szCs w:val="20"/>
              </w:rPr>
              <w:t>16</w:t>
            </w:r>
            <w:r w:rsidRPr="007A45D3">
              <w:rPr>
                <w:noProof/>
                <w:webHidden/>
                <w:sz w:val="20"/>
                <w:szCs w:val="20"/>
              </w:rPr>
              <w:fldChar w:fldCharType="end"/>
            </w:r>
          </w:hyperlink>
        </w:p>
        <w:p w14:paraId="3D61415C" w14:textId="08682F5B" w:rsidR="007A45D3" w:rsidRPr="007A45D3" w:rsidRDefault="007A45D3">
          <w:pPr>
            <w:pStyle w:val="TOC3"/>
            <w:tabs>
              <w:tab w:val="right" w:leader="dot" w:pos="9016"/>
            </w:tabs>
            <w:rPr>
              <w:rFonts w:eastAsiaTheme="minorEastAsia"/>
              <w:noProof/>
              <w:sz w:val="20"/>
              <w:szCs w:val="20"/>
              <w:lang w:eastAsia="en-GB"/>
            </w:rPr>
          </w:pPr>
          <w:hyperlink w:anchor="_Toc236136469" w:history="1">
            <w:r w:rsidRPr="007A45D3">
              <w:rPr>
                <w:rStyle w:val="Hyperlink"/>
                <w:noProof/>
                <w:sz w:val="20"/>
                <w:szCs w:val="20"/>
              </w:rPr>
              <w:t>Framework selection: NIST Cybersecurity Framework 2.0</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_Toc236136469 \h </w:instrText>
            </w:r>
            <w:r w:rsidRPr="007A45D3">
              <w:rPr>
                <w:noProof/>
                <w:webHidden/>
                <w:sz w:val="20"/>
                <w:szCs w:val="20"/>
              </w:rPr>
            </w:r>
            <w:r w:rsidRPr="007A45D3">
              <w:rPr>
                <w:noProof/>
                <w:webHidden/>
                <w:sz w:val="20"/>
                <w:szCs w:val="20"/>
              </w:rPr>
              <w:fldChar w:fldCharType="separate"/>
            </w:r>
            <w:r w:rsidRPr="007A45D3">
              <w:rPr>
                <w:noProof/>
                <w:webHidden/>
                <w:sz w:val="20"/>
                <w:szCs w:val="20"/>
              </w:rPr>
              <w:t>16</w:t>
            </w:r>
            <w:r w:rsidRPr="007A45D3">
              <w:rPr>
                <w:noProof/>
                <w:webHidden/>
                <w:sz w:val="20"/>
                <w:szCs w:val="20"/>
              </w:rPr>
              <w:fldChar w:fldCharType="end"/>
            </w:r>
          </w:hyperlink>
        </w:p>
        <w:p w14:paraId="5715426F" w14:textId="73552EA9" w:rsidR="007A45D3" w:rsidRPr="007A45D3" w:rsidRDefault="007A45D3">
          <w:pPr>
            <w:pStyle w:val="TOC3"/>
            <w:tabs>
              <w:tab w:val="right" w:leader="dot" w:pos="9016"/>
            </w:tabs>
            <w:rPr>
              <w:rFonts w:eastAsiaTheme="minorEastAsia"/>
              <w:noProof/>
              <w:sz w:val="20"/>
              <w:szCs w:val="20"/>
              <w:lang w:eastAsia="en-GB"/>
            </w:rPr>
          </w:pPr>
          <w:hyperlink w:anchor="_Toc236136470" w:history="1">
            <w:r w:rsidRPr="007A45D3">
              <w:rPr>
                <w:rStyle w:val="Hyperlink"/>
                <w:noProof/>
                <w:sz w:val="20"/>
                <w:szCs w:val="20"/>
              </w:rPr>
              <w:t>Proposed technical architecture</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_Toc236136470 \h </w:instrText>
            </w:r>
            <w:r w:rsidRPr="007A45D3">
              <w:rPr>
                <w:noProof/>
                <w:webHidden/>
                <w:sz w:val="20"/>
                <w:szCs w:val="20"/>
              </w:rPr>
            </w:r>
            <w:r w:rsidRPr="007A45D3">
              <w:rPr>
                <w:noProof/>
                <w:webHidden/>
                <w:sz w:val="20"/>
                <w:szCs w:val="20"/>
              </w:rPr>
              <w:fldChar w:fldCharType="separate"/>
            </w:r>
            <w:r w:rsidRPr="007A45D3">
              <w:rPr>
                <w:noProof/>
                <w:webHidden/>
                <w:sz w:val="20"/>
                <w:szCs w:val="20"/>
              </w:rPr>
              <w:t>16</w:t>
            </w:r>
            <w:r w:rsidRPr="007A45D3">
              <w:rPr>
                <w:noProof/>
                <w:webHidden/>
                <w:sz w:val="20"/>
                <w:szCs w:val="20"/>
              </w:rPr>
              <w:fldChar w:fldCharType="end"/>
            </w:r>
          </w:hyperlink>
        </w:p>
        <w:p w14:paraId="65A27842" w14:textId="6A8C8C16" w:rsidR="007A45D3" w:rsidRPr="007A45D3" w:rsidRDefault="007A45D3">
          <w:pPr>
            <w:pStyle w:val="TOC3"/>
            <w:tabs>
              <w:tab w:val="right" w:leader="dot" w:pos="9016"/>
            </w:tabs>
            <w:rPr>
              <w:rFonts w:eastAsiaTheme="minorEastAsia"/>
              <w:noProof/>
              <w:sz w:val="20"/>
              <w:szCs w:val="20"/>
              <w:lang w:eastAsia="en-GB"/>
            </w:rPr>
          </w:pPr>
          <w:hyperlink w:anchor="_Toc236136471" w:history="1">
            <w:r w:rsidRPr="007A45D3">
              <w:rPr>
                <w:rStyle w:val="Hyperlink"/>
                <w:noProof/>
                <w:sz w:val="20"/>
                <w:szCs w:val="20"/>
              </w:rPr>
              <w:t>Explaining the access flow</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_Toc236136471 \h </w:instrText>
            </w:r>
            <w:r w:rsidRPr="007A45D3">
              <w:rPr>
                <w:noProof/>
                <w:webHidden/>
                <w:sz w:val="20"/>
                <w:szCs w:val="20"/>
              </w:rPr>
            </w:r>
            <w:r w:rsidRPr="007A45D3">
              <w:rPr>
                <w:noProof/>
                <w:webHidden/>
                <w:sz w:val="20"/>
                <w:szCs w:val="20"/>
              </w:rPr>
              <w:fldChar w:fldCharType="separate"/>
            </w:r>
            <w:r w:rsidRPr="007A45D3">
              <w:rPr>
                <w:noProof/>
                <w:webHidden/>
                <w:sz w:val="20"/>
                <w:szCs w:val="20"/>
              </w:rPr>
              <w:t>16</w:t>
            </w:r>
            <w:r w:rsidRPr="007A45D3">
              <w:rPr>
                <w:noProof/>
                <w:webHidden/>
                <w:sz w:val="20"/>
                <w:szCs w:val="20"/>
              </w:rPr>
              <w:fldChar w:fldCharType="end"/>
            </w:r>
          </w:hyperlink>
        </w:p>
        <w:p w14:paraId="24EC774F" w14:textId="38C79150" w:rsidR="007A45D3" w:rsidRPr="007A45D3" w:rsidRDefault="007A45D3">
          <w:pPr>
            <w:pStyle w:val="TOC2"/>
            <w:tabs>
              <w:tab w:val="right" w:leader="dot" w:pos="9016"/>
            </w:tabs>
            <w:rPr>
              <w:rFonts w:eastAsiaTheme="minorEastAsia"/>
              <w:noProof/>
              <w:sz w:val="20"/>
              <w:szCs w:val="20"/>
              <w:lang w:eastAsia="en-GB"/>
            </w:rPr>
          </w:pPr>
          <w:hyperlink w:anchor="_Toc236136472" w:history="1">
            <w:r w:rsidRPr="007A45D3">
              <w:rPr>
                <w:rStyle w:val="Hyperlink"/>
                <w:noProof/>
                <w:sz w:val="20"/>
                <w:szCs w:val="20"/>
              </w:rPr>
              <w:t xml:space="preserve">Work-Stream 5: </w:t>
            </w:r>
            <w:r w:rsidRPr="007A45D3">
              <w:rPr>
                <w:rStyle w:val="Hyperlink"/>
                <w:noProof/>
                <w:sz w:val="16"/>
                <w:szCs w:val="16"/>
              </w:rPr>
              <w:t>Strategic</w:t>
            </w:r>
            <w:r w:rsidRPr="007A45D3">
              <w:rPr>
                <w:rStyle w:val="Hyperlink"/>
                <w:noProof/>
                <w:sz w:val="20"/>
                <w:szCs w:val="20"/>
              </w:rPr>
              <w:t xml:space="preserve"> Risk Assessment</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_Toc236136472 \h </w:instrText>
            </w:r>
            <w:r w:rsidRPr="007A45D3">
              <w:rPr>
                <w:noProof/>
                <w:webHidden/>
                <w:sz w:val="20"/>
                <w:szCs w:val="20"/>
              </w:rPr>
            </w:r>
            <w:r w:rsidRPr="007A45D3">
              <w:rPr>
                <w:noProof/>
                <w:webHidden/>
                <w:sz w:val="20"/>
                <w:szCs w:val="20"/>
              </w:rPr>
              <w:fldChar w:fldCharType="separate"/>
            </w:r>
            <w:r w:rsidRPr="007A45D3">
              <w:rPr>
                <w:noProof/>
                <w:webHidden/>
                <w:sz w:val="20"/>
                <w:szCs w:val="20"/>
              </w:rPr>
              <w:t>17</w:t>
            </w:r>
            <w:r w:rsidRPr="007A45D3">
              <w:rPr>
                <w:noProof/>
                <w:webHidden/>
                <w:sz w:val="20"/>
                <w:szCs w:val="20"/>
              </w:rPr>
              <w:fldChar w:fldCharType="end"/>
            </w:r>
          </w:hyperlink>
        </w:p>
        <w:p w14:paraId="1EA9EACB" w14:textId="3D945CA2" w:rsidR="007A45D3" w:rsidRPr="007A45D3" w:rsidRDefault="007A45D3">
          <w:pPr>
            <w:pStyle w:val="TOC2"/>
            <w:tabs>
              <w:tab w:val="right" w:leader="dot" w:pos="9016"/>
            </w:tabs>
            <w:rPr>
              <w:rFonts w:eastAsiaTheme="minorEastAsia"/>
              <w:noProof/>
              <w:sz w:val="20"/>
              <w:szCs w:val="20"/>
              <w:lang w:eastAsia="en-GB"/>
            </w:rPr>
          </w:pPr>
          <w:hyperlink w:anchor="_Toc236136473" w:history="1">
            <w:r w:rsidRPr="007A45D3">
              <w:rPr>
                <w:rStyle w:val="Hyperlink"/>
                <w:noProof/>
                <w:sz w:val="20"/>
                <w:szCs w:val="20"/>
              </w:rPr>
              <w:t>Work-Stream 6: Incident Response &amp; Business Continuity</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_Toc236136473 \h </w:instrText>
            </w:r>
            <w:r w:rsidRPr="007A45D3">
              <w:rPr>
                <w:noProof/>
                <w:webHidden/>
                <w:sz w:val="20"/>
                <w:szCs w:val="20"/>
              </w:rPr>
            </w:r>
            <w:r w:rsidRPr="007A45D3">
              <w:rPr>
                <w:noProof/>
                <w:webHidden/>
                <w:sz w:val="20"/>
                <w:szCs w:val="20"/>
              </w:rPr>
              <w:fldChar w:fldCharType="separate"/>
            </w:r>
            <w:r w:rsidRPr="007A45D3">
              <w:rPr>
                <w:noProof/>
                <w:webHidden/>
                <w:sz w:val="20"/>
                <w:szCs w:val="20"/>
              </w:rPr>
              <w:t>17</w:t>
            </w:r>
            <w:r w:rsidRPr="007A45D3">
              <w:rPr>
                <w:noProof/>
                <w:webHidden/>
                <w:sz w:val="20"/>
                <w:szCs w:val="20"/>
              </w:rPr>
              <w:fldChar w:fldCharType="end"/>
            </w:r>
          </w:hyperlink>
        </w:p>
        <w:p w14:paraId="77A12018" w14:textId="7E2B66B9" w:rsidR="007A45D3" w:rsidRPr="007A45D3" w:rsidRDefault="007A45D3">
          <w:pPr>
            <w:pStyle w:val="TOC2"/>
            <w:tabs>
              <w:tab w:val="right" w:leader="dot" w:pos="9016"/>
            </w:tabs>
            <w:rPr>
              <w:rFonts w:eastAsiaTheme="minorEastAsia"/>
              <w:noProof/>
              <w:sz w:val="20"/>
              <w:szCs w:val="20"/>
              <w:lang w:eastAsia="en-GB"/>
            </w:rPr>
          </w:pPr>
          <w:hyperlink w:anchor="_Toc236136474" w:history="1">
            <w:r w:rsidRPr="007A45D3">
              <w:rPr>
                <w:rStyle w:val="Hyperlink"/>
                <w:noProof/>
                <w:sz w:val="20"/>
                <w:szCs w:val="20"/>
              </w:rPr>
              <w:t>Work-Stream 7: Governance &amp; Strategic Roadmap</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_Toc236136474 \h </w:instrText>
            </w:r>
            <w:r w:rsidRPr="007A45D3">
              <w:rPr>
                <w:noProof/>
                <w:webHidden/>
                <w:sz w:val="20"/>
                <w:szCs w:val="20"/>
              </w:rPr>
            </w:r>
            <w:r w:rsidRPr="007A45D3">
              <w:rPr>
                <w:noProof/>
                <w:webHidden/>
                <w:sz w:val="20"/>
                <w:szCs w:val="20"/>
              </w:rPr>
              <w:fldChar w:fldCharType="separate"/>
            </w:r>
            <w:r w:rsidRPr="007A45D3">
              <w:rPr>
                <w:noProof/>
                <w:webHidden/>
                <w:sz w:val="20"/>
                <w:szCs w:val="20"/>
              </w:rPr>
              <w:t>18</w:t>
            </w:r>
            <w:r w:rsidRPr="007A45D3">
              <w:rPr>
                <w:noProof/>
                <w:webHidden/>
                <w:sz w:val="20"/>
                <w:szCs w:val="20"/>
              </w:rPr>
              <w:fldChar w:fldCharType="end"/>
            </w:r>
          </w:hyperlink>
        </w:p>
        <w:p w14:paraId="7B593B51" w14:textId="3640B59A" w:rsidR="007A45D3" w:rsidRPr="007A45D3" w:rsidRDefault="007A45D3">
          <w:pPr>
            <w:pStyle w:val="TOC1"/>
            <w:tabs>
              <w:tab w:val="right" w:leader="dot" w:pos="9016"/>
            </w:tabs>
            <w:rPr>
              <w:rFonts w:eastAsiaTheme="minorEastAsia"/>
              <w:noProof/>
              <w:sz w:val="20"/>
              <w:szCs w:val="20"/>
              <w:lang w:eastAsia="en-GB"/>
            </w:rPr>
          </w:pPr>
          <w:hyperlink w:anchor="_Toc236136475" w:history="1">
            <w:r w:rsidRPr="007A45D3">
              <w:rPr>
                <w:rStyle w:val="Hyperlink"/>
                <w:noProof/>
                <w:sz w:val="20"/>
                <w:szCs w:val="20"/>
              </w:rPr>
              <w:t>Conclusion</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_Toc236136475 \h </w:instrText>
            </w:r>
            <w:r w:rsidRPr="007A45D3">
              <w:rPr>
                <w:noProof/>
                <w:webHidden/>
                <w:sz w:val="20"/>
                <w:szCs w:val="20"/>
              </w:rPr>
            </w:r>
            <w:r w:rsidRPr="007A45D3">
              <w:rPr>
                <w:noProof/>
                <w:webHidden/>
                <w:sz w:val="20"/>
                <w:szCs w:val="20"/>
              </w:rPr>
              <w:fldChar w:fldCharType="separate"/>
            </w:r>
            <w:r w:rsidRPr="007A45D3">
              <w:rPr>
                <w:noProof/>
                <w:webHidden/>
                <w:sz w:val="20"/>
                <w:szCs w:val="20"/>
              </w:rPr>
              <w:t>18</w:t>
            </w:r>
            <w:r w:rsidRPr="007A45D3">
              <w:rPr>
                <w:noProof/>
                <w:webHidden/>
                <w:sz w:val="20"/>
                <w:szCs w:val="20"/>
              </w:rPr>
              <w:fldChar w:fldCharType="end"/>
            </w:r>
          </w:hyperlink>
        </w:p>
        <w:p w14:paraId="29458358" w14:textId="35EF0587" w:rsidR="007A45D3" w:rsidRPr="007A45D3" w:rsidRDefault="007A45D3">
          <w:pPr>
            <w:pStyle w:val="TOC1"/>
            <w:tabs>
              <w:tab w:val="right" w:leader="dot" w:pos="9016"/>
            </w:tabs>
            <w:rPr>
              <w:rFonts w:eastAsiaTheme="minorEastAsia"/>
              <w:noProof/>
              <w:sz w:val="20"/>
              <w:szCs w:val="20"/>
              <w:lang w:eastAsia="en-GB"/>
            </w:rPr>
          </w:pPr>
          <w:hyperlink w:anchor="_Toc236136476" w:history="1">
            <w:r w:rsidRPr="007A45D3">
              <w:rPr>
                <w:rStyle w:val="Hyperlink"/>
                <w:noProof/>
                <w:sz w:val="20"/>
                <w:szCs w:val="20"/>
              </w:rPr>
              <w:t>Bibliography</w:t>
            </w:r>
            <w:r w:rsidRPr="007A45D3">
              <w:rPr>
                <w:noProof/>
                <w:webHidden/>
                <w:sz w:val="20"/>
                <w:szCs w:val="20"/>
              </w:rPr>
              <w:tab/>
            </w:r>
            <w:r w:rsidRPr="007A45D3">
              <w:rPr>
                <w:noProof/>
                <w:webHidden/>
                <w:sz w:val="20"/>
                <w:szCs w:val="20"/>
              </w:rPr>
              <w:fldChar w:fldCharType="begin"/>
            </w:r>
            <w:r w:rsidRPr="007A45D3">
              <w:rPr>
                <w:noProof/>
                <w:webHidden/>
                <w:sz w:val="20"/>
                <w:szCs w:val="20"/>
              </w:rPr>
              <w:instrText xml:space="preserve"> PAGEREF _Toc236136476 \h </w:instrText>
            </w:r>
            <w:r w:rsidRPr="007A45D3">
              <w:rPr>
                <w:noProof/>
                <w:webHidden/>
                <w:sz w:val="20"/>
                <w:szCs w:val="20"/>
              </w:rPr>
            </w:r>
            <w:r w:rsidRPr="007A45D3">
              <w:rPr>
                <w:noProof/>
                <w:webHidden/>
                <w:sz w:val="20"/>
                <w:szCs w:val="20"/>
              </w:rPr>
              <w:fldChar w:fldCharType="separate"/>
            </w:r>
            <w:r w:rsidRPr="007A45D3">
              <w:rPr>
                <w:noProof/>
                <w:webHidden/>
                <w:sz w:val="20"/>
                <w:szCs w:val="20"/>
              </w:rPr>
              <w:t>19</w:t>
            </w:r>
            <w:r w:rsidRPr="007A45D3">
              <w:rPr>
                <w:noProof/>
                <w:webHidden/>
                <w:sz w:val="20"/>
                <w:szCs w:val="20"/>
              </w:rPr>
              <w:fldChar w:fldCharType="end"/>
            </w:r>
          </w:hyperlink>
        </w:p>
        <w:p w14:paraId="4510B6F6" w14:textId="6ACC969E" w:rsidR="00B3718E" w:rsidRPr="00591802" w:rsidRDefault="00B3718E">
          <w:r w:rsidRPr="007A45D3">
            <w:rPr>
              <w:b/>
              <w:bCs/>
              <w:sz w:val="20"/>
              <w:szCs w:val="20"/>
            </w:rPr>
            <w:fldChar w:fldCharType="end"/>
          </w:r>
        </w:p>
      </w:sdtContent>
    </w:sdt>
    <w:p w14:paraId="12AE1A74" w14:textId="0CA5909E" w:rsidR="00416BCB" w:rsidRDefault="00B3718E" w:rsidP="007A45D3">
      <w:pPr>
        <w:pStyle w:val="Heading1"/>
      </w:pPr>
      <w:r w:rsidRPr="00591802">
        <w:br w:type="page"/>
      </w:r>
      <w:bookmarkStart w:id="0" w:name="_Toc236136443"/>
      <w:r w:rsidR="007A45D3">
        <w:lastRenderedPageBreak/>
        <w:t>A</w:t>
      </w:r>
      <w:r w:rsidR="00774E7A">
        <w:t>bstract</w:t>
      </w:r>
      <w:bookmarkEnd w:id="0"/>
    </w:p>
    <w:p w14:paraId="07453C5E" w14:textId="54C055E6" w:rsidR="00416BCB" w:rsidRDefault="00774E7A">
      <w:pPr>
        <w:rPr>
          <w:rFonts w:asciiTheme="majorHAnsi" w:eastAsiaTheme="majorEastAsia" w:hAnsiTheme="majorHAnsi" w:cstheme="majorBidi"/>
          <w:color w:val="0F4761" w:themeColor="accent1" w:themeShade="BF"/>
          <w:sz w:val="40"/>
          <w:szCs w:val="40"/>
        </w:rPr>
      </w:pPr>
      <w:r w:rsidRPr="00774E7A">
        <w:t xml:space="preserve">Modern organisations increasingly operate across cloud platforms, hybrid workforces and distributed supply chains, conditions under which traditional perimeter-based security no longer provides an adequate basis for trust. This report examines Zero Trust Architecture as an alternative model built on continuous verification, least-privilege access and the assumption that compromise is inevitable rather than hypothetical. Drawing on NIST Special Publication 800-207 alongside peer-reviewed research, government guidance and industry sources, the analysis considers how enabling technologies, including Secure Access Service Edge, Zero Trust Network Access and Identity Governance, translate these principles into practice, while also identifying the </w:t>
      </w:r>
      <w:r w:rsidRPr="00774E7A">
        <w:t>barricades</w:t>
      </w:r>
      <w:r w:rsidRPr="00774E7A">
        <w:t xml:space="preserve"> organisations face when adopting them, among them legacy infrastructure, identity data quality, cost and user friction. These findings are then applied directly to a professional case</w:t>
      </w:r>
      <w:r>
        <w:t xml:space="preserve"> of</w:t>
      </w:r>
      <w:r w:rsidRPr="00774E7A">
        <w:t xml:space="preserve"> design</w:t>
      </w:r>
      <w:r>
        <w:t>ing</w:t>
      </w:r>
      <w:r w:rsidRPr="00774E7A">
        <w:t xml:space="preserve"> a new Information Security Unit for Aegis FinTech Innovations Ltd, a growing fintech preparing for a Series B funding round and expansion into the European Union. The proposal sets out an </w:t>
      </w:r>
      <w:r>
        <w:t>org</w:t>
      </w:r>
      <w:r w:rsidRPr="00774E7A">
        <w:t xml:space="preserve"> structure, technical architecture and twelve-month implementation roadmap aligned with GDPR and the Digital Operational Resilience Act, </w:t>
      </w:r>
      <w:r>
        <w:t>demonstrating</w:t>
      </w:r>
      <w:r w:rsidRPr="00774E7A">
        <w:t xml:space="preserve"> how the research </w:t>
      </w:r>
      <w:r w:rsidR="007A45D3">
        <w:t>led</w:t>
      </w:r>
      <w:r>
        <w:t xml:space="preserve"> to </w:t>
      </w:r>
      <w:r w:rsidRPr="00774E7A">
        <w:t xml:space="preserve">a practical, governed security strategy rather than a </w:t>
      </w:r>
      <w:r>
        <w:t>singular</w:t>
      </w:r>
      <w:r w:rsidRPr="00774E7A">
        <w:t xml:space="preserve"> technology </w:t>
      </w:r>
      <w:r>
        <w:t>introduction</w:t>
      </w:r>
      <w:r w:rsidRPr="00774E7A">
        <w:t>.</w:t>
      </w:r>
      <w:r w:rsidR="00416BCB">
        <w:br w:type="page"/>
      </w:r>
    </w:p>
    <w:p w14:paraId="015C8D64" w14:textId="3C398F8F" w:rsidR="00591802" w:rsidRPr="00591802" w:rsidRDefault="00591802" w:rsidP="00591802">
      <w:pPr>
        <w:pStyle w:val="Heading1"/>
      </w:pPr>
      <w:bookmarkStart w:id="1" w:name="_Toc236136444"/>
      <w:r w:rsidRPr="00591802">
        <w:lastRenderedPageBreak/>
        <w:t>Task 1 – Implementing a Zero Trust Architecture: Principles, challenges, and technological enablers</w:t>
      </w:r>
      <w:bookmarkEnd w:id="1"/>
    </w:p>
    <w:p w14:paraId="4EF3C7D9" w14:textId="21FC683C" w:rsidR="00E91B1B" w:rsidRPr="00591802" w:rsidRDefault="00B3718E" w:rsidP="00A91033">
      <w:pPr>
        <w:pStyle w:val="Heading2"/>
        <w:numPr>
          <w:ilvl w:val="0"/>
          <w:numId w:val="2"/>
        </w:numPr>
      </w:pPr>
      <w:bookmarkStart w:id="2" w:name="_Toc236136445"/>
      <w:r w:rsidRPr="00591802">
        <w:t>Introduction</w:t>
      </w:r>
      <w:bookmarkEnd w:id="2"/>
    </w:p>
    <w:p w14:paraId="5A455017" w14:textId="3B572A5D" w:rsidR="000E01DB" w:rsidRDefault="003770A4" w:rsidP="00591802">
      <w:r>
        <w:t>Task 1 of this</w:t>
      </w:r>
      <w:r w:rsidR="00006E9C" w:rsidRPr="00006E9C">
        <w:t xml:space="preserve"> this report, the implementation of Zero Trust Architecture (ZTA) is critically analysed through an examination of its core principles, technological enablers and implementation challenges. </w:t>
      </w:r>
      <w:r w:rsidR="00006E9C">
        <w:t>This paper argues that zero trust provides a more appropriate</w:t>
      </w:r>
      <w:r w:rsidR="002C2179">
        <w:t xml:space="preserve"> model for many organisations with traditional security in place. Modern organisations</w:t>
      </w:r>
      <w:r w:rsidR="00BE7861">
        <w:t xml:space="preserve"> </w:t>
      </w:r>
      <w:r w:rsidR="00BE7861" w:rsidRPr="00BE7861">
        <w:t>increasingly adopt cloud computing, remote and hybrid working practices, third-party services and distributed data environments.</w:t>
      </w:r>
      <w:r w:rsidR="00BE7861">
        <w:t xml:space="preserve"> However, the most crucial </w:t>
      </w:r>
      <w:r w:rsidR="00B247AB">
        <w:t xml:space="preserve">component is the appropriate implementation, </w:t>
      </w:r>
      <w:r w:rsidR="0078034C">
        <w:t xml:space="preserve">effective governance, and a comprehensive understanding of the business’s </w:t>
      </w:r>
      <w:r w:rsidR="009E1A28">
        <w:t xml:space="preserve">assets and security technologies. </w:t>
      </w:r>
    </w:p>
    <w:p w14:paraId="6B962430" w14:textId="428924D2" w:rsidR="00BF555D" w:rsidRDefault="00245053" w:rsidP="00BF555D">
      <w:r w:rsidRPr="00245053">
        <w:t xml:space="preserve">Conventional security models have traditionally extended automatic trust to anyone or anything already inside the system. Under this older approach, the internal environment was assumed to be safe, with protection focused almost entirely on the perimeter through firewalls and VPNs. This model no longer holds up, largely because of hybrid working, third-party vendor access, and services that need to connect from virtually any location. It also fails to account for insider threats, where the danger comes from within the </w:t>
      </w:r>
      <w:r w:rsidR="00CD27F8">
        <w:t xml:space="preserve">verified </w:t>
      </w:r>
      <w:r w:rsidRPr="00245053">
        <w:t>zone itself.</w:t>
      </w:r>
      <w:r w:rsidR="003F62A6">
        <w:t xml:space="preserve"> </w:t>
      </w:r>
      <w:r w:rsidR="003F62A6" w:rsidRPr="003F62A6">
        <w:t xml:space="preserve">Zero Trust addresses this issue by removing trust from access </w:t>
      </w:r>
      <w:r w:rsidR="003F62A6">
        <w:t xml:space="preserve">requests </w:t>
      </w:r>
      <w:r w:rsidR="003F62A6" w:rsidRPr="003F62A6">
        <w:t>and requiring users, devices and services to be authenticated and authorised before accessing resources</w:t>
      </w:r>
      <w:r w:rsidR="00777233">
        <w:t xml:space="preserve"> [2]</w:t>
      </w:r>
      <w:r w:rsidR="003F62A6" w:rsidRPr="003F62A6">
        <w:t>.</w:t>
      </w:r>
    </w:p>
    <w:p w14:paraId="6683AECA" w14:textId="174B0881" w:rsidR="00BF555D" w:rsidRDefault="00BF555D" w:rsidP="00BF555D">
      <w:r w:rsidRPr="00BF555D">
        <w:t>As a result, Zero Trust enables businesses to develop a detailed understanding of their users, devices, applications, workloads, and data. Its core principles</w:t>
      </w:r>
      <w:r w:rsidR="00B56EE8">
        <w:t xml:space="preserve">, which include </w:t>
      </w:r>
      <w:r w:rsidRPr="00BF555D">
        <w:t>least privilege access, continuous verification, and strong governance</w:t>
      </w:r>
      <w:r w:rsidR="00B56EE8">
        <w:t>,</w:t>
      </w:r>
      <w:r w:rsidRPr="00BF555D">
        <w:t xml:space="preserve"> directly address the shortcomings of traditional security architecture.</w:t>
      </w:r>
      <w:r w:rsidR="00214856">
        <w:t xml:space="preserve"> </w:t>
      </w:r>
      <w:r w:rsidR="00214856" w:rsidRPr="00214856">
        <w:t>Traditional security controls still matter, but assuming a network location is secure no longer works for today's workforce. Zero Trust provides a more appropriate architectural model, although its effectiveness depends on careful implementation and organisational maturity.</w:t>
      </w:r>
    </w:p>
    <w:p w14:paraId="6B5DAD66" w14:textId="52101ABE" w:rsidR="00BF555D" w:rsidRDefault="00BF555D" w:rsidP="00591802">
      <w:pPr>
        <w:pStyle w:val="Heading2"/>
        <w:rPr>
          <w:rFonts w:asciiTheme="minorHAnsi" w:eastAsiaTheme="minorHAnsi" w:hAnsiTheme="minorHAnsi" w:cstheme="minorBidi"/>
          <w:color w:val="auto"/>
          <w:sz w:val="24"/>
          <w:szCs w:val="24"/>
        </w:rPr>
      </w:pPr>
    </w:p>
    <w:p w14:paraId="20957A49" w14:textId="4A0AFA8C" w:rsidR="00B3718E" w:rsidRDefault="00A91033" w:rsidP="00A91033">
      <w:pPr>
        <w:pStyle w:val="Heading2"/>
        <w:numPr>
          <w:ilvl w:val="0"/>
          <w:numId w:val="2"/>
        </w:numPr>
      </w:pPr>
      <w:r>
        <w:t xml:space="preserve"> </w:t>
      </w:r>
      <w:bookmarkStart w:id="3" w:name="_Toc236136446"/>
      <w:r w:rsidR="00B3718E" w:rsidRPr="00591802">
        <w:t>Current cyber landscape</w:t>
      </w:r>
      <w:bookmarkEnd w:id="3"/>
      <w:r w:rsidR="00B3718E" w:rsidRPr="00591802">
        <w:t xml:space="preserve"> </w:t>
      </w:r>
    </w:p>
    <w:p w14:paraId="277821A8" w14:textId="7DDA8C8B" w:rsidR="00B67B2A" w:rsidRDefault="00B67B2A" w:rsidP="00B67B2A">
      <w:r w:rsidRPr="00B67B2A">
        <w:t xml:space="preserve">A traditional architecture typically looks like Figure </w:t>
      </w:r>
      <w:r>
        <w:t>1</w:t>
      </w:r>
      <w:r w:rsidRPr="00B67B2A">
        <w:t>: a firewall guards the perimeter, and everything behind it</w:t>
      </w:r>
      <w:r>
        <w:t xml:space="preserve">. </w:t>
      </w:r>
      <w:r w:rsidR="00CF5689">
        <w:t>U</w:t>
      </w:r>
      <w:r w:rsidRPr="00B67B2A">
        <w:t>sers, servers, applications</w:t>
      </w:r>
      <w:r>
        <w:t>,</w:t>
      </w:r>
      <w:r w:rsidRPr="00B67B2A">
        <w:t xml:space="preserve"> is treated as </w:t>
      </w:r>
      <w:r w:rsidR="00CF5689">
        <w:t xml:space="preserve">automatically and </w:t>
      </w:r>
      <w:r w:rsidRPr="00B67B2A">
        <w:t>implicitly trusted. This model is becoming increasingly ineffective for several reasons.</w:t>
      </w:r>
    </w:p>
    <w:p w14:paraId="7F3CF0E6" w14:textId="77777777" w:rsidR="00140BDE" w:rsidRDefault="00140BDE" w:rsidP="007A45D3">
      <w:pPr>
        <w:keepNext/>
        <w:jc w:val="center"/>
      </w:pPr>
      <w:r w:rsidRPr="00140BDE">
        <w:rPr>
          <w:noProof/>
        </w:rPr>
        <w:lastRenderedPageBreak/>
        <w:drawing>
          <wp:inline distT="0" distB="0" distL="0" distR="0" wp14:anchorId="0EE55B0C" wp14:editId="7127D83D">
            <wp:extent cx="2838450" cy="2716748"/>
            <wp:effectExtent l="0" t="0" r="0" b="7620"/>
            <wp:docPr id="622379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79038" name=""/>
                    <pic:cNvPicPr/>
                  </pic:nvPicPr>
                  <pic:blipFill>
                    <a:blip r:embed="rId9"/>
                    <a:stretch>
                      <a:fillRect/>
                    </a:stretch>
                  </pic:blipFill>
                  <pic:spPr>
                    <a:xfrm>
                      <a:off x="0" y="0"/>
                      <a:ext cx="2842835" cy="2720945"/>
                    </a:xfrm>
                    <a:prstGeom prst="rect">
                      <a:avLst/>
                    </a:prstGeom>
                  </pic:spPr>
                </pic:pic>
              </a:graphicData>
            </a:graphic>
          </wp:inline>
        </w:drawing>
      </w:r>
    </w:p>
    <w:p w14:paraId="18F1DF62" w14:textId="138E9850" w:rsidR="00CF5689" w:rsidRDefault="00140BDE" w:rsidP="007A45D3">
      <w:pPr>
        <w:pStyle w:val="Caption"/>
        <w:jc w:val="center"/>
      </w:pPr>
      <w:r>
        <w:t xml:space="preserve">Figure </w:t>
      </w:r>
      <w:r w:rsidR="000D4AA4">
        <w:fldChar w:fldCharType="begin"/>
      </w:r>
      <w:r w:rsidR="000D4AA4">
        <w:instrText xml:space="preserve"> SEQ Figure \* ARABIC </w:instrText>
      </w:r>
      <w:r w:rsidR="000D4AA4">
        <w:fldChar w:fldCharType="separate"/>
      </w:r>
      <w:r w:rsidR="00F96BE4">
        <w:rPr>
          <w:noProof/>
        </w:rPr>
        <w:t>1</w:t>
      </w:r>
      <w:r w:rsidR="000D4AA4">
        <w:rPr>
          <w:noProof/>
        </w:rPr>
        <w:fldChar w:fldCharType="end"/>
      </w:r>
      <w:r>
        <w:t xml:space="preserve"> </w:t>
      </w:r>
      <w:r w:rsidRPr="003545CD">
        <w:t>Traditional architecture</w:t>
      </w:r>
    </w:p>
    <w:p w14:paraId="5BE65999" w14:textId="6AB710C5" w:rsidR="007B6A73" w:rsidRPr="007B6A73" w:rsidRDefault="007B6A73" w:rsidP="007B6A73">
      <w:r w:rsidRPr="007B6A73">
        <w:t>Traditional security models were built around the concept of a defensible perimeter, where firewalls and VPNs formed a boundary between a trusted internal network and an untrusted external one. This approach assumed that anything inside the perimeter could be treated as safe, with security effort concentrated almost entirely on keeping external threats out [</w:t>
      </w:r>
      <w:r w:rsidR="003452FD">
        <w:t>3</w:t>
      </w:r>
      <w:r w:rsidRPr="007B6A73">
        <w:t>]. This assumption no longer reflects how modern organisations</w:t>
      </w:r>
      <w:r w:rsidR="00A243D3">
        <w:t xml:space="preserve"> can sustainably operate.</w:t>
      </w:r>
    </w:p>
    <w:p w14:paraId="2F083BD1" w14:textId="2A3FF13D" w:rsidR="007B6A73" w:rsidRPr="007B6A73" w:rsidRDefault="007B6A73" w:rsidP="007B6A73">
      <w:r w:rsidRPr="007B6A73">
        <w:t xml:space="preserve">The rise of hybrid working means employees routinely </w:t>
      </w:r>
      <w:r w:rsidR="00A243D3" w:rsidRPr="007B6A73">
        <w:t>connects</w:t>
      </w:r>
      <w:r w:rsidRPr="007B6A73">
        <w:t xml:space="preserve"> from home networks, public Wi-Fi, and personal devices that sit outside the traditional perimeter entirely. Each of these connection points introduces risk that perimeter-based controls were never designed to manage. Similarly, widespread cloud adoption has dissolved the idea of a fixed network boundary; data and applications no longer reside solely within an organisation's own </w:t>
      </w:r>
      <w:r w:rsidR="00A243D3" w:rsidRPr="007B6A73">
        <w:t>infrastructure but</w:t>
      </w:r>
      <w:r w:rsidRPr="007B6A73">
        <w:t xml:space="preserve"> are distributed across third-party platforms that the organisation does not directly control [</w:t>
      </w:r>
      <w:r w:rsidR="0088190F">
        <w:t>4</w:t>
      </w:r>
      <w:r w:rsidRPr="007B6A73">
        <w:t>].</w:t>
      </w:r>
    </w:p>
    <w:p w14:paraId="69EB96B7" w14:textId="3144372E" w:rsidR="007B6A73" w:rsidRPr="007B6A73" w:rsidRDefault="007B6A73" w:rsidP="007B6A73">
      <w:r w:rsidRPr="007B6A73">
        <w:t xml:space="preserve">Reliance on third-party vendors and supply chains compounds this problem. Traditional models offer little protection against threats that enter through a trusted partner's systems rather than through the organisation's own perimeter, as demonstrated by incidents such as the 2023 </w:t>
      </w:r>
      <w:proofErr w:type="spellStart"/>
      <w:r w:rsidRPr="007B6A73">
        <w:t>MOVEit</w:t>
      </w:r>
      <w:proofErr w:type="spellEnd"/>
      <w:r w:rsidRPr="007B6A73">
        <w:t xml:space="preserve"> breach [</w:t>
      </w:r>
      <w:r w:rsidR="00777233">
        <w:t>1</w:t>
      </w:r>
      <w:r w:rsidRPr="007B6A73">
        <w:t>]. Once inside, attackers exploiting a trusted connection can move laterally with minimal resistance, since internal traffic is rarely subjected to the same scrutiny as external traffic.</w:t>
      </w:r>
    </w:p>
    <w:p w14:paraId="0E01E9DD" w14:textId="77777777" w:rsidR="007B6A73" w:rsidRPr="007B6A73" w:rsidRDefault="007B6A73" w:rsidP="007B6A73">
      <w:r w:rsidRPr="007B6A73">
        <w:t>Perhaps most critically, perimeter-based models offer no meaningful defence against insider threats. Whether malicious or accidental, a trusted employee, contractor, or compromised internal account can cause significant harm precisely because the model assumes that anyone already inside is safe by default.</w:t>
      </w:r>
    </w:p>
    <w:p w14:paraId="7A756EAA" w14:textId="77777777" w:rsidR="007B6A73" w:rsidRPr="007B6A73" w:rsidRDefault="007B6A73" w:rsidP="007B6A73">
      <w:r w:rsidRPr="007B6A73">
        <w:lastRenderedPageBreak/>
        <w:t>Together, these shifts mean the perimeter is no longer a coherent security boundary. For an organisation like VTAM, which handles sensitive financial and client data across hybrid and cloud environments, continuing to rely on implicit trust leaves significant gaps that modern attackers are well-positioned to exploit. This is the core motivation behind adopting a Zero Trust approach.</w:t>
      </w:r>
    </w:p>
    <w:p w14:paraId="38BCD9AB" w14:textId="6F2007AD" w:rsidR="00B3718E" w:rsidRDefault="000E1ACA" w:rsidP="00A91033">
      <w:pPr>
        <w:pStyle w:val="Heading2"/>
        <w:numPr>
          <w:ilvl w:val="0"/>
          <w:numId w:val="2"/>
        </w:numPr>
      </w:pPr>
      <w:bookmarkStart w:id="4" w:name="_Toc236136447"/>
      <w:r>
        <w:t xml:space="preserve">Principles </w:t>
      </w:r>
      <w:r w:rsidR="00B3718E" w:rsidRPr="00591802">
        <w:t>Zero Trust</w:t>
      </w:r>
      <w:bookmarkEnd w:id="4"/>
    </w:p>
    <w:p w14:paraId="3DBB0B72" w14:textId="69E33747" w:rsidR="001F6172" w:rsidRPr="001F6172" w:rsidRDefault="00F505F5" w:rsidP="00D13CDB">
      <w:r>
        <w:t xml:space="preserve">Zero trust is a framework created upon the idea </w:t>
      </w:r>
      <w:r w:rsidR="00697884">
        <w:t xml:space="preserve">of </w:t>
      </w:r>
      <w:r w:rsidR="00697884" w:rsidRPr="00697884">
        <w:t>never trust, always verify.</w:t>
      </w:r>
      <w:r w:rsidR="00697884">
        <w:t xml:space="preserve"> It applies principles that believe no single device or user within the system is trustworthy</w:t>
      </w:r>
      <w:r w:rsidR="00C06FF2">
        <w:t xml:space="preserve"> [7]</w:t>
      </w:r>
      <w:r w:rsidR="00697884">
        <w:t xml:space="preserve">. </w:t>
      </w:r>
      <w:r w:rsidR="001F6172">
        <w:t xml:space="preserve">Within this section I will outline the main principles of Zero Trust </w:t>
      </w:r>
      <w:r w:rsidR="00341913">
        <w:t>with the assistance</w:t>
      </w:r>
      <w:r w:rsidR="00164EAA">
        <w:t xml:space="preserve"> of </w:t>
      </w:r>
      <w:r w:rsidR="00164EAA" w:rsidRPr="00164EAA">
        <w:t>the academic/technical reference</w:t>
      </w:r>
      <w:r w:rsidR="00164EAA">
        <w:t xml:space="preserve"> </w:t>
      </w:r>
      <w:r w:rsidR="00164EAA" w:rsidRPr="00164EAA">
        <w:t>NIST SP 800-207: Zero Trust Architecture</w:t>
      </w:r>
      <w:r w:rsidR="0096156A">
        <w:t xml:space="preserve"> [4]</w:t>
      </w:r>
      <w:r w:rsidR="00164EAA">
        <w:t>.</w:t>
      </w:r>
      <w:r w:rsidR="00D4650E">
        <w:t xml:space="preserve"> </w:t>
      </w:r>
    </w:p>
    <w:p w14:paraId="7EBC4322" w14:textId="331CDDC9" w:rsidR="00843590" w:rsidRDefault="00843590" w:rsidP="0060689F">
      <w:pPr>
        <w:pStyle w:val="Heading3"/>
        <w:numPr>
          <w:ilvl w:val="0"/>
          <w:numId w:val="3"/>
        </w:numPr>
      </w:pPr>
      <w:bookmarkStart w:id="5" w:name="_Toc236136448"/>
      <w:r w:rsidRPr="00843590">
        <w:t>No implicit trust</w:t>
      </w:r>
      <w:bookmarkEnd w:id="5"/>
    </w:p>
    <w:p w14:paraId="2CB65EC4" w14:textId="3B93E6E1" w:rsidR="0040558B" w:rsidRPr="0040558B" w:rsidRDefault="0040558B" w:rsidP="00D13CDB">
      <w:r w:rsidRPr="0040558B">
        <w:t xml:space="preserve">The foundational principle of zero trust is that no user, device, or service is trusted by default, regardless of whether it sits inside or outside the traditional </w:t>
      </w:r>
      <w:r>
        <w:t>architecture</w:t>
      </w:r>
      <w:r w:rsidRPr="0040558B">
        <w:t>.</w:t>
      </w:r>
      <w:r w:rsidR="00F501F9">
        <w:t xml:space="preserve"> </w:t>
      </w:r>
      <w:r w:rsidR="00F501F9" w:rsidRPr="00F501F9">
        <w:t xml:space="preserve">NIST SP 800-207 </w:t>
      </w:r>
      <w:r w:rsidR="0064241A" w:rsidRPr="00F501F9">
        <w:t>states ‘</w:t>
      </w:r>
      <w:r w:rsidR="00F501F9" w:rsidRPr="00F501F9">
        <w:t>zero trust assumes there is no implicit trust granted to assets or user accounts based solely on their physical or network location, or based on asset ownership, whether enterprise or personally owned</w:t>
      </w:r>
      <w:r w:rsidR="00CE71C4">
        <w:t xml:space="preserve"> [4]</w:t>
      </w:r>
      <w:r w:rsidR="00F501F9" w:rsidRPr="00F501F9">
        <w:t>.</w:t>
      </w:r>
      <w:r w:rsidR="00CE71C4">
        <w:t xml:space="preserve">’ </w:t>
      </w:r>
      <w:r w:rsidR="0099021C">
        <w:t xml:space="preserve">This deviates from </w:t>
      </w:r>
      <w:r w:rsidR="00B972D1">
        <w:t>traditional models, where access granted at entry is enough and treated as suf</w:t>
      </w:r>
      <w:r w:rsidR="00507F39">
        <w:t xml:space="preserve">ficient for access to the entire </w:t>
      </w:r>
      <w:r w:rsidR="00507F39" w:rsidRPr="00507F39">
        <w:t xml:space="preserve">activity on the internal </w:t>
      </w:r>
      <w:r w:rsidR="00507F39">
        <w:t>system</w:t>
      </w:r>
      <w:r w:rsidR="00507F39" w:rsidRPr="00507F39">
        <w:t xml:space="preserve">. </w:t>
      </w:r>
    </w:p>
    <w:p w14:paraId="7FADFDC0" w14:textId="10E28D76" w:rsidR="005863D9" w:rsidRDefault="005863D9" w:rsidP="0060689F">
      <w:pPr>
        <w:pStyle w:val="Heading3"/>
        <w:numPr>
          <w:ilvl w:val="0"/>
          <w:numId w:val="3"/>
        </w:numPr>
      </w:pPr>
      <w:bookmarkStart w:id="6" w:name="_Toc236136449"/>
      <w:r w:rsidRPr="005863D9">
        <w:t>Continuous verification</w:t>
      </w:r>
      <w:bookmarkEnd w:id="6"/>
    </w:p>
    <w:p w14:paraId="79A80FC0" w14:textId="36A68639" w:rsidR="00D5664F" w:rsidRDefault="00D5664F" w:rsidP="00D13CDB">
      <w:r w:rsidRPr="00D5664F">
        <w:t>Rather than authenticating a subject once and extending that trust indefinitely, zero trust requires ongoing evaluation throughout a session.</w:t>
      </w:r>
      <w:r w:rsidR="000E488B">
        <w:t xml:space="preserve"> </w:t>
      </w:r>
      <w:r w:rsidR="000E488B" w:rsidRPr="000E488B">
        <w:t>NIST SP 800-207 specifies</w:t>
      </w:r>
      <w:r w:rsidR="000E488B">
        <w:t xml:space="preserve"> outlines </w:t>
      </w:r>
      <w:r w:rsidR="007E089B">
        <w:t xml:space="preserve">that authentication and </w:t>
      </w:r>
      <w:r w:rsidR="00523ABF" w:rsidRPr="00523ABF">
        <w:t xml:space="preserve">authorisation </w:t>
      </w:r>
      <w:r w:rsidR="00523ABF">
        <w:t xml:space="preserve">must be strict before access is granted. </w:t>
      </w:r>
      <w:r w:rsidR="003C102D">
        <w:t xml:space="preserve">This includes a continuous cycle of obtaining </w:t>
      </w:r>
      <w:r w:rsidR="008E20C6">
        <w:t>access,</w:t>
      </w:r>
      <w:r w:rsidR="008E20C6" w:rsidRPr="008E20C6">
        <w:t xml:space="preserve"> scanning and assessing threats, and continually reevaluating trust in ongoing communication.</w:t>
      </w:r>
      <w:r w:rsidR="00EE0B9B">
        <w:t xml:space="preserve"> </w:t>
      </w:r>
      <w:r w:rsidR="0054009E">
        <w:t xml:space="preserve">Continuous verification exerts itself in the form of multi-factor authentication using a separate device to </w:t>
      </w:r>
      <w:r w:rsidR="00827CCA">
        <w:t>approve access requests</w:t>
      </w:r>
      <w:r w:rsidR="0096156A">
        <w:t xml:space="preserve"> [5]</w:t>
      </w:r>
      <w:r w:rsidR="00827CCA">
        <w:t xml:space="preserve">. </w:t>
      </w:r>
      <w:r w:rsidR="0058752A">
        <w:t xml:space="preserve">Re-authorisation will often be needed after a specific </w:t>
      </w:r>
      <w:r w:rsidR="00A90F9D">
        <w:t>period</w:t>
      </w:r>
      <w:r w:rsidR="00CA1758">
        <w:t xml:space="preserve">, or if a new/unknown device requests access for example. </w:t>
      </w:r>
      <w:r w:rsidR="00A90F9D">
        <w:t>This is a key component of a Zero Trust</w:t>
      </w:r>
      <w:r w:rsidR="002B0CF3">
        <w:t xml:space="preserve"> </w:t>
      </w:r>
      <w:r w:rsidR="00A167BE">
        <w:t xml:space="preserve">outlining that trust isn’t a onetime decision, it </w:t>
      </w:r>
      <w:r w:rsidR="00D13CDB">
        <w:t>must be actively monitored and maintained to remain secure.</w:t>
      </w:r>
    </w:p>
    <w:p w14:paraId="0CFECC06" w14:textId="77777777" w:rsidR="0096156A" w:rsidRDefault="0096156A" w:rsidP="00D13CDB"/>
    <w:p w14:paraId="7546BE86" w14:textId="77777777" w:rsidR="00D5664F" w:rsidRPr="00D5664F" w:rsidRDefault="00D5664F" w:rsidP="00D5664F"/>
    <w:p w14:paraId="049F61F6" w14:textId="7734AFED" w:rsidR="005863D9" w:rsidRDefault="005863D9" w:rsidP="0060689F">
      <w:pPr>
        <w:pStyle w:val="Heading3"/>
        <w:numPr>
          <w:ilvl w:val="0"/>
          <w:numId w:val="3"/>
        </w:numPr>
      </w:pPr>
      <w:bookmarkStart w:id="7" w:name="_Toc236136450"/>
      <w:r w:rsidRPr="005863D9">
        <w:lastRenderedPageBreak/>
        <w:t>Least privilege</w:t>
      </w:r>
      <w:bookmarkEnd w:id="7"/>
    </w:p>
    <w:p w14:paraId="13D16069" w14:textId="77777777" w:rsidR="000D4AA4" w:rsidRDefault="000D4AA4" w:rsidP="007A45D3">
      <w:pPr>
        <w:keepNext/>
        <w:jc w:val="center"/>
      </w:pPr>
      <w:r w:rsidRPr="000D4AA4">
        <w:rPr>
          <w:noProof/>
        </w:rPr>
        <w:drawing>
          <wp:inline distT="0" distB="0" distL="0" distR="0" wp14:anchorId="00175434" wp14:editId="1A05EEF7">
            <wp:extent cx="5077534" cy="3858163"/>
            <wp:effectExtent l="0" t="0" r="8890" b="9525"/>
            <wp:docPr id="1777613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13540" name=""/>
                    <pic:cNvPicPr/>
                  </pic:nvPicPr>
                  <pic:blipFill>
                    <a:blip r:embed="rId10"/>
                    <a:stretch>
                      <a:fillRect/>
                    </a:stretch>
                  </pic:blipFill>
                  <pic:spPr>
                    <a:xfrm>
                      <a:off x="0" y="0"/>
                      <a:ext cx="5077534" cy="3858163"/>
                    </a:xfrm>
                    <a:prstGeom prst="rect">
                      <a:avLst/>
                    </a:prstGeom>
                  </pic:spPr>
                </pic:pic>
              </a:graphicData>
            </a:graphic>
          </wp:inline>
        </w:drawing>
      </w:r>
    </w:p>
    <w:p w14:paraId="6D0A01F5" w14:textId="4B23DBEF" w:rsidR="000D4AA4" w:rsidRDefault="000D4AA4" w:rsidP="007A45D3">
      <w:pPr>
        <w:pStyle w:val="Caption"/>
        <w:jc w:val="center"/>
      </w:pPr>
      <w:r>
        <w:t xml:space="preserve">Figure </w:t>
      </w:r>
      <w:r>
        <w:fldChar w:fldCharType="begin"/>
      </w:r>
      <w:r>
        <w:instrText xml:space="preserve"> SEQ Figure \* ARABIC </w:instrText>
      </w:r>
      <w:r>
        <w:fldChar w:fldCharType="separate"/>
      </w:r>
      <w:r w:rsidR="00F96BE4">
        <w:rPr>
          <w:noProof/>
        </w:rPr>
        <w:t>2</w:t>
      </w:r>
      <w:r>
        <w:rPr>
          <w:noProof/>
        </w:rPr>
        <w:fldChar w:fldCharType="end"/>
      </w:r>
      <w:r>
        <w:t xml:space="preserve"> C</w:t>
      </w:r>
      <w:r w:rsidRPr="00204D91">
        <w:t>onsequences of a compromised account</w:t>
      </w:r>
    </w:p>
    <w:p w14:paraId="326B41D2" w14:textId="549498FD" w:rsidR="00254AD6" w:rsidRPr="00254AD6" w:rsidRDefault="004E1F4E" w:rsidP="00254AD6">
      <w:r>
        <w:t xml:space="preserve">Another key component is Zero Trust is least </w:t>
      </w:r>
      <w:r w:rsidR="00376FEF">
        <w:t>privilege</w:t>
      </w:r>
      <w:r>
        <w:t xml:space="preserve"> </w:t>
      </w:r>
      <w:r w:rsidR="00D36AF6">
        <w:t xml:space="preserve">access. To its core least privilege is the reduction of employee’s/individuals access </w:t>
      </w:r>
      <w:r w:rsidR="00D60BF1">
        <w:t xml:space="preserve">down to only what is required for their exact task at that moment. </w:t>
      </w:r>
      <w:r w:rsidR="007B5396">
        <w:t xml:space="preserve">This approach limits any impact of a </w:t>
      </w:r>
      <w:r w:rsidR="00305DA0" w:rsidRPr="00305DA0">
        <w:t xml:space="preserve">single compromised account or device, since gaining access to one resource does not imply access to others. </w:t>
      </w:r>
      <w:r w:rsidR="001A2DB8">
        <w:t>Figure 2 demonstrates</w:t>
      </w:r>
      <w:r w:rsidR="00C96236">
        <w:t xml:space="preserve"> that </w:t>
      </w:r>
      <w:r w:rsidR="00E02481">
        <w:t xml:space="preserve">in the </w:t>
      </w:r>
      <w:r w:rsidR="00E523A6">
        <w:t xml:space="preserve">event of a compromised account doesn’t equal access to an entire system. Additionally, </w:t>
      </w:r>
      <w:r w:rsidR="00CC1A3F">
        <w:t xml:space="preserve">least privilege addresses </w:t>
      </w:r>
      <w:r w:rsidR="00D41AA1">
        <w:t xml:space="preserve">human error and insider threats as every access is </w:t>
      </w:r>
      <w:r w:rsidR="00833B9A">
        <w:t>examined</w:t>
      </w:r>
      <w:r w:rsidR="00A7116C">
        <w:t>, that can often happen through “</w:t>
      </w:r>
      <w:r w:rsidR="00A7116C" w:rsidRPr="00A7116C">
        <w:t>mistake, malice or negligence</w:t>
      </w:r>
      <w:r w:rsidR="00A7116C">
        <w:t xml:space="preserve"> [6]</w:t>
      </w:r>
      <w:r w:rsidR="00A7116C" w:rsidRPr="00A7116C">
        <w:t>.</w:t>
      </w:r>
      <w:r w:rsidR="00A7116C">
        <w:t xml:space="preserve">” </w:t>
      </w:r>
      <w:r w:rsidR="00833B9A">
        <w:t xml:space="preserve"> </w:t>
      </w:r>
    </w:p>
    <w:p w14:paraId="52B621CA" w14:textId="71BE2CF1" w:rsidR="005863D9" w:rsidRDefault="005863D9" w:rsidP="0060689F">
      <w:pPr>
        <w:pStyle w:val="Heading3"/>
        <w:numPr>
          <w:ilvl w:val="0"/>
          <w:numId w:val="3"/>
        </w:numPr>
      </w:pPr>
      <w:bookmarkStart w:id="8" w:name="_Toc236136451"/>
      <w:r w:rsidRPr="005863D9">
        <w:t>Assume breach</w:t>
      </w:r>
      <w:bookmarkEnd w:id="8"/>
    </w:p>
    <w:p w14:paraId="242F331C" w14:textId="7E88896C" w:rsidR="000775B9" w:rsidRPr="000775B9" w:rsidRDefault="000775B9" w:rsidP="000775B9">
      <w:r>
        <w:t xml:space="preserve">Lastly, Zero Trust applies an assume breach mindset/philosophy in actions and policies. An assume breach mindset </w:t>
      </w:r>
      <w:r w:rsidR="003A381C">
        <w:t>is designing policies</w:t>
      </w:r>
      <w:r w:rsidR="005577CE">
        <w:t xml:space="preserve">, systems, accounts with the assumption that </w:t>
      </w:r>
      <w:r w:rsidR="005577CE" w:rsidRPr="005577CE">
        <w:t xml:space="preserve">an attacker may already be present within the environment, rather than treating </w:t>
      </w:r>
      <w:r w:rsidR="005577CE">
        <w:t>attacks</w:t>
      </w:r>
      <w:r w:rsidR="005577CE" w:rsidRPr="005577CE">
        <w:t xml:space="preserve"> as </w:t>
      </w:r>
      <w:r w:rsidR="005577CE">
        <w:t>a</w:t>
      </w:r>
      <w:r w:rsidR="005577CE" w:rsidRPr="005577CE">
        <w:t xml:space="preserve"> hypothetical.</w:t>
      </w:r>
      <w:r w:rsidR="00F95823">
        <w:t xml:space="preserve"> This changes security questions from How do we </w:t>
      </w:r>
      <w:r w:rsidR="00486AEB">
        <w:t xml:space="preserve">stop attacks from occurring? to </w:t>
      </w:r>
      <w:r w:rsidR="00486AEB" w:rsidRPr="00486AEB">
        <w:t xml:space="preserve">How do we limit what an attacker can do if they </w:t>
      </w:r>
      <w:r w:rsidR="00486AEB">
        <w:t>breach</w:t>
      </w:r>
      <w:r w:rsidR="00486AEB" w:rsidRPr="00486AEB">
        <w:t>?</w:t>
      </w:r>
      <w:r w:rsidR="00CD27F8">
        <w:t xml:space="preserve"> </w:t>
      </w:r>
      <w:r w:rsidR="00486AEB">
        <w:t xml:space="preserve">This is highly relevant to </w:t>
      </w:r>
      <w:r w:rsidR="009967BB">
        <w:t xml:space="preserve">attacks in the form of stolen credentials or ransomware. </w:t>
      </w:r>
      <w:r w:rsidR="0057304F" w:rsidRPr="0057304F">
        <w:t xml:space="preserve">By designing as though compromise is </w:t>
      </w:r>
      <w:r w:rsidR="0057304F">
        <w:t>a given</w:t>
      </w:r>
      <w:r w:rsidR="0057304F" w:rsidRPr="0057304F">
        <w:t xml:space="preserve">, zero trust ensures that a breach does not </w:t>
      </w:r>
      <w:r w:rsidR="0057304F">
        <w:t>result</w:t>
      </w:r>
      <w:r w:rsidR="0057304F" w:rsidRPr="0057304F">
        <w:t xml:space="preserve"> </w:t>
      </w:r>
      <w:r w:rsidR="0057304F">
        <w:t xml:space="preserve">in </w:t>
      </w:r>
      <w:r w:rsidR="0057304F" w:rsidRPr="0057304F">
        <w:t xml:space="preserve">unrestricted access across the wider </w:t>
      </w:r>
      <w:r w:rsidR="0057304F">
        <w:t>business</w:t>
      </w:r>
      <w:r w:rsidR="0057304F" w:rsidRPr="0057304F">
        <w:t>.</w:t>
      </w:r>
    </w:p>
    <w:p w14:paraId="475DF808" w14:textId="77777777" w:rsidR="005863D9" w:rsidRDefault="005863D9" w:rsidP="005863D9"/>
    <w:p w14:paraId="73732182" w14:textId="77777777" w:rsidR="005863D9" w:rsidRDefault="005863D9" w:rsidP="005863D9"/>
    <w:p w14:paraId="028FDCC8" w14:textId="77777777" w:rsidR="005863D9" w:rsidRPr="005863D9" w:rsidRDefault="005863D9" w:rsidP="005863D9"/>
    <w:p w14:paraId="22860345" w14:textId="581125F0" w:rsidR="00B3718E" w:rsidRDefault="00B3718E" w:rsidP="00A91033">
      <w:pPr>
        <w:pStyle w:val="Heading2"/>
        <w:numPr>
          <w:ilvl w:val="0"/>
          <w:numId w:val="2"/>
        </w:numPr>
      </w:pPr>
      <w:bookmarkStart w:id="9" w:name="_Toc236136452"/>
      <w:r w:rsidRPr="00591802">
        <w:t xml:space="preserve">Technology </w:t>
      </w:r>
      <w:r w:rsidR="00591802" w:rsidRPr="00591802">
        <w:t>enablers</w:t>
      </w:r>
      <w:bookmarkEnd w:id="9"/>
    </w:p>
    <w:p w14:paraId="173680A9" w14:textId="44206941" w:rsidR="00C96465" w:rsidRDefault="00CE4A52" w:rsidP="007A55A7">
      <w:r>
        <w:t xml:space="preserve">A crucial part of implementing zero trust is applying the correct technological enablers to create a foundation to build upon. </w:t>
      </w:r>
      <w:r w:rsidR="00CC4146">
        <w:t xml:space="preserve">The foundation of Zero Trust is built upon </w:t>
      </w:r>
      <w:r w:rsidR="007A55A7" w:rsidRPr="007A55A7">
        <w:t>Secure Access Service Edge (SASE), Zero Trust</w:t>
      </w:r>
      <w:r w:rsidR="007A55A7">
        <w:t xml:space="preserve"> </w:t>
      </w:r>
      <w:r w:rsidR="007A55A7" w:rsidRPr="007A55A7">
        <w:t>Network Access (ZTNA), and Identity Governance</w:t>
      </w:r>
      <w:r w:rsidR="007A55A7">
        <w:t xml:space="preserve">. </w:t>
      </w:r>
      <w:r w:rsidR="00BB4E28">
        <w:t>Each of these pillars address</w:t>
      </w:r>
      <w:r w:rsidR="00EC4F79">
        <w:t>es</w:t>
      </w:r>
      <w:r w:rsidR="00BB4E28">
        <w:t xml:space="preserve"> a different layer of the Zero Trust Model. </w:t>
      </w:r>
    </w:p>
    <w:p w14:paraId="56D2B50B" w14:textId="78F8E781" w:rsidR="006C787B" w:rsidRDefault="005A1276" w:rsidP="0060689F">
      <w:pPr>
        <w:pStyle w:val="Heading3"/>
        <w:numPr>
          <w:ilvl w:val="0"/>
          <w:numId w:val="4"/>
        </w:numPr>
      </w:pPr>
      <w:bookmarkStart w:id="10" w:name="_Toc236136453"/>
      <w:r>
        <w:t xml:space="preserve">Secure </w:t>
      </w:r>
      <w:r w:rsidR="00EC4F79">
        <w:t>A</w:t>
      </w:r>
      <w:r w:rsidR="006C787B" w:rsidRPr="007A55A7">
        <w:t xml:space="preserve">ccess </w:t>
      </w:r>
      <w:r w:rsidR="00EC4F79">
        <w:t>S</w:t>
      </w:r>
      <w:r w:rsidR="006C787B" w:rsidRPr="007A55A7">
        <w:t xml:space="preserve">ervice </w:t>
      </w:r>
      <w:r w:rsidR="00EC4F79">
        <w:t>E</w:t>
      </w:r>
      <w:r w:rsidR="006C787B" w:rsidRPr="007A55A7">
        <w:t>dge</w:t>
      </w:r>
      <w:bookmarkEnd w:id="10"/>
    </w:p>
    <w:p w14:paraId="3CAEF010" w14:textId="77777777" w:rsidR="00D06F69" w:rsidRDefault="00714F3A" w:rsidP="00714F3A">
      <w:r>
        <w:t>In previous years, businesses would often store data on</w:t>
      </w:r>
      <w:r w:rsidR="00EC4F79">
        <w:t>-</w:t>
      </w:r>
      <w:r>
        <w:t xml:space="preserve">site </w:t>
      </w:r>
      <w:r w:rsidR="00D70B63">
        <w:t xml:space="preserve">in a central physical office or data centre. Previously, a remote worker would connect to this location </w:t>
      </w:r>
      <w:r w:rsidR="006807F9">
        <w:t xml:space="preserve">relying on fast internet traffic, and as companies </w:t>
      </w:r>
      <w:r w:rsidR="00DD2A16">
        <w:t>grew</w:t>
      </w:r>
      <w:r w:rsidR="00EC4F79">
        <w:t>,</w:t>
      </w:r>
      <w:r w:rsidR="006807F9">
        <w:t xml:space="preserve"> </w:t>
      </w:r>
      <w:r w:rsidR="00545582">
        <w:t>this created a digital bottleneck</w:t>
      </w:r>
      <w:r w:rsidR="00EC4F79">
        <w:t>,</w:t>
      </w:r>
      <w:r w:rsidR="00545582">
        <w:t xml:space="preserve"> harming production and operations. </w:t>
      </w:r>
      <w:r w:rsidR="000E1D8E">
        <w:t xml:space="preserve">This is where </w:t>
      </w:r>
      <w:r w:rsidR="00EC4F79" w:rsidRPr="00EC4F79">
        <w:t>Secure Access Service Edge (SASE)</w:t>
      </w:r>
      <w:r w:rsidR="00EC4F79">
        <w:t xml:space="preserve"> comes into the equation. SASE is </w:t>
      </w:r>
      <w:r w:rsidR="00496C49">
        <w:t xml:space="preserve">a </w:t>
      </w:r>
      <w:r w:rsidR="00EC4F79">
        <w:t>cloud</w:t>
      </w:r>
      <w:r w:rsidR="00B66DCC">
        <w:t>-</w:t>
      </w:r>
      <w:r w:rsidR="00EC4F79">
        <w:t xml:space="preserve">delivered </w:t>
      </w:r>
      <w:r w:rsidR="00B66DCC">
        <w:t xml:space="preserve">architecture </w:t>
      </w:r>
      <w:r w:rsidR="00496C49">
        <w:t>system that combines networking and security features into one model</w:t>
      </w:r>
      <w:r w:rsidR="007A5B50">
        <w:t xml:space="preserve"> [8]</w:t>
      </w:r>
      <w:r w:rsidR="00496C49">
        <w:t>.</w:t>
      </w:r>
      <w:r w:rsidR="009018FC">
        <w:t xml:space="preserve"> It brings together modern features such as </w:t>
      </w:r>
      <w:r w:rsidR="00D674DE">
        <w:t>SD-WAN, cloud access security brokers</w:t>
      </w:r>
      <w:r w:rsidR="006C0EC8">
        <w:t xml:space="preserve">, next-gen firewalls and </w:t>
      </w:r>
      <w:r w:rsidR="006C0EC8" w:rsidRPr="006C0EC8">
        <w:t xml:space="preserve">Zero Trust Network Access </w:t>
      </w:r>
      <w:r w:rsidR="006C0EC8">
        <w:t>(ZTNA)</w:t>
      </w:r>
      <w:r w:rsidR="00B8269A">
        <w:t xml:space="preserve">. This is particularly good </w:t>
      </w:r>
      <w:r w:rsidR="00B87E66">
        <w:t xml:space="preserve">in relation to the Zero Trust Framework. </w:t>
      </w:r>
    </w:p>
    <w:p w14:paraId="2395D6B2" w14:textId="6AFB1058" w:rsidR="00714F3A" w:rsidRPr="00714F3A" w:rsidRDefault="000D37DC" w:rsidP="00714F3A">
      <w:r>
        <w:t xml:space="preserve">It allows for </w:t>
      </w:r>
      <w:r w:rsidR="00D06F69" w:rsidRPr="00D06F69">
        <w:t>consistent, identity-driven access policy to be enforced regardless of where a user, device, or application happens to be located, rather than relying on a fixed network perimeter or routing all traffic back through a central office. Instead of remote workers competing for bandwidth over a single connection to headquarters, SASE distributes security enforcement to the cloud edge, closer to the user, removing the digital bottleneck that legacy architectures created as businesses grew [8]. This makes it particularly well suited to organisations with a hybrid workforce and a growing reliance on cloud-based systems, as it extends the same consistent security policy to remote staff and cloud workloads simultaneously, directly addressing the perimeter erosion problem discussed earlier in this report.</w:t>
      </w:r>
    </w:p>
    <w:p w14:paraId="37AB3BC3" w14:textId="2FE1C3F8" w:rsidR="006C787B" w:rsidRDefault="006C787B" w:rsidP="0060689F">
      <w:pPr>
        <w:pStyle w:val="Heading3"/>
        <w:numPr>
          <w:ilvl w:val="0"/>
          <w:numId w:val="4"/>
        </w:numPr>
      </w:pPr>
      <w:bookmarkStart w:id="11" w:name="_Toc236136454"/>
      <w:r w:rsidRPr="007A55A7">
        <w:t>Zero Trust</w:t>
      </w:r>
      <w:r>
        <w:t xml:space="preserve"> </w:t>
      </w:r>
      <w:r w:rsidRPr="007A55A7">
        <w:t>Network Access</w:t>
      </w:r>
      <w:bookmarkEnd w:id="11"/>
      <w:r w:rsidRPr="007A55A7">
        <w:t xml:space="preserve"> </w:t>
      </w:r>
    </w:p>
    <w:p w14:paraId="0A741C54" w14:textId="02AA9153" w:rsidR="001245A8" w:rsidRPr="001245A8" w:rsidRDefault="00DB549D" w:rsidP="001245A8">
      <w:r>
        <w:t xml:space="preserve">This enabler applies zero trust beliefs to the problem of application access and replaces modern </w:t>
      </w:r>
      <w:r w:rsidR="00FD767C">
        <w:t>functionality a usual VPN would provide</w:t>
      </w:r>
      <w:r w:rsidR="00CF5C3B">
        <w:t xml:space="preserve"> [13]</w:t>
      </w:r>
      <w:r w:rsidR="00FD767C">
        <w:t xml:space="preserve">. </w:t>
      </w:r>
      <w:r w:rsidR="00B93F68">
        <w:t xml:space="preserve">Traditional access request would often approve access </w:t>
      </w:r>
      <w:r w:rsidR="00941625" w:rsidRPr="00941625">
        <w:t xml:space="preserve">to an internal network once connected, ZTNA grants access only to specific applications or resources, </w:t>
      </w:r>
      <w:r w:rsidR="00941625">
        <w:t>after</w:t>
      </w:r>
      <w:r w:rsidR="00941625" w:rsidRPr="00941625">
        <w:t xml:space="preserve"> an explicit verification of user identity</w:t>
      </w:r>
      <w:r w:rsidR="00941625">
        <w:t xml:space="preserve">. </w:t>
      </w:r>
      <w:r w:rsidR="005947DD">
        <w:t xml:space="preserve">The NCSC describes this principle as a ‘shift </w:t>
      </w:r>
      <w:r w:rsidR="00AC42A8">
        <w:t xml:space="preserve">removing </w:t>
      </w:r>
      <w:r w:rsidR="005947DD">
        <w:t xml:space="preserve">explicit </w:t>
      </w:r>
      <w:r w:rsidR="0050680F" w:rsidRPr="0050680F">
        <w:t xml:space="preserve">trust from users, devices, services, and networks, once inside the perimeter, users were typically granted broad access to internal systems. </w:t>
      </w:r>
      <w:r w:rsidR="0050680F">
        <w:t xml:space="preserve">In </w:t>
      </w:r>
      <w:r w:rsidR="00CD0190">
        <w:t>a real world</w:t>
      </w:r>
      <w:r w:rsidR="003B04AA">
        <w:t>, this means that if an attacker successfully breaches a single user device</w:t>
      </w:r>
      <w:r w:rsidR="00D34BA9">
        <w:t>, ZTNA would limit</w:t>
      </w:r>
      <w:r w:rsidR="00CA3A04">
        <w:t xml:space="preserve"> what </w:t>
      </w:r>
      <w:r w:rsidR="0093285D">
        <w:t xml:space="preserve">the attacker could reach. </w:t>
      </w:r>
      <w:r w:rsidR="00CD1C47" w:rsidRPr="00CD1C47">
        <w:t xml:space="preserve">ZTNA is frequently deployed as one of the core building blocks within a broader SASE platform, though it can also be adopted as a standalone control ahead of a full </w:t>
      </w:r>
      <w:r w:rsidR="00CD1C47" w:rsidRPr="00CD1C47">
        <w:lastRenderedPageBreak/>
        <w:t xml:space="preserve">SASE </w:t>
      </w:r>
      <w:r w:rsidR="00CD1C47">
        <w:t>deployment</w:t>
      </w:r>
      <w:r w:rsidR="00CD1C47" w:rsidRPr="00CD1C47">
        <w:t>.</w:t>
      </w:r>
      <w:r w:rsidR="003B7033">
        <w:t xml:space="preserve"> However, ZTNA does not </w:t>
      </w:r>
      <w:r w:rsidR="00795A73">
        <w:t>eliminate</w:t>
      </w:r>
      <w:r w:rsidR="003B7033">
        <w:t xml:space="preserve"> threats from malicious insiders with previous access </w:t>
      </w:r>
      <w:r w:rsidR="00795A73">
        <w:t xml:space="preserve">and phishing attempts. </w:t>
      </w:r>
    </w:p>
    <w:p w14:paraId="507C7C6B" w14:textId="25FF5B66" w:rsidR="006C787B" w:rsidRDefault="006C787B" w:rsidP="0060689F">
      <w:pPr>
        <w:pStyle w:val="Heading3"/>
        <w:numPr>
          <w:ilvl w:val="0"/>
          <w:numId w:val="4"/>
        </w:numPr>
      </w:pPr>
      <w:bookmarkStart w:id="12" w:name="_Toc236136455"/>
      <w:r w:rsidRPr="007A55A7">
        <w:t>Identity Governance</w:t>
      </w:r>
      <w:bookmarkEnd w:id="12"/>
    </w:p>
    <w:p w14:paraId="7AA002B3" w14:textId="2CE740DE" w:rsidR="001C775F" w:rsidRDefault="00BA7488" w:rsidP="00BA7488">
      <w:r>
        <w:t>As stated previously</w:t>
      </w:r>
      <w:r w:rsidR="005974E4">
        <w:t>, the principles of zero trust include least privilege access and strict continuous user verification. Identi</w:t>
      </w:r>
      <w:r w:rsidR="009342B6">
        <w:t xml:space="preserve">ty governance expands on these principles and focuses </w:t>
      </w:r>
      <w:r w:rsidR="002E571E">
        <w:t xml:space="preserve">on allowing control to the right users who have appropriate access to the right resource at the right time [9]. </w:t>
      </w:r>
      <w:r w:rsidR="00F9415F">
        <w:t>As organisations grew</w:t>
      </w:r>
      <w:r w:rsidR="00D23302">
        <w:t>,</w:t>
      </w:r>
      <w:r w:rsidR="00F9415F">
        <w:t xml:space="preserve"> </w:t>
      </w:r>
      <w:r w:rsidR="00020655">
        <w:t xml:space="preserve">managing access for “employees, contractors, partners” became more complex </w:t>
      </w:r>
      <w:r w:rsidR="00D23302">
        <w:t xml:space="preserve">and </w:t>
      </w:r>
      <w:r w:rsidR="00454B5A">
        <w:t>high cost</w:t>
      </w:r>
      <w:r w:rsidR="00D23302">
        <w:t xml:space="preserve">. </w:t>
      </w:r>
      <w:r w:rsidR="001C167E">
        <w:t xml:space="preserve">Identity governance is often distributed as a </w:t>
      </w:r>
      <w:r w:rsidR="00454B5A">
        <w:t>platform</w:t>
      </w:r>
      <w:r w:rsidR="003A4FF9">
        <w:t>. It controls</w:t>
      </w:r>
      <w:r w:rsidR="00454B5A">
        <w:t xml:space="preserve"> </w:t>
      </w:r>
      <w:r w:rsidR="003A4FF9">
        <w:t xml:space="preserve">allocating </w:t>
      </w:r>
      <w:r w:rsidR="003650CB">
        <w:t xml:space="preserve">accounts for access, defining levels of access based on roles, </w:t>
      </w:r>
      <w:r w:rsidR="00675FF6">
        <w:t>and reviewing privileges and remov</w:t>
      </w:r>
      <w:r w:rsidR="00BA26FE">
        <w:t>ing them</w:t>
      </w:r>
      <w:r w:rsidR="00675FF6">
        <w:t xml:space="preserve"> when not required. </w:t>
      </w:r>
      <w:r w:rsidR="00FB221C">
        <w:t xml:space="preserve">This is in direct support of a Zero Trust framework and documentation put forward by </w:t>
      </w:r>
      <w:r w:rsidR="00BA26FE" w:rsidRPr="00164EAA">
        <w:t>NIST SP 800-207: Zero Trust Architecture</w:t>
      </w:r>
      <w:r w:rsidR="00BA26FE">
        <w:t xml:space="preserve">. </w:t>
      </w:r>
      <w:r w:rsidR="00616C7D">
        <w:t>Identity governance is highly beneficial for companies dealing with contractors such as my own</w:t>
      </w:r>
      <w:r w:rsidR="0029350B">
        <w:t>;</w:t>
      </w:r>
      <w:r w:rsidR="006202EE">
        <w:t xml:space="preserve"> by only supplying access to the exact </w:t>
      </w:r>
      <w:r w:rsidR="00D06F69">
        <w:t>resource,</w:t>
      </w:r>
      <w:r w:rsidR="006202EE">
        <w:t xml:space="preserve"> they need at that time </w:t>
      </w:r>
      <w:r w:rsidR="000C1C11">
        <w:t>creates robust identity governance.</w:t>
      </w:r>
    </w:p>
    <w:p w14:paraId="324411C8" w14:textId="2D860190" w:rsidR="0037430A" w:rsidRDefault="001C775F" w:rsidP="0037430A">
      <w:r>
        <w:t xml:space="preserve">In addition, </w:t>
      </w:r>
      <w:r w:rsidR="00B75820">
        <w:t>identity governance</w:t>
      </w:r>
      <w:r w:rsidR="00E57BF6">
        <w:t>,</w:t>
      </w:r>
      <w:r w:rsidR="00B75820">
        <w:t xml:space="preserve"> when set</w:t>
      </w:r>
      <w:r w:rsidR="00E57BF6">
        <w:t xml:space="preserve"> </w:t>
      </w:r>
      <w:r w:rsidR="00B75820">
        <w:t>up correctly, will often keep audit trails of all actions performed</w:t>
      </w:r>
      <w:r w:rsidR="00E57BF6">
        <w:t>,</w:t>
      </w:r>
      <w:r w:rsidR="00B75820">
        <w:t xml:space="preserve"> such as granting access. This is especially crucial in investigations </w:t>
      </w:r>
      <w:r w:rsidR="000406E4">
        <w:t>in the event of an attack. Ad</w:t>
      </w:r>
      <w:r w:rsidR="00BF4AB6">
        <w:t xml:space="preserve">ditionally, applying appropriate identity governance ensures adherence to </w:t>
      </w:r>
      <w:r w:rsidR="00E57BF6">
        <w:t xml:space="preserve">many frameworks, including GDPR. </w:t>
      </w:r>
    </w:p>
    <w:p w14:paraId="66DB637C" w14:textId="7A49527E" w:rsidR="00B100CB" w:rsidRPr="00C96465" w:rsidRDefault="0037430A" w:rsidP="00B100CB">
      <w:r>
        <w:t xml:space="preserve">Together, these three technologies form a layered framework: identity governance establishes who should have access to what; ZTNA enforces that access at the application level on a per-request basis; and SASE delivers this consistently across a distributed, cloud environment, regardless of where </w:t>
      </w:r>
      <w:r w:rsidR="00054D2D">
        <w:t xml:space="preserve">users and </w:t>
      </w:r>
      <w:r>
        <w:t xml:space="preserve">resources are located. None of these technologies alone </w:t>
      </w:r>
      <w:r w:rsidR="001465B7">
        <w:t>creates</w:t>
      </w:r>
      <w:r>
        <w:t xml:space="preserve"> a full zero trust architecture, but </w:t>
      </w:r>
      <w:r w:rsidR="00414E85">
        <w:t>in conjunction</w:t>
      </w:r>
      <w:r>
        <w:t xml:space="preserve">, they </w:t>
      </w:r>
      <w:r w:rsidR="0014666C">
        <w:t xml:space="preserve">generate </w:t>
      </w:r>
      <w:r>
        <w:t xml:space="preserve">the core </w:t>
      </w:r>
      <w:r w:rsidR="00B100CB">
        <w:t>beliefs of</w:t>
      </w:r>
      <w:r>
        <w:t xml:space="preserve"> no implicit trust, continuous verification, and least privilege</w:t>
      </w:r>
      <w:r w:rsidR="00B100CB">
        <w:t>.</w:t>
      </w:r>
    </w:p>
    <w:p w14:paraId="4FB7D994" w14:textId="3C69BC92" w:rsidR="00B3718E" w:rsidRDefault="00B3718E" w:rsidP="0060689F">
      <w:pPr>
        <w:pStyle w:val="Heading2"/>
        <w:numPr>
          <w:ilvl w:val="0"/>
          <w:numId w:val="2"/>
        </w:numPr>
      </w:pPr>
      <w:bookmarkStart w:id="13" w:name="_Toc236136456"/>
      <w:r w:rsidRPr="00591802">
        <w:t>Challenges and limitations</w:t>
      </w:r>
      <w:bookmarkEnd w:id="13"/>
    </w:p>
    <w:p w14:paraId="45DBA387" w14:textId="7831C3CA" w:rsidR="00BB172B" w:rsidRDefault="00BB172B" w:rsidP="00BB172B">
      <w:r>
        <w:t xml:space="preserve">While Zero Trust offers a compelling response to the shortcomings of </w:t>
      </w:r>
      <w:r w:rsidR="00417996">
        <w:t>traditional</w:t>
      </w:r>
      <w:r>
        <w:t>-based security, its implementation is not without significant practical challenges, and these are often understated</w:t>
      </w:r>
      <w:r w:rsidR="00D61978">
        <w:t xml:space="preserve"> [10]</w:t>
      </w:r>
      <w:r>
        <w:t>.</w:t>
      </w:r>
    </w:p>
    <w:p w14:paraId="7C203857" w14:textId="189709F5" w:rsidR="00BB172B" w:rsidRDefault="00BB172B" w:rsidP="00BB172B">
      <w:r>
        <w:t xml:space="preserve">The first challenge is legacy infrastructure. Many organisations rely on systems that were never designed with Zero Trust in mind and may lack modern authentication methods, API integration, device telemetry, or granular access controls. This creates a genuine practical problem: it is difficult to enforce continuous verification and dynamic policy around a system that is structurally incapable of supporting these controls. As a result, a complete architectural overhaul is rarely realistic, and a phased, business-process-led migration is generally more achievable, an approach NIST SP 800-207 itself acknowledges, noting that most enterprises will operate in a hybrid zero trust and </w:t>
      </w:r>
      <w:r>
        <w:lastRenderedPageBreak/>
        <w:t>perimeter-based mode for an indefinite period [5].</w:t>
      </w:r>
      <w:r w:rsidR="00417996">
        <w:t xml:space="preserve"> </w:t>
      </w:r>
      <w:r w:rsidR="00DD567B" w:rsidRPr="00DD567B">
        <w:t>For example, within the transport sector, some operational laptops continue to run Windows 8 for compatibility with specific legacy software or hardware. Since this operating system no longer receives security patches from the vendor, any known vulnerabilities remain permanently unaddressed, making these devices a persistent weak point that Zero Trust controls alone cannot fully mitigate.</w:t>
      </w:r>
    </w:p>
    <w:p w14:paraId="573F1815" w14:textId="1A4A3154" w:rsidR="00BB172B" w:rsidRDefault="00BB172B" w:rsidP="00BB172B">
      <w:r>
        <w:t xml:space="preserve">The second challenge </w:t>
      </w:r>
      <w:r w:rsidR="00DD567B">
        <w:t>address’s</w:t>
      </w:r>
      <w:r>
        <w:t xml:space="preserve"> identity complexity. Zero Trust access decisions depend entirely on the accuracy of the identity data </w:t>
      </w:r>
      <w:r w:rsidR="00B9225C">
        <w:t>provided to</w:t>
      </w:r>
      <w:r>
        <w:t xml:space="preserve"> them, yet many organisations carry duplicate accounts, excessive </w:t>
      </w:r>
      <w:r w:rsidR="00B9225C">
        <w:t>privileges, and unused</w:t>
      </w:r>
      <w:r>
        <w:t xml:space="preserve"> accounts. This points to an important critical insight: Zero Trust can fail because the surrounding identity governance is not mature enough to support accurate access decisions. In effect, the technology can only be as reliable as the data it is given</w:t>
      </w:r>
      <w:r w:rsidR="00CF17A5">
        <w:t xml:space="preserve"> [11</w:t>
      </w:r>
      <w:r w:rsidR="00D0420E">
        <w:t>,17</w:t>
      </w:r>
      <w:r w:rsidR="00CF17A5">
        <w:t>]</w:t>
      </w:r>
      <w:r>
        <w:t>.</w:t>
      </w:r>
    </w:p>
    <w:p w14:paraId="508B1FEA" w14:textId="6875ED51" w:rsidR="00BB172B" w:rsidRDefault="00BB172B" w:rsidP="00BB172B">
      <w:r>
        <w:t xml:space="preserve">The third challenge is cost and organisational complexity. Zero Trust is frequently marketed as a product that can simply be purchased and deployed, but this framing is misleading. A genuine implementation typically requires identity </w:t>
      </w:r>
      <w:r w:rsidR="00A85BE4">
        <w:t>upgrading</w:t>
      </w:r>
      <w:r>
        <w:t>, endpoint management, network redesign, cloud security integration, continuous monitoring, staff training, and policy redesign</w:t>
      </w:r>
      <w:r w:rsidR="00D0420E">
        <w:t xml:space="preserve"> [18]</w:t>
      </w:r>
      <w:r>
        <w:t>. The true cost is not the price of a ZTNA platform, but the cost of a wider organisational transformation programme, one that touches people and process as much as technology.</w:t>
      </w:r>
    </w:p>
    <w:p w14:paraId="66E0595F" w14:textId="77777777" w:rsidR="00E87D97" w:rsidRDefault="00BB172B" w:rsidP="00BB172B">
      <w:r>
        <w:t>The fourth challenge is user friction. Security controls inevitably affect productivity, and repeated authentication prompts or overly aggressive access policies can frustrate users, generate additional helpdesk demand, and, in the worst cases, encourage employees to find ways around controls, ironically weakening security in the process. This illustrates a genuine trade-off between security and usability. A mature implementation addresses this through risk-based authentication, where the level of friction applied is proportionate to risk, so a low-risk request faces minimal intervention while a high-risk request involving sensitive data triggers stronger verification.</w:t>
      </w:r>
      <w:r w:rsidR="00D86928">
        <w:t xml:space="preserve"> </w:t>
      </w:r>
    </w:p>
    <w:p w14:paraId="61FB5ECB" w14:textId="3ECA6FCB" w:rsidR="00BB172B" w:rsidRDefault="00BB172B" w:rsidP="00BB172B">
      <w:r>
        <w:t>The fifth challenge is policy complexity itself. Because Zero Trust access decisions draw on multiple factors, such as user role, device compliance, authentication status, risk level, and location, the resulting policy sets can become difficult to maintain at scale. Poorly managed policies risk accidental over-</w:t>
      </w:r>
      <w:r w:rsidR="001F5BDD">
        <w:t>policing of permissions</w:t>
      </w:r>
      <w:r>
        <w:t xml:space="preserve">, inconsistent rules, legitimate access failures, and conflicting policies. This leads to </w:t>
      </w:r>
      <w:r w:rsidR="002D3C6C">
        <w:t>inconsistency</w:t>
      </w:r>
      <w:r w:rsidR="00EA0A63">
        <w:t xml:space="preserve">, </w:t>
      </w:r>
      <w:r w:rsidR="002D3C6C">
        <w:t>highlighting</w:t>
      </w:r>
      <w:r>
        <w:t xml:space="preserve"> </w:t>
      </w:r>
      <w:r w:rsidR="00EA0A63">
        <w:t>that</w:t>
      </w:r>
      <w:r>
        <w:t xml:space="preserve"> Zero Trust is designed to reduce implicit trust, it does so by significantly increasing the burden of explicit policy management, trading one form of risk for another that requires ongoing governance to control.</w:t>
      </w:r>
    </w:p>
    <w:p w14:paraId="10CD80B9" w14:textId="77777777" w:rsidR="009213E9" w:rsidRPr="00BB172B" w:rsidRDefault="009213E9" w:rsidP="00BB172B"/>
    <w:p w14:paraId="182EAD15" w14:textId="4B314331" w:rsidR="009213E9" w:rsidRDefault="00B3718E" w:rsidP="0060689F">
      <w:pPr>
        <w:pStyle w:val="Heading2"/>
        <w:numPr>
          <w:ilvl w:val="0"/>
          <w:numId w:val="2"/>
        </w:numPr>
      </w:pPr>
      <w:bookmarkStart w:id="14" w:name="_Toc236136457"/>
      <w:r w:rsidRPr="00591802">
        <w:lastRenderedPageBreak/>
        <w:t>Case study</w:t>
      </w:r>
      <w:r w:rsidR="009213E9">
        <w:t>: Clarity AI</w:t>
      </w:r>
      <w:bookmarkEnd w:id="14"/>
      <w:r w:rsidR="009213E9">
        <w:t xml:space="preserve"> </w:t>
      </w:r>
    </w:p>
    <w:p w14:paraId="4E9890CB" w14:textId="1622EBB1" w:rsidR="009213E9" w:rsidRDefault="009213E9" w:rsidP="0060689F">
      <w:r>
        <w:t xml:space="preserve">Clarity AI, a </w:t>
      </w:r>
      <w:r w:rsidR="00CE3D60">
        <w:t>Software as a Service (</w:t>
      </w:r>
      <w:r>
        <w:t>SaaS</w:t>
      </w:r>
      <w:r w:rsidR="00CE3D60">
        <w:t>)</w:t>
      </w:r>
      <w:r>
        <w:t xml:space="preserve"> company operating with a fully team</w:t>
      </w:r>
      <w:r w:rsidR="000D79FA">
        <w:t>s</w:t>
      </w:r>
      <w:r>
        <w:t xml:space="preserve"> across multiple continents, provides a practical illustration of Zero Trust principles applied at scale. With no physical office and no traditional network perimeter to defend, the organisation could not rely on legacy, perimeter-based security models. Over </w:t>
      </w:r>
      <w:r w:rsidR="00FD5B01">
        <w:t>six months</w:t>
      </w:r>
      <w:r>
        <w:t xml:space="preserve">, Clarity AI adopted an </w:t>
      </w:r>
      <w:r w:rsidR="00CE3D60">
        <w:t>identity based</w:t>
      </w:r>
      <w:r>
        <w:t xml:space="preserve"> Zero Trust Network Access (ZTNA) model rather than a conventional VPN</w:t>
      </w:r>
      <w:r w:rsidR="000D79FA">
        <w:t xml:space="preserve"> [12]</w:t>
      </w:r>
      <w:r>
        <w:t>.</w:t>
      </w:r>
    </w:p>
    <w:p w14:paraId="2C9A3F88" w14:textId="7595B620" w:rsidR="009213E9" w:rsidRDefault="009213E9" w:rsidP="0060689F">
      <w:r>
        <w:t xml:space="preserve">The implementation reflected several core Zero Trust tenets discussed earlier in this report. Identity was treated as the foundation of the architecture, enforced through single sign-on (SSO) combined with multi-factor authentication (MFA) across all systems. Rather than granting broad network access once a user connected, as a VPN typically would, access was scoped to individual applications, directly reflecting the least privilege principle. Device </w:t>
      </w:r>
      <w:r w:rsidR="00740E22">
        <w:t xml:space="preserve">identity </w:t>
      </w:r>
      <w:r>
        <w:t>checks were also performed before granting access, ensuring that endpoint health was factored into every access decision, consistent with the continuous verification principle central to Zero Trust.</w:t>
      </w:r>
    </w:p>
    <w:p w14:paraId="3C26784D" w14:textId="3ADCAB47" w:rsidR="005002E7" w:rsidRDefault="005002E7" w:rsidP="0060689F">
      <w:r w:rsidRPr="005002E7">
        <w:t>This case demonstrates that Zero Trust need not come at the cost of usability. By replacing a VPN bottleneck with direct, identity-driven access, Clarity AI achieved a security improvement that simultaneously enhanced productivity, challenging the common assumption that stronger security must inevitably introduce friction [12]. This is particularly significant given the challenges remote work poses to security: without a fixed office network, employees connect from unmanaged environments such as home networks or public Wi-Fi, which traditional models struggle to secure without resorting to VPN bottlenecks. Clarity AI avoids this trade-off entirely, verifying trust through identity and device posture rather than network location, so remote workers are secured to the same standard regardless of where they connect from.</w:t>
      </w:r>
    </w:p>
    <w:p w14:paraId="12ABC733" w14:textId="0EE571CB" w:rsidR="00B3718E" w:rsidRDefault="00B3718E" w:rsidP="0060689F">
      <w:pPr>
        <w:pStyle w:val="Heading2"/>
        <w:numPr>
          <w:ilvl w:val="0"/>
          <w:numId w:val="2"/>
        </w:numPr>
      </w:pPr>
      <w:bookmarkStart w:id="15" w:name="_Toc236136458"/>
      <w:r w:rsidRPr="00591802">
        <w:t>Discussion</w:t>
      </w:r>
      <w:bookmarkEnd w:id="15"/>
    </w:p>
    <w:p w14:paraId="45E93F6E" w14:textId="77777777" w:rsidR="005357BF" w:rsidRDefault="00D23DD9" w:rsidP="00D23DD9">
      <w:r w:rsidRPr="00D23DD9">
        <w:t xml:space="preserve">Across this report, a consistent theme emerges: Zero Trust is frequently misunderstood as a product to be purchased, when it is more accurately a security architecture and a set of principles for making access decisions. It does not replace every traditional control, nor does it guarantee that breaches cannot occur; rather, as NIST SP 800-207 makes clear, it aims to minimise uncertainty in access decisions by assuming the network is already compromised [5]. </w:t>
      </w:r>
    </w:p>
    <w:p w14:paraId="3B320C0A" w14:textId="3CA6C154" w:rsidR="00D23DD9" w:rsidRPr="00D23DD9" w:rsidRDefault="00D23DD9" w:rsidP="00D23DD9">
      <w:r w:rsidRPr="00D23DD9">
        <w:t>The evidence explored throughout this report, from the legacy system constraints and identity governance failures discussed in Section 5, to the measurable productivity gains achieved by Clarity AI in Section 6, suggests that Zero Trust's real value lies not in eliminating trust altogether, but in making trust contextual</w:t>
      </w:r>
      <w:r w:rsidR="00A45B1B">
        <w:t xml:space="preserve"> </w:t>
      </w:r>
      <w:r w:rsidRPr="00D23DD9">
        <w:t xml:space="preserve">and continuous. Where traditional </w:t>
      </w:r>
      <w:r w:rsidR="00A45B1B">
        <w:t>structures</w:t>
      </w:r>
      <w:r w:rsidRPr="00D23DD9">
        <w:t xml:space="preserve"> granted broad, implicit trust based on network location, Zero Trust forces every access decision to be justified against verifiable evidence, identity, device </w:t>
      </w:r>
      <w:r w:rsidRPr="00D23DD9">
        <w:lastRenderedPageBreak/>
        <w:t>posture, and risk context, rather than a static assumption formed once at the perimeter. This reframing does not make organisations invulnerable, but it does meaningfully reduce the scale and speed of compromise when, inevitably, something does go wrong</w:t>
      </w:r>
      <w:r w:rsidR="00815B97">
        <w:t xml:space="preserve"> [14</w:t>
      </w:r>
      <w:r w:rsidR="00D0420E">
        <w:t>, 16</w:t>
      </w:r>
      <w:r w:rsidR="00815B97">
        <w:t>]</w:t>
      </w:r>
      <w:r w:rsidRPr="00D23DD9">
        <w:t>.</w:t>
      </w:r>
    </w:p>
    <w:p w14:paraId="3C78BEA0" w14:textId="0CA8D683" w:rsidR="00B3718E" w:rsidRDefault="00B3718E" w:rsidP="0060689F">
      <w:pPr>
        <w:pStyle w:val="Heading2"/>
        <w:numPr>
          <w:ilvl w:val="0"/>
          <w:numId w:val="2"/>
        </w:numPr>
      </w:pPr>
      <w:bookmarkStart w:id="16" w:name="_Toc236136459"/>
      <w:r w:rsidRPr="00591802">
        <w:t>Conclusion</w:t>
      </w:r>
      <w:bookmarkEnd w:id="16"/>
    </w:p>
    <w:p w14:paraId="32AEC781" w14:textId="2743BBD9" w:rsidR="007F591D" w:rsidRDefault="003770A4" w:rsidP="003770A4">
      <w:r>
        <w:t xml:space="preserve">Task 1 of the report has argued that Zero Trust represents a necessary </w:t>
      </w:r>
      <w:r w:rsidR="007D77DE">
        <w:t>progression</w:t>
      </w:r>
      <w:r>
        <w:t xml:space="preserve"> beyond </w:t>
      </w:r>
      <w:r w:rsidR="003D39D8">
        <w:t xml:space="preserve">traditional </w:t>
      </w:r>
      <w:r>
        <w:t>based security, rather than simply another product category to be purchased and deployed. The current cyber landscape, characterised by hybrid working, cloud adoption, third-party dependencies, and persistent insider risk, has fundamentally eroded the assumption that anything inside a network can be treated as inherently safe. In response, the principles of no implicit trust, continuous verification, least privilege, and assume breach provide</w:t>
      </w:r>
      <w:r w:rsidR="007F591D">
        <w:t>s</w:t>
      </w:r>
      <w:r>
        <w:t xml:space="preserve"> a </w:t>
      </w:r>
      <w:r w:rsidR="009B1640">
        <w:t>progressive</w:t>
      </w:r>
      <w:r>
        <w:t xml:space="preserve"> </w:t>
      </w:r>
      <w:r w:rsidR="007F591D">
        <w:t>framework to deal with current cybersecurity threats.</w:t>
      </w:r>
    </w:p>
    <w:p w14:paraId="0EAA603A" w14:textId="5D45FB97" w:rsidR="003770A4" w:rsidRDefault="003770A4" w:rsidP="003770A4">
      <w:r>
        <w:t xml:space="preserve">However, as this report has shown, principles alone are insufficient without the right technological enablers, SASE, ZTNA, and Identity Governance, working together to translate these ideas into practice. </w:t>
      </w:r>
      <w:r w:rsidR="00DE4DD4">
        <w:t>G</w:t>
      </w:r>
      <w:r>
        <w:t>enuine implementation is neither simple nor cheap</w:t>
      </w:r>
      <w:r w:rsidR="00DE4DD4">
        <w:t>.</w:t>
      </w:r>
      <w:r>
        <w:t xml:space="preserve"> </w:t>
      </w:r>
      <w:r w:rsidR="00DE4DD4">
        <w:t>L</w:t>
      </w:r>
      <w:r>
        <w:t>egacy infrastructure, identity complexity, cost, user friction, and policy management all present real barriers that organisations must navigate deliberately rather than assume away. The Clarity AI case study demonstrates that</w:t>
      </w:r>
      <w:r w:rsidR="00DE4DD4">
        <w:t xml:space="preserve"> </w:t>
      </w:r>
      <w:r>
        <w:t>trade-offs are not inevitable, and security improvements can coexist with, or even enhance, productivity</w:t>
      </w:r>
      <w:r w:rsidR="00DE4DD4">
        <w:t xml:space="preserve"> and operations</w:t>
      </w:r>
      <w:r>
        <w:t>.</w:t>
      </w:r>
    </w:p>
    <w:p w14:paraId="33687126" w14:textId="5FB1AC8A" w:rsidR="00137958" w:rsidRDefault="003770A4" w:rsidP="000D4331">
      <w:r>
        <w:t xml:space="preserve">Ultimately, Zero Trust does not eliminate risk, nor does it promise a breach-free environment. Its value lies in ensuring that when </w:t>
      </w:r>
      <w:r w:rsidR="00DE4DD4">
        <w:t>attacks</w:t>
      </w:r>
      <w:r>
        <w:t xml:space="preserve"> </w:t>
      </w:r>
      <w:proofErr w:type="gramStart"/>
      <w:r>
        <w:t>occurs</w:t>
      </w:r>
      <w:proofErr w:type="gramEnd"/>
      <w:r>
        <w:t>, as it eventually will, trust has been earned deliberately rather than assumed by default.</w:t>
      </w:r>
    </w:p>
    <w:p w14:paraId="174FE64E" w14:textId="77777777" w:rsidR="000D4331" w:rsidRDefault="000D4331" w:rsidP="000D4331">
      <w:pPr>
        <w:pStyle w:val="Heading1"/>
      </w:pPr>
    </w:p>
    <w:p w14:paraId="7AB2F726" w14:textId="77777777" w:rsidR="000D4331" w:rsidRDefault="000D4331" w:rsidP="000D4331">
      <w:pPr>
        <w:pStyle w:val="NoSpacing"/>
      </w:pPr>
    </w:p>
    <w:p w14:paraId="749914B3" w14:textId="77777777" w:rsidR="000D4331" w:rsidRDefault="000D4331" w:rsidP="000D4331">
      <w:pPr>
        <w:pStyle w:val="NoSpacing"/>
      </w:pPr>
    </w:p>
    <w:p w14:paraId="5AA688B4" w14:textId="77777777" w:rsidR="000D4331" w:rsidRDefault="000D4331" w:rsidP="000D4331">
      <w:pPr>
        <w:pStyle w:val="Heading1"/>
      </w:pPr>
    </w:p>
    <w:p w14:paraId="4A2261C5" w14:textId="77777777" w:rsidR="000D4331" w:rsidRDefault="000D4331" w:rsidP="000D4331"/>
    <w:p w14:paraId="3A1089A0" w14:textId="77777777" w:rsidR="000D4331" w:rsidRPr="000D4331" w:rsidRDefault="000D4331" w:rsidP="000D4331"/>
    <w:p w14:paraId="66F1ACB0" w14:textId="2DC7D15F" w:rsidR="00A12352" w:rsidRDefault="000D4331" w:rsidP="000D4331">
      <w:pPr>
        <w:pStyle w:val="Heading1"/>
      </w:pPr>
      <w:bookmarkStart w:id="17" w:name="_Toc236136460"/>
      <w:r w:rsidRPr="000D4331">
        <w:lastRenderedPageBreak/>
        <w:t>Task 2 – Work-Based Project: Chief Information Security Officer (CISO) Proposal</w:t>
      </w:r>
      <w:bookmarkEnd w:id="17"/>
      <w:r w:rsidRPr="000D4331">
        <w:t> </w:t>
      </w:r>
    </w:p>
    <w:p w14:paraId="2715FC20" w14:textId="58D0398B" w:rsidR="008F2C19" w:rsidRDefault="0046533A" w:rsidP="0046533A">
      <w:pPr>
        <w:pStyle w:val="Heading2"/>
      </w:pPr>
      <w:bookmarkStart w:id="18" w:name="_Toc236136461"/>
      <w:r w:rsidRPr="0046533A">
        <w:t>Executive Summary</w:t>
      </w:r>
      <w:bookmarkEnd w:id="18"/>
      <w:r>
        <w:t xml:space="preserve"> </w:t>
      </w:r>
    </w:p>
    <w:p w14:paraId="2E22FAE3" w14:textId="03EDFECE" w:rsidR="0046533A" w:rsidRDefault="0046533A" w:rsidP="0046533A">
      <w:r>
        <w:t>Aegis FinTech Innovations Ltd is a London-based company creating an AI-powered financial analytics platform, currently preparing for a Series B funding round and planning expansion into the EU. This growth requires two significant challenges, ransomware threats targeting the financial sector</w:t>
      </w:r>
      <w:r w:rsidR="00D0420E">
        <w:t xml:space="preserve"> [15]</w:t>
      </w:r>
      <w:r>
        <w:t>, and stringent regulatory obligations, including GDPR and the Digital Operational Resilience Act (DORA), required for EU market entry.</w:t>
      </w:r>
    </w:p>
    <w:p w14:paraId="0EFFA3F2" w14:textId="14FFC9AF" w:rsidR="0046533A" w:rsidRDefault="0046533A" w:rsidP="0046533A">
      <w:r>
        <w:t>Building on the research in Task 1, this proposal recommends adopting a Zero Trust security model as the foundation of Aegis's new Information Security Unit, directly addressing the traditional defences, third-party risk, and insider threat exposure identified in that research. The proposal outlines the organisational structure, policy framework, compliance roadmap, technical architecture, and governance model required to operationalise this approach over a 12-month period.</w:t>
      </w:r>
    </w:p>
    <w:p w14:paraId="668866E3" w14:textId="52A93488" w:rsidR="0046533A" w:rsidRDefault="0046533A" w:rsidP="0046533A">
      <w:r>
        <w:t>This is fundamentally a business decision, not a technical one. The proposal aims to protect investor confidence ahead of Series B, enables lawful EU expansion, and positions security as a competitive differentiator rather than a cost centre.</w:t>
      </w:r>
    </w:p>
    <w:p w14:paraId="5EBE7531" w14:textId="158C219C" w:rsidR="00012E39" w:rsidRPr="00012E39" w:rsidRDefault="00012E39" w:rsidP="00012E39">
      <w:pPr>
        <w:pStyle w:val="Heading2"/>
      </w:pPr>
      <w:bookmarkStart w:id="19" w:name="_Toc236136462"/>
      <w:r w:rsidRPr="00012E39">
        <w:t>Work-Stream 1: Organizational Design &amp; Resourcing</w:t>
      </w:r>
      <w:bookmarkEnd w:id="19"/>
      <w:r w:rsidRPr="00012E39">
        <w:t xml:space="preserve"> </w:t>
      </w:r>
    </w:p>
    <w:p w14:paraId="0432268D" w14:textId="2F74A0B8" w:rsidR="00012E39" w:rsidRDefault="004D72F2" w:rsidP="00012E39">
      <w:r w:rsidRPr="004D72F2">
        <w:t>The proposed Information Security Unit reports through a Cyber Security Steering Group (CSSG) to the Board, with the CISO holding direct accountability for strategy, risk, compliance, and security investment. Beneath the CISO sit five core roles, illustrated in Figure 3: Cloud Security Architect, DevSecOps Lead, Security Operations Manager, Security Compliance Manager, and Security Awareness &amp; Risk Manager.</w:t>
      </w:r>
    </w:p>
    <w:p w14:paraId="0D1BCE23" w14:textId="4897B98C" w:rsidR="00F96BE4" w:rsidRDefault="004D72F2" w:rsidP="007A45D3">
      <w:pPr>
        <w:keepNext/>
        <w:jc w:val="center"/>
      </w:pPr>
      <w:r>
        <w:rPr>
          <w:noProof/>
        </w:rPr>
        <w:drawing>
          <wp:inline distT="0" distB="0" distL="0" distR="0" wp14:anchorId="073BA508" wp14:editId="125D2334">
            <wp:extent cx="4063117" cy="2285447"/>
            <wp:effectExtent l="0" t="0" r="0" b="635"/>
            <wp:docPr id="12934431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443117"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4073322" cy="2291187"/>
                    </a:xfrm>
                    <a:prstGeom prst="rect">
                      <a:avLst/>
                    </a:prstGeom>
                  </pic:spPr>
                </pic:pic>
              </a:graphicData>
            </a:graphic>
          </wp:inline>
        </w:drawing>
      </w:r>
    </w:p>
    <w:p w14:paraId="225B59AD" w14:textId="125B9758" w:rsidR="00F96BE4" w:rsidRPr="00012E39" w:rsidRDefault="00F96BE4" w:rsidP="007A45D3">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r w:rsidRPr="007E20BB">
        <w:t>Proposed Information Security Unit organisational structure</w:t>
      </w:r>
    </w:p>
    <w:p w14:paraId="04DEA616" w14:textId="1B1A8B2C" w:rsidR="004D72F2" w:rsidRPr="004D72F2" w:rsidRDefault="004D72F2" w:rsidP="004D72F2">
      <w:r w:rsidRPr="004D72F2">
        <w:lastRenderedPageBreak/>
        <w:t>The Cloud Security Architect role is directly justified by Task 1's findings. As that research identified cloud environments as a key weakness of traditional perimeter-based security, Aegis requires dedicated expertise to implement Zero Trust controls, including cloud security posture management (CSPM), identity architecture, and secure configuration, across its infrastructure and data.</w:t>
      </w:r>
    </w:p>
    <w:p w14:paraId="5B243D6A" w14:textId="6459CA1A" w:rsidR="004D72F2" w:rsidRPr="004D72F2" w:rsidRDefault="004D72F2" w:rsidP="004D72F2">
      <w:r w:rsidRPr="004D72F2">
        <w:t>The DevSecOps Lead is essential given that Aegis's core product is an AI-powered financial analytics platform; security must be embedded directly into the development lifecycle through code scanning, CI/CD security, and secrets management, rather than applied retrospectively.</w:t>
      </w:r>
    </w:p>
    <w:p w14:paraId="0D314A86" w14:textId="70D6CD89" w:rsidR="004D72F2" w:rsidRPr="004D72F2" w:rsidRDefault="004D72F2" w:rsidP="004D72F2">
      <w:r w:rsidRPr="004D72F2">
        <w:t>The Security Operations Manager provides everyday monitoring, threat detection, and incident triage, while the Security Compliance Manager is critical given Aegis's handling of financial and personal data and its planned EU expansion, ensuring GDPR compliance, data protection impact assessments, and breach coordination.</w:t>
      </w:r>
    </w:p>
    <w:p w14:paraId="48C1550C" w14:textId="7B980743" w:rsidR="004D72F2" w:rsidRPr="004D72F2" w:rsidRDefault="004D72F2" w:rsidP="004D72F2">
      <w:r w:rsidRPr="004D72F2">
        <w:t>The Security Awareness &amp; Risk Manager is equally important, since Task 1's research identified user friction and policy complexity as recurring barriers to Zero Trust adoption. This role is responsible for staff training, managing the trade-off between security friction and usability, and maintaining Aegis's wider risk register.</w:t>
      </w:r>
    </w:p>
    <w:p w14:paraId="72BABCDB" w14:textId="77777777" w:rsidR="004D72F2" w:rsidRDefault="004D72F2" w:rsidP="004D72F2">
      <w:r w:rsidRPr="004D72F2">
        <w:t>Critically, Aegis should not attempt to build a large in-house security department at this stage of growth. A more realistic and cost-effective approach is a small, strategically focused internal team, supplemented by outsourced specialist services such as 24/7 SOC monitoring and periodic penetration testing. This balances security maturity against the budget realities of a Series B-stage startup.</w:t>
      </w:r>
    </w:p>
    <w:p w14:paraId="51FE5FAA" w14:textId="45EB6627" w:rsidR="00012E39" w:rsidRPr="00A86FC1" w:rsidRDefault="00012E39" w:rsidP="004D72F2">
      <w:pPr>
        <w:pStyle w:val="Heading2"/>
      </w:pPr>
      <w:bookmarkStart w:id="20" w:name="_Toc236136463"/>
      <w:r w:rsidRPr="00A86FC1">
        <w:t>Work-Stream 2: Policy Framework Development</w:t>
      </w:r>
      <w:bookmarkEnd w:id="20"/>
      <w:r w:rsidRPr="00A86FC1">
        <w:t xml:space="preserve"> </w:t>
      </w:r>
    </w:p>
    <w:p w14:paraId="5E422BEA" w14:textId="0C7C5E6B" w:rsidR="007A45D3" w:rsidRPr="007A45D3" w:rsidRDefault="007A45D3" w:rsidP="007A45D3">
      <w:pPr>
        <w:pStyle w:val="Heading3"/>
        <w:rPr>
          <w:rFonts w:eastAsiaTheme="minorHAnsi"/>
        </w:rPr>
      </w:pPr>
      <w:bookmarkStart w:id="21" w:name="_Toc236136464"/>
      <w:r w:rsidRPr="007A45D3">
        <w:rPr>
          <w:rFonts w:eastAsiaTheme="minorHAnsi"/>
        </w:rPr>
        <w:t>Policy 1: Acceptable Use Policy for AI &amp; Cloud Services</w:t>
      </w:r>
      <w:bookmarkEnd w:id="21"/>
    </w:p>
    <w:p w14:paraId="0C9BF220" w14:textId="744C5825" w:rsidR="007A45D3" w:rsidRPr="007A45D3" w:rsidRDefault="007A45D3" w:rsidP="007A45D3">
      <w:r w:rsidRPr="007A45D3">
        <w:t>This policy restricts employees to approved AI and cloud tools for processing company, client, or financial data, requiring security review before any new tool is adopted. Sensitive data must not be entered into unapproved AI systems, and AI outputs require review before use in client-facing contexts. Access is granted on a least-privilege basis, logged, and supported by mandatory staff training. This directly extends Task 1's no implicit trust and least privilege principles to AI and cloud usage, addressing the misconfiguration and unmanaged access risks identified in that research, particularly relevant given Aegis's own AI-powered platform.</w:t>
      </w:r>
    </w:p>
    <w:p w14:paraId="1D27B5BA" w14:textId="782271A6" w:rsidR="007A45D3" w:rsidRPr="007A45D3" w:rsidRDefault="007A45D3" w:rsidP="007A45D3">
      <w:pPr>
        <w:pStyle w:val="Heading3"/>
        <w:rPr>
          <w:rFonts w:eastAsiaTheme="minorHAnsi"/>
        </w:rPr>
      </w:pPr>
      <w:bookmarkStart w:id="22" w:name="_Toc236136465"/>
      <w:r w:rsidRPr="007A45D3">
        <w:rPr>
          <w:rFonts w:eastAsiaTheme="minorHAnsi"/>
        </w:rPr>
        <w:t>Policy 2: Hybrid Work and Remote Access Security Policy</w:t>
      </w:r>
      <w:bookmarkEnd w:id="22"/>
    </w:p>
    <w:p w14:paraId="3FE790F6" w14:textId="0F469280" w:rsidR="007A45D3" w:rsidRPr="007A45D3" w:rsidRDefault="007A45D3" w:rsidP="007A45D3">
      <w:r w:rsidRPr="007A45D3">
        <w:t xml:space="preserve">Remote access requires multi-factor authentication and is granted through Zero Trust Network Access (ZTNA) rather than unrestricted network access, with device health checks, managed devices for sensitive systems, and full session logging. As Task 1 </w:t>
      </w:r>
      <w:r w:rsidRPr="007A45D3">
        <w:lastRenderedPageBreak/>
        <w:t>establish</w:t>
      </w:r>
      <w:r>
        <w:t>es</w:t>
      </w:r>
      <w:r w:rsidRPr="007A45D3">
        <w:t>, network location is no longer a sufficient basis for trust; this policy replaces it with identity, device posture, and contextual risk, directly implementing no implicit trust and continuous verification</w:t>
      </w:r>
      <w:r>
        <w:t>.</w:t>
      </w:r>
    </w:p>
    <w:p w14:paraId="6E549A99" w14:textId="60A41601" w:rsidR="007A45D3" w:rsidRPr="007A45D3" w:rsidRDefault="007A45D3" w:rsidP="007A45D3">
      <w:pPr>
        <w:pStyle w:val="Heading3"/>
        <w:rPr>
          <w:rFonts w:eastAsiaTheme="minorHAnsi"/>
        </w:rPr>
      </w:pPr>
      <w:bookmarkStart w:id="23" w:name="_Toc236136466"/>
      <w:r w:rsidRPr="007A45D3">
        <w:rPr>
          <w:rFonts w:eastAsiaTheme="minorHAnsi"/>
        </w:rPr>
        <w:t>Policy 3: Third-Party and Cloud Vendor Risk Management Policy</w:t>
      </w:r>
      <w:bookmarkEnd w:id="23"/>
    </w:p>
    <w:p w14:paraId="1A727C87" w14:textId="6458CD7E" w:rsidR="007A45D3" w:rsidRDefault="007A45D3" w:rsidP="007A45D3">
      <w:r w:rsidRPr="007A45D3">
        <w:t>Suppliers undergo security assessment and risk classification before onboarding, with enhanced due diligence, contractual security requirements, and annual reassessment for critical vendors. As Task 1 found, approved supplier status does not grant implicit trust; this policy extends no implicit trus</w:t>
      </w:r>
      <w:r>
        <w:t>t</w:t>
      </w:r>
      <w:r w:rsidRPr="007A45D3">
        <w:t xml:space="preserve"> and continuous verification into Aegis's supply chain, treating every vendor connection as </w:t>
      </w:r>
      <w:proofErr w:type="gramStart"/>
      <w:r w:rsidRPr="007A45D3">
        <w:t>a</w:t>
      </w:r>
      <w:proofErr w:type="gramEnd"/>
      <w:r w:rsidRPr="007A45D3">
        <w:t xml:space="preserve"> </w:t>
      </w:r>
      <w:r w:rsidRPr="007A45D3">
        <w:t>individual</w:t>
      </w:r>
      <w:r w:rsidRPr="007A45D3">
        <w:t xml:space="preserve"> access decision.</w:t>
      </w:r>
    </w:p>
    <w:p w14:paraId="63842C0F" w14:textId="4A1B755E" w:rsidR="00012E39" w:rsidRDefault="00012E39" w:rsidP="007A45D3">
      <w:pPr>
        <w:pStyle w:val="Heading2"/>
      </w:pPr>
      <w:bookmarkStart w:id="24" w:name="_Toc236136467"/>
      <w:r w:rsidRPr="00A86FC1">
        <w:t>Work-Stream 3: Regulatory Compliance Strategy</w:t>
      </w:r>
      <w:bookmarkEnd w:id="24"/>
    </w:p>
    <w:p w14:paraId="27A508CF" w14:textId="657D604B" w:rsidR="007A45D3" w:rsidRDefault="007A45D3" w:rsidP="007A45D3">
      <w:r>
        <w:t>Aegis's EU expansion requires demonstrable GDPR and DORA compliance, the latter applying due to its reliance on ICT third parties and role in financial services [19]. A phased 12-month roadmap is proposed:</w:t>
      </w:r>
    </w:p>
    <w:p w14:paraId="014FA660" w14:textId="77777777" w:rsidR="007A45D3" w:rsidRDefault="007A45D3" w:rsidP="007A45D3">
      <w:pPr>
        <w:pStyle w:val="ListParagraph"/>
        <w:numPr>
          <w:ilvl w:val="0"/>
          <w:numId w:val="9"/>
        </w:numPr>
      </w:pPr>
      <w:r>
        <w:t>Months 1–3 (Assess): Data inventory, data flow mapping, and GDPR gap analysis, alongside a DORA applicability assessment covering ICT assets and critical service providers.</w:t>
      </w:r>
    </w:p>
    <w:p w14:paraId="67AE54B0" w14:textId="77777777" w:rsidR="007A45D3" w:rsidRDefault="007A45D3" w:rsidP="007A45D3">
      <w:pPr>
        <w:pStyle w:val="ListParagraph"/>
        <w:numPr>
          <w:ilvl w:val="0"/>
          <w:numId w:val="9"/>
        </w:numPr>
      </w:pPr>
      <w:r>
        <w:t>Months 4–6 (Implement): Deployment of MFA, ZTNA, encryption, access governance, vendor assessments, and incident response processes, supporting GDPR's security-of-processing requirements and DORA's ICT risk management pillar.</w:t>
      </w:r>
    </w:p>
    <w:p w14:paraId="25F3DD66" w14:textId="77777777" w:rsidR="007A45D3" w:rsidRDefault="007A45D3" w:rsidP="007A45D3">
      <w:pPr>
        <w:pStyle w:val="ListParagraph"/>
        <w:numPr>
          <w:ilvl w:val="0"/>
          <w:numId w:val="9"/>
        </w:numPr>
      </w:pPr>
      <w:r>
        <w:t>Months 7–9 (Test): Ransomware simulation, backup restoration, disaster recovery, penetration testing, and third-party resilience exercises, reflecting DORA's resilience-testing focus.</w:t>
      </w:r>
    </w:p>
    <w:p w14:paraId="5993D331" w14:textId="55456FD0" w:rsidR="007A45D3" w:rsidRDefault="007A45D3" w:rsidP="007A45D3">
      <w:pPr>
        <w:pStyle w:val="ListParagraph"/>
        <w:numPr>
          <w:ilvl w:val="0"/>
          <w:numId w:val="9"/>
        </w:numPr>
      </w:pPr>
      <w:r>
        <w:t>Months 10–12 (Assure): Internal audit, board review, compliance evidence collection, remediation, and continuous improvement.</w:t>
      </w:r>
    </w:p>
    <w:p w14:paraId="10F9EA78" w14:textId="1719E754" w:rsidR="007A45D3" w:rsidRPr="007A45D3" w:rsidRDefault="007A45D3" w:rsidP="007A45D3">
      <w:r>
        <w:t>Zero Trust does not itself establish GDPR or DORA compliance. Rather, as Task 1 found, it provides the granular access management, continuous verification, and reduced implicit trust that support the security, access control, and resilience objectives of both frameworks; compliance remains a broader exercise spanning legal, procedural, and governance obligations beyond the technical architecture alone.</w:t>
      </w:r>
    </w:p>
    <w:p w14:paraId="5B7FD716" w14:textId="710597B1" w:rsidR="00012E39" w:rsidRPr="00A86FC1" w:rsidRDefault="00012E39" w:rsidP="00593B46">
      <w:pPr>
        <w:pStyle w:val="Heading2"/>
      </w:pPr>
      <w:bookmarkStart w:id="25" w:name="_Toc236136468"/>
      <w:r w:rsidRPr="00A86FC1">
        <w:t>Work-Stream 4: Technical Standards &amp; Architecture</w:t>
      </w:r>
      <w:bookmarkEnd w:id="25"/>
    </w:p>
    <w:p w14:paraId="554F0AA7" w14:textId="697ACDBA" w:rsidR="00A86FC1" w:rsidRPr="00A86FC1" w:rsidRDefault="00A86FC1" w:rsidP="007A45D3">
      <w:pPr>
        <w:pStyle w:val="Heading3"/>
      </w:pPr>
      <w:bookmarkStart w:id="26" w:name="_Toc236136469"/>
      <w:r w:rsidRPr="00A86FC1">
        <w:t>Framework selection: NIST Cybersecurity Framework 2.0</w:t>
      </w:r>
      <w:bookmarkEnd w:id="26"/>
    </w:p>
    <w:p w14:paraId="65F79FD7" w14:textId="23D4E6D1" w:rsidR="00A86FC1" w:rsidRDefault="00A86FC1" w:rsidP="00A86FC1">
      <w:r w:rsidRPr="00A86FC1">
        <w:t xml:space="preserve">Task 1 established Zero Trust as a security architecture and set of principles, not a standalone framework. Aegis therefore needs a governance framework to implement, monitor, and improve these principles over time. NIST CSF 2.0 is recommended, structured around six functions: Govern, Identify, Protect, Detect, Respond, and </w:t>
      </w:r>
      <w:r w:rsidRPr="00A86FC1">
        <w:lastRenderedPageBreak/>
        <w:t>Recover. Its new Govern function suits Aegis's stage well, embedding risk and security investment decisions into board-level oversight rather than treating them as purely operational. CSF 2.0 does not replace Zero Trust itself; it provides the governance and accountability structure within which Aegis's Zero Trust controls are matured.</w:t>
      </w:r>
    </w:p>
    <w:p w14:paraId="2F09F560" w14:textId="60B27FDC" w:rsidR="00A86FC1" w:rsidRPr="00A86FC1" w:rsidRDefault="00A86FC1" w:rsidP="007A45D3">
      <w:pPr>
        <w:pStyle w:val="Heading3"/>
      </w:pPr>
      <w:bookmarkStart w:id="27" w:name="_Toc236136470"/>
      <w:r w:rsidRPr="00A86FC1">
        <w:t>Proposed technical architecture</w:t>
      </w:r>
      <w:bookmarkEnd w:id="27"/>
    </w:p>
    <w:p w14:paraId="12232D1B" w14:textId="7E2B5D98" w:rsidR="00A86FC1" w:rsidRPr="00A86FC1" w:rsidRDefault="00A86FC1" w:rsidP="00A86FC1">
      <w:r w:rsidRPr="00A86FC1">
        <w:t>The architecture applies Zero Trust across every layer of Aegis's environment. Users authenticate via an Identity Provider with MFA and contextual risk analysis before any request reaches Aegis's systems. The request then passes to a central Zero Trust Policy Engine, which evaluates identity, device posture, and risk before granting access, enforced through a ZTNA gateway, SASE controls, and device security checks, so no single authentication event grants broad network access.</w:t>
      </w:r>
    </w:p>
    <w:p w14:paraId="34F6FED9" w14:textId="051B2A1D" w:rsidR="00A86FC1" w:rsidRPr="00A86FC1" w:rsidRDefault="00A86FC1" w:rsidP="00A86FC1">
      <w:r w:rsidRPr="00A86FC1">
        <w:t xml:space="preserve">Approved access is scoped to the specific resource requested, applications, the AI platform, databases, or APIs, rather than the </w:t>
      </w:r>
      <w:proofErr w:type="gramStart"/>
      <w:r w:rsidRPr="00A86FC1">
        <w:t>network as a whole</w:t>
      </w:r>
      <w:proofErr w:type="gramEnd"/>
      <w:r w:rsidRPr="00A86FC1">
        <w:t>. The environment is continuously monitored via CSPM (misconfigurations), SIEM (event aggregation and analysis), and EDR (endpoint activity), feeding into a central Security Operations function.</w:t>
      </w:r>
    </w:p>
    <w:p w14:paraId="273475BA" w14:textId="5192BAF5" w:rsidR="00A86FC1" w:rsidRPr="00A86FC1" w:rsidRDefault="00A86FC1" w:rsidP="007A45D3">
      <w:pPr>
        <w:pStyle w:val="Heading3"/>
      </w:pPr>
      <w:bookmarkStart w:id="28" w:name="_Toc236136471"/>
      <w:r w:rsidRPr="00A86FC1">
        <w:t>Explaining the access flow</w:t>
      </w:r>
      <w:bookmarkEnd w:id="28"/>
    </w:p>
    <w:p w14:paraId="10330C3C" w14:textId="36D4E189" w:rsidR="00593B46" w:rsidRPr="00A86FC1" w:rsidRDefault="00A86FC1" w:rsidP="00A86FC1">
      <w:r w:rsidRPr="00A86FC1">
        <w:t>A user request moves through seven stages: identity verification, MFA, device posture assessment, risk evaluation, policy decision, least-privilege access to a specific resource, and continuous monitoring. Successful authentication alone never grants broad network access, directly realising Task 1's core argument: trust is never implicit, but continuously evaluated and scoped to the minimum access required. This architecture operationalises no implicit trust,</w:t>
      </w:r>
      <w:r w:rsidR="00CD27F8">
        <w:t xml:space="preserve"> </w:t>
      </w:r>
      <w:r w:rsidRPr="00A86FC1">
        <w:t>continuous verification, and least privilege as a concrete technical model for Aegis's cloud-based, AI-driven platform.</w:t>
      </w:r>
    </w:p>
    <w:p w14:paraId="16AC21F6" w14:textId="7F7A2643" w:rsidR="00012E39" w:rsidRPr="00A86FC1" w:rsidRDefault="00012E39" w:rsidP="00012E39">
      <w:pPr>
        <w:pStyle w:val="Heading2"/>
      </w:pPr>
      <w:bookmarkStart w:id="29" w:name="_Toc236136472"/>
      <w:r w:rsidRPr="00A86FC1">
        <w:t>Work-Stream 5: Strategic Risk Assessment</w:t>
      </w:r>
      <w:bookmarkEnd w:id="29"/>
    </w:p>
    <w:tbl>
      <w:tblPr>
        <w:tblStyle w:val="TableGrid"/>
        <w:tblW w:w="0" w:type="auto"/>
        <w:tblLook w:val="04A0" w:firstRow="1" w:lastRow="0" w:firstColumn="1" w:lastColumn="0" w:noHBand="0" w:noVBand="1"/>
      </w:tblPr>
      <w:tblGrid>
        <w:gridCol w:w="2254"/>
        <w:gridCol w:w="2254"/>
        <w:gridCol w:w="2254"/>
        <w:gridCol w:w="2254"/>
      </w:tblGrid>
      <w:tr w:rsidR="00A86FC1" w14:paraId="584D7FF2" w14:textId="77777777" w:rsidTr="00872584">
        <w:tc>
          <w:tcPr>
            <w:tcW w:w="2254" w:type="dxa"/>
            <w:vAlign w:val="center"/>
          </w:tcPr>
          <w:p w14:paraId="61CC9EF1" w14:textId="11A298DF" w:rsidR="00A86FC1" w:rsidRDefault="00A86FC1" w:rsidP="00A86FC1">
            <w:r>
              <w:rPr>
                <w:b/>
                <w:bCs/>
              </w:rPr>
              <w:t>Risk</w:t>
            </w:r>
          </w:p>
        </w:tc>
        <w:tc>
          <w:tcPr>
            <w:tcW w:w="2254" w:type="dxa"/>
            <w:vAlign w:val="center"/>
          </w:tcPr>
          <w:p w14:paraId="01FA72F9" w14:textId="1E35CB16" w:rsidR="00A86FC1" w:rsidRDefault="00A86FC1" w:rsidP="00A86FC1">
            <w:r>
              <w:rPr>
                <w:b/>
                <w:bCs/>
              </w:rPr>
              <w:t>Likelihood</w:t>
            </w:r>
          </w:p>
        </w:tc>
        <w:tc>
          <w:tcPr>
            <w:tcW w:w="2254" w:type="dxa"/>
            <w:vAlign w:val="center"/>
          </w:tcPr>
          <w:p w14:paraId="001971C2" w14:textId="33D2940B" w:rsidR="00A86FC1" w:rsidRDefault="00A86FC1" w:rsidP="00A86FC1">
            <w:r>
              <w:rPr>
                <w:b/>
                <w:bCs/>
              </w:rPr>
              <w:t>Impact</w:t>
            </w:r>
          </w:p>
        </w:tc>
        <w:tc>
          <w:tcPr>
            <w:tcW w:w="2254" w:type="dxa"/>
            <w:vAlign w:val="center"/>
          </w:tcPr>
          <w:p w14:paraId="6B2DD4E7" w14:textId="27C8D2BB" w:rsidR="00A86FC1" w:rsidRDefault="00A86FC1" w:rsidP="00A86FC1">
            <w:r>
              <w:rPr>
                <w:b/>
                <w:bCs/>
              </w:rPr>
              <w:t>Mitigation</w:t>
            </w:r>
          </w:p>
        </w:tc>
      </w:tr>
      <w:tr w:rsidR="00A86FC1" w14:paraId="25289B92" w14:textId="77777777" w:rsidTr="00872584">
        <w:tc>
          <w:tcPr>
            <w:tcW w:w="2254" w:type="dxa"/>
            <w:vAlign w:val="center"/>
          </w:tcPr>
          <w:p w14:paraId="303254AF" w14:textId="3322D8A9" w:rsidR="00A86FC1" w:rsidRDefault="00A86FC1" w:rsidP="00A86FC1">
            <w:r>
              <w:t>Compromised credentials and ransomware</w:t>
            </w:r>
          </w:p>
        </w:tc>
        <w:tc>
          <w:tcPr>
            <w:tcW w:w="2254" w:type="dxa"/>
            <w:vAlign w:val="center"/>
          </w:tcPr>
          <w:p w14:paraId="15E79B63" w14:textId="5ADEA109" w:rsidR="00A86FC1" w:rsidRDefault="00A86FC1" w:rsidP="00A86FC1">
            <w:r>
              <w:t>High</w:t>
            </w:r>
          </w:p>
        </w:tc>
        <w:tc>
          <w:tcPr>
            <w:tcW w:w="2254" w:type="dxa"/>
            <w:vAlign w:val="center"/>
          </w:tcPr>
          <w:p w14:paraId="7140E853" w14:textId="29D4C7B6" w:rsidR="00A86FC1" w:rsidRDefault="00A86FC1" w:rsidP="00A86FC1">
            <w:r>
              <w:t>Severe</w:t>
            </w:r>
          </w:p>
        </w:tc>
        <w:tc>
          <w:tcPr>
            <w:tcW w:w="2254" w:type="dxa"/>
            <w:vAlign w:val="center"/>
          </w:tcPr>
          <w:p w14:paraId="621D9D4E" w14:textId="62FE6B1B" w:rsidR="00A86FC1" w:rsidRDefault="00A86FC1" w:rsidP="00A86FC1">
            <w:r>
              <w:t>MFA, ZTNA, EDR, segmentation, immutable backups</w:t>
            </w:r>
          </w:p>
        </w:tc>
      </w:tr>
      <w:tr w:rsidR="00A86FC1" w14:paraId="32548730" w14:textId="77777777" w:rsidTr="00872584">
        <w:tc>
          <w:tcPr>
            <w:tcW w:w="2254" w:type="dxa"/>
            <w:vAlign w:val="center"/>
          </w:tcPr>
          <w:p w14:paraId="21E4E88A" w14:textId="555FCA6B" w:rsidR="00A86FC1" w:rsidRDefault="00A86FC1" w:rsidP="00A86FC1">
            <w:r>
              <w:t>Cloud misconfiguration</w:t>
            </w:r>
          </w:p>
        </w:tc>
        <w:tc>
          <w:tcPr>
            <w:tcW w:w="2254" w:type="dxa"/>
            <w:vAlign w:val="center"/>
          </w:tcPr>
          <w:p w14:paraId="65B9A7F5" w14:textId="56E53C04" w:rsidR="00A86FC1" w:rsidRDefault="00A86FC1" w:rsidP="00A86FC1">
            <w:r>
              <w:t>Medium/High</w:t>
            </w:r>
          </w:p>
        </w:tc>
        <w:tc>
          <w:tcPr>
            <w:tcW w:w="2254" w:type="dxa"/>
            <w:vAlign w:val="center"/>
          </w:tcPr>
          <w:p w14:paraId="1E6D5A31" w14:textId="333C5ACB" w:rsidR="00A86FC1" w:rsidRDefault="00A86FC1" w:rsidP="00A86FC1">
            <w:r>
              <w:t>Severe</w:t>
            </w:r>
          </w:p>
        </w:tc>
        <w:tc>
          <w:tcPr>
            <w:tcW w:w="2254" w:type="dxa"/>
            <w:vAlign w:val="center"/>
          </w:tcPr>
          <w:p w14:paraId="6429CAC3" w14:textId="2D73E275" w:rsidR="00A86FC1" w:rsidRDefault="00A86FC1" w:rsidP="00A86FC1">
            <w:r>
              <w:t>CSPM, secure baselines, least privilege</w:t>
            </w:r>
          </w:p>
        </w:tc>
      </w:tr>
      <w:tr w:rsidR="00A86FC1" w14:paraId="522A4FFB" w14:textId="77777777" w:rsidTr="00872584">
        <w:tc>
          <w:tcPr>
            <w:tcW w:w="2254" w:type="dxa"/>
            <w:vAlign w:val="center"/>
          </w:tcPr>
          <w:p w14:paraId="6FD308F0" w14:textId="51C36BA2" w:rsidR="00A86FC1" w:rsidRDefault="00A86FC1" w:rsidP="00A86FC1">
            <w:r>
              <w:t>Third-party compromise</w:t>
            </w:r>
          </w:p>
        </w:tc>
        <w:tc>
          <w:tcPr>
            <w:tcW w:w="2254" w:type="dxa"/>
            <w:vAlign w:val="center"/>
          </w:tcPr>
          <w:p w14:paraId="0E0ACA7D" w14:textId="51050A7B" w:rsidR="00A86FC1" w:rsidRDefault="00A86FC1" w:rsidP="00A86FC1">
            <w:r>
              <w:t>Medium</w:t>
            </w:r>
          </w:p>
        </w:tc>
        <w:tc>
          <w:tcPr>
            <w:tcW w:w="2254" w:type="dxa"/>
            <w:vAlign w:val="center"/>
          </w:tcPr>
          <w:p w14:paraId="4F06D515" w14:textId="496FE859" w:rsidR="00A86FC1" w:rsidRDefault="00A86FC1" w:rsidP="00A86FC1">
            <w:r>
              <w:t>High</w:t>
            </w:r>
          </w:p>
        </w:tc>
        <w:tc>
          <w:tcPr>
            <w:tcW w:w="2254" w:type="dxa"/>
            <w:vAlign w:val="center"/>
          </w:tcPr>
          <w:p w14:paraId="54295EE5" w14:textId="65318C1A" w:rsidR="00A86FC1" w:rsidRDefault="00A86FC1" w:rsidP="00A86FC1">
            <w:r>
              <w:t>Vendor due diligence, contractual controls, monitoring</w:t>
            </w:r>
          </w:p>
        </w:tc>
      </w:tr>
    </w:tbl>
    <w:p w14:paraId="165C1BCF" w14:textId="1AEF715F" w:rsidR="00A86FC1" w:rsidRPr="00A86FC1" w:rsidRDefault="00A86FC1" w:rsidP="00A86FC1">
      <w:r>
        <w:lastRenderedPageBreak/>
        <w:t>T</w:t>
      </w:r>
      <w:r w:rsidRPr="00A86FC1">
        <w:t>hese three risks were selected because they directly reflect the weaknesses identified in Task 1's research: excessive reliance on implicit trust, the complexity of distributed cloud environments, and dependence on external services. Ransomware and credential compromise remain the most severe threat given the financial sector's attractiveness to attackers; cloud misconfiguration reflects Aegis's cloud-native architecture; and third-party compromise reflects growing supply chain risk as Aegis scales its vendor ecosystem ahead of EU expansion.</w:t>
      </w:r>
    </w:p>
    <w:p w14:paraId="730F5AE6" w14:textId="03C92BD1" w:rsidR="00012E39" w:rsidRPr="00A86FC1" w:rsidRDefault="00012E39" w:rsidP="00012E39">
      <w:pPr>
        <w:pStyle w:val="Heading2"/>
      </w:pPr>
      <w:bookmarkStart w:id="30" w:name="_Toc236136473"/>
      <w:r w:rsidRPr="00A86FC1">
        <w:t>Work-Stream 6: Incident Response &amp; Business Continuity</w:t>
      </w:r>
      <w:bookmarkEnd w:id="30"/>
    </w:p>
    <w:p w14:paraId="52D4A188" w14:textId="0ACBA140" w:rsidR="00A86FC1" w:rsidRDefault="00A86FC1" w:rsidP="00A86FC1">
      <w:r>
        <w:t>A five-stage Ransomware Response Playbook is proposed:</w:t>
      </w:r>
    </w:p>
    <w:p w14:paraId="4245C343" w14:textId="77777777" w:rsidR="00A86FC1" w:rsidRDefault="00A86FC1" w:rsidP="00A86FC1">
      <w:pPr>
        <w:pStyle w:val="ListParagraph"/>
        <w:numPr>
          <w:ilvl w:val="0"/>
          <w:numId w:val="7"/>
        </w:numPr>
      </w:pPr>
      <w:r>
        <w:t>Detect – SIEM and EDR alerts, user reports, analyst investigation.</w:t>
      </w:r>
    </w:p>
    <w:p w14:paraId="0960A78D" w14:textId="77777777" w:rsidR="00A86FC1" w:rsidRDefault="00A86FC1" w:rsidP="00A86FC1">
      <w:pPr>
        <w:pStyle w:val="ListParagraph"/>
        <w:numPr>
          <w:ilvl w:val="0"/>
          <w:numId w:val="7"/>
        </w:numPr>
      </w:pPr>
      <w:r>
        <w:t>Contain – Isolate affected devices, disable compromised accounts, block indicators, restrict lateral movement.</w:t>
      </w:r>
    </w:p>
    <w:p w14:paraId="5C088744" w14:textId="77777777" w:rsidR="00A86FC1" w:rsidRDefault="00A86FC1" w:rsidP="00A86FC1">
      <w:pPr>
        <w:pStyle w:val="ListParagraph"/>
        <w:numPr>
          <w:ilvl w:val="0"/>
          <w:numId w:val="7"/>
        </w:numPr>
      </w:pPr>
      <w:r>
        <w:t>Eradicate – Identify initial access, remove malware, reset credentials, patch vulnerabilities.</w:t>
      </w:r>
    </w:p>
    <w:p w14:paraId="4E3A1AA3" w14:textId="77777777" w:rsidR="00A86FC1" w:rsidRDefault="00A86FC1" w:rsidP="00A86FC1">
      <w:pPr>
        <w:pStyle w:val="ListParagraph"/>
        <w:numPr>
          <w:ilvl w:val="0"/>
          <w:numId w:val="7"/>
        </w:numPr>
      </w:pPr>
      <w:r>
        <w:t>Recover – Restore from immutable backups, prioritise critical services, validate systems, reconnect gradually.</w:t>
      </w:r>
    </w:p>
    <w:p w14:paraId="37C03694" w14:textId="05CE41E2" w:rsidR="00A86FC1" w:rsidRDefault="00A86FC1" w:rsidP="00A86FC1">
      <w:pPr>
        <w:pStyle w:val="ListParagraph"/>
        <w:numPr>
          <w:ilvl w:val="0"/>
          <w:numId w:val="7"/>
        </w:numPr>
      </w:pPr>
      <w:r>
        <w:t>Review – Root-cause analysis, regulatory assessment, board reporting, control improvement.</w:t>
      </w:r>
    </w:p>
    <w:p w14:paraId="067BFD4D" w14:textId="63FA8D1A" w:rsidR="00A86FC1" w:rsidRPr="00A86FC1" w:rsidRDefault="00A86FC1" w:rsidP="00A86FC1">
      <w:r>
        <w:t>The assume-breach principle identified in Task 1 directly informs this playbook: affected identities, devices, and systems are treated as potentially compromised until their security posture can be re-established, rather than assumed safe once initial symptoms are addressed. This ensures containment and eradication are thorough rather than premature.</w:t>
      </w:r>
    </w:p>
    <w:p w14:paraId="3A5BAE0A" w14:textId="7EC9F8E5" w:rsidR="00012E39" w:rsidRPr="00A86FC1" w:rsidRDefault="00012E39" w:rsidP="00A86FC1">
      <w:pPr>
        <w:pStyle w:val="Heading2"/>
      </w:pPr>
      <w:bookmarkStart w:id="31" w:name="_Toc236136474"/>
      <w:r w:rsidRPr="00A86FC1">
        <w:t>Work-Stream 7: Governance &amp; Strategic Roadmap</w:t>
      </w:r>
      <w:bookmarkEnd w:id="31"/>
    </w:p>
    <w:p w14:paraId="439A9607" w14:textId="77777777" w:rsidR="00A86FC1" w:rsidRDefault="00A86FC1" w:rsidP="00A86FC1">
      <w:r w:rsidRPr="00A86FC1">
        <w:t>A Cyber Security Steering Committee is proposed, comprising the CEO (executive sponsorship), CISO (security leadership), CFO (financial risk and investment), Head of Legal/DPO (regulatory and privacy), CTO (technical architecture), Head of Engineering (development security), and a Risk/Compliance Lead. The committee meets monthly during implementation, moving to quarterly once established.</w:t>
      </w:r>
    </w:p>
    <w:tbl>
      <w:tblPr>
        <w:tblStyle w:val="TableGrid"/>
        <w:tblW w:w="0" w:type="auto"/>
        <w:tblLook w:val="04A0" w:firstRow="1" w:lastRow="0" w:firstColumn="1" w:lastColumn="0" w:noHBand="0" w:noVBand="1"/>
      </w:tblPr>
      <w:tblGrid>
        <w:gridCol w:w="1059"/>
        <w:gridCol w:w="2080"/>
        <w:gridCol w:w="5877"/>
      </w:tblGrid>
      <w:tr w:rsidR="00A86FC1" w:rsidRPr="00A86FC1" w14:paraId="5C6F9F7A" w14:textId="77777777" w:rsidTr="00A86FC1">
        <w:tc>
          <w:tcPr>
            <w:tcW w:w="0" w:type="auto"/>
            <w:hideMark/>
          </w:tcPr>
          <w:p w14:paraId="1EE86B53" w14:textId="77777777" w:rsidR="00A86FC1" w:rsidRPr="00A86FC1" w:rsidRDefault="00A86FC1" w:rsidP="00A86FC1">
            <w:pPr>
              <w:rPr>
                <w:b/>
                <w:bCs/>
              </w:rPr>
            </w:pPr>
            <w:r w:rsidRPr="00A86FC1">
              <w:rPr>
                <w:b/>
                <w:bCs/>
              </w:rPr>
              <w:t>Quarter</w:t>
            </w:r>
          </w:p>
        </w:tc>
        <w:tc>
          <w:tcPr>
            <w:tcW w:w="0" w:type="auto"/>
            <w:hideMark/>
          </w:tcPr>
          <w:p w14:paraId="556A0F84" w14:textId="77777777" w:rsidR="00A86FC1" w:rsidRPr="00A86FC1" w:rsidRDefault="00A86FC1" w:rsidP="00A86FC1">
            <w:pPr>
              <w:rPr>
                <w:b/>
                <w:bCs/>
              </w:rPr>
            </w:pPr>
            <w:r w:rsidRPr="00A86FC1">
              <w:rPr>
                <w:b/>
                <w:bCs/>
              </w:rPr>
              <w:t>Focus</w:t>
            </w:r>
          </w:p>
        </w:tc>
        <w:tc>
          <w:tcPr>
            <w:tcW w:w="0" w:type="auto"/>
            <w:hideMark/>
          </w:tcPr>
          <w:p w14:paraId="60E215EA" w14:textId="77777777" w:rsidR="00A86FC1" w:rsidRPr="00A86FC1" w:rsidRDefault="00A86FC1" w:rsidP="00A86FC1">
            <w:pPr>
              <w:rPr>
                <w:b/>
                <w:bCs/>
              </w:rPr>
            </w:pPr>
            <w:r w:rsidRPr="00A86FC1">
              <w:rPr>
                <w:b/>
                <w:bCs/>
              </w:rPr>
              <w:t>Main Deliverables</w:t>
            </w:r>
          </w:p>
        </w:tc>
      </w:tr>
      <w:tr w:rsidR="00A86FC1" w:rsidRPr="00A86FC1" w14:paraId="00E6348A" w14:textId="77777777" w:rsidTr="00A86FC1">
        <w:tc>
          <w:tcPr>
            <w:tcW w:w="0" w:type="auto"/>
            <w:hideMark/>
          </w:tcPr>
          <w:p w14:paraId="4145F39F" w14:textId="77777777" w:rsidR="00A86FC1" w:rsidRPr="00A86FC1" w:rsidRDefault="00A86FC1" w:rsidP="00A86FC1">
            <w:r w:rsidRPr="00A86FC1">
              <w:t>Q1</w:t>
            </w:r>
          </w:p>
        </w:tc>
        <w:tc>
          <w:tcPr>
            <w:tcW w:w="0" w:type="auto"/>
            <w:hideMark/>
          </w:tcPr>
          <w:p w14:paraId="339FEE9C" w14:textId="77777777" w:rsidR="00A86FC1" w:rsidRPr="00A86FC1" w:rsidRDefault="00A86FC1" w:rsidP="00A86FC1">
            <w:r w:rsidRPr="00A86FC1">
              <w:t xml:space="preserve">Govern and </w:t>
            </w:r>
            <w:proofErr w:type="gramStart"/>
            <w:r w:rsidRPr="00A86FC1">
              <w:t>Identify</w:t>
            </w:r>
            <w:proofErr w:type="gramEnd"/>
          </w:p>
        </w:tc>
        <w:tc>
          <w:tcPr>
            <w:tcW w:w="0" w:type="auto"/>
            <w:hideMark/>
          </w:tcPr>
          <w:p w14:paraId="199193F7" w14:textId="77777777" w:rsidR="00A86FC1" w:rsidRPr="00A86FC1" w:rsidRDefault="00A86FC1" w:rsidP="00A86FC1">
            <w:r w:rsidRPr="00A86FC1">
              <w:t>Security unit, asset inventory, risk register, GDPR/DORA gap analysis</w:t>
            </w:r>
          </w:p>
        </w:tc>
      </w:tr>
      <w:tr w:rsidR="00A86FC1" w:rsidRPr="00A86FC1" w14:paraId="046E3B0B" w14:textId="77777777" w:rsidTr="00A86FC1">
        <w:tc>
          <w:tcPr>
            <w:tcW w:w="0" w:type="auto"/>
            <w:hideMark/>
          </w:tcPr>
          <w:p w14:paraId="1A7A4264" w14:textId="77777777" w:rsidR="00A86FC1" w:rsidRPr="00A86FC1" w:rsidRDefault="00A86FC1" w:rsidP="00A86FC1">
            <w:r w:rsidRPr="00A86FC1">
              <w:t>Q2</w:t>
            </w:r>
          </w:p>
        </w:tc>
        <w:tc>
          <w:tcPr>
            <w:tcW w:w="0" w:type="auto"/>
            <w:hideMark/>
          </w:tcPr>
          <w:p w14:paraId="5F51A8E8" w14:textId="77777777" w:rsidR="00A86FC1" w:rsidRPr="00A86FC1" w:rsidRDefault="00A86FC1" w:rsidP="00A86FC1">
            <w:r w:rsidRPr="00A86FC1">
              <w:t>Protect</w:t>
            </w:r>
          </w:p>
        </w:tc>
        <w:tc>
          <w:tcPr>
            <w:tcW w:w="0" w:type="auto"/>
            <w:hideMark/>
          </w:tcPr>
          <w:p w14:paraId="5AC9A28F" w14:textId="77777777" w:rsidR="00A86FC1" w:rsidRPr="00A86FC1" w:rsidRDefault="00A86FC1" w:rsidP="00A86FC1">
            <w:r w:rsidRPr="00A86FC1">
              <w:t>MFA, IAM improvements, ZTNA, CSPM, security policies</w:t>
            </w:r>
          </w:p>
        </w:tc>
      </w:tr>
      <w:tr w:rsidR="00A86FC1" w:rsidRPr="00A86FC1" w14:paraId="55D1AE0A" w14:textId="77777777" w:rsidTr="00A86FC1">
        <w:tc>
          <w:tcPr>
            <w:tcW w:w="0" w:type="auto"/>
            <w:hideMark/>
          </w:tcPr>
          <w:p w14:paraId="13DBC87A" w14:textId="77777777" w:rsidR="00A86FC1" w:rsidRPr="00A86FC1" w:rsidRDefault="00A86FC1" w:rsidP="00A86FC1">
            <w:r w:rsidRPr="00A86FC1">
              <w:t>Q3</w:t>
            </w:r>
          </w:p>
        </w:tc>
        <w:tc>
          <w:tcPr>
            <w:tcW w:w="0" w:type="auto"/>
            <w:hideMark/>
          </w:tcPr>
          <w:p w14:paraId="71A69BA0" w14:textId="77777777" w:rsidR="00A86FC1" w:rsidRPr="00A86FC1" w:rsidRDefault="00A86FC1" w:rsidP="00A86FC1">
            <w:r w:rsidRPr="00A86FC1">
              <w:t xml:space="preserve">Detect and </w:t>
            </w:r>
            <w:proofErr w:type="gramStart"/>
            <w:r w:rsidRPr="00A86FC1">
              <w:t>Respond</w:t>
            </w:r>
            <w:proofErr w:type="gramEnd"/>
          </w:p>
        </w:tc>
        <w:tc>
          <w:tcPr>
            <w:tcW w:w="0" w:type="auto"/>
            <w:hideMark/>
          </w:tcPr>
          <w:p w14:paraId="1FAD48E1" w14:textId="77777777" w:rsidR="00A86FC1" w:rsidRPr="00A86FC1" w:rsidRDefault="00A86FC1" w:rsidP="00A86FC1">
            <w:r w:rsidRPr="00A86FC1">
              <w:t>SIEM, EDR, ransomware exercise, incident response testing</w:t>
            </w:r>
          </w:p>
        </w:tc>
      </w:tr>
      <w:tr w:rsidR="00A86FC1" w:rsidRPr="00A86FC1" w14:paraId="71F5CDB3" w14:textId="77777777" w:rsidTr="00A86FC1">
        <w:tc>
          <w:tcPr>
            <w:tcW w:w="0" w:type="auto"/>
            <w:hideMark/>
          </w:tcPr>
          <w:p w14:paraId="680E885A" w14:textId="77777777" w:rsidR="00A86FC1" w:rsidRPr="00A86FC1" w:rsidRDefault="00A86FC1" w:rsidP="00A86FC1">
            <w:r w:rsidRPr="00A86FC1">
              <w:t>Q4</w:t>
            </w:r>
          </w:p>
        </w:tc>
        <w:tc>
          <w:tcPr>
            <w:tcW w:w="0" w:type="auto"/>
            <w:hideMark/>
          </w:tcPr>
          <w:p w14:paraId="1091D2EB" w14:textId="77777777" w:rsidR="00A86FC1" w:rsidRPr="00A86FC1" w:rsidRDefault="00A86FC1" w:rsidP="00A86FC1">
            <w:r w:rsidRPr="00A86FC1">
              <w:t xml:space="preserve">Recover and </w:t>
            </w:r>
            <w:proofErr w:type="gramStart"/>
            <w:r w:rsidRPr="00A86FC1">
              <w:t>Improve</w:t>
            </w:r>
            <w:proofErr w:type="gramEnd"/>
          </w:p>
        </w:tc>
        <w:tc>
          <w:tcPr>
            <w:tcW w:w="0" w:type="auto"/>
            <w:hideMark/>
          </w:tcPr>
          <w:p w14:paraId="45553C44" w14:textId="77777777" w:rsidR="00A86FC1" w:rsidRPr="00A86FC1" w:rsidRDefault="00A86FC1" w:rsidP="00A86FC1">
            <w:r w:rsidRPr="00A86FC1">
              <w:t>Backup testing, audit, penetration testing, KPI review</w:t>
            </w:r>
          </w:p>
        </w:tc>
      </w:tr>
    </w:tbl>
    <w:p w14:paraId="3F9CDBE5" w14:textId="72999F02" w:rsidR="00CD27F8" w:rsidRDefault="00CD27F8" w:rsidP="000D4331">
      <w:r w:rsidRPr="00CD27F8">
        <w:lastRenderedPageBreak/>
        <w:t>This phased approach reflects CISA's Zero Trust Maturity Model, which frames adoption as a progression through defined stages rather than a single deployment event [20]."</w:t>
      </w:r>
    </w:p>
    <w:p w14:paraId="7102590A" w14:textId="66FE29F7" w:rsidR="000D4331" w:rsidRPr="000D4331" w:rsidRDefault="00A86FC1" w:rsidP="000D4331">
      <w:r w:rsidRPr="00A86FC1">
        <w:t>Success will be measured against KPIs including 100% of privileged accounts protected by MFA, 95% of critical cloud misconfigurations remediated within SLA, 100% of critical suppliers risk-assessed, incidents detected within target time, a successful annual backup restoration test, and a measurable reduction in high-risk vulnerabilities over the 12-month period. Q1's prioritisation of governance and identification directly reflects Task 1's finding that Zero Trust cannot be implemented without first understanding assets, identities, and risk exposure.</w:t>
      </w:r>
    </w:p>
    <w:p w14:paraId="690D555D" w14:textId="04283736" w:rsidR="000D4331" w:rsidRDefault="00417168" w:rsidP="00417168">
      <w:pPr>
        <w:pStyle w:val="Heading1"/>
      </w:pPr>
      <w:bookmarkStart w:id="32" w:name="_Toc236136475"/>
      <w:r>
        <w:t>Conclusion</w:t>
      </w:r>
      <w:bookmarkEnd w:id="32"/>
    </w:p>
    <w:p w14:paraId="7EBF46FB" w14:textId="77777777" w:rsidR="00417168" w:rsidRPr="00417168" w:rsidRDefault="00417168" w:rsidP="00417168">
      <w:r w:rsidRPr="00417168">
        <w:t>This report has examined the principles, technological enablers and implementation challenges associated with Zero Trust Architecture before applying these findings to the development of a cybersecurity strategy for Aegis FinTech Innovations Ltd. The analysis demonstrates that the increasing use of cloud services, hybrid working, third-party platforms and distributed applications has weakened the suitability of relying primarily on network location as a basis for trust. Traditional perimeter-based controls remain valuable components of cybersecurity, but they are insufficient when used as the primary method of determining whether a user, device or service should be granted access to organisational resources.</w:t>
      </w:r>
    </w:p>
    <w:p w14:paraId="0B130791" w14:textId="77777777" w:rsidR="00417168" w:rsidRPr="00417168" w:rsidRDefault="00417168" w:rsidP="00417168">
      <w:r w:rsidRPr="00417168">
        <w:t>Zero Trust provides a more appropriate architectural approach for these environments by removing implicit trust and requiring access decisions to be based on factors such as identity, device security, context and resource sensitivity. Technologies including identity governance, Zero Trust Network Access, SASE, endpoint security and continuous monitoring can support this approach. However, the research also demonstrates that Zero Trust is not a single product that can be implemented immediately to eliminate cyber risk. Its effectiveness depends on accurate identity and asset information, effective governance, integration between security technologies and the organisation's ability to manage legacy systems, policy complexity, cost and potential user friction.</w:t>
      </w:r>
    </w:p>
    <w:p w14:paraId="74160D3B" w14:textId="77777777" w:rsidR="00417168" w:rsidRPr="00417168" w:rsidRDefault="00417168" w:rsidP="00417168">
      <w:r w:rsidRPr="00417168">
        <w:t xml:space="preserve">The application of these findings to Aegis FinTech resulted in a proposal for a dedicated information security function, supported by a Zero Trust-informed architecture and governed through the NIST Cybersecurity Framework. The proposed strategy addresses the organisation's principal risks, including credential compromise and ransomware, cloud misconfiguration and third-party compromise. It also provides a structured approach to supporting GDPR and DORA obligations through improved access control, risk management, incident response and operational resilience. The proposed twelve-month roadmap provides a phased approach to implementation, beginning with </w:t>
      </w:r>
      <w:r w:rsidRPr="00417168">
        <w:lastRenderedPageBreak/>
        <w:t>governance and asset visibility before progressing towards stronger identity controls, Zero Trust access, monitoring, resilience testing and continuous improvement.</w:t>
      </w:r>
    </w:p>
    <w:p w14:paraId="0D067C2F" w14:textId="77777777" w:rsidR="00417168" w:rsidRPr="00417168" w:rsidRDefault="00417168" w:rsidP="00417168">
      <w:r w:rsidRPr="00417168">
        <w:t>Overall, Zero Trust should be understood as a long-term security transformation rather than a technological product or isolated project. Its principal value lies in replacing assumptions of implicit trust with explicit, contextual and continuously evaluated access decisions. For an organisation such as Aegis FinTech, this approach provides a stronger foundation for managing the risks associated with a modern, cloud-based and increasingly interconnected business environment. Nevertheless, the success of the strategy will ultimately depend not only on the technologies adopted but also on the quality of governance, organisational processes and continuous evaluation supporting them.</w:t>
      </w:r>
    </w:p>
    <w:p w14:paraId="16C7ECBC" w14:textId="77777777" w:rsidR="0046034F" w:rsidRPr="0046034F" w:rsidRDefault="0046034F" w:rsidP="0046034F">
      <w:pPr>
        <w:pStyle w:val="Heading1"/>
      </w:pPr>
      <w:bookmarkStart w:id="33" w:name="_Toc236136476"/>
      <w:r w:rsidRPr="0046034F">
        <w:t>Bibliography</w:t>
      </w:r>
      <w:bookmarkEnd w:id="33"/>
    </w:p>
    <w:tbl>
      <w:tblPr>
        <w:tblW w:w="5185" w:type="pct"/>
        <w:tblCellMar>
          <w:top w:w="15" w:type="dxa"/>
          <w:left w:w="15" w:type="dxa"/>
          <w:bottom w:w="15" w:type="dxa"/>
          <w:right w:w="15" w:type="dxa"/>
        </w:tblCellMar>
        <w:tblLook w:val="04A0" w:firstRow="1" w:lastRow="0" w:firstColumn="1" w:lastColumn="0" w:noHBand="0" w:noVBand="1"/>
      </w:tblPr>
      <w:tblGrid>
        <w:gridCol w:w="752"/>
        <w:gridCol w:w="16"/>
        <w:gridCol w:w="8592"/>
      </w:tblGrid>
      <w:tr w:rsidR="0046034F" w:rsidRPr="0046034F" w14:paraId="059B1E32" w14:textId="77777777" w:rsidTr="00CD27F8">
        <w:tc>
          <w:tcPr>
            <w:tcW w:w="752" w:type="dxa"/>
            <w:gridSpan w:val="2"/>
            <w:noWrap/>
            <w:tcMar>
              <w:top w:w="0" w:type="dxa"/>
              <w:left w:w="0" w:type="dxa"/>
              <w:bottom w:w="0" w:type="dxa"/>
              <w:right w:w="0" w:type="dxa"/>
            </w:tcMar>
            <w:hideMark/>
          </w:tcPr>
          <w:p w14:paraId="0ED1B69A" w14:textId="77777777" w:rsidR="0046034F" w:rsidRPr="0046034F" w:rsidRDefault="0046034F" w:rsidP="0046034F">
            <w:r w:rsidRPr="0046034F">
              <w:t>[1]</w:t>
            </w:r>
          </w:p>
        </w:tc>
        <w:tc>
          <w:tcPr>
            <w:tcW w:w="0" w:type="auto"/>
            <w:tcMar>
              <w:top w:w="0" w:type="dxa"/>
              <w:left w:w="0" w:type="dxa"/>
              <w:bottom w:w="0" w:type="dxa"/>
              <w:right w:w="0" w:type="dxa"/>
            </w:tcMar>
            <w:hideMark/>
          </w:tcPr>
          <w:p w14:paraId="1E56DE4E" w14:textId="77777777" w:rsidR="0046034F" w:rsidRPr="0046034F" w:rsidRDefault="0046034F" w:rsidP="0046034F">
            <w:r w:rsidRPr="0046034F">
              <w:t xml:space="preserve">I. </w:t>
            </w:r>
            <w:proofErr w:type="spellStart"/>
            <w:r w:rsidRPr="0046034F">
              <w:t>Arghire</w:t>
            </w:r>
            <w:proofErr w:type="spellEnd"/>
            <w:r w:rsidRPr="0046034F">
              <w:t>, “</w:t>
            </w:r>
            <w:proofErr w:type="spellStart"/>
            <w:r w:rsidRPr="0046034F">
              <w:t>MOVEit</w:t>
            </w:r>
            <w:proofErr w:type="spellEnd"/>
            <w:r w:rsidRPr="0046034F">
              <w:t xml:space="preserve"> Customers Urged to Patch Third Critical Vulnerability,” </w:t>
            </w:r>
            <w:proofErr w:type="spellStart"/>
            <w:r w:rsidRPr="0046034F">
              <w:rPr>
                <w:i/>
                <w:iCs/>
              </w:rPr>
              <w:t>SecurityWeek</w:t>
            </w:r>
            <w:proofErr w:type="spellEnd"/>
            <w:r w:rsidRPr="0046034F">
              <w:t>, June 19, 2023. https://www.securityweek.com/moveit-customers-urged-to-patch-third-critical-vulnerability/ (accessed Apr. 07, 2026).</w:t>
            </w:r>
          </w:p>
        </w:tc>
      </w:tr>
      <w:tr w:rsidR="0046034F" w:rsidRPr="0046034F" w14:paraId="696423D0" w14:textId="77777777" w:rsidTr="00CD27F8">
        <w:tc>
          <w:tcPr>
            <w:tcW w:w="752" w:type="dxa"/>
            <w:gridSpan w:val="2"/>
            <w:noWrap/>
            <w:tcMar>
              <w:top w:w="0" w:type="dxa"/>
              <w:left w:w="0" w:type="dxa"/>
              <w:bottom w:w="0" w:type="dxa"/>
              <w:right w:w="0" w:type="dxa"/>
            </w:tcMar>
            <w:hideMark/>
          </w:tcPr>
          <w:p w14:paraId="2AE21F0F" w14:textId="77777777" w:rsidR="0046034F" w:rsidRPr="0046034F" w:rsidRDefault="0046034F" w:rsidP="0046034F">
            <w:r w:rsidRPr="0046034F">
              <w:t>[2]</w:t>
            </w:r>
          </w:p>
        </w:tc>
        <w:tc>
          <w:tcPr>
            <w:tcW w:w="0" w:type="auto"/>
            <w:tcMar>
              <w:top w:w="0" w:type="dxa"/>
              <w:left w:w="0" w:type="dxa"/>
              <w:bottom w:w="0" w:type="dxa"/>
              <w:right w:w="0" w:type="dxa"/>
            </w:tcMar>
            <w:hideMark/>
          </w:tcPr>
          <w:p w14:paraId="3FCE5372" w14:textId="77777777" w:rsidR="0046034F" w:rsidRPr="0046034F" w:rsidRDefault="0046034F" w:rsidP="0046034F">
            <w:r w:rsidRPr="0046034F">
              <w:t xml:space="preserve">National Cyber Security Centre, “Zero trust architecture design principles,” </w:t>
            </w:r>
            <w:r w:rsidRPr="0046034F">
              <w:rPr>
                <w:i/>
                <w:iCs/>
              </w:rPr>
              <w:t>Ncsc.gov.uk</w:t>
            </w:r>
            <w:r w:rsidRPr="0046034F">
              <w:t>, Jan. 28, 2026. https://www.ncsc.gov.uk/collection/zero-trust/architecture-design-principles (accessed Apr. 08, 2026).</w:t>
            </w:r>
          </w:p>
        </w:tc>
      </w:tr>
      <w:tr w:rsidR="0046034F" w:rsidRPr="0046034F" w14:paraId="4F0C2792" w14:textId="77777777" w:rsidTr="00CD27F8">
        <w:tc>
          <w:tcPr>
            <w:tcW w:w="752" w:type="dxa"/>
            <w:gridSpan w:val="2"/>
            <w:noWrap/>
            <w:tcMar>
              <w:top w:w="0" w:type="dxa"/>
              <w:left w:w="0" w:type="dxa"/>
              <w:bottom w:w="0" w:type="dxa"/>
              <w:right w:w="0" w:type="dxa"/>
            </w:tcMar>
            <w:hideMark/>
          </w:tcPr>
          <w:p w14:paraId="41BED5E1" w14:textId="77777777" w:rsidR="0046034F" w:rsidRPr="0046034F" w:rsidRDefault="0046034F" w:rsidP="0046034F">
            <w:r w:rsidRPr="0046034F">
              <w:t>[3]</w:t>
            </w:r>
          </w:p>
        </w:tc>
        <w:tc>
          <w:tcPr>
            <w:tcW w:w="0" w:type="auto"/>
            <w:tcMar>
              <w:top w:w="0" w:type="dxa"/>
              <w:left w:w="0" w:type="dxa"/>
              <w:bottom w:w="0" w:type="dxa"/>
              <w:right w:w="0" w:type="dxa"/>
            </w:tcMar>
            <w:hideMark/>
          </w:tcPr>
          <w:p w14:paraId="511FE11E" w14:textId="77777777" w:rsidR="0046034F" w:rsidRPr="0046034F" w:rsidRDefault="0046034F" w:rsidP="0046034F">
            <w:r w:rsidRPr="0046034F">
              <w:t>National Cyber Security Centre, “Zero Trust Network Access (ZTNA),” May 2026. Accessed: July 28, 2026. [Online]. Available: https://www.ncsc.gov.uk/sites/default/files/2026-05/NCSC-Zero-Trust-Network-Access-%28ZTNA%29_0.pdf</w:t>
            </w:r>
          </w:p>
        </w:tc>
      </w:tr>
      <w:tr w:rsidR="0046034F" w:rsidRPr="0046034F" w14:paraId="2A1EE08D" w14:textId="77777777" w:rsidTr="00CD27F8">
        <w:tc>
          <w:tcPr>
            <w:tcW w:w="752" w:type="dxa"/>
            <w:gridSpan w:val="2"/>
            <w:noWrap/>
            <w:tcMar>
              <w:top w:w="0" w:type="dxa"/>
              <w:left w:w="0" w:type="dxa"/>
              <w:bottom w:w="0" w:type="dxa"/>
              <w:right w:w="0" w:type="dxa"/>
            </w:tcMar>
            <w:hideMark/>
          </w:tcPr>
          <w:p w14:paraId="2056E68E" w14:textId="77777777" w:rsidR="0046034F" w:rsidRPr="0046034F" w:rsidRDefault="0046034F" w:rsidP="0046034F">
            <w:r w:rsidRPr="0046034F">
              <w:t>[4]</w:t>
            </w:r>
          </w:p>
        </w:tc>
        <w:tc>
          <w:tcPr>
            <w:tcW w:w="0" w:type="auto"/>
            <w:tcMar>
              <w:top w:w="0" w:type="dxa"/>
              <w:left w:w="0" w:type="dxa"/>
              <w:bottom w:w="0" w:type="dxa"/>
              <w:right w:w="0" w:type="dxa"/>
            </w:tcMar>
            <w:hideMark/>
          </w:tcPr>
          <w:p w14:paraId="40D7993F" w14:textId="77777777" w:rsidR="0046034F" w:rsidRPr="0046034F" w:rsidRDefault="0046034F" w:rsidP="0046034F">
            <w:r w:rsidRPr="0046034F">
              <w:t>S. Rose, O. Borchert, S. Mitchell, and S. Connelly, “Zero Trust Architecture - NIST Special Publication 800-</w:t>
            </w:r>
            <w:proofErr w:type="gramStart"/>
            <w:r w:rsidRPr="0046034F">
              <w:t>207 ,</w:t>
            </w:r>
            <w:proofErr w:type="gramEnd"/>
            <w:r w:rsidRPr="0046034F">
              <w:t xml:space="preserve">” Aug. 2020, </w:t>
            </w:r>
            <w:proofErr w:type="spellStart"/>
            <w:r w:rsidRPr="0046034F">
              <w:t>doi</w:t>
            </w:r>
            <w:proofErr w:type="spellEnd"/>
            <w:r w:rsidRPr="0046034F">
              <w:t>: 10.6028/nist.sp.800-207.</w:t>
            </w:r>
          </w:p>
        </w:tc>
      </w:tr>
      <w:tr w:rsidR="0046034F" w:rsidRPr="0046034F" w14:paraId="0A265C78" w14:textId="77777777" w:rsidTr="00CD27F8">
        <w:tc>
          <w:tcPr>
            <w:tcW w:w="752" w:type="dxa"/>
            <w:gridSpan w:val="2"/>
            <w:noWrap/>
            <w:tcMar>
              <w:top w:w="0" w:type="dxa"/>
              <w:left w:w="0" w:type="dxa"/>
              <w:bottom w:w="0" w:type="dxa"/>
              <w:right w:w="0" w:type="dxa"/>
            </w:tcMar>
            <w:hideMark/>
          </w:tcPr>
          <w:p w14:paraId="7D9952D1" w14:textId="77777777" w:rsidR="0046034F" w:rsidRPr="0046034F" w:rsidRDefault="0046034F" w:rsidP="0046034F">
            <w:r w:rsidRPr="0046034F">
              <w:t>[5]</w:t>
            </w:r>
          </w:p>
        </w:tc>
        <w:tc>
          <w:tcPr>
            <w:tcW w:w="0" w:type="auto"/>
            <w:tcMar>
              <w:top w:w="0" w:type="dxa"/>
              <w:left w:w="0" w:type="dxa"/>
              <w:bottom w:w="0" w:type="dxa"/>
              <w:right w:w="0" w:type="dxa"/>
            </w:tcMar>
            <w:hideMark/>
          </w:tcPr>
          <w:p w14:paraId="7E0B14B5" w14:textId="77777777" w:rsidR="0046034F" w:rsidRPr="0046034F" w:rsidRDefault="0046034F" w:rsidP="0046034F">
            <w:r w:rsidRPr="0046034F">
              <w:t xml:space="preserve">G. Richardson, “What Is Continuous </w:t>
            </w:r>
            <w:proofErr w:type="gramStart"/>
            <w:r w:rsidRPr="0046034F">
              <w:t>Verification?,</w:t>
            </w:r>
            <w:proofErr w:type="gramEnd"/>
            <w:r w:rsidRPr="0046034F">
              <w:t xml:space="preserve">” </w:t>
            </w:r>
            <w:r w:rsidRPr="0046034F">
              <w:rPr>
                <w:i/>
                <w:iCs/>
              </w:rPr>
              <w:t>Opencredo.com</w:t>
            </w:r>
            <w:r w:rsidRPr="0046034F">
              <w:t>, Oct. 15, 2020. https://opencredo.com/blogs/what-is-continuous-verification/ (accessed July 19, 2026).</w:t>
            </w:r>
          </w:p>
        </w:tc>
      </w:tr>
      <w:tr w:rsidR="0046034F" w:rsidRPr="0046034F" w14:paraId="0A6AAD27" w14:textId="77777777" w:rsidTr="00CD27F8">
        <w:tc>
          <w:tcPr>
            <w:tcW w:w="752" w:type="dxa"/>
            <w:gridSpan w:val="2"/>
            <w:noWrap/>
            <w:tcMar>
              <w:top w:w="0" w:type="dxa"/>
              <w:left w:w="0" w:type="dxa"/>
              <w:bottom w:w="0" w:type="dxa"/>
              <w:right w:w="0" w:type="dxa"/>
            </w:tcMar>
            <w:hideMark/>
          </w:tcPr>
          <w:p w14:paraId="7CB60CAE" w14:textId="77777777" w:rsidR="0046034F" w:rsidRPr="0046034F" w:rsidRDefault="0046034F" w:rsidP="0046034F">
            <w:r w:rsidRPr="0046034F">
              <w:t>[6]</w:t>
            </w:r>
          </w:p>
        </w:tc>
        <w:tc>
          <w:tcPr>
            <w:tcW w:w="0" w:type="auto"/>
            <w:tcMar>
              <w:top w:w="0" w:type="dxa"/>
              <w:left w:w="0" w:type="dxa"/>
              <w:bottom w:w="0" w:type="dxa"/>
              <w:right w:w="0" w:type="dxa"/>
            </w:tcMar>
            <w:hideMark/>
          </w:tcPr>
          <w:p w14:paraId="6F116C0A" w14:textId="77777777" w:rsidR="0046034F" w:rsidRPr="0046034F" w:rsidRDefault="0046034F" w:rsidP="0046034F">
            <w:r w:rsidRPr="0046034F">
              <w:t xml:space="preserve">Palo Alto Networks, “What Is the Principle of Least </w:t>
            </w:r>
            <w:proofErr w:type="gramStart"/>
            <w:r w:rsidRPr="0046034F">
              <w:t>Privilege?,</w:t>
            </w:r>
            <w:proofErr w:type="gramEnd"/>
            <w:r w:rsidRPr="0046034F">
              <w:t>” 2024. Accessed: July 19, 2026. [Online]. Available: https://www.paloaltonetworks.com/cyberpedia/what-is-the-principle-of-least-privilege</w:t>
            </w:r>
          </w:p>
        </w:tc>
      </w:tr>
      <w:tr w:rsidR="0046034F" w:rsidRPr="0046034F" w14:paraId="2E3D18EE" w14:textId="77777777" w:rsidTr="00CD27F8">
        <w:tc>
          <w:tcPr>
            <w:tcW w:w="752" w:type="dxa"/>
            <w:gridSpan w:val="2"/>
            <w:noWrap/>
            <w:tcMar>
              <w:top w:w="0" w:type="dxa"/>
              <w:left w:w="0" w:type="dxa"/>
              <w:bottom w:w="0" w:type="dxa"/>
              <w:right w:w="0" w:type="dxa"/>
            </w:tcMar>
            <w:hideMark/>
          </w:tcPr>
          <w:p w14:paraId="39816BD6" w14:textId="77777777" w:rsidR="0046034F" w:rsidRPr="0046034F" w:rsidRDefault="0046034F" w:rsidP="0046034F">
            <w:r w:rsidRPr="0046034F">
              <w:t>[7]</w:t>
            </w:r>
          </w:p>
        </w:tc>
        <w:tc>
          <w:tcPr>
            <w:tcW w:w="0" w:type="auto"/>
            <w:tcMar>
              <w:top w:w="0" w:type="dxa"/>
              <w:left w:w="0" w:type="dxa"/>
              <w:bottom w:w="0" w:type="dxa"/>
              <w:right w:w="0" w:type="dxa"/>
            </w:tcMar>
            <w:hideMark/>
          </w:tcPr>
          <w:p w14:paraId="3512D333" w14:textId="77777777" w:rsidR="0046034F" w:rsidRPr="0046034F" w:rsidRDefault="0046034F" w:rsidP="0046034F">
            <w:r w:rsidRPr="0046034F">
              <w:t>Microsoft, “Zero Trust Implementation Guidance,” Apr. 2024. Accessed: July 20, 2026. [Online]. Available: https://learn.microsoft.com/en-us/security/zero-trust/zero-trust-overview</w:t>
            </w:r>
          </w:p>
        </w:tc>
      </w:tr>
      <w:tr w:rsidR="0046034F" w:rsidRPr="0046034F" w14:paraId="138E64DB" w14:textId="77777777" w:rsidTr="00CD27F8">
        <w:tc>
          <w:tcPr>
            <w:tcW w:w="752" w:type="dxa"/>
            <w:gridSpan w:val="2"/>
            <w:noWrap/>
            <w:tcMar>
              <w:top w:w="0" w:type="dxa"/>
              <w:left w:w="0" w:type="dxa"/>
              <w:bottom w:w="0" w:type="dxa"/>
              <w:right w:w="0" w:type="dxa"/>
            </w:tcMar>
            <w:hideMark/>
          </w:tcPr>
          <w:p w14:paraId="78F22E49" w14:textId="77777777" w:rsidR="0046034F" w:rsidRPr="0046034F" w:rsidRDefault="0046034F" w:rsidP="0046034F">
            <w:r w:rsidRPr="0046034F">
              <w:lastRenderedPageBreak/>
              <w:t>[8]</w:t>
            </w:r>
          </w:p>
        </w:tc>
        <w:tc>
          <w:tcPr>
            <w:tcW w:w="0" w:type="auto"/>
            <w:tcMar>
              <w:top w:w="0" w:type="dxa"/>
              <w:left w:w="0" w:type="dxa"/>
              <w:bottom w:w="0" w:type="dxa"/>
              <w:right w:w="0" w:type="dxa"/>
            </w:tcMar>
            <w:hideMark/>
          </w:tcPr>
          <w:p w14:paraId="7DE69FD3" w14:textId="77777777" w:rsidR="0046034F" w:rsidRPr="0046034F" w:rsidRDefault="0046034F" w:rsidP="0046034F">
            <w:r w:rsidRPr="0046034F">
              <w:t>Microsoft, “What Is Secure Access Service Edge (SASE)? | Microsoft Security.” Accessed: July 21, 2026. [Online]. Available: https://www.microsoft.com/en-gb/security/business/security-101/what-is-sase</w:t>
            </w:r>
          </w:p>
        </w:tc>
      </w:tr>
      <w:tr w:rsidR="0046034F" w:rsidRPr="0046034F" w14:paraId="521C2EE1" w14:textId="77777777" w:rsidTr="00CD27F8">
        <w:tc>
          <w:tcPr>
            <w:tcW w:w="752" w:type="dxa"/>
            <w:gridSpan w:val="2"/>
            <w:noWrap/>
            <w:tcMar>
              <w:top w:w="0" w:type="dxa"/>
              <w:left w:w="0" w:type="dxa"/>
              <w:bottom w:w="0" w:type="dxa"/>
              <w:right w:w="0" w:type="dxa"/>
            </w:tcMar>
            <w:hideMark/>
          </w:tcPr>
          <w:p w14:paraId="58BFDB22" w14:textId="77777777" w:rsidR="0046034F" w:rsidRPr="0046034F" w:rsidRDefault="0046034F" w:rsidP="0046034F">
            <w:r w:rsidRPr="0046034F">
              <w:t>[9]</w:t>
            </w:r>
          </w:p>
        </w:tc>
        <w:tc>
          <w:tcPr>
            <w:tcW w:w="0" w:type="auto"/>
            <w:tcMar>
              <w:top w:w="0" w:type="dxa"/>
              <w:left w:w="0" w:type="dxa"/>
              <w:bottom w:w="0" w:type="dxa"/>
              <w:right w:w="0" w:type="dxa"/>
            </w:tcMar>
            <w:hideMark/>
          </w:tcPr>
          <w:p w14:paraId="53467C52" w14:textId="77777777" w:rsidR="0046034F" w:rsidRPr="0046034F" w:rsidRDefault="0046034F" w:rsidP="0046034F">
            <w:proofErr w:type="spellStart"/>
            <w:r w:rsidRPr="0046034F">
              <w:t>Sailpoint</w:t>
            </w:r>
            <w:proofErr w:type="spellEnd"/>
            <w:r w:rsidRPr="0046034F">
              <w:t>, “What Is Identity Governance and Administration (IGA</w:t>
            </w:r>
            <w:proofErr w:type="gramStart"/>
            <w:r w:rsidRPr="0046034F">
              <w:t>)?,</w:t>
            </w:r>
            <w:proofErr w:type="gramEnd"/>
            <w:r w:rsidRPr="0046034F">
              <w:t>” Mar. 2023. Accessed: July 21, 2026. [Online]. Available: https://www.sailpoint.com/identity-library/identity-governance</w:t>
            </w:r>
          </w:p>
        </w:tc>
      </w:tr>
      <w:tr w:rsidR="0046034F" w:rsidRPr="0046034F" w14:paraId="22A7CFB8" w14:textId="77777777" w:rsidTr="00CD27F8">
        <w:tc>
          <w:tcPr>
            <w:tcW w:w="752" w:type="dxa"/>
            <w:gridSpan w:val="2"/>
            <w:noWrap/>
            <w:tcMar>
              <w:top w:w="0" w:type="dxa"/>
              <w:left w:w="0" w:type="dxa"/>
              <w:bottom w:w="0" w:type="dxa"/>
              <w:right w:w="0" w:type="dxa"/>
            </w:tcMar>
            <w:hideMark/>
          </w:tcPr>
          <w:p w14:paraId="1E3F4675" w14:textId="77777777" w:rsidR="0046034F" w:rsidRPr="0046034F" w:rsidRDefault="0046034F" w:rsidP="0046034F">
            <w:r w:rsidRPr="0046034F">
              <w:t>[10]</w:t>
            </w:r>
          </w:p>
        </w:tc>
        <w:tc>
          <w:tcPr>
            <w:tcW w:w="0" w:type="auto"/>
            <w:tcMar>
              <w:top w:w="0" w:type="dxa"/>
              <w:left w:w="0" w:type="dxa"/>
              <w:bottom w:w="0" w:type="dxa"/>
              <w:right w:w="0" w:type="dxa"/>
            </w:tcMar>
            <w:hideMark/>
          </w:tcPr>
          <w:p w14:paraId="7C7EAC60" w14:textId="77777777" w:rsidR="0046034F" w:rsidRPr="0046034F" w:rsidRDefault="0046034F" w:rsidP="0046034F">
            <w:r w:rsidRPr="0046034F">
              <w:t xml:space="preserve">America’s Cyber </w:t>
            </w:r>
            <w:proofErr w:type="spellStart"/>
            <w:r w:rsidRPr="0046034F">
              <w:t>Defense</w:t>
            </w:r>
            <w:proofErr w:type="spellEnd"/>
            <w:r w:rsidRPr="0046034F">
              <w:t xml:space="preserve"> Energy, “Zero Trust | CISA,” </w:t>
            </w:r>
            <w:r w:rsidRPr="0046034F">
              <w:rPr>
                <w:i/>
                <w:iCs/>
              </w:rPr>
              <w:t>Cybersecurity and Infrastructure Security Agency CISA</w:t>
            </w:r>
            <w:r w:rsidRPr="0046034F">
              <w:t>, 2021. https://www.cisa.gov/topics/cybersecurity-best-practices/zero-trust (accessed July 25, 2026).</w:t>
            </w:r>
          </w:p>
        </w:tc>
      </w:tr>
      <w:tr w:rsidR="0046034F" w:rsidRPr="0046034F" w14:paraId="2FA8D135" w14:textId="77777777" w:rsidTr="00CD27F8">
        <w:tc>
          <w:tcPr>
            <w:tcW w:w="752" w:type="dxa"/>
            <w:gridSpan w:val="2"/>
            <w:noWrap/>
            <w:tcMar>
              <w:top w:w="0" w:type="dxa"/>
              <w:left w:w="0" w:type="dxa"/>
              <w:bottom w:w="0" w:type="dxa"/>
              <w:right w:w="0" w:type="dxa"/>
            </w:tcMar>
            <w:hideMark/>
          </w:tcPr>
          <w:p w14:paraId="1AD88E9A" w14:textId="77777777" w:rsidR="0046034F" w:rsidRPr="0046034F" w:rsidRDefault="0046034F" w:rsidP="0046034F">
            <w:r w:rsidRPr="0046034F">
              <w:t>[11]</w:t>
            </w:r>
          </w:p>
        </w:tc>
        <w:tc>
          <w:tcPr>
            <w:tcW w:w="0" w:type="auto"/>
            <w:tcMar>
              <w:top w:w="0" w:type="dxa"/>
              <w:left w:w="0" w:type="dxa"/>
              <w:bottom w:w="0" w:type="dxa"/>
              <w:right w:w="0" w:type="dxa"/>
            </w:tcMar>
            <w:hideMark/>
          </w:tcPr>
          <w:p w14:paraId="00E36BBD" w14:textId="77777777" w:rsidR="0046034F" w:rsidRPr="0046034F" w:rsidRDefault="0046034F" w:rsidP="0046034F">
            <w:r w:rsidRPr="0046034F">
              <w:t>CISA, “Adapting Zero Trust Principles to Operational Technology,” 2026. Accessed: July 25, 2026. [Online]. Available: https://www.cisa.gov/resources-tools/resources/adapting-zero-trust-principles-operational-technology</w:t>
            </w:r>
          </w:p>
        </w:tc>
      </w:tr>
      <w:tr w:rsidR="0046034F" w:rsidRPr="0046034F" w14:paraId="4BC3F39C" w14:textId="77777777" w:rsidTr="00CD27F8">
        <w:tc>
          <w:tcPr>
            <w:tcW w:w="752" w:type="dxa"/>
            <w:gridSpan w:val="2"/>
            <w:noWrap/>
            <w:tcMar>
              <w:top w:w="0" w:type="dxa"/>
              <w:left w:w="0" w:type="dxa"/>
              <w:bottom w:w="0" w:type="dxa"/>
              <w:right w:w="0" w:type="dxa"/>
            </w:tcMar>
            <w:hideMark/>
          </w:tcPr>
          <w:p w14:paraId="7A6EA3C9" w14:textId="77777777" w:rsidR="0046034F" w:rsidRPr="0046034F" w:rsidRDefault="0046034F" w:rsidP="0046034F">
            <w:r w:rsidRPr="0046034F">
              <w:t>[12]</w:t>
            </w:r>
          </w:p>
        </w:tc>
        <w:tc>
          <w:tcPr>
            <w:tcW w:w="0" w:type="auto"/>
            <w:tcMar>
              <w:top w:w="0" w:type="dxa"/>
              <w:left w:w="0" w:type="dxa"/>
              <w:bottom w:w="0" w:type="dxa"/>
              <w:right w:w="0" w:type="dxa"/>
            </w:tcMar>
            <w:hideMark/>
          </w:tcPr>
          <w:p w14:paraId="018E50F2" w14:textId="77777777" w:rsidR="0046034F" w:rsidRPr="0046034F" w:rsidRDefault="0046034F" w:rsidP="0046034F">
            <w:r w:rsidRPr="0046034F">
              <w:t>A. Dsilva, “Zero Trust in Action: 5 Real-World Case Studies From 2025-2026,” Aaron D’silva, Jan. 2026. Accessed: July 25, 2026. [Online]. Available: https://aarondsilva.me/blog/zero-trust-case-studies-2025-2026/</w:t>
            </w:r>
          </w:p>
        </w:tc>
      </w:tr>
      <w:tr w:rsidR="0046034F" w:rsidRPr="0046034F" w14:paraId="5938973C" w14:textId="77777777" w:rsidTr="00CD27F8">
        <w:tc>
          <w:tcPr>
            <w:tcW w:w="752" w:type="dxa"/>
            <w:gridSpan w:val="2"/>
            <w:noWrap/>
            <w:tcMar>
              <w:top w:w="0" w:type="dxa"/>
              <w:left w:w="0" w:type="dxa"/>
              <w:bottom w:w="0" w:type="dxa"/>
              <w:right w:w="0" w:type="dxa"/>
            </w:tcMar>
            <w:hideMark/>
          </w:tcPr>
          <w:p w14:paraId="37657B25" w14:textId="77777777" w:rsidR="0046034F" w:rsidRPr="0046034F" w:rsidRDefault="0046034F" w:rsidP="0046034F">
            <w:r w:rsidRPr="0046034F">
              <w:t>[13]</w:t>
            </w:r>
          </w:p>
        </w:tc>
        <w:tc>
          <w:tcPr>
            <w:tcW w:w="0" w:type="auto"/>
            <w:tcMar>
              <w:top w:w="0" w:type="dxa"/>
              <w:left w:w="0" w:type="dxa"/>
              <w:bottom w:w="0" w:type="dxa"/>
              <w:right w:w="0" w:type="dxa"/>
            </w:tcMar>
            <w:hideMark/>
          </w:tcPr>
          <w:p w14:paraId="4B3206B8" w14:textId="77777777" w:rsidR="0046034F" w:rsidRPr="0046034F" w:rsidRDefault="0046034F" w:rsidP="0046034F">
            <w:r w:rsidRPr="0046034F">
              <w:t xml:space="preserve">Fortinet home, “ZTNA Vs. VPN – What’s the Better Cybersecurity </w:t>
            </w:r>
            <w:proofErr w:type="gramStart"/>
            <w:r w:rsidRPr="0046034F">
              <w:t>Solution?,</w:t>
            </w:r>
            <w:proofErr w:type="gramEnd"/>
            <w:r w:rsidRPr="0046034F">
              <w:t xml:space="preserve">” </w:t>
            </w:r>
            <w:r w:rsidRPr="0046034F">
              <w:rPr>
                <w:i/>
                <w:iCs/>
              </w:rPr>
              <w:t>Fortinet</w:t>
            </w:r>
            <w:r w:rsidRPr="0046034F">
              <w:t>. https://www.fortinet.com/resources/cyberglossary/ztna-vs-vpn (accessed July 25, 2026).</w:t>
            </w:r>
          </w:p>
        </w:tc>
      </w:tr>
      <w:tr w:rsidR="0046034F" w:rsidRPr="0046034F" w14:paraId="67A78FC4" w14:textId="77777777" w:rsidTr="00CD27F8">
        <w:tc>
          <w:tcPr>
            <w:tcW w:w="752" w:type="dxa"/>
            <w:gridSpan w:val="2"/>
            <w:noWrap/>
            <w:tcMar>
              <w:top w:w="0" w:type="dxa"/>
              <w:left w:w="0" w:type="dxa"/>
              <w:bottom w:w="0" w:type="dxa"/>
              <w:right w:w="0" w:type="dxa"/>
            </w:tcMar>
            <w:hideMark/>
          </w:tcPr>
          <w:p w14:paraId="6B0EC331" w14:textId="77777777" w:rsidR="0046034F" w:rsidRPr="0046034F" w:rsidRDefault="0046034F" w:rsidP="0046034F">
            <w:r w:rsidRPr="0046034F">
              <w:t>[14]</w:t>
            </w:r>
          </w:p>
        </w:tc>
        <w:tc>
          <w:tcPr>
            <w:tcW w:w="0" w:type="auto"/>
            <w:tcMar>
              <w:top w:w="0" w:type="dxa"/>
              <w:left w:w="0" w:type="dxa"/>
              <w:bottom w:w="0" w:type="dxa"/>
              <w:right w:w="0" w:type="dxa"/>
            </w:tcMar>
            <w:hideMark/>
          </w:tcPr>
          <w:p w14:paraId="30632C4F" w14:textId="77777777" w:rsidR="0046034F" w:rsidRPr="0046034F" w:rsidRDefault="0046034F" w:rsidP="0046034F">
            <w:r w:rsidRPr="0046034F">
              <w:t xml:space="preserve">W. Yeoh, M. Liu, M. Shore, and F. Jiang, “Zero Trust Cybersecurity: Critical Success Factors and a Maturity Assessment Framework,” </w:t>
            </w:r>
            <w:r w:rsidRPr="0046034F">
              <w:rPr>
                <w:i/>
                <w:iCs/>
              </w:rPr>
              <w:t>Computers &amp; Security</w:t>
            </w:r>
            <w:r w:rsidRPr="0046034F">
              <w:t xml:space="preserve">, vol. 133, p. 103412, 2023, </w:t>
            </w:r>
            <w:proofErr w:type="spellStart"/>
            <w:r w:rsidRPr="0046034F">
              <w:t>doi</w:t>
            </w:r>
            <w:proofErr w:type="spellEnd"/>
            <w:r w:rsidRPr="0046034F">
              <w:t>: 10.1016/j.cose.2023.103412.</w:t>
            </w:r>
          </w:p>
        </w:tc>
      </w:tr>
      <w:tr w:rsidR="0046034F" w:rsidRPr="0046034F" w14:paraId="16851C70" w14:textId="77777777" w:rsidTr="00CD27F8">
        <w:tc>
          <w:tcPr>
            <w:tcW w:w="752" w:type="dxa"/>
            <w:gridSpan w:val="2"/>
            <w:noWrap/>
            <w:tcMar>
              <w:top w:w="0" w:type="dxa"/>
              <w:left w:w="0" w:type="dxa"/>
              <w:bottom w:w="0" w:type="dxa"/>
              <w:right w:w="0" w:type="dxa"/>
            </w:tcMar>
            <w:hideMark/>
          </w:tcPr>
          <w:p w14:paraId="22432D78" w14:textId="77777777" w:rsidR="0046034F" w:rsidRPr="0046034F" w:rsidRDefault="0046034F" w:rsidP="0046034F">
            <w:r w:rsidRPr="0046034F">
              <w:t>[15]</w:t>
            </w:r>
          </w:p>
        </w:tc>
        <w:tc>
          <w:tcPr>
            <w:tcW w:w="0" w:type="auto"/>
            <w:tcMar>
              <w:top w:w="0" w:type="dxa"/>
              <w:left w:w="0" w:type="dxa"/>
              <w:bottom w:w="0" w:type="dxa"/>
              <w:right w:w="0" w:type="dxa"/>
            </w:tcMar>
            <w:hideMark/>
          </w:tcPr>
          <w:p w14:paraId="06341137" w14:textId="77777777" w:rsidR="0046034F" w:rsidRPr="0046034F" w:rsidRDefault="0046034F" w:rsidP="0046034F">
            <w:r w:rsidRPr="0046034F">
              <w:t xml:space="preserve">C. Daah, A. Qureshi, I. Awan, and S. Konur, “Enhancing Zero Trust Models in the Financial Industry Through Blockchain Integration: A Proposed Framework,” Feb. 2024. </w:t>
            </w:r>
            <w:proofErr w:type="spellStart"/>
            <w:r w:rsidRPr="0046034F">
              <w:t>doi</w:t>
            </w:r>
            <w:proofErr w:type="spellEnd"/>
            <w:r w:rsidRPr="0046034F">
              <w:t>: 10.3390/electronics13050865.</w:t>
            </w:r>
          </w:p>
        </w:tc>
      </w:tr>
      <w:tr w:rsidR="0046034F" w:rsidRPr="0046034F" w14:paraId="03F4C66A" w14:textId="77777777" w:rsidTr="00CD27F8">
        <w:tc>
          <w:tcPr>
            <w:tcW w:w="752" w:type="dxa"/>
            <w:gridSpan w:val="2"/>
            <w:noWrap/>
            <w:tcMar>
              <w:top w:w="0" w:type="dxa"/>
              <w:left w:w="0" w:type="dxa"/>
              <w:bottom w:w="0" w:type="dxa"/>
              <w:right w:w="0" w:type="dxa"/>
            </w:tcMar>
            <w:hideMark/>
          </w:tcPr>
          <w:p w14:paraId="0BA0A3AC" w14:textId="77777777" w:rsidR="0046034F" w:rsidRPr="0046034F" w:rsidRDefault="0046034F" w:rsidP="0046034F">
            <w:r w:rsidRPr="0046034F">
              <w:t>[16]</w:t>
            </w:r>
          </w:p>
        </w:tc>
        <w:tc>
          <w:tcPr>
            <w:tcW w:w="0" w:type="auto"/>
            <w:tcMar>
              <w:top w:w="0" w:type="dxa"/>
              <w:left w:w="0" w:type="dxa"/>
              <w:bottom w:w="0" w:type="dxa"/>
              <w:right w:w="0" w:type="dxa"/>
            </w:tcMar>
            <w:hideMark/>
          </w:tcPr>
          <w:p w14:paraId="2CB3ACB1" w14:textId="77777777" w:rsidR="0046034F" w:rsidRPr="0046034F" w:rsidRDefault="0046034F" w:rsidP="0046034F">
            <w:r w:rsidRPr="0046034F">
              <w:t xml:space="preserve">M. L. Gambo and A. </w:t>
            </w:r>
            <w:proofErr w:type="spellStart"/>
            <w:r w:rsidRPr="0046034F">
              <w:t>Almulhem</w:t>
            </w:r>
            <w:proofErr w:type="spellEnd"/>
            <w:r w:rsidRPr="0046034F">
              <w:t xml:space="preserve">, “Zero Trust Architecture: A Systematic Literature Review,” Feb. 2025. </w:t>
            </w:r>
            <w:proofErr w:type="spellStart"/>
            <w:r w:rsidRPr="0046034F">
              <w:t>doi</w:t>
            </w:r>
            <w:proofErr w:type="spellEnd"/>
            <w:r w:rsidRPr="0046034F">
              <w:t>: 10.36227/techrxiv.173933211.18231232/v1.</w:t>
            </w:r>
          </w:p>
        </w:tc>
      </w:tr>
      <w:tr w:rsidR="0046034F" w:rsidRPr="0046034F" w14:paraId="1B2ACD81" w14:textId="77777777" w:rsidTr="00CD27F8">
        <w:tc>
          <w:tcPr>
            <w:tcW w:w="752" w:type="dxa"/>
            <w:gridSpan w:val="2"/>
            <w:noWrap/>
            <w:tcMar>
              <w:top w:w="0" w:type="dxa"/>
              <w:left w:w="0" w:type="dxa"/>
              <w:bottom w:w="0" w:type="dxa"/>
              <w:right w:w="0" w:type="dxa"/>
            </w:tcMar>
            <w:hideMark/>
          </w:tcPr>
          <w:p w14:paraId="606C8841" w14:textId="77777777" w:rsidR="0046034F" w:rsidRPr="0046034F" w:rsidRDefault="0046034F" w:rsidP="0046034F">
            <w:r w:rsidRPr="0046034F">
              <w:t>[17]</w:t>
            </w:r>
          </w:p>
        </w:tc>
        <w:tc>
          <w:tcPr>
            <w:tcW w:w="0" w:type="auto"/>
            <w:tcMar>
              <w:top w:w="0" w:type="dxa"/>
              <w:left w:w="0" w:type="dxa"/>
              <w:bottom w:w="0" w:type="dxa"/>
              <w:right w:w="0" w:type="dxa"/>
            </w:tcMar>
            <w:hideMark/>
          </w:tcPr>
          <w:p w14:paraId="3EB404D9" w14:textId="77777777" w:rsidR="0046034F" w:rsidRPr="0046034F" w:rsidRDefault="0046034F" w:rsidP="0046034F">
            <w:r w:rsidRPr="0046034F">
              <w:t xml:space="preserve">S. Mushtaq, M. Mohsin, and M. M. Mushtaq, “A Systematic Literature Review on the Implementation and Challenges of Zero Trust Architecture Across Domains,” Oct. 2025. </w:t>
            </w:r>
            <w:proofErr w:type="spellStart"/>
            <w:r w:rsidRPr="0046034F">
              <w:t>doi</w:t>
            </w:r>
            <w:proofErr w:type="spellEnd"/>
            <w:r w:rsidRPr="0046034F">
              <w:t>: 10.3390/s25196118.</w:t>
            </w:r>
          </w:p>
        </w:tc>
      </w:tr>
      <w:tr w:rsidR="0046034F" w:rsidRPr="0046034F" w14:paraId="22CC1AF9" w14:textId="77777777" w:rsidTr="00CD27F8">
        <w:tc>
          <w:tcPr>
            <w:tcW w:w="752" w:type="dxa"/>
            <w:gridSpan w:val="2"/>
            <w:noWrap/>
            <w:tcMar>
              <w:top w:w="0" w:type="dxa"/>
              <w:left w:w="0" w:type="dxa"/>
              <w:bottom w:w="0" w:type="dxa"/>
              <w:right w:w="0" w:type="dxa"/>
            </w:tcMar>
            <w:hideMark/>
          </w:tcPr>
          <w:p w14:paraId="541A8B14" w14:textId="77777777" w:rsidR="0046034F" w:rsidRPr="0046034F" w:rsidRDefault="0046034F" w:rsidP="0046034F">
            <w:r w:rsidRPr="0046034F">
              <w:t>[18]</w:t>
            </w:r>
          </w:p>
        </w:tc>
        <w:tc>
          <w:tcPr>
            <w:tcW w:w="0" w:type="auto"/>
            <w:tcMar>
              <w:top w:w="0" w:type="dxa"/>
              <w:left w:w="0" w:type="dxa"/>
              <w:bottom w:w="0" w:type="dxa"/>
              <w:right w:w="0" w:type="dxa"/>
            </w:tcMar>
            <w:hideMark/>
          </w:tcPr>
          <w:p w14:paraId="19566778" w14:textId="77777777" w:rsidR="0046034F" w:rsidRPr="0046034F" w:rsidRDefault="0046034F" w:rsidP="0046034F">
            <w:r w:rsidRPr="0046034F">
              <w:t xml:space="preserve">R. Mito, “A Systematic Literature Review of Zero Trust Architecture Implementation Challenges, Misconceptions, and Risks,” Nov. 2025. </w:t>
            </w:r>
            <w:proofErr w:type="spellStart"/>
            <w:r w:rsidRPr="0046034F">
              <w:t>doi</w:t>
            </w:r>
            <w:proofErr w:type="spellEnd"/>
            <w:r w:rsidRPr="0046034F">
              <w:t>: 10.13140/RG.2.2.36787.49444.</w:t>
            </w:r>
          </w:p>
        </w:tc>
      </w:tr>
      <w:tr w:rsidR="0046034F" w:rsidRPr="0046034F" w14:paraId="74F19062" w14:textId="77777777" w:rsidTr="00CD27F8">
        <w:tc>
          <w:tcPr>
            <w:tcW w:w="752" w:type="dxa"/>
            <w:gridSpan w:val="2"/>
            <w:noWrap/>
            <w:tcMar>
              <w:top w:w="0" w:type="dxa"/>
              <w:left w:w="0" w:type="dxa"/>
              <w:bottom w:w="0" w:type="dxa"/>
              <w:right w:w="0" w:type="dxa"/>
            </w:tcMar>
            <w:hideMark/>
          </w:tcPr>
          <w:p w14:paraId="0B3374AA" w14:textId="77777777" w:rsidR="0046034F" w:rsidRPr="0046034F" w:rsidRDefault="0046034F" w:rsidP="0046034F">
            <w:r w:rsidRPr="0046034F">
              <w:t>[19]</w:t>
            </w:r>
          </w:p>
        </w:tc>
        <w:tc>
          <w:tcPr>
            <w:tcW w:w="0" w:type="auto"/>
            <w:tcMar>
              <w:top w:w="0" w:type="dxa"/>
              <w:left w:w="0" w:type="dxa"/>
              <w:bottom w:w="0" w:type="dxa"/>
              <w:right w:w="0" w:type="dxa"/>
            </w:tcMar>
            <w:hideMark/>
          </w:tcPr>
          <w:p w14:paraId="007A8D6B" w14:textId="288958E4" w:rsidR="0046034F" w:rsidRDefault="0046034F" w:rsidP="0046034F">
            <w:r w:rsidRPr="0046034F">
              <w:t xml:space="preserve">K. Ramezanpour and J. Jagannath, “Intelligent Zero Trust Architecture for 5G/6G Networks: Principles, Challenges, and the Role of Machine Learning in the Context </w:t>
            </w:r>
            <w:r w:rsidRPr="0046034F">
              <w:lastRenderedPageBreak/>
              <w:t xml:space="preserve">of O-Ran,” 2022. Accessed: July 28, 2026. [Online]. Available: </w:t>
            </w:r>
            <w:hyperlink r:id="rId13" w:history="1">
              <w:r w:rsidR="00CD27F8" w:rsidRPr="00CA1084">
                <w:rPr>
                  <w:rStyle w:val="Hyperlink"/>
                </w:rPr>
                <w:t>https://arxiv.org/abs/2105.01478</w:t>
              </w:r>
            </w:hyperlink>
          </w:p>
          <w:p w14:paraId="500F45B2" w14:textId="77777777" w:rsidR="00CD27F8" w:rsidRPr="0046034F" w:rsidRDefault="00CD27F8" w:rsidP="0046034F"/>
        </w:tc>
      </w:tr>
      <w:tr w:rsidR="00CD27F8" w:rsidRPr="00CD27F8" w14:paraId="1BFC54B6" w14:textId="77777777" w:rsidTr="00CD27F8">
        <w:tc>
          <w:tcPr>
            <w:tcW w:w="736" w:type="dxa"/>
            <w:noWrap/>
            <w:tcMar>
              <w:top w:w="0" w:type="dxa"/>
              <w:left w:w="0" w:type="dxa"/>
              <w:bottom w:w="0" w:type="dxa"/>
              <w:right w:w="0" w:type="dxa"/>
            </w:tcMar>
            <w:hideMark/>
          </w:tcPr>
          <w:p w14:paraId="3AB5AC90" w14:textId="77777777" w:rsidR="00CD27F8" w:rsidRPr="00CD27F8" w:rsidRDefault="00CD27F8" w:rsidP="00CD27F8">
            <w:r w:rsidRPr="00CD27F8">
              <w:lastRenderedPageBreak/>
              <w:t>[20]</w:t>
            </w:r>
          </w:p>
        </w:tc>
        <w:tc>
          <w:tcPr>
            <w:tcW w:w="0" w:type="auto"/>
            <w:gridSpan w:val="2"/>
            <w:tcMar>
              <w:top w:w="0" w:type="dxa"/>
              <w:left w:w="0" w:type="dxa"/>
              <w:bottom w:w="0" w:type="dxa"/>
              <w:right w:w="0" w:type="dxa"/>
            </w:tcMar>
            <w:hideMark/>
          </w:tcPr>
          <w:p w14:paraId="66A9D279" w14:textId="77777777" w:rsidR="00CD27F8" w:rsidRPr="00CD27F8" w:rsidRDefault="00CD27F8" w:rsidP="00CD27F8">
            <w:r w:rsidRPr="00CD27F8">
              <w:t xml:space="preserve">Cybersecurity and Infrastructure Security Agency Cybersecurity </w:t>
            </w:r>
            <w:proofErr w:type="gramStart"/>
            <w:r w:rsidRPr="00CD27F8">
              <w:t>Division ,</w:t>
            </w:r>
            <w:proofErr w:type="gramEnd"/>
            <w:r w:rsidRPr="00CD27F8">
              <w:t xml:space="preserve"> “Zero Trust Maturity Model,” Apr. 2023. Accessed: July 28, 2026. [Online]. Available: https://www.cisa.gov/sites/default/files/2023-04/zero_trust_maturity_model_v2_508.pdf</w:t>
            </w:r>
          </w:p>
        </w:tc>
      </w:tr>
      <w:tr w:rsidR="00CD27F8" w:rsidRPr="0046034F" w14:paraId="0B4E2C88" w14:textId="77777777" w:rsidTr="00CD27F8">
        <w:tc>
          <w:tcPr>
            <w:tcW w:w="752" w:type="dxa"/>
            <w:gridSpan w:val="2"/>
            <w:noWrap/>
            <w:tcMar>
              <w:top w:w="0" w:type="dxa"/>
              <w:left w:w="0" w:type="dxa"/>
              <w:bottom w:w="0" w:type="dxa"/>
              <w:right w:w="0" w:type="dxa"/>
            </w:tcMar>
          </w:tcPr>
          <w:p w14:paraId="254AC70B" w14:textId="77777777" w:rsidR="00CD27F8" w:rsidRPr="0046034F" w:rsidRDefault="00CD27F8" w:rsidP="0046034F"/>
        </w:tc>
        <w:tc>
          <w:tcPr>
            <w:tcW w:w="0" w:type="auto"/>
            <w:tcMar>
              <w:top w:w="0" w:type="dxa"/>
              <w:left w:w="0" w:type="dxa"/>
              <w:bottom w:w="0" w:type="dxa"/>
              <w:right w:w="0" w:type="dxa"/>
            </w:tcMar>
          </w:tcPr>
          <w:p w14:paraId="40C2C6B7" w14:textId="77777777" w:rsidR="00CD27F8" w:rsidRPr="0046034F" w:rsidRDefault="00CD27F8" w:rsidP="0046034F"/>
        </w:tc>
      </w:tr>
    </w:tbl>
    <w:p w14:paraId="04DD192C" w14:textId="77777777" w:rsidR="00417168" w:rsidRPr="000D4331" w:rsidRDefault="00417168" w:rsidP="000D4331"/>
    <w:sectPr w:rsidR="00417168" w:rsidRPr="000D4331" w:rsidSect="00606E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7043"/>
    <w:multiLevelType w:val="hybridMultilevel"/>
    <w:tmpl w:val="9B0C8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C2538"/>
    <w:multiLevelType w:val="hybridMultilevel"/>
    <w:tmpl w:val="60841896"/>
    <w:lvl w:ilvl="0" w:tplc="804427F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B5159A"/>
    <w:multiLevelType w:val="hybridMultilevel"/>
    <w:tmpl w:val="E0C20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110A3"/>
    <w:multiLevelType w:val="hybridMultilevel"/>
    <w:tmpl w:val="DF2C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AC2B5D"/>
    <w:multiLevelType w:val="hybridMultilevel"/>
    <w:tmpl w:val="9538EE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30590A"/>
    <w:multiLevelType w:val="hybridMultilevel"/>
    <w:tmpl w:val="1996F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BD085D"/>
    <w:multiLevelType w:val="hybridMultilevel"/>
    <w:tmpl w:val="1E72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60311F"/>
    <w:multiLevelType w:val="multilevel"/>
    <w:tmpl w:val="7B68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01204E"/>
    <w:multiLevelType w:val="hybridMultilevel"/>
    <w:tmpl w:val="A7A63F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8414274">
    <w:abstractNumId w:val="7"/>
  </w:num>
  <w:num w:numId="2" w16cid:durableId="1929727848">
    <w:abstractNumId w:val="0"/>
  </w:num>
  <w:num w:numId="3" w16cid:durableId="1627590201">
    <w:abstractNumId w:val="8"/>
  </w:num>
  <w:num w:numId="4" w16cid:durableId="1684627971">
    <w:abstractNumId w:val="4"/>
  </w:num>
  <w:num w:numId="5" w16cid:durableId="1461875603">
    <w:abstractNumId w:val="3"/>
  </w:num>
  <w:num w:numId="6" w16cid:durableId="303197448">
    <w:abstractNumId w:val="2"/>
  </w:num>
  <w:num w:numId="7" w16cid:durableId="446317790">
    <w:abstractNumId w:val="1"/>
  </w:num>
  <w:num w:numId="8" w16cid:durableId="267548711">
    <w:abstractNumId w:val="5"/>
  </w:num>
  <w:num w:numId="9" w16cid:durableId="20013024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E05"/>
    <w:rsid w:val="00006E9C"/>
    <w:rsid w:val="00007CEF"/>
    <w:rsid w:val="00012E39"/>
    <w:rsid w:val="00020655"/>
    <w:rsid w:val="000406E4"/>
    <w:rsid w:val="00054D2D"/>
    <w:rsid w:val="000615A5"/>
    <w:rsid w:val="000775B9"/>
    <w:rsid w:val="000824F9"/>
    <w:rsid w:val="000C1C11"/>
    <w:rsid w:val="000C39DC"/>
    <w:rsid w:val="000D37DC"/>
    <w:rsid w:val="000D4331"/>
    <w:rsid w:val="000D4AA4"/>
    <w:rsid w:val="000D79FA"/>
    <w:rsid w:val="000E01DB"/>
    <w:rsid w:val="000E1ACA"/>
    <w:rsid w:val="000E1D8E"/>
    <w:rsid w:val="000E488B"/>
    <w:rsid w:val="001245A8"/>
    <w:rsid w:val="00137958"/>
    <w:rsid w:val="00140BDE"/>
    <w:rsid w:val="001465B7"/>
    <w:rsid w:val="0014666C"/>
    <w:rsid w:val="00164EAA"/>
    <w:rsid w:val="001A2DB8"/>
    <w:rsid w:val="001B58BF"/>
    <w:rsid w:val="001C167E"/>
    <w:rsid w:val="001C775F"/>
    <w:rsid w:val="001F5BDD"/>
    <w:rsid w:val="001F6172"/>
    <w:rsid w:val="00214856"/>
    <w:rsid w:val="00244418"/>
    <w:rsid w:val="00245053"/>
    <w:rsid w:val="00254AD6"/>
    <w:rsid w:val="0029350B"/>
    <w:rsid w:val="00296AAE"/>
    <w:rsid w:val="002B0CF3"/>
    <w:rsid w:val="002C2179"/>
    <w:rsid w:val="002C2D2C"/>
    <w:rsid w:val="002D3C6C"/>
    <w:rsid w:val="002E4AA6"/>
    <w:rsid w:val="002E571E"/>
    <w:rsid w:val="00303A3C"/>
    <w:rsid w:val="00305DA0"/>
    <w:rsid w:val="00313159"/>
    <w:rsid w:val="00341913"/>
    <w:rsid w:val="0034263C"/>
    <w:rsid w:val="003452FD"/>
    <w:rsid w:val="00356CA9"/>
    <w:rsid w:val="003650CB"/>
    <w:rsid w:val="0037430A"/>
    <w:rsid w:val="00376FEF"/>
    <w:rsid w:val="003770A4"/>
    <w:rsid w:val="003A381C"/>
    <w:rsid w:val="003A4FF9"/>
    <w:rsid w:val="003B04AA"/>
    <w:rsid w:val="003B7033"/>
    <w:rsid w:val="003B72B2"/>
    <w:rsid w:val="003C102D"/>
    <w:rsid w:val="003C15B4"/>
    <w:rsid w:val="003D39D8"/>
    <w:rsid w:val="003F62A6"/>
    <w:rsid w:val="0040558B"/>
    <w:rsid w:val="00414E85"/>
    <w:rsid w:val="00416BCB"/>
    <w:rsid w:val="00417168"/>
    <w:rsid w:val="00417996"/>
    <w:rsid w:val="00454B5A"/>
    <w:rsid w:val="00455C2C"/>
    <w:rsid w:val="0046034F"/>
    <w:rsid w:val="0046533A"/>
    <w:rsid w:val="00486AEB"/>
    <w:rsid w:val="004956C2"/>
    <w:rsid w:val="00496C49"/>
    <w:rsid w:val="004A0CA6"/>
    <w:rsid w:val="004D72F2"/>
    <w:rsid w:val="004E1F4E"/>
    <w:rsid w:val="004F75A0"/>
    <w:rsid w:val="005002E7"/>
    <w:rsid w:val="0050680F"/>
    <w:rsid w:val="00507F39"/>
    <w:rsid w:val="00523ABF"/>
    <w:rsid w:val="005357BF"/>
    <w:rsid w:val="0054009E"/>
    <w:rsid w:val="00545582"/>
    <w:rsid w:val="005577CE"/>
    <w:rsid w:val="00564D20"/>
    <w:rsid w:val="0057304F"/>
    <w:rsid w:val="005863D9"/>
    <w:rsid w:val="0058752A"/>
    <w:rsid w:val="00591802"/>
    <w:rsid w:val="00593B46"/>
    <w:rsid w:val="005947DD"/>
    <w:rsid w:val="005974E4"/>
    <w:rsid w:val="005A1276"/>
    <w:rsid w:val="00605CFF"/>
    <w:rsid w:val="0060689F"/>
    <w:rsid w:val="00606E05"/>
    <w:rsid w:val="00616C7D"/>
    <w:rsid w:val="006202EE"/>
    <w:rsid w:val="00627EE1"/>
    <w:rsid w:val="0064241A"/>
    <w:rsid w:val="00653C38"/>
    <w:rsid w:val="00675FF6"/>
    <w:rsid w:val="006807F9"/>
    <w:rsid w:val="00697884"/>
    <w:rsid w:val="006C0EC8"/>
    <w:rsid w:val="006C787B"/>
    <w:rsid w:val="006F16A9"/>
    <w:rsid w:val="00712BDA"/>
    <w:rsid w:val="00714F3A"/>
    <w:rsid w:val="00740E22"/>
    <w:rsid w:val="00774E7A"/>
    <w:rsid w:val="00777233"/>
    <w:rsid w:val="0078034C"/>
    <w:rsid w:val="00795A73"/>
    <w:rsid w:val="007960C0"/>
    <w:rsid w:val="007A45D3"/>
    <w:rsid w:val="007A55A7"/>
    <w:rsid w:val="007A5B50"/>
    <w:rsid w:val="007B5396"/>
    <w:rsid w:val="007B6A73"/>
    <w:rsid w:val="007D77DE"/>
    <w:rsid w:val="007E089B"/>
    <w:rsid w:val="007F591D"/>
    <w:rsid w:val="00815B97"/>
    <w:rsid w:val="00827CCA"/>
    <w:rsid w:val="00833B9A"/>
    <w:rsid w:val="0084333C"/>
    <w:rsid w:val="00843590"/>
    <w:rsid w:val="00843BE5"/>
    <w:rsid w:val="00847233"/>
    <w:rsid w:val="00880B44"/>
    <w:rsid w:val="0088190F"/>
    <w:rsid w:val="008E20C6"/>
    <w:rsid w:val="008E49A1"/>
    <w:rsid w:val="008F2C19"/>
    <w:rsid w:val="009018FC"/>
    <w:rsid w:val="00907697"/>
    <w:rsid w:val="009213E9"/>
    <w:rsid w:val="0093285D"/>
    <w:rsid w:val="009342B6"/>
    <w:rsid w:val="00941625"/>
    <w:rsid w:val="00944961"/>
    <w:rsid w:val="009461D1"/>
    <w:rsid w:val="0096156A"/>
    <w:rsid w:val="009662AE"/>
    <w:rsid w:val="0099021C"/>
    <w:rsid w:val="009967BB"/>
    <w:rsid w:val="009976A9"/>
    <w:rsid w:val="009A5203"/>
    <w:rsid w:val="009B1640"/>
    <w:rsid w:val="009E1A28"/>
    <w:rsid w:val="00A12352"/>
    <w:rsid w:val="00A167BE"/>
    <w:rsid w:val="00A243D3"/>
    <w:rsid w:val="00A45B1B"/>
    <w:rsid w:val="00A7116C"/>
    <w:rsid w:val="00A723E0"/>
    <w:rsid w:val="00A85BE4"/>
    <w:rsid w:val="00A86FC1"/>
    <w:rsid w:val="00A90F9D"/>
    <w:rsid w:val="00A91033"/>
    <w:rsid w:val="00AB112F"/>
    <w:rsid w:val="00AC42A8"/>
    <w:rsid w:val="00AC5B9D"/>
    <w:rsid w:val="00AE78B6"/>
    <w:rsid w:val="00B100CB"/>
    <w:rsid w:val="00B247AB"/>
    <w:rsid w:val="00B247B4"/>
    <w:rsid w:val="00B3718E"/>
    <w:rsid w:val="00B44E89"/>
    <w:rsid w:val="00B56EE8"/>
    <w:rsid w:val="00B66DCC"/>
    <w:rsid w:val="00B67B2A"/>
    <w:rsid w:val="00B75820"/>
    <w:rsid w:val="00B8269A"/>
    <w:rsid w:val="00B87E66"/>
    <w:rsid w:val="00B9225C"/>
    <w:rsid w:val="00B93F68"/>
    <w:rsid w:val="00B972D1"/>
    <w:rsid w:val="00BA26FE"/>
    <w:rsid w:val="00BA7488"/>
    <w:rsid w:val="00BB172B"/>
    <w:rsid w:val="00BB4E28"/>
    <w:rsid w:val="00BD50CB"/>
    <w:rsid w:val="00BE7861"/>
    <w:rsid w:val="00BF4AB6"/>
    <w:rsid w:val="00BF555D"/>
    <w:rsid w:val="00C06FF2"/>
    <w:rsid w:val="00C1197D"/>
    <w:rsid w:val="00C23C55"/>
    <w:rsid w:val="00C776AD"/>
    <w:rsid w:val="00C92C36"/>
    <w:rsid w:val="00C96236"/>
    <w:rsid w:val="00C96465"/>
    <w:rsid w:val="00CA1758"/>
    <w:rsid w:val="00CA3A04"/>
    <w:rsid w:val="00CB34D9"/>
    <w:rsid w:val="00CC1A3F"/>
    <w:rsid w:val="00CC4146"/>
    <w:rsid w:val="00CD0190"/>
    <w:rsid w:val="00CD1C47"/>
    <w:rsid w:val="00CD27F8"/>
    <w:rsid w:val="00CE3D60"/>
    <w:rsid w:val="00CE4A52"/>
    <w:rsid w:val="00CE66B3"/>
    <w:rsid w:val="00CE71C4"/>
    <w:rsid w:val="00CF17A5"/>
    <w:rsid w:val="00CF5689"/>
    <w:rsid w:val="00CF5C3B"/>
    <w:rsid w:val="00D0420E"/>
    <w:rsid w:val="00D06F69"/>
    <w:rsid w:val="00D13CDB"/>
    <w:rsid w:val="00D23302"/>
    <w:rsid w:val="00D23DD9"/>
    <w:rsid w:val="00D34BA9"/>
    <w:rsid w:val="00D36AF6"/>
    <w:rsid w:val="00D41AA1"/>
    <w:rsid w:val="00D4650E"/>
    <w:rsid w:val="00D5664F"/>
    <w:rsid w:val="00D60BF1"/>
    <w:rsid w:val="00D61978"/>
    <w:rsid w:val="00D61DFA"/>
    <w:rsid w:val="00D6689C"/>
    <w:rsid w:val="00D674DE"/>
    <w:rsid w:val="00D70B63"/>
    <w:rsid w:val="00D86928"/>
    <w:rsid w:val="00DB549D"/>
    <w:rsid w:val="00DD2A16"/>
    <w:rsid w:val="00DD567B"/>
    <w:rsid w:val="00DE4DD4"/>
    <w:rsid w:val="00E01588"/>
    <w:rsid w:val="00E02481"/>
    <w:rsid w:val="00E523A6"/>
    <w:rsid w:val="00E57BF6"/>
    <w:rsid w:val="00E62C72"/>
    <w:rsid w:val="00E76391"/>
    <w:rsid w:val="00E87D97"/>
    <w:rsid w:val="00E91B1B"/>
    <w:rsid w:val="00E968BC"/>
    <w:rsid w:val="00EA0A63"/>
    <w:rsid w:val="00EC4F79"/>
    <w:rsid w:val="00EE0B9B"/>
    <w:rsid w:val="00EE3C49"/>
    <w:rsid w:val="00EE6A57"/>
    <w:rsid w:val="00EF5B10"/>
    <w:rsid w:val="00F416A7"/>
    <w:rsid w:val="00F501F9"/>
    <w:rsid w:val="00F505F5"/>
    <w:rsid w:val="00F55328"/>
    <w:rsid w:val="00F5740D"/>
    <w:rsid w:val="00F85EC0"/>
    <w:rsid w:val="00F9415F"/>
    <w:rsid w:val="00F95823"/>
    <w:rsid w:val="00F96BE4"/>
    <w:rsid w:val="00FB221C"/>
    <w:rsid w:val="00FD5B01"/>
    <w:rsid w:val="00FD7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079CD"/>
  <w15:chartTrackingRefBased/>
  <w15:docId w15:val="{60412F13-F95F-45E4-99CE-DB18999F8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6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6E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6E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6E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6E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E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E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E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E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6E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6E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6E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6E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6E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E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E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E05"/>
    <w:rPr>
      <w:rFonts w:eastAsiaTheme="majorEastAsia" w:cstheme="majorBidi"/>
      <w:color w:val="272727" w:themeColor="text1" w:themeTint="D8"/>
    </w:rPr>
  </w:style>
  <w:style w:type="paragraph" w:styleId="Title">
    <w:name w:val="Title"/>
    <w:basedOn w:val="Normal"/>
    <w:next w:val="Normal"/>
    <w:link w:val="TitleChar"/>
    <w:uiPriority w:val="10"/>
    <w:qFormat/>
    <w:rsid w:val="00606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E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E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E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E05"/>
    <w:pPr>
      <w:spacing w:before="160"/>
      <w:jc w:val="center"/>
    </w:pPr>
    <w:rPr>
      <w:i/>
      <w:iCs/>
      <w:color w:val="404040" w:themeColor="text1" w:themeTint="BF"/>
    </w:rPr>
  </w:style>
  <w:style w:type="character" w:customStyle="1" w:styleId="QuoteChar">
    <w:name w:val="Quote Char"/>
    <w:basedOn w:val="DefaultParagraphFont"/>
    <w:link w:val="Quote"/>
    <w:uiPriority w:val="29"/>
    <w:rsid w:val="00606E05"/>
    <w:rPr>
      <w:i/>
      <w:iCs/>
      <w:color w:val="404040" w:themeColor="text1" w:themeTint="BF"/>
    </w:rPr>
  </w:style>
  <w:style w:type="paragraph" w:styleId="ListParagraph">
    <w:name w:val="List Paragraph"/>
    <w:basedOn w:val="Normal"/>
    <w:uiPriority w:val="34"/>
    <w:qFormat/>
    <w:rsid w:val="00606E05"/>
    <w:pPr>
      <w:ind w:left="720"/>
      <w:contextualSpacing/>
    </w:pPr>
  </w:style>
  <w:style w:type="character" w:styleId="IntenseEmphasis">
    <w:name w:val="Intense Emphasis"/>
    <w:basedOn w:val="DefaultParagraphFont"/>
    <w:uiPriority w:val="21"/>
    <w:qFormat/>
    <w:rsid w:val="00606E05"/>
    <w:rPr>
      <w:i/>
      <w:iCs/>
      <w:color w:val="0F4761" w:themeColor="accent1" w:themeShade="BF"/>
    </w:rPr>
  </w:style>
  <w:style w:type="paragraph" w:styleId="IntenseQuote">
    <w:name w:val="Intense Quote"/>
    <w:basedOn w:val="Normal"/>
    <w:next w:val="Normal"/>
    <w:link w:val="IntenseQuoteChar"/>
    <w:uiPriority w:val="30"/>
    <w:qFormat/>
    <w:rsid w:val="00606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6E05"/>
    <w:rPr>
      <w:i/>
      <w:iCs/>
      <w:color w:val="0F4761" w:themeColor="accent1" w:themeShade="BF"/>
    </w:rPr>
  </w:style>
  <w:style w:type="character" w:styleId="IntenseReference">
    <w:name w:val="Intense Reference"/>
    <w:basedOn w:val="DefaultParagraphFont"/>
    <w:uiPriority w:val="32"/>
    <w:qFormat/>
    <w:rsid w:val="00606E05"/>
    <w:rPr>
      <w:b/>
      <w:bCs/>
      <w:smallCaps/>
      <w:color w:val="0F4761" w:themeColor="accent1" w:themeShade="BF"/>
      <w:spacing w:val="5"/>
    </w:rPr>
  </w:style>
  <w:style w:type="paragraph" w:styleId="NoSpacing">
    <w:name w:val="No Spacing"/>
    <w:link w:val="NoSpacingChar"/>
    <w:uiPriority w:val="1"/>
    <w:qFormat/>
    <w:rsid w:val="00606E0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06E05"/>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B3718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91802"/>
    <w:pPr>
      <w:spacing w:after="100"/>
    </w:pPr>
  </w:style>
  <w:style w:type="character" w:styleId="Hyperlink">
    <w:name w:val="Hyperlink"/>
    <w:basedOn w:val="DefaultParagraphFont"/>
    <w:uiPriority w:val="99"/>
    <w:unhideWhenUsed/>
    <w:rsid w:val="00591802"/>
    <w:rPr>
      <w:color w:val="467886" w:themeColor="hyperlink"/>
      <w:u w:val="single"/>
    </w:rPr>
  </w:style>
  <w:style w:type="paragraph" w:styleId="TOC2">
    <w:name w:val="toc 2"/>
    <w:basedOn w:val="Normal"/>
    <w:next w:val="Normal"/>
    <w:autoRedefine/>
    <w:uiPriority w:val="39"/>
    <w:unhideWhenUsed/>
    <w:rsid w:val="00591802"/>
    <w:pPr>
      <w:spacing w:after="100"/>
      <w:ind w:left="240"/>
    </w:pPr>
  </w:style>
  <w:style w:type="paragraph" w:styleId="Caption">
    <w:name w:val="caption"/>
    <w:basedOn w:val="Normal"/>
    <w:next w:val="Normal"/>
    <w:uiPriority w:val="35"/>
    <w:unhideWhenUsed/>
    <w:qFormat/>
    <w:rsid w:val="00140BDE"/>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5863D9"/>
    <w:pPr>
      <w:spacing w:after="100"/>
      <w:ind w:left="480"/>
    </w:pPr>
  </w:style>
  <w:style w:type="table" w:styleId="TableGrid">
    <w:name w:val="Table Grid"/>
    <w:basedOn w:val="TableNormal"/>
    <w:uiPriority w:val="39"/>
    <w:rsid w:val="00A86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D2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rxiv.org/abs/2105.0147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sv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1" ma:contentTypeDescription="Create a new document." ma:contentTypeScope="" ma:versionID="b8f0c6cb1a4505d27bfc8f48fde530e9">
  <xsd:schema xmlns:xsd="http://www.w3.org/2001/XMLSchema" xmlns:xs="http://www.w3.org/2001/XMLSchema" xmlns:p="http://schemas.microsoft.com/office/2006/metadata/properties" xmlns:ns3="ccfc14db-0f45-423b-b2f5-752f8f8a0ada" targetNamespace="http://schemas.microsoft.com/office/2006/metadata/properties" ma:root="true" ma:fieldsID="707345308180573fe737cb7c06e62c2a"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910EEE-7C42-49F6-8FF9-C5789F5ECC15}">
  <ds:schemaRefs>
    <ds:schemaRef ds:uri="http://schemas.microsoft.com/sharepoint/v3/contenttype/forms"/>
  </ds:schemaRefs>
</ds:datastoreItem>
</file>

<file path=customXml/itemProps2.xml><?xml version="1.0" encoding="utf-8"?>
<ds:datastoreItem xmlns:ds="http://schemas.openxmlformats.org/officeDocument/2006/customXml" ds:itemID="{34393DE1-E39C-4265-B713-90D01708CF7E}">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2F5DD6D0-8B56-4AD1-A8A1-6853CD6B0601}">
  <ds:schemaRefs>
    <ds:schemaRef ds:uri="http://schemas.openxmlformats.org/officeDocument/2006/bibliography"/>
  </ds:schemaRefs>
</ds:datastoreItem>
</file>

<file path=customXml/itemProps4.xml><?xml version="1.0" encoding="utf-8"?>
<ds:datastoreItem xmlns:ds="http://schemas.openxmlformats.org/officeDocument/2006/customXml" ds:itemID="{7A422FFE-E84C-4777-9076-F9671753E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21</Pages>
  <Words>6324</Words>
  <Characters>39026</Characters>
  <Application>Microsoft Office Word</Application>
  <DocSecurity>0</DocSecurity>
  <Lines>696</Lines>
  <Paragraphs>219</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
  <LinksUpToDate>false</LinksUpToDate>
  <CharactersWithSpaces>45131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
  <dc:creator>Tristan Budenis (2428021)</dc:creator>
  <cp:keywords/>
  <dc:description/>
  <cp:lastModifiedBy>Tristan Budenis (2428021)</cp:lastModifiedBy>
  <cp:revision>3</cp:revision>
  <dcterms:created xsi:type="dcterms:W3CDTF">2026-07-28T11:58:00Z</dcterms:created>
  <dcterms:modified xsi:type="dcterms:W3CDTF">2026-07-28T12:10:00Z</dcterms:modified>
  <cp:category>Data Security and Compliance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