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80" w:before="280"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Component 1 - Individual Report</w:t>
      </w:r>
    </w:p>
    <w:p w:rsidR="00000000" w:rsidDel="00000000" w:rsidP="00000000" w:rsidRDefault="00000000" w:rsidRPr="00000000" w14:paraId="00000002">
      <w:pPr>
        <w:spacing w:after="280" w:before="280"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Student Name:  Petar Artyuhov </w:t>
      </w:r>
    </w:p>
    <w:p w:rsidR="00000000" w:rsidDel="00000000" w:rsidP="00000000" w:rsidRDefault="00000000" w:rsidRPr="00000000" w14:paraId="00000003">
      <w:pPr>
        <w:spacing w:after="280" w:before="280"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Student Number:  2123090</w:t>
      </w:r>
    </w:p>
    <w:p w:rsidR="00000000" w:rsidDel="00000000" w:rsidP="00000000" w:rsidRDefault="00000000" w:rsidRPr="00000000" w14:paraId="00000004">
      <w:pPr>
        <w:spacing w:after="280" w:before="280"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Lecturer Name: Munodzinesa Zawirai</w:t>
      </w:r>
    </w:p>
    <w:p w:rsidR="00000000" w:rsidDel="00000000" w:rsidP="00000000" w:rsidRDefault="00000000" w:rsidRPr="00000000" w14:paraId="00000005">
      <w:pPr>
        <w:spacing w:after="280" w:before="280"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MANAGEMENT ACCOUNTING </w:t>
      </w:r>
    </w:p>
    <w:p w:rsidR="00000000" w:rsidDel="00000000" w:rsidP="00000000" w:rsidRDefault="00000000" w:rsidRPr="00000000" w14:paraId="00000006">
      <w:pPr>
        <w:spacing w:after="280" w:before="280" w:line="360" w:lineRule="auto"/>
        <w:jc w:val="lef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sz w:val="24"/>
          <w:szCs w:val="24"/>
          <w:rtl w:val="0"/>
        </w:rPr>
        <w:t xml:space="preserve">                     LCBB5002_BIRM</w:t>
      </w:r>
      <w:r w:rsidDel="00000000" w:rsidR="00000000" w:rsidRPr="00000000">
        <w:rPr>
          <w:rtl w:val="0"/>
        </w:rPr>
      </w:r>
    </w:p>
    <w:p w:rsidR="00000000" w:rsidDel="00000000" w:rsidP="00000000" w:rsidRDefault="00000000" w:rsidRPr="00000000" w14:paraId="00000007">
      <w:pP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Difference between marginal costing and absorbing costing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Marginal Costing Statement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Advise for MSG </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Break-even Point </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 </w:t>
      </w:r>
    </w:p>
    <w:p w:rsidR="00000000" w:rsidDel="00000000" w:rsidP="00000000" w:rsidRDefault="00000000" w:rsidRPr="00000000" w14:paraId="00000010">
      <w:pPr>
        <w:spacing w:after="280"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1">
      <w:pPr>
        <w:spacing w:after="280" w:before="280"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Introduction </w:t>
      </w:r>
    </w:p>
    <w:p w:rsidR="00000000" w:rsidDel="00000000" w:rsidP="00000000" w:rsidRDefault="00000000" w:rsidRPr="00000000" w14:paraId="00000012">
      <w:pP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Marginal costing and absorbing costing are two types of management accounting costing methods which are used in determining statement of the management accounting. Two types of method such as marginal costing and absorbing costing are mostly used to prepare report for the organization. Fixed costs are not considered in the marginal costing method as product costs but fixed and variable costs are included in the absorbing costing method. In management accounting, break-even point analysis plays an important role. The organization can take the business decision following the break-even point. </w:t>
      </w:r>
    </w:p>
    <w:p w:rsidR="00000000" w:rsidDel="00000000" w:rsidP="00000000" w:rsidRDefault="00000000" w:rsidRPr="00000000" w14:paraId="00000013">
      <w:pPr>
        <w:spacing w:after="280" w:before="280"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Difference between marginal costing and absorbing costing</w:t>
      </w:r>
    </w:p>
    <w:p w:rsidR="00000000" w:rsidDel="00000000" w:rsidP="00000000" w:rsidRDefault="00000000" w:rsidRPr="00000000" w14:paraId="00000014">
      <w:pP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marginal costing, product costs are used as variable costs and period costs are used as fixed costs (</w:t>
      </w:r>
      <w:r w:rsidDel="00000000" w:rsidR="00000000" w:rsidRPr="00000000">
        <w:rPr>
          <w:rFonts w:ascii="Times New Roman" w:cs="Times New Roman" w:eastAsia="Times New Roman" w:hAnsi="Times New Roman"/>
          <w:color w:val="000000"/>
          <w:sz w:val="24"/>
          <w:szCs w:val="24"/>
          <w:highlight w:val="white"/>
          <w:rtl w:val="0"/>
        </w:rPr>
        <w:t xml:space="preserve">Ahrens &amp; Chapman, 2017)</w:t>
      </w:r>
      <w:r w:rsidDel="00000000" w:rsidR="00000000" w:rsidRPr="00000000">
        <w:rPr>
          <w:rFonts w:ascii="Times New Roman" w:cs="Times New Roman" w:eastAsia="Times New Roman" w:hAnsi="Times New Roman"/>
          <w:color w:val="000000"/>
          <w:sz w:val="24"/>
          <w:szCs w:val="24"/>
          <w:rtl w:val="0"/>
        </w:rPr>
        <w:t xml:space="preserve">. In the case of absorbing the cost, product cost and period cost are used as absorbing costing. The absorbing costing method is importantly used in reporting like tax and financial reporting purposes.</w:t>
      </w:r>
    </w:p>
    <w:p w:rsidR="00000000" w:rsidDel="00000000" w:rsidP="00000000" w:rsidRDefault="00000000" w:rsidRPr="00000000" w14:paraId="00000015">
      <w:pPr>
        <w:spacing w:after="280" w:before="280"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Key difference</w:t>
      </w:r>
    </w:p>
    <w:p w:rsidR="00000000" w:rsidDel="00000000" w:rsidP="00000000" w:rsidRDefault="00000000" w:rsidRPr="00000000" w14:paraId="000000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marginal costing method, costs are classified as variable costs and fixed costs. In contrast, the costs in the absorbing costing method are classified as production, distribution and administration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Alawattage &amp; Wickramasinghe, 2012)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cost's contribution is shown in the marginal cost but a fair and exact value of profits is demonstrated in the absorbing costing method.</w:t>
      </w:r>
      <w:r w:rsidDel="00000000" w:rsidR="00000000" w:rsidRPr="00000000">
        <w:rPr>
          <w:rtl w:val="0"/>
        </w:rPr>
      </w:r>
    </w:p>
    <w:p w:rsidR="00000000" w:rsidDel="00000000" w:rsidP="00000000" w:rsidRDefault="00000000" w:rsidRPr="00000000" w14:paraId="0000001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marginal costing method, contribution per unit is calculated but in the absorbing costing method, net profit per unit is calculated.</w:t>
      </w:r>
      <w:r w:rsidDel="00000000" w:rsidR="00000000" w:rsidRPr="00000000">
        <w:rPr>
          <w:rtl w:val="0"/>
        </w:rPr>
      </w:r>
    </w:p>
    <w:tbl>
      <w:tblPr>
        <w:tblStyle w:val="Table1"/>
        <w:tblW w:w="9269.0" w:type="dxa"/>
        <w:jc w:val="left"/>
        <w:tblLayout w:type="fixed"/>
        <w:tblLook w:val="0400"/>
      </w:tblPr>
      <w:tblGrid>
        <w:gridCol w:w="4435"/>
        <w:gridCol w:w="4834"/>
        <w:tblGridChange w:id="0">
          <w:tblGrid>
            <w:gridCol w:w="4435"/>
            <w:gridCol w:w="4834"/>
          </w:tblGrid>
        </w:tblGridChange>
      </w:tblGrid>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19">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Marginal Costing</w:t>
            </w:r>
            <w:r w:rsidDel="00000000" w:rsidR="00000000" w:rsidRPr="00000000">
              <w:rPr>
                <w:rtl w:val="0"/>
              </w:rPr>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1A">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Absorption Costing</w:t>
            </w:r>
            <w:r w:rsidDel="00000000" w:rsidR="00000000" w:rsidRPr="00000000">
              <w:rPr>
                <w:rtl w:val="0"/>
              </w:rPr>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1B">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When the variable costs are considered product costs, it is known as marginal costing.</w:t>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1C">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both variable and fixed costs are considered product costs, which is known as absorbing costing (</w:t>
            </w:r>
            <w:r w:rsidDel="00000000" w:rsidR="00000000" w:rsidRPr="00000000">
              <w:rPr>
                <w:rFonts w:ascii="Times New Roman" w:cs="Times New Roman" w:eastAsia="Times New Roman" w:hAnsi="Times New Roman"/>
                <w:color w:val="000000"/>
                <w:sz w:val="24"/>
                <w:szCs w:val="24"/>
                <w:highlight w:val="white"/>
                <w:rtl w:val="0"/>
              </w:rPr>
              <w:t xml:space="preserve">Drury, 2018)</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1D">
            <w:pPr>
              <w:spacing w:after="300" w:line="24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1E">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fixed cost is considered as period cost and variable cost is product cost (</w:t>
            </w:r>
            <w:r w:rsidDel="00000000" w:rsidR="00000000" w:rsidRPr="00000000">
              <w:rPr>
                <w:rFonts w:ascii="Times New Roman" w:cs="Times New Roman" w:eastAsia="Times New Roman" w:hAnsi="Times New Roman"/>
                <w:color w:val="000000"/>
                <w:sz w:val="24"/>
                <w:szCs w:val="24"/>
                <w:highlight w:val="white"/>
                <w:rtl w:val="0"/>
              </w:rPr>
              <w:t xml:space="preserve">Bromwich &amp; Bhimani, 2015)</w:t>
            </w:r>
            <w:r w:rsidDel="00000000" w:rsidR="00000000" w:rsidRPr="00000000">
              <w:rPr>
                <w:rFonts w:ascii="Times New Roman" w:cs="Times New Roman" w:eastAsia="Times New Roman" w:hAnsi="Times New Roman"/>
                <w:color w:val="000000"/>
                <w:sz w:val="24"/>
                <w:szCs w:val="24"/>
                <w:rtl w:val="0"/>
              </w:rPr>
              <w:t xml:space="preserve">.</w:t>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1F">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variable costs and fixed costs are considered product costs.</w:t>
            </w:r>
          </w:p>
          <w:p w:rsidR="00000000" w:rsidDel="00000000" w:rsidP="00000000" w:rsidRDefault="00000000" w:rsidRPr="00000000" w14:paraId="00000020">
            <w:pPr>
              <w:spacing w:after="300" w:line="24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1">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overheads are classified as variable costs and fixed costs. </w:t>
            </w:r>
          </w:p>
          <w:p w:rsidR="00000000" w:rsidDel="00000000" w:rsidP="00000000" w:rsidRDefault="00000000" w:rsidRPr="00000000" w14:paraId="00000022">
            <w:pPr>
              <w:spacing w:after="300" w:line="240" w:lineRule="auto"/>
              <w:jc w:val="both"/>
              <w:rPr>
                <w:rFonts w:ascii="Times New Roman" w:cs="Times New Roman" w:eastAsia="Times New Roman" w:hAnsi="Times New Roman"/>
                <w:color w:val="000000"/>
                <w:sz w:val="24"/>
                <w:szCs w:val="24"/>
              </w:rPr>
            </w:pPr>
            <w:r w:rsidDel="00000000" w:rsidR="00000000" w:rsidRPr="00000000">
              <w:rPr>
                <w:rtl w:val="0"/>
              </w:rPr>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3">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the overheads are classified as production, distribution, and administration (Jiambalvo, 2019). </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4">
            <w:pPr>
              <w:spacing w:after="30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calculate profit, the profit volume ratio technique is used.</w:t>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profit is reduced due to considering fixed cost as product cost.</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Using this method, the next units' cost can be determined.</w:t>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But using this method, each unit's cost can be determined. </w:t>
            </w:r>
          </w:p>
        </w:tc>
      </w:tr>
      <w:tr>
        <w:trPr>
          <w:cantSplit w:val="0"/>
          <w:tblHeader w:val="0"/>
        </w:trPr>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the contribution of the unit is determined. </w:t>
            </w:r>
          </w:p>
        </w:tc>
        <w:tc>
          <w:tcPr>
            <w:tcBorders>
              <w:top w:color="dddddd" w:space="0" w:sz="6" w:val="single"/>
              <w:left w:color="dddddd" w:space="0" w:sz="6" w:val="single"/>
              <w:bottom w:color="dddddd" w:space="0" w:sz="6" w:val="single"/>
              <w:right w:color="dddddd" w:space="0" w:sz="6" w:val="single"/>
            </w:tcBorders>
            <w:tcMar>
              <w:top w:w="150.0" w:type="dxa"/>
              <w:left w:w="150.0" w:type="dxa"/>
              <w:bottom w:w="150.0" w:type="dxa"/>
              <w:right w:w="150.0" w:type="dxa"/>
            </w:tcMar>
            <w:vAlign w:val="center"/>
          </w:tcPr>
          <w:p w:rsidR="00000000" w:rsidDel="00000000" w:rsidP="00000000" w:rsidRDefault="00000000" w:rsidRPr="00000000" w14:paraId="0000002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method, per unit net profit is calculated. </w:t>
            </w:r>
          </w:p>
        </w:tc>
      </w:tr>
    </w:tbl>
    <w:p w:rsidR="00000000" w:rsidDel="00000000" w:rsidP="00000000" w:rsidRDefault="00000000" w:rsidRPr="00000000" w14:paraId="0000002A">
      <w:pPr>
        <w:spacing w:after="300"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Marginal Costing Statement</w:t>
      </w:r>
    </w:p>
    <w:p w:rsidR="00000000" w:rsidDel="00000000" w:rsidP="00000000" w:rsidRDefault="00000000" w:rsidRPr="00000000" w14:paraId="0000002C">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Marginal Costing Statement (Wheelchairs)</w:t>
      </w:r>
    </w:p>
    <w:p w:rsidR="00000000" w:rsidDel="00000000" w:rsidP="00000000" w:rsidRDefault="00000000" w:rsidRPr="00000000" w14:paraId="0000002D">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Mobile Solution Group</w:t>
      </w:r>
    </w:p>
    <w:p w:rsidR="00000000" w:rsidDel="00000000" w:rsidP="00000000" w:rsidRDefault="00000000" w:rsidRPr="00000000" w14:paraId="0000002E">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the year-end</w:t>
      </w:r>
    </w:p>
    <w:tbl>
      <w:tblPr>
        <w:tblStyle w:val="Table2"/>
        <w:tblW w:w="9218.0" w:type="dxa"/>
        <w:jc w:val="left"/>
        <w:tblInd w:w="-5.0" w:type="dxa"/>
        <w:tblLayout w:type="fixed"/>
        <w:tblLook w:val="0400"/>
      </w:tblPr>
      <w:tblGrid>
        <w:gridCol w:w="5554"/>
        <w:gridCol w:w="1866"/>
        <w:gridCol w:w="1798"/>
        <w:tblGridChange w:id="0">
          <w:tblGrid>
            <w:gridCol w:w="5554"/>
            <w:gridCol w:w="1866"/>
            <w:gridCol w:w="1798"/>
          </w:tblGrid>
        </w:tblGridChange>
      </w:tblGrid>
      <w:tr>
        <w:trPr>
          <w:cantSplit w:val="0"/>
          <w:trHeight w:val="326"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16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20,100</w:t>
            </w:r>
          </w:p>
        </w:tc>
      </w:tr>
      <w:tr>
        <w:trPr>
          <w:cantSplit w:val="0"/>
          <w:trHeight w:val="48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production costs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48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materials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4,623</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32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labour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3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6,231.00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65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Other variable expenses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3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2,211</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4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16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4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4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13,065</w:t>
            </w:r>
          </w:p>
        </w:tc>
      </w:tr>
      <w:tr>
        <w:trPr>
          <w:cantSplit w:val="0"/>
          <w:trHeight w:val="48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4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4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7,035</w:t>
            </w:r>
          </w:p>
        </w:tc>
      </w:tr>
      <w:tr>
        <w:trPr>
          <w:cantSplit w:val="0"/>
          <w:trHeight w:val="32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48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Overheads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6,030</w:t>
            </w:r>
          </w:p>
        </w:tc>
      </w:tr>
      <w:tr>
        <w:trPr>
          <w:cantSplit w:val="0"/>
          <w:trHeight w:val="16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4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1,005</w:t>
            </w:r>
          </w:p>
        </w:tc>
      </w:tr>
    </w:tbl>
    <w:p w:rsidR="00000000" w:rsidDel="00000000" w:rsidP="00000000" w:rsidRDefault="00000000" w:rsidRPr="00000000" w14:paraId="0000005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Here the profit is £1,005. Total wheelchair unit productions are 40 but unit per costs are less that's why wheelchair production has a positive profit.</w:t>
      </w:r>
    </w:p>
    <w:p w:rsidR="00000000" w:rsidDel="00000000" w:rsidP="00000000" w:rsidRDefault="00000000" w:rsidRPr="00000000" w14:paraId="00000051">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Marginal Costing Statement (Hoists)</w:t>
      </w:r>
    </w:p>
    <w:p w:rsidR="00000000" w:rsidDel="00000000" w:rsidP="00000000" w:rsidRDefault="00000000" w:rsidRPr="00000000" w14:paraId="00000052">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Mobile Solution Group</w:t>
      </w:r>
    </w:p>
    <w:p w:rsidR="00000000" w:rsidDel="00000000" w:rsidP="00000000" w:rsidRDefault="00000000" w:rsidRPr="00000000" w14:paraId="00000053">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the year-end</w:t>
      </w:r>
    </w:p>
    <w:tbl>
      <w:tblPr>
        <w:tblStyle w:val="Table3"/>
        <w:tblW w:w="9198.0" w:type="dxa"/>
        <w:jc w:val="left"/>
        <w:tblInd w:w="-5.0" w:type="dxa"/>
        <w:tblLayout w:type="fixed"/>
        <w:tblLook w:val="0400"/>
      </w:tblPr>
      <w:tblGrid>
        <w:gridCol w:w="5419"/>
        <w:gridCol w:w="1924"/>
        <w:gridCol w:w="1855"/>
        <w:tblGridChange w:id="0">
          <w:tblGrid>
            <w:gridCol w:w="5419"/>
            <w:gridCol w:w="1924"/>
            <w:gridCol w:w="1855"/>
          </w:tblGrid>
        </w:tblGridChange>
      </w:tblGrid>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21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18,630</w:t>
            </w:r>
          </w:p>
        </w:tc>
      </w:tr>
      <w:tr>
        <w:trPr>
          <w:cantSplit w:val="0"/>
          <w:trHeight w:val="63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production costs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63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materials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5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6,893.10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5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424"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labour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7,824.60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848"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Other variable expenses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4,657.50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21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19,375</w:t>
            </w:r>
          </w:p>
        </w:tc>
      </w:tr>
      <w:tr>
        <w:trPr>
          <w:cantSplit w:val="0"/>
          <w:trHeight w:val="63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-745</w:t>
            </w:r>
          </w:p>
        </w:tc>
      </w:tr>
      <w:tr>
        <w:trPr>
          <w:cantSplit w:val="0"/>
          <w:trHeight w:val="424"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6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63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Overheads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5,962</w:t>
            </w:r>
          </w:p>
        </w:tc>
      </w:tr>
      <w:tr>
        <w:trPr>
          <w:cantSplit w:val="0"/>
          <w:trHeight w:val="21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-6,707</w:t>
            </w:r>
          </w:p>
        </w:tc>
      </w:tr>
    </w:tbl>
    <w:p w:rsidR="00000000" w:rsidDel="00000000" w:rsidP="00000000" w:rsidRDefault="00000000" w:rsidRPr="00000000" w14:paraId="0000007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Hoists production is 93 but it has higher per unit costs. Its total costs are higher than the sales amount. That's why Hoists production generates negative profits such as -£6,707.</w:t>
      </w:r>
    </w:p>
    <w:p w:rsidR="00000000" w:rsidDel="00000000" w:rsidP="00000000" w:rsidRDefault="00000000" w:rsidRPr="00000000" w14:paraId="00000076">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Marginal Costing Statement (Mobile Beds)</w:t>
      </w:r>
    </w:p>
    <w:p w:rsidR="00000000" w:rsidDel="00000000" w:rsidP="00000000" w:rsidRDefault="00000000" w:rsidRPr="00000000" w14:paraId="00000077">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Mobile Solution Group</w:t>
      </w:r>
    </w:p>
    <w:p w:rsidR="00000000" w:rsidDel="00000000" w:rsidP="00000000" w:rsidRDefault="00000000" w:rsidRPr="00000000" w14:paraId="00000078">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the year-end</w:t>
      </w:r>
    </w:p>
    <w:tbl>
      <w:tblPr>
        <w:tblStyle w:val="Table4"/>
        <w:tblW w:w="10149.0" w:type="dxa"/>
        <w:jc w:val="left"/>
        <w:tblInd w:w="-5.0" w:type="dxa"/>
        <w:tblLayout w:type="fixed"/>
        <w:tblLook w:val="0400"/>
      </w:tblPr>
      <w:tblGrid>
        <w:gridCol w:w="4105"/>
        <w:gridCol w:w="3022"/>
        <w:gridCol w:w="3022"/>
        <w:tblGridChange w:id="0">
          <w:tblGrid>
            <w:gridCol w:w="4105"/>
            <w:gridCol w:w="3022"/>
            <w:gridCol w:w="3022"/>
          </w:tblGrid>
        </w:tblGridChange>
      </w:tblGrid>
      <w:tr>
        <w:trPr>
          <w:cantSplit w:val="0"/>
          <w:trHeight w:val="407"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7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7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20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7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7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19,302</w:t>
            </w:r>
          </w:p>
        </w:tc>
      </w:tr>
      <w:tr>
        <w:trPr>
          <w:cantSplit w:val="0"/>
          <w:trHeight w:val="61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production costs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61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materials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9,264.96</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407"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labour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6,755.70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814"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Other variable expenses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8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3,088.32</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20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19,109</w:t>
            </w:r>
          </w:p>
        </w:tc>
      </w:tr>
      <w:tr>
        <w:trPr>
          <w:cantSplit w:val="0"/>
          <w:trHeight w:val="61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8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9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193</w:t>
            </w:r>
          </w:p>
        </w:tc>
      </w:tr>
      <w:tr>
        <w:trPr>
          <w:cantSplit w:val="0"/>
          <w:trHeight w:val="407"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61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Overheads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7,334.76</w:t>
            </w:r>
          </w:p>
        </w:tc>
      </w:tr>
      <w:tr>
        <w:trPr>
          <w:cantSplit w:val="0"/>
          <w:trHeight w:val="20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-7,142</w:t>
            </w:r>
          </w:p>
        </w:tc>
      </w:tr>
    </w:tbl>
    <w:p w:rsidR="00000000" w:rsidDel="00000000" w:rsidP="00000000" w:rsidRDefault="00000000" w:rsidRPr="00000000" w14:paraId="0000009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Total Mobile Beds production is 77 but it has higher per unit costs. Its total costs are higher than the sales amount. That's why Mobile Beds production generate negative profit such as -£7,142</w:t>
      </w:r>
    </w:p>
    <w:p w:rsidR="00000000" w:rsidDel="00000000" w:rsidP="00000000" w:rsidRDefault="00000000" w:rsidRPr="00000000" w14:paraId="0000009C">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Marginal Costing Statement (Total)</w:t>
      </w:r>
    </w:p>
    <w:p w:rsidR="00000000" w:rsidDel="00000000" w:rsidP="00000000" w:rsidRDefault="00000000" w:rsidRPr="00000000" w14:paraId="0000009D">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Mobile Solution Group</w:t>
      </w:r>
    </w:p>
    <w:p w:rsidR="00000000" w:rsidDel="00000000" w:rsidP="00000000" w:rsidRDefault="00000000" w:rsidRPr="00000000" w14:paraId="0000009E">
      <w:pPr>
        <w:spacing w:line="24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the year-end</w:t>
      </w:r>
    </w:p>
    <w:tbl>
      <w:tblPr>
        <w:tblStyle w:val="Table5"/>
        <w:tblW w:w="9422.0" w:type="dxa"/>
        <w:jc w:val="left"/>
        <w:tblInd w:w="-5.0" w:type="dxa"/>
        <w:tblLayout w:type="fixed"/>
        <w:tblLook w:val="0400"/>
      </w:tblPr>
      <w:tblGrid>
        <w:gridCol w:w="4526"/>
        <w:gridCol w:w="2448"/>
        <w:gridCol w:w="2448"/>
        <w:tblGridChange w:id="0">
          <w:tblGrid>
            <w:gridCol w:w="4526"/>
            <w:gridCol w:w="2448"/>
            <w:gridCol w:w="2448"/>
          </w:tblGrid>
        </w:tblGridChange>
      </w:tblGrid>
      <w:tr>
        <w:trPr>
          <w:cantSplit w:val="0"/>
          <w:trHeight w:val="504"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25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58,032</w:t>
            </w:r>
          </w:p>
        </w:tc>
      </w:tr>
      <w:tr>
        <w:trPr>
          <w:cantSplit w:val="0"/>
          <w:trHeight w:val="75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production costs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75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materials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20,781.06</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504"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labour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20,811.30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A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100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Other variable expenses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9,956.82</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25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51,549</w:t>
            </w:r>
          </w:p>
        </w:tc>
      </w:tr>
      <w:tr>
        <w:trPr>
          <w:cantSplit w:val="0"/>
          <w:trHeight w:val="75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B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6,483</w:t>
            </w:r>
          </w:p>
        </w:tc>
      </w:tr>
      <w:tr>
        <w:trPr>
          <w:cantSplit w:val="0"/>
          <w:trHeight w:val="504"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75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Overheads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19,326.36</w:t>
            </w:r>
          </w:p>
        </w:tc>
      </w:tr>
      <w:tr>
        <w:trPr>
          <w:cantSplit w:val="0"/>
          <w:trHeight w:val="25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-12,844</w:t>
            </w:r>
          </w:p>
        </w:tc>
      </w:tr>
    </w:tbl>
    <w:p w:rsidR="00000000" w:rsidDel="00000000" w:rsidP="00000000" w:rsidRDefault="00000000" w:rsidRPr="00000000" w14:paraId="000000C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Though wheelchair production generated profit for the company, other productions generate negative profit. after preparing a marginal costing statement for total production it is found that the total profit is negative like -£12,844.</w:t>
      </w:r>
    </w:p>
    <w:p w:rsidR="00000000" w:rsidDel="00000000" w:rsidP="00000000" w:rsidRDefault="00000000" w:rsidRPr="00000000" w14:paraId="000000C1">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Marginal costing statement when Hoists production is stopped</w:t>
      </w:r>
    </w:p>
    <w:p w:rsidR="00000000" w:rsidDel="00000000" w:rsidP="00000000" w:rsidRDefault="00000000" w:rsidRPr="00000000" w14:paraId="000000C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Preparing marginal costing for Hoists production is found that generates negative profit. Though it has the highest unit production, its per-unit cost is higher. that's why it generates negative profit. MSG should stop the production of Hoists. Because if it generates these products, it will continuously face losses and generate negative profits. If MSG wants to generate more profit it should produce wheelchairs and stop Hoists production reducing the costs per unit of a wheelchair.</w:t>
      </w:r>
    </w:p>
    <w:tbl>
      <w:tblPr>
        <w:tblStyle w:val="Table6"/>
        <w:tblW w:w="9456.0" w:type="dxa"/>
        <w:jc w:val="left"/>
        <w:tblInd w:w="-5.0" w:type="dxa"/>
        <w:tblLayout w:type="fixed"/>
        <w:tblLook w:val="0400"/>
      </w:tblPr>
      <w:tblGrid>
        <w:gridCol w:w="4542"/>
        <w:gridCol w:w="2457"/>
        <w:gridCol w:w="2457"/>
        <w:tblGridChange w:id="0">
          <w:tblGrid>
            <w:gridCol w:w="4542"/>
            <w:gridCol w:w="2457"/>
            <w:gridCol w:w="2457"/>
          </w:tblGrid>
        </w:tblGridChange>
      </w:tblGrid>
      <w:tr>
        <w:trPr>
          <w:cantSplit w:val="0"/>
          <w:trHeight w:val="503"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25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39,402</w:t>
            </w:r>
          </w:p>
        </w:tc>
      </w:tr>
      <w:tr>
        <w:trPr>
          <w:cantSplit w:val="0"/>
          <w:trHeight w:val="75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production costs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75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materials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13,887.96</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C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50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labour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12,986.70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D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1007"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Other variable expenses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5,299.32</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D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25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D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D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32,174</w:t>
            </w:r>
          </w:p>
        </w:tc>
      </w:tr>
      <w:tr>
        <w:trPr>
          <w:cantSplit w:val="0"/>
          <w:trHeight w:val="75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D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D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7,228</w:t>
            </w:r>
          </w:p>
        </w:tc>
      </w:tr>
      <w:tr>
        <w:trPr>
          <w:cantSplit w:val="0"/>
          <w:trHeight w:val="50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75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Overheads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13,364.76</w:t>
            </w:r>
          </w:p>
        </w:tc>
      </w:tr>
      <w:tr>
        <w:trPr>
          <w:cantSplit w:val="0"/>
          <w:trHeight w:val="251"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-6,137</w:t>
            </w:r>
          </w:p>
        </w:tc>
      </w:tr>
    </w:tbl>
    <w:p w:rsidR="00000000" w:rsidDel="00000000" w:rsidP="00000000" w:rsidRDefault="00000000" w:rsidRPr="00000000" w14:paraId="000000E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After stooping Hoists production, the marginal costing statement for total production is calculated. Now it is found that after stopping Hoists, total profit has been thought negative it is negative profit has been lessening than the previous total profit. before total profit was -£12,844 and now the total profit is -£6,137. </w:t>
      </w:r>
    </w:p>
    <w:p w:rsidR="00000000" w:rsidDel="00000000" w:rsidP="00000000" w:rsidRDefault="00000000" w:rsidRPr="00000000" w14:paraId="000000E5">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Marginal costing statement when Mobile Beds production is stopped</w:t>
      </w:r>
    </w:p>
    <w:p w:rsidR="00000000" w:rsidDel="00000000" w:rsidP="00000000" w:rsidRDefault="00000000" w:rsidRPr="00000000" w14:paraId="000000E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Preparing marginal costing for Mobile Beds production is found that generates negative profit. Though it has 77 units of production, its per-unit cost is higher. that's why it generates negative profit. MSG should stop the production of Mobile Beds. Because if it generates these products, it will continuously face losses and generate negative profits. If MSG wants to generate more profit it should produce wheelchairs and stop Mobile Beds production reducing the costs per unit of a wheelchair.</w:t>
      </w:r>
    </w:p>
    <w:tbl>
      <w:tblPr>
        <w:tblStyle w:val="Table7"/>
        <w:tblW w:w="9005.0" w:type="dxa"/>
        <w:jc w:val="left"/>
        <w:tblInd w:w="-5.0" w:type="dxa"/>
        <w:tblLayout w:type="fixed"/>
        <w:tblLook w:val="0400"/>
      </w:tblPr>
      <w:tblGrid>
        <w:gridCol w:w="4325"/>
        <w:gridCol w:w="2340"/>
        <w:gridCol w:w="2340"/>
        <w:tblGridChange w:id="0">
          <w:tblGrid>
            <w:gridCol w:w="4325"/>
            <w:gridCol w:w="2340"/>
            <w:gridCol w:w="2340"/>
          </w:tblGrid>
        </w:tblGridChange>
      </w:tblGrid>
      <w:tr>
        <w:trPr>
          <w:cantSplit w:val="0"/>
          <w:trHeight w:val="486"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Particulars</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E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E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Amount (£)</w:t>
            </w:r>
          </w:p>
        </w:tc>
      </w:tr>
      <w:tr>
        <w:trPr>
          <w:cantSplit w:val="0"/>
          <w:trHeight w:val="24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E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38,730</w:t>
            </w:r>
          </w:p>
        </w:tc>
      </w:tr>
      <w:tr>
        <w:trPr>
          <w:cantSplit w:val="0"/>
          <w:trHeight w:val="72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production costs</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E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E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72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F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materials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11,516.10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48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F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Direct labour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14,055.60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972"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F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Other variable expenses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6,868.50</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8">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24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F9">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A">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B">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32,440</w:t>
            </w:r>
          </w:p>
        </w:tc>
      </w:tr>
      <w:tr>
        <w:trPr>
          <w:cantSplit w:val="0"/>
          <w:trHeight w:val="72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FC">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D">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FE">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6,290</w:t>
            </w:r>
          </w:p>
        </w:tc>
      </w:tr>
      <w:tr>
        <w:trPr>
          <w:cantSplit w:val="0"/>
          <w:trHeight w:val="486"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FF">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0">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1">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r>
        <w:trPr>
          <w:cantSplit w:val="0"/>
          <w:trHeight w:val="72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102">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Overheads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3">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4">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11,991.60</w:t>
            </w:r>
          </w:p>
        </w:tc>
      </w:tr>
      <w:tr>
        <w:trPr>
          <w:cantSplit w:val="0"/>
          <w:trHeight w:val="243"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105">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6">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7">
            <w:pPr>
              <w:spacing w:after="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-5,702</w:t>
            </w:r>
          </w:p>
        </w:tc>
      </w:tr>
    </w:tbl>
    <w:p w:rsidR="00000000" w:rsidDel="00000000" w:rsidP="00000000" w:rsidRDefault="00000000" w:rsidRPr="00000000" w14:paraId="0000010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After stooping Mobile Beds production, the marginal costing statement for total production is calculated. Now it is found that after stopping Mobile Beds, total profit has been though negative it is negative profit has been lessening than previous total profit. before total profit was -£12,844 and now the total profit is -£5,702. </w:t>
      </w:r>
    </w:p>
    <w:p w:rsidR="00000000" w:rsidDel="00000000" w:rsidP="00000000" w:rsidRDefault="00000000" w:rsidRPr="00000000" w14:paraId="00000109">
      <w:pP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10A">
      <w:pPr>
        <w:spacing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Advise for MSG</w:t>
      </w:r>
    </w:p>
    <w:p w:rsidR="00000000" w:rsidDel="00000000" w:rsidP="00000000" w:rsidRDefault="00000000" w:rsidRPr="00000000" w14:paraId="0000010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MSG has been facing loss in its production, it has decided to stop Hoists and Mobile Beds production. Hoists production has profit but Hoists and Mobile Beds are generating losses. That's why MSG wants to stop these productions. The advice for MSG is to stop Hoists and Mobile Beds production if it wants to generate long-term profitability in its operation and sustainable growth. Because these unit productions have higher costs but lower sales per unit. So, if these productions are continued, it will face losses. So, MSG should generate more wheelchair unit productions and lower its per-unit costs to get long-term profitability and sustainable growth. MSG can increase its profitability by following some techniques. These are given below:</w:t>
      </w:r>
    </w:p>
    <w:p w:rsidR="00000000" w:rsidDel="00000000" w:rsidP="00000000" w:rsidRDefault="00000000" w:rsidRPr="00000000" w14:paraId="0000010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Selling more wheelchairs</w:t>
      </w:r>
      <w:r w:rsidDel="00000000" w:rsidR="00000000" w:rsidRPr="00000000">
        <w:rPr>
          <w:rtl w:val="0"/>
        </w:rPr>
      </w:r>
    </w:p>
    <w:p w:rsidR="00000000" w:rsidDel="00000000" w:rsidP="00000000" w:rsidRDefault="00000000" w:rsidRPr="00000000" w14:paraId="0000010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Increasing its per-unit sales price</w:t>
      </w:r>
      <w:r w:rsidDel="00000000" w:rsidR="00000000" w:rsidRPr="00000000">
        <w:rPr>
          <w:rtl w:val="0"/>
        </w:rPr>
      </w:r>
    </w:p>
    <w:p w:rsidR="00000000" w:rsidDel="00000000" w:rsidP="00000000" w:rsidRDefault="00000000" w:rsidRPr="00000000" w14:paraId="000001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Reducing its per-unit costs</w:t>
      </w:r>
      <w:r w:rsidDel="00000000" w:rsidR="00000000" w:rsidRPr="00000000">
        <w:rPr>
          <w:rtl w:val="0"/>
        </w:rPr>
      </w:r>
    </w:p>
    <w:p w:rsidR="00000000" w:rsidDel="00000000" w:rsidP="00000000" w:rsidRDefault="00000000" w:rsidRPr="00000000" w14:paraId="000001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Retaining customers rate</w:t>
      </w:r>
      <w:r w:rsidDel="00000000" w:rsidR="00000000" w:rsidRPr="00000000">
        <w:rPr>
          <w:rtl w:val="0"/>
        </w:rPr>
      </w:r>
    </w:p>
    <w:p w:rsidR="00000000" w:rsidDel="00000000" w:rsidP="00000000" w:rsidRDefault="00000000" w:rsidRPr="00000000" w14:paraId="000001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Increasing products’ efficiency</w:t>
      </w:r>
      <w:r w:rsidDel="00000000" w:rsidR="00000000" w:rsidRPr="00000000">
        <w:rPr>
          <w:rtl w:val="0"/>
        </w:rPr>
      </w:r>
    </w:p>
    <w:p w:rsidR="00000000" w:rsidDel="00000000" w:rsidP="00000000" w:rsidRDefault="00000000" w:rsidRPr="00000000" w14:paraId="0000011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MSG can follow qualitative issues to consider in deciding to cease the production of Hoists and Mobile Beds. MSG should increase products' efficiency and it should increase its product's design. It should also consider the negative impact of the products. It should consider other side effects of the products. </w:t>
      </w:r>
    </w:p>
    <w:p w:rsidR="00000000" w:rsidDel="00000000" w:rsidP="00000000" w:rsidRDefault="00000000" w:rsidRPr="00000000" w14:paraId="00000112">
      <w:pPr>
        <w:spacing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Break-even Point</w:t>
      </w:r>
    </w:p>
    <w:p w:rsidR="00000000" w:rsidDel="00000000" w:rsidP="00000000" w:rsidRDefault="00000000" w:rsidRPr="00000000" w14:paraId="0000011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break-even point is a method in management accounting which is used to calculate the point at which the total cost of the products and the total revenue of the products will be equal (</w:t>
      </w:r>
      <w:r w:rsidDel="00000000" w:rsidR="00000000" w:rsidRPr="00000000">
        <w:rPr>
          <w:rFonts w:ascii="Times New Roman" w:cs="Times New Roman" w:eastAsia="Times New Roman" w:hAnsi="Times New Roman"/>
          <w:color w:val="000000"/>
          <w:sz w:val="24"/>
          <w:szCs w:val="24"/>
          <w:highlight w:val="white"/>
          <w:rtl w:val="0"/>
        </w:rPr>
        <w:t xml:space="preserve">Langfield-Smith, Thorne, &amp; Hilton, 2018)</w:t>
      </w:r>
      <w:r w:rsidDel="00000000" w:rsidR="00000000" w:rsidRPr="00000000">
        <w:rPr>
          <w:rFonts w:ascii="Times New Roman" w:cs="Times New Roman" w:eastAsia="Times New Roman" w:hAnsi="Times New Roman"/>
          <w:color w:val="000000"/>
          <w:sz w:val="24"/>
          <w:szCs w:val="24"/>
          <w:rtl w:val="0"/>
        </w:rPr>
        <w:t xml:space="preserve">. It means that at this point, the business will not face any loss or gain. Each of the businesses wants to get to this point. </w:t>
      </w:r>
    </w:p>
    <w:tbl>
      <w:tblPr>
        <w:tblStyle w:val="Table8"/>
        <w:tblW w:w="87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985"/>
        <w:gridCol w:w="1246"/>
        <w:gridCol w:w="2492"/>
        <w:tblGridChange w:id="0">
          <w:tblGrid>
            <w:gridCol w:w="4985"/>
            <w:gridCol w:w="1246"/>
            <w:gridCol w:w="2492"/>
          </w:tblGrid>
        </w:tblGridChange>
      </w:tblGrid>
      <w:tr>
        <w:trPr>
          <w:cantSplit w:val="0"/>
          <w:trHeight w:val="265" w:hRule="atLeast"/>
          <w:tblHeader w:val="0"/>
        </w:trPr>
        <w:tc>
          <w:tcPr>
            <w:gridSpan w:val="2"/>
            <w:shd w:fill="auto" w:val="clear"/>
            <w:vAlign w:val="bottom"/>
          </w:tcPr>
          <w:p w:rsidR="00000000" w:rsidDel="00000000" w:rsidP="00000000" w:rsidRDefault="00000000" w:rsidRPr="00000000" w14:paraId="0000011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costs</w:t>
            </w:r>
          </w:p>
        </w:tc>
        <w:tc>
          <w:tcPr>
            <w:shd w:fill="auto" w:val="clear"/>
            <w:vAlign w:val="bottom"/>
          </w:tcPr>
          <w:p w:rsidR="00000000" w:rsidDel="00000000" w:rsidP="00000000" w:rsidRDefault="00000000" w:rsidRPr="00000000" w14:paraId="0000011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£11500</w:t>
            </w:r>
          </w:p>
        </w:tc>
      </w:tr>
      <w:tr>
        <w:trPr>
          <w:cantSplit w:val="0"/>
          <w:trHeight w:val="265" w:hRule="atLeast"/>
          <w:tblHeader w:val="0"/>
        </w:trPr>
        <w:tc>
          <w:tcPr>
            <w:shd w:fill="auto" w:val="clear"/>
            <w:vAlign w:val="bottom"/>
          </w:tcPr>
          <w:p w:rsidR="00000000" w:rsidDel="00000000" w:rsidP="00000000" w:rsidRDefault="00000000" w:rsidRPr="00000000" w14:paraId="0000011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w:t>
            </w:r>
          </w:p>
        </w:tc>
        <w:tc>
          <w:tcPr>
            <w:shd w:fill="auto" w:val="clear"/>
            <w:vAlign w:val="bottom"/>
          </w:tcPr>
          <w:p w:rsidR="00000000" w:rsidDel="00000000" w:rsidP="00000000" w:rsidRDefault="00000000" w:rsidRPr="00000000" w14:paraId="0000011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w:t>
            </w:r>
          </w:p>
        </w:tc>
        <w:tc>
          <w:tcPr>
            <w:shd w:fill="auto" w:val="clear"/>
            <w:vAlign w:val="bottom"/>
          </w:tcPr>
          <w:p w:rsidR="00000000" w:rsidDel="00000000" w:rsidP="00000000" w:rsidRDefault="00000000" w:rsidRPr="00000000" w14:paraId="00000119">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265" w:hRule="atLeast"/>
          <w:tblHeader w:val="0"/>
        </w:trPr>
        <w:tc>
          <w:tcPr>
            <w:shd w:fill="auto" w:val="clear"/>
            <w:vAlign w:val="bottom"/>
          </w:tcPr>
          <w:p w:rsidR="00000000" w:rsidDel="00000000" w:rsidP="00000000" w:rsidRDefault="00000000" w:rsidRPr="00000000" w14:paraId="0000011A">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costs</w:t>
            </w:r>
          </w:p>
        </w:tc>
        <w:tc>
          <w:tcPr>
            <w:shd w:fill="auto" w:val="clear"/>
            <w:vAlign w:val="bottom"/>
          </w:tcPr>
          <w:p w:rsidR="00000000" w:rsidDel="00000000" w:rsidP="00000000" w:rsidRDefault="00000000" w:rsidRPr="00000000" w14:paraId="0000011B">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w:t>
            </w:r>
          </w:p>
        </w:tc>
        <w:tc>
          <w:tcPr>
            <w:shd w:fill="auto" w:val="clear"/>
            <w:vAlign w:val="bottom"/>
          </w:tcPr>
          <w:p w:rsidR="00000000" w:rsidDel="00000000" w:rsidP="00000000" w:rsidRDefault="00000000" w:rsidRPr="00000000" w14:paraId="0000011C">
            <w:pPr>
              <w:spacing w:after="0"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265" w:hRule="atLeast"/>
          <w:tblHeader w:val="0"/>
        </w:trPr>
        <w:tc>
          <w:tcPr>
            <w:gridSpan w:val="2"/>
            <w:shd w:fill="auto" w:val="clear"/>
            <w:vAlign w:val="bottom"/>
          </w:tcPr>
          <w:p w:rsidR="00000000" w:rsidDel="00000000" w:rsidP="00000000" w:rsidRDefault="00000000" w:rsidRPr="00000000" w14:paraId="0000011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margin </w:t>
            </w:r>
          </w:p>
        </w:tc>
        <w:tc>
          <w:tcPr>
            <w:shd w:fill="auto" w:val="clear"/>
            <w:vAlign w:val="bottom"/>
          </w:tcPr>
          <w:p w:rsidR="00000000" w:rsidDel="00000000" w:rsidP="00000000" w:rsidRDefault="00000000" w:rsidRPr="00000000" w14:paraId="0000011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w:t>
            </w:r>
          </w:p>
        </w:tc>
      </w:tr>
      <w:tr>
        <w:trPr>
          <w:cantSplit w:val="0"/>
          <w:trHeight w:val="265" w:hRule="atLeast"/>
          <w:tblHeader w:val="0"/>
        </w:trPr>
        <w:tc>
          <w:tcPr>
            <w:gridSpan w:val="2"/>
            <w:shd w:fill="auto" w:val="clear"/>
            <w:vAlign w:val="bottom"/>
          </w:tcPr>
          <w:p w:rsidR="00000000" w:rsidDel="00000000" w:rsidP="00000000" w:rsidRDefault="00000000" w:rsidRPr="00000000" w14:paraId="0000012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Break-even point</w:t>
            </w:r>
          </w:p>
        </w:tc>
        <w:tc>
          <w:tcPr>
            <w:shd w:fill="auto" w:val="clear"/>
            <w:vAlign w:val="bottom"/>
          </w:tcPr>
          <w:p w:rsidR="00000000" w:rsidDel="00000000" w:rsidP="00000000" w:rsidRDefault="00000000" w:rsidRPr="00000000" w14:paraId="0000012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460</w:t>
            </w:r>
          </w:p>
        </w:tc>
      </w:tr>
    </w:tbl>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get the break-even point, it is necessary to follow the break-even point formula like (fixed costs/sales-variable costs). Following this formula, it is found that the break-even point is 460. So, 460 many plates should DelhiCorner sell to break even.</w:t>
      </w:r>
    </w:p>
    <w:tbl>
      <w:tblPr>
        <w:tblStyle w:val="Table9"/>
        <w:tblW w:w="817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35"/>
        <w:gridCol w:w="2536"/>
        <w:tblGridChange w:id="0">
          <w:tblGrid>
            <w:gridCol w:w="5635"/>
            <w:gridCol w:w="2536"/>
          </w:tblGrid>
        </w:tblGridChange>
      </w:tblGrid>
      <w:tr>
        <w:trPr>
          <w:cantSplit w:val="0"/>
          <w:trHeight w:val="266" w:hRule="atLeast"/>
          <w:tblHeader w:val="0"/>
        </w:trPr>
        <w:tc>
          <w:tcPr>
            <w:shd w:fill="auto" w:val="clear"/>
            <w:vAlign w:val="bottom"/>
          </w:tcPr>
          <w:p w:rsidR="00000000" w:rsidDel="00000000" w:rsidP="00000000" w:rsidRDefault="00000000" w:rsidRPr="00000000" w14:paraId="0000012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Revenue</w:t>
            </w:r>
          </w:p>
        </w:tc>
        <w:tc>
          <w:tcPr>
            <w:shd w:fill="auto" w:val="clear"/>
            <w:vAlign w:val="bottom"/>
          </w:tcPr>
          <w:p w:rsidR="00000000" w:rsidDel="00000000" w:rsidP="00000000" w:rsidRDefault="00000000" w:rsidRPr="00000000" w14:paraId="00000125">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£24000</w:t>
            </w:r>
          </w:p>
        </w:tc>
      </w:tr>
      <w:tr>
        <w:trPr>
          <w:cantSplit w:val="0"/>
          <w:trHeight w:val="266" w:hRule="atLeast"/>
          <w:tblHeader w:val="0"/>
        </w:trPr>
        <w:tc>
          <w:tcPr>
            <w:shd w:fill="auto" w:val="clear"/>
            <w:vAlign w:val="bottom"/>
          </w:tcPr>
          <w:p w:rsidR="00000000" w:rsidDel="00000000" w:rsidP="00000000" w:rsidRDefault="00000000" w:rsidRPr="00000000" w14:paraId="00000126">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Number of Units sold</w:t>
            </w:r>
          </w:p>
        </w:tc>
        <w:tc>
          <w:tcPr>
            <w:shd w:fill="auto" w:val="clear"/>
            <w:vAlign w:val="bottom"/>
          </w:tcPr>
          <w:p w:rsidR="00000000" w:rsidDel="00000000" w:rsidP="00000000" w:rsidRDefault="00000000" w:rsidRPr="00000000" w14:paraId="00000127">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370</w:t>
            </w:r>
          </w:p>
        </w:tc>
      </w:tr>
      <w:tr>
        <w:trPr>
          <w:cantSplit w:val="0"/>
          <w:trHeight w:val="266" w:hRule="atLeast"/>
          <w:tblHeader w:val="0"/>
        </w:trPr>
        <w:tc>
          <w:tcPr>
            <w:shd w:fill="auto" w:val="clear"/>
            <w:vAlign w:val="bottom"/>
          </w:tcPr>
          <w:p w:rsidR="00000000" w:rsidDel="00000000" w:rsidP="00000000" w:rsidRDefault="00000000" w:rsidRPr="00000000" w14:paraId="00000128">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 price per unit</w:t>
            </w:r>
          </w:p>
        </w:tc>
        <w:tc>
          <w:tcPr>
            <w:shd w:fill="auto" w:val="clear"/>
            <w:vAlign w:val="bottom"/>
          </w:tcPr>
          <w:p w:rsidR="00000000" w:rsidDel="00000000" w:rsidP="00000000" w:rsidRDefault="00000000" w:rsidRPr="00000000" w14:paraId="00000129">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65</w:t>
            </w:r>
          </w:p>
        </w:tc>
      </w:tr>
    </w:tbl>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£24,000 profit, the following formula is used. The formula is revenue = several units sold/sales price per unit. Following this formula, we get 370 units.</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370 many plates should be sold by DelhiCorner to make a profit of £24,000. </w:t>
      </w:r>
    </w:p>
    <w:tbl>
      <w:tblPr>
        <w:tblStyle w:val="Table10"/>
        <w:tblW w:w="641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64"/>
        <w:gridCol w:w="3149"/>
        <w:tblGridChange w:id="0">
          <w:tblGrid>
            <w:gridCol w:w="3264"/>
            <w:gridCol w:w="3149"/>
          </w:tblGrid>
        </w:tblGridChange>
      </w:tblGrid>
      <w:tr>
        <w:trPr>
          <w:cantSplit w:val="0"/>
          <w:trHeight w:val="200" w:hRule="atLeast"/>
          <w:tblHeader w:val="0"/>
        </w:trPr>
        <w:tc>
          <w:tcPr>
            <w:shd w:fill="auto" w:val="clear"/>
            <w:vAlign w:val="bottom"/>
          </w:tcPr>
          <w:p w:rsidR="00000000" w:rsidDel="00000000" w:rsidP="00000000" w:rsidRDefault="00000000" w:rsidRPr="00000000" w14:paraId="0000012C">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Revenue</w:t>
            </w:r>
          </w:p>
        </w:tc>
        <w:tc>
          <w:tcPr>
            <w:shd w:fill="auto" w:val="clear"/>
            <w:vAlign w:val="bottom"/>
          </w:tcPr>
          <w:p w:rsidR="00000000" w:rsidDel="00000000" w:rsidP="00000000" w:rsidRDefault="00000000" w:rsidRPr="00000000" w14:paraId="0000012D">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£53100</w:t>
            </w:r>
          </w:p>
        </w:tc>
      </w:tr>
      <w:tr>
        <w:trPr>
          <w:cantSplit w:val="0"/>
          <w:trHeight w:val="200" w:hRule="atLeast"/>
          <w:tblHeader w:val="0"/>
        </w:trPr>
        <w:tc>
          <w:tcPr>
            <w:shd w:fill="auto" w:val="clear"/>
            <w:vAlign w:val="bottom"/>
          </w:tcPr>
          <w:p w:rsidR="00000000" w:rsidDel="00000000" w:rsidP="00000000" w:rsidRDefault="00000000" w:rsidRPr="00000000" w14:paraId="0000012E">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variable costs </w:t>
            </w:r>
          </w:p>
        </w:tc>
        <w:tc>
          <w:tcPr>
            <w:shd w:fill="auto" w:val="clear"/>
            <w:vAlign w:val="bottom"/>
          </w:tcPr>
          <w:p w:rsidR="00000000" w:rsidDel="00000000" w:rsidP="00000000" w:rsidRDefault="00000000" w:rsidRPr="00000000" w14:paraId="0000012F">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£23400</w:t>
            </w:r>
          </w:p>
        </w:tc>
      </w:tr>
      <w:tr>
        <w:trPr>
          <w:cantSplit w:val="0"/>
          <w:trHeight w:val="200" w:hRule="atLeast"/>
          <w:tblHeader w:val="0"/>
        </w:trPr>
        <w:tc>
          <w:tcPr>
            <w:shd w:fill="auto" w:val="clear"/>
            <w:vAlign w:val="bottom"/>
          </w:tcPr>
          <w:p w:rsidR="00000000" w:rsidDel="00000000" w:rsidP="00000000" w:rsidRDefault="00000000" w:rsidRPr="00000000" w14:paraId="00000130">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fixed cost</w:t>
            </w:r>
          </w:p>
        </w:tc>
        <w:tc>
          <w:tcPr>
            <w:shd w:fill="auto" w:val="clear"/>
            <w:vAlign w:val="bottom"/>
          </w:tcPr>
          <w:p w:rsidR="00000000" w:rsidDel="00000000" w:rsidP="00000000" w:rsidRDefault="00000000" w:rsidRPr="00000000" w14:paraId="0000013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£11500</w:t>
            </w:r>
          </w:p>
        </w:tc>
      </w:tr>
      <w:tr>
        <w:trPr>
          <w:cantSplit w:val="0"/>
          <w:trHeight w:val="200" w:hRule="atLeast"/>
          <w:tblHeader w:val="0"/>
        </w:trPr>
        <w:tc>
          <w:tcPr>
            <w:shd w:fill="auto" w:val="clear"/>
            <w:vAlign w:val="bottom"/>
          </w:tcPr>
          <w:p w:rsidR="00000000" w:rsidDel="00000000" w:rsidP="00000000" w:rsidRDefault="00000000" w:rsidRPr="00000000" w14:paraId="0000013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profit</w:t>
            </w:r>
          </w:p>
        </w:tc>
        <w:tc>
          <w:tcPr>
            <w:shd w:fill="auto" w:val="clear"/>
            <w:vAlign w:val="bottom"/>
          </w:tcPr>
          <w:p w:rsidR="00000000" w:rsidDel="00000000" w:rsidP="00000000" w:rsidRDefault="00000000" w:rsidRPr="00000000" w14:paraId="00000133">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£18200</w:t>
            </w:r>
          </w:p>
        </w:tc>
      </w:tr>
    </w:tbl>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per unit are £65 and the total unit is 460. So, total sales are £29900. Here variable cost per unit is £40, so total variable costs will be £18400. Including additional £5000 advertising costs, the total cost will be £23400. </w:t>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get £18200 profit, it is necessary to have £53100.</w:t>
      </w:r>
    </w:p>
    <w:p w:rsidR="00000000" w:rsidDel="00000000" w:rsidP="00000000" w:rsidRDefault="00000000" w:rsidRPr="00000000" w14:paraId="0000013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Break-even analysis has some limitations. These are given below:</w:t>
      </w:r>
    </w:p>
    <w:p w:rsidR="00000000" w:rsidDel="00000000" w:rsidP="00000000" w:rsidRDefault="00000000" w:rsidRPr="00000000" w14:paraId="0000013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based on the assumption</w:t>
      </w:r>
      <w:r w:rsidDel="00000000" w:rsidR="00000000" w:rsidRPr="00000000">
        <w:rPr>
          <w:rtl w:val="0"/>
        </w:rPr>
      </w:r>
    </w:p>
    <w:p w:rsidR="00000000" w:rsidDel="00000000" w:rsidP="00000000" w:rsidRDefault="00000000" w:rsidRPr="00000000" w14:paraId="0000013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considers fixed costs constant</w:t>
      </w:r>
      <w:r w:rsidDel="00000000" w:rsidR="00000000" w:rsidRPr="00000000">
        <w:rPr>
          <w:rtl w:val="0"/>
        </w:rPr>
      </w:r>
    </w:p>
    <w:p w:rsidR="00000000" w:rsidDel="00000000" w:rsidP="00000000" w:rsidRDefault="00000000" w:rsidRPr="00000000" w14:paraId="0000013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Variable costs are proportionately varying</w:t>
      </w:r>
      <w:r w:rsidDel="00000000" w:rsidR="00000000" w:rsidRPr="00000000">
        <w:rPr>
          <w:rtl w:val="0"/>
        </w:rPr>
      </w:r>
    </w:p>
    <w:p w:rsidR="00000000" w:rsidDel="00000000" w:rsidP="00000000" w:rsidRDefault="00000000" w:rsidRPr="00000000" w14:paraId="0000013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Selling prices are unchanged</w:t>
      </w:r>
      <w:r w:rsidDel="00000000" w:rsidR="00000000" w:rsidRPr="00000000">
        <w:rPr>
          <w:rtl w:val="0"/>
        </w:rPr>
      </w:r>
    </w:p>
    <w:p w:rsidR="00000000" w:rsidDel="00000000" w:rsidP="00000000" w:rsidRDefault="00000000" w:rsidRPr="00000000" w14:paraId="0000013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conditions will not change</w:t>
      </w:r>
      <w:r w:rsidDel="00000000" w:rsidR="00000000" w:rsidRPr="00000000">
        <w:rPr>
          <w:rtl w:val="0"/>
        </w:rPr>
      </w:r>
    </w:p>
    <w:p w:rsidR="00000000" w:rsidDel="00000000" w:rsidP="00000000" w:rsidRDefault="00000000" w:rsidRPr="00000000" w14:paraId="000001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sales unit and production unit will be equal</w:t>
      </w:r>
      <w:r w:rsidDel="00000000" w:rsidR="00000000" w:rsidRPr="00000000">
        <w:rPr>
          <w:rtl w:val="0"/>
        </w:rPr>
      </w:r>
    </w:p>
    <w:p w:rsidR="00000000" w:rsidDel="00000000" w:rsidP="00000000" w:rsidRDefault="00000000" w:rsidRPr="00000000" w14:paraId="0000013F">
      <w:pPr>
        <w:spacing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Conclusion</w:t>
      </w:r>
    </w:p>
    <w:p w:rsidR="00000000" w:rsidDel="00000000" w:rsidP="00000000" w:rsidRDefault="00000000" w:rsidRPr="00000000" w14:paraId="00000140">
      <w:pPr>
        <w:spacing w:line="360" w:lineRule="auto"/>
        <w:jc w:val="both"/>
        <w:rPr>
          <w:rFonts w:ascii="Times New Roman" w:cs="Times New Roman" w:eastAsia="Times New Roman" w:hAnsi="Times New Roman"/>
          <w:color w:val="000000"/>
          <w:sz w:val="24"/>
          <w:szCs w:val="24"/>
        </w:rPr>
      </w:pPr>
      <w:bookmarkStart w:colFirst="0" w:colLast="0" w:name="_gjdgxs" w:id="0"/>
      <w:bookmarkEnd w:id="0"/>
      <w:r w:rsidDel="00000000" w:rsidR="00000000" w:rsidRPr="00000000">
        <w:rPr>
          <w:rFonts w:ascii="Times New Roman" w:cs="Times New Roman" w:eastAsia="Times New Roman" w:hAnsi="Times New Roman"/>
          <w:color w:val="000000"/>
          <w:sz w:val="24"/>
          <w:szCs w:val="24"/>
          <w:rtl w:val="0"/>
        </w:rPr>
        <w:t xml:space="preserve">Following marginal costing, the company can prepare its managerial profit. contribution margin can also be determined by following the marginal costing method. The break-even point though has some limitations, it is followed by the company to get a point at which the total costs and the total revenue of the products will be equal. If the organization reaches at break-even point, the organization will achieve its target and higher than break-even point will generate profit for the organization.</w:t>
      </w:r>
    </w:p>
    <w:p w:rsidR="00000000" w:rsidDel="00000000" w:rsidP="00000000" w:rsidRDefault="00000000" w:rsidRPr="00000000" w14:paraId="0000014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5">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6">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7">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8">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C">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D">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4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50">
      <w:pP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151">
      <w:pP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152">
      <w:pP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153">
      <w:pPr>
        <w:spacing w:line="360" w:lineRule="auto"/>
        <w:jc w:val="both"/>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References</w:t>
      </w:r>
    </w:p>
    <w:p w:rsidR="00000000" w:rsidDel="00000000" w:rsidP="00000000" w:rsidRDefault="00000000" w:rsidRPr="00000000" w14:paraId="00000154">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Ahrens, T., &amp; Chapman, C. S. (2017). Management accounting as practice. </w:t>
      </w:r>
      <w:r w:rsidDel="00000000" w:rsidR="00000000" w:rsidRPr="00000000">
        <w:rPr>
          <w:rFonts w:ascii="Times New Roman" w:cs="Times New Roman" w:eastAsia="Times New Roman" w:hAnsi="Times New Roman"/>
          <w:i w:val="1"/>
          <w:color w:val="000000"/>
          <w:sz w:val="24"/>
          <w:szCs w:val="24"/>
          <w:highlight w:val="white"/>
          <w:rtl w:val="0"/>
        </w:rPr>
        <w:t xml:space="preserve">Accounting, organizations and society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32</w:t>
      </w:r>
      <w:r w:rsidDel="00000000" w:rsidR="00000000" w:rsidRPr="00000000">
        <w:rPr>
          <w:rFonts w:ascii="Times New Roman" w:cs="Times New Roman" w:eastAsia="Times New Roman" w:hAnsi="Times New Roman"/>
          <w:color w:val="000000"/>
          <w:sz w:val="24"/>
          <w:szCs w:val="24"/>
          <w:highlight w:val="white"/>
          <w:rtl w:val="0"/>
        </w:rPr>
        <w:t xml:space="preserve">(1-2), 1-27.</w:t>
      </w:r>
    </w:p>
    <w:p w:rsidR="00000000" w:rsidDel="00000000" w:rsidP="00000000" w:rsidRDefault="00000000" w:rsidRPr="00000000" w14:paraId="00000155">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Alawattage, C., &amp; Wickramasinghe, D. (2012). </w:t>
      </w:r>
      <w:r w:rsidDel="00000000" w:rsidR="00000000" w:rsidRPr="00000000">
        <w:rPr>
          <w:rFonts w:ascii="Times New Roman" w:cs="Times New Roman" w:eastAsia="Times New Roman" w:hAnsi="Times New Roman"/>
          <w:i w:val="1"/>
          <w:color w:val="000000"/>
          <w:sz w:val="24"/>
          <w:szCs w:val="24"/>
          <w:highlight w:val="white"/>
          <w:rtl w:val="0"/>
        </w:rPr>
        <w:t xml:space="preserve">Management accounting change: approaches and perspectives</w:t>
      </w:r>
      <w:r w:rsidDel="00000000" w:rsidR="00000000" w:rsidRPr="00000000">
        <w:rPr>
          <w:rFonts w:ascii="Times New Roman" w:cs="Times New Roman" w:eastAsia="Times New Roman" w:hAnsi="Times New Roman"/>
          <w:color w:val="000000"/>
          <w:sz w:val="24"/>
          <w:szCs w:val="24"/>
          <w:highlight w:val="white"/>
          <w:rtl w:val="0"/>
        </w:rPr>
        <w:t xml:space="preserve">. Routledge.</w:t>
      </w:r>
    </w:p>
    <w:p w:rsidR="00000000" w:rsidDel="00000000" w:rsidP="00000000" w:rsidRDefault="00000000" w:rsidRPr="00000000" w14:paraId="00000156">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Bromwich, M., &amp; Bhimani, A. (2015). </w:t>
      </w:r>
      <w:r w:rsidDel="00000000" w:rsidR="00000000" w:rsidRPr="00000000">
        <w:rPr>
          <w:rFonts w:ascii="Times New Roman" w:cs="Times New Roman" w:eastAsia="Times New Roman" w:hAnsi="Times New Roman"/>
          <w:i w:val="1"/>
          <w:color w:val="000000"/>
          <w:sz w:val="24"/>
          <w:szCs w:val="24"/>
          <w:highlight w:val="white"/>
          <w:rtl w:val="0"/>
        </w:rPr>
        <w:t xml:space="preserve">Management accounting: Pathways to progress</w:t>
      </w:r>
      <w:r w:rsidDel="00000000" w:rsidR="00000000" w:rsidRPr="00000000">
        <w:rPr>
          <w:rFonts w:ascii="Times New Roman" w:cs="Times New Roman" w:eastAsia="Times New Roman" w:hAnsi="Times New Roman"/>
          <w:color w:val="000000"/>
          <w:sz w:val="24"/>
          <w:szCs w:val="24"/>
          <w:highlight w:val="white"/>
          <w:rtl w:val="0"/>
        </w:rPr>
        <w:t xml:space="preserve">. Cima publishing.</w:t>
      </w:r>
    </w:p>
    <w:p w:rsidR="00000000" w:rsidDel="00000000" w:rsidP="00000000" w:rsidRDefault="00000000" w:rsidRPr="00000000" w14:paraId="00000157">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Drury, C. (2018). </w:t>
      </w:r>
      <w:r w:rsidDel="00000000" w:rsidR="00000000" w:rsidRPr="00000000">
        <w:rPr>
          <w:rFonts w:ascii="Times New Roman" w:cs="Times New Roman" w:eastAsia="Times New Roman" w:hAnsi="Times New Roman"/>
          <w:i w:val="1"/>
          <w:color w:val="000000"/>
          <w:sz w:val="24"/>
          <w:szCs w:val="24"/>
          <w:highlight w:val="white"/>
          <w:rtl w:val="0"/>
        </w:rPr>
        <w:t xml:space="preserve">Cost and management accounting</w:t>
      </w:r>
      <w:r w:rsidDel="00000000" w:rsidR="00000000" w:rsidRPr="00000000">
        <w:rPr>
          <w:rFonts w:ascii="Times New Roman" w:cs="Times New Roman" w:eastAsia="Times New Roman" w:hAnsi="Times New Roman"/>
          <w:color w:val="000000"/>
          <w:sz w:val="24"/>
          <w:szCs w:val="24"/>
          <w:highlight w:val="white"/>
          <w:rtl w:val="0"/>
        </w:rPr>
        <w:t xml:space="preserve">. Belmont, CA, USA: Cengage Learning.</w:t>
      </w:r>
    </w:p>
    <w:p w:rsidR="00000000" w:rsidDel="00000000" w:rsidP="00000000" w:rsidRDefault="00000000" w:rsidRPr="00000000" w14:paraId="0000015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Jiambalvo, J., (2019). Managerial accounting. John Wiley &amp;amp; Sons.</w:t>
      </w:r>
    </w:p>
    <w:p w:rsidR="00000000" w:rsidDel="00000000" w:rsidP="00000000" w:rsidRDefault="00000000" w:rsidRPr="00000000" w14:paraId="00000159">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Langfield-Smith, K., Thorne, H., &amp; Hilton, R. W. (2018). </w:t>
      </w:r>
      <w:r w:rsidDel="00000000" w:rsidR="00000000" w:rsidRPr="00000000">
        <w:rPr>
          <w:rFonts w:ascii="Times New Roman" w:cs="Times New Roman" w:eastAsia="Times New Roman" w:hAnsi="Times New Roman"/>
          <w:i w:val="1"/>
          <w:color w:val="000000"/>
          <w:sz w:val="24"/>
          <w:szCs w:val="24"/>
          <w:highlight w:val="white"/>
          <w:rtl w:val="0"/>
        </w:rPr>
        <w:t xml:space="preserve">Management accounting: Information for creating and managing value</w:t>
      </w:r>
      <w:r w:rsidDel="00000000" w:rsidR="00000000" w:rsidRPr="00000000">
        <w:rPr>
          <w:rFonts w:ascii="Times New Roman" w:cs="Times New Roman" w:eastAsia="Times New Roman" w:hAnsi="Times New Roman"/>
          <w:color w:val="000000"/>
          <w:sz w:val="24"/>
          <w:szCs w:val="24"/>
          <w:highlight w:val="white"/>
          <w:rtl w:val="0"/>
        </w:rPr>
        <w:t xml:space="preserve">. Sydney: McGraw-Hill Education.</w:t>
      </w:r>
    </w:p>
    <w:p w:rsidR="00000000" w:rsidDel="00000000" w:rsidP="00000000" w:rsidRDefault="00000000" w:rsidRPr="00000000" w14:paraId="0000015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Ponisciakova, O., Gogolova, M. and Ivankova, K., (2015). Calculations in managerial accounting. Procedia Economics and Finance, 26, pp.431-437.</w:t>
      </w:r>
    </w:p>
    <w:p w:rsidR="00000000" w:rsidDel="00000000" w:rsidP="00000000" w:rsidRDefault="00000000" w:rsidRPr="00000000" w14:paraId="0000015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Quattrone, P., (2016). Management accounting goes digital: Will the move makes it wiser?. Management Accounting Research, 31, pp.118-122.</w:t>
      </w:r>
    </w:p>
    <w:p w:rsidR="00000000" w:rsidDel="00000000" w:rsidP="00000000" w:rsidRDefault="00000000" w:rsidRPr="00000000" w14:paraId="0000015C">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Weetman, P. (2019). </w:t>
      </w:r>
      <w:r w:rsidDel="00000000" w:rsidR="00000000" w:rsidRPr="00000000">
        <w:rPr>
          <w:rFonts w:ascii="Times New Roman" w:cs="Times New Roman" w:eastAsia="Times New Roman" w:hAnsi="Times New Roman"/>
          <w:i w:val="1"/>
          <w:color w:val="000000"/>
          <w:sz w:val="24"/>
          <w:szCs w:val="24"/>
          <w:highlight w:val="white"/>
          <w:rtl w:val="0"/>
        </w:rPr>
        <w:t xml:space="preserve">Financial and management accounting</w:t>
      </w:r>
      <w:r w:rsidDel="00000000" w:rsidR="00000000" w:rsidRPr="00000000">
        <w:rPr>
          <w:rFonts w:ascii="Times New Roman" w:cs="Times New Roman" w:eastAsia="Times New Roman" w:hAnsi="Times New Roman"/>
          <w:color w:val="000000"/>
          <w:sz w:val="24"/>
          <w:szCs w:val="24"/>
          <w:highlight w:val="white"/>
          <w:rtl w:val="0"/>
        </w:rPr>
        <w:t xml:space="preserve">. Pearson UK.</w:t>
      </w:r>
    </w:p>
    <w:sectPr>
      <w:headerReference r:id="rId6" w:type="default"/>
      <w:headerReference r:id="rId7" w:type="first"/>
      <w:headerReference r:id="rId8" w:type="even"/>
      <w:footerReference r:id="rId9" w:type="default"/>
      <w:footerReference r:id="rId10" w:type="first"/>
      <w:footerReference r:id="rId11"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6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2">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D">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