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8BE175" w14:textId="15041D72" w:rsidR="00FD7132" w:rsidRPr="00A12EE5" w:rsidRDefault="00FD7132" w:rsidP="0002291F">
      <w:pPr>
        <w:spacing w:after="0" w:line="240" w:lineRule="auto"/>
        <w:rPr>
          <w:rFonts w:ascii="Garamond" w:hAnsi="Garamond"/>
          <w:sz w:val="24"/>
          <w:szCs w:val="24"/>
        </w:rPr>
      </w:pPr>
      <w:r w:rsidRPr="00A12EE5">
        <w:rPr>
          <w:rFonts w:ascii="Garamond" w:hAnsi="Garamond"/>
          <w:sz w:val="24"/>
          <w:szCs w:val="24"/>
        </w:rPr>
        <w:t>Amber McCoy</w:t>
      </w:r>
      <w:r w:rsidR="00657C73">
        <w:rPr>
          <w:rFonts w:ascii="Garamond" w:hAnsi="Garamond"/>
          <w:sz w:val="24"/>
          <w:szCs w:val="24"/>
        </w:rPr>
        <w:t xml:space="preserve"> 1903487</w:t>
      </w:r>
    </w:p>
    <w:p w14:paraId="3EA53783" w14:textId="5F2B194F" w:rsidR="00FD7132" w:rsidRPr="00A12EE5" w:rsidRDefault="00FD7132" w:rsidP="0002291F">
      <w:pPr>
        <w:spacing w:after="0" w:line="240" w:lineRule="auto"/>
        <w:rPr>
          <w:rFonts w:ascii="Garamond" w:hAnsi="Garamond"/>
          <w:sz w:val="24"/>
          <w:szCs w:val="24"/>
        </w:rPr>
      </w:pPr>
      <w:r w:rsidRPr="00A12EE5">
        <w:rPr>
          <w:rFonts w:ascii="Garamond" w:hAnsi="Garamond"/>
          <w:sz w:val="24"/>
          <w:szCs w:val="24"/>
        </w:rPr>
        <w:t>Dr. Peter Mitchell</w:t>
      </w:r>
    </w:p>
    <w:p w14:paraId="1376D4E7" w14:textId="36713641" w:rsidR="00FD7132" w:rsidRPr="00A12EE5" w:rsidRDefault="00282727" w:rsidP="0002291F">
      <w:pPr>
        <w:spacing w:after="0" w:line="240" w:lineRule="auto"/>
        <w:rPr>
          <w:rFonts w:ascii="Garamond" w:hAnsi="Garamond"/>
          <w:sz w:val="24"/>
          <w:szCs w:val="24"/>
        </w:rPr>
      </w:pPr>
      <w:r w:rsidRPr="00A12EE5">
        <w:rPr>
          <w:rFonts w:ascii="Garamond" w:hAnsi="Garamond"/>
          <w:sz w:val="24"/>
          <w:szCs w:val="24"/>
        </w:rPr>
        <w:t>HPEN 6014</w:t>
      </w:r>
    </w:p>
    <w:p w14:paraId="303B3740" w14:textId="2C76F6E0" w:rsidR="00282727" w:rsidRPr="00A12EE5" w:rsidRDefault="00761FFD" w:rsidP="0002291F">
      <w:pPr>
        <w:spacing w:after="0" w:line="240" w:lineRule="auto"/>
        <w:rPr>
          <w:rFonts w:ascii="Garamond" w:hAnsi="Garamond"/>
          <w:sz w:val="24"/>
          <w:szCs w:val="24"/>
        </w:rPr>
      </w:pPr>
      <w:r w:rsidRPr="00A12EE5">
        <w:rPr>
          <w:rFonts w:ascii="Garamond" w:hAnsi="Garamond"/>
          <w:sz w:val="24"/>
          <w:szCs w:val="24"/>
        </w:rPr>
        <w:t>November 15/2019</w:t>
      </w:r>
    </w:p>
    <w:p w14:paraId="6AE9B774" w14:textId="77777777" w:rsidR="0002291F" w:rsidRPr="00A12EE5" w:rsidRDefault="0002291F" w:rsidP="0002291F">
      <w:pPr>
        <w:spacing w:after="0" w:line="240" w:lineRule="auto"/>
        <w:rPr>
          <w:rFonts w:ascii="Garamond" w:hAnsi="Garamond"/>
          <w:sz w:val="24"/>
          <w:szCs w:val="24"/>
        </w:rPr>
      </w:pPr>
    </w:p>
    <w:p w14:paraId="6B8E3B31" w14:textId="77777777" w:rsidR="00236745" w:rsidRPr="00092A86" w:rsidRDefault="00A74B55" w:rsidP="00761FFD">
      <w:pPr>
        <w:spacing w:after="0" w:line="480" w:lineRule="auto"/>
        <w:jc w:val="center"/>
        <w:rPr>
          <w:rFonts w:ascii="Garamond" w:hAnsi="Garamond"/>
          <w:b/>
          <w:bCs/>
          <w:sz w:val="24"/>
          <w:szCs w:val="24"/>
        </w:rPr>
      </w:pPr>
      <w:r w:rsidRPr="00092A86">
        <w:rPr>
          <w:rFonts w:ascii="Garamond" w:hAnsi="Garamond"/>
          <w:b/>
          <w:bCs/>
          <w:sz w:val="24"/>
          <w:szCs w:val="24"/>
        </w:rPr>
        <w:t xml:space="preserve">The Importance of What is Not Said in </w:t>
      </w:r>
      <w:r w:rsidR="00236745" w:rsidRPr="00092A86">
        <w:rPr>
          <w:rFonts w:ascii="Garamond" w:hAnsi="Garamond"/>
          <w:b/>
          <w:bCs/>
          <w:sz w:val="24"/>
          <w:szCs w:val="24"/>
        </w:rPr>
        <w:t xml:space="preserve">Edgar Allan </w:t>
      </w:r>
      <w:r w:rsidRPr="00092A86">
        <w:rPr>
          <w:rFonts w:ascii="Garamond" w:hAnsi="Garamond"/>
          <w:b/>
          <w:bCs/>
          <w:sz w:val="24"/>
          <w:szCs w:val="24"/>
        </w:rPr>
        <w:t xml:space="preserve">Poe’s </w:t>
      </w:r>
    </w:p>
    <w:p w14:paraId="07D3EC52" w14:textId="235E1667" w:rsidR="00A74B55" w:rsidRPr="00092A86" w:rsidRDefault="00A74B55" w:rsidP="00761FFD">
      <w:pPr>
        <w:spacing w:after="0" w:line="480" w:lineRule="auto"/>
        <w:jc w:val="center"/>
        <w:rPr>
          <w:rFonts w:ascii="Garamond" w:hAnsi="Garamond"/>
          <w:b/>
          <w:bCs/>
          <w:sz w:val="24"/>
          <w:szCs w:val="24"/>
        </w:rPr>
      </w:pPr>
      <w:r w:rsidRPr="00092A86">
        <w:rPr>
          <w:rFonts w:ascii="Garamond" w:hAnsi="Garamond"/>
          <w:b/>
          <w:bCs/>
          <w:sz w:val="24"/>
          <w:szCs w:val="24"/>
        </w:rPr>
        <w:t xml:space="preserve">“The Black Cat” and </w:t>
      </w:r>
      <w:r w:rsidR="00236745" w:rsidRPr="00092A86">
        <w:rPr>
          <w:rFonts w:ascii="Garamond" w:hAnsi="Garamond"/>
          <w:b/>
          <w:bCs/>
          <w:sz w:val="24"/>
          <w:szCs w:val="24"/>
        </w:rPr>
        <w:t xml:space="preserve">E. T. A. </w:t>
      </w:r>
      <w:r w:rsidRPr="00092A86">
        <w:rPr>
          <w:rFonts w:ascii="Garamond" w:hAnsi="Garamond"/>
          <w:b/>
          <w:bCs/>
          <w:sz w:val="24"/>
          <w:szCs w:val="24"/>
        </w:rPr>
        <w:t>Hoffmann’s “The Sandman”</w:t>
      </w:r>
    </w:p>
    <w:p w14:paraId="788EC411" w14:textId="1B18C20C" w:rsidR="00A74B55" w:rsidRDefault="00A74B55" w:rsidP="00761FFD">
      <w:pPr>
        <w:spacing w:after="0" w:line="480" w:lineRule="auto"/>
        <w:ind w:firstLine="720"/>
        <w:rPr>
          <w:rFonts w:ascii="Garamond" w:hAnsi="Garamond"/>
          <w:sz w:val="24"/>
          <w:szCs w:val="24"/>
        </w:rPr>
      </w:pPr>
      <w:r w:rsidRPr="00A12EE5">
        <w:rPr>
          <w:rFonts w:ascii="Garamond" w:hAnsi="Garamond"/>
          <w:sz w:val="24"/>
          <w:szCs w:val="24"/>
        </w:rPr>
        <w:t xml:space="preserve">She cradled the pears he insistently offered in the palm of her hand; disgust overwhelmed her. Often meaning is hidden in the way </w:t>
      </w:r>
      <w:r w:rsidR="00230B3F">
        <w:rPr>
          <w:rFonts w:ascii="Garamond" w:hAnsi="Garamond"/>
          <w:sz w:val="24"/>
          <w:szCs w:val="24"/>
        </w:rPr>
        <w:t>we do not say things</w:t>
      </w:r>
      <w:r w:rsidRPr="00A12EE5">
        <w:rPr>
          <w:rFonts w:ascii="Garamond" w:hAnsi="Garamond"/>
          <w:sz w:val="24"/>
          <w:szCs w:val="24"/>
        </w:rPr>
        <w:t xml:space="preserve">. The sentence above could easily be understood as a woman who hates pears. It may as well, however, be understood as a woman who has experienced sexual assault and is being reminded of it through the action of a man </w:t>
      </w:r>
      <w:r w:rsidR="001F1989">
        <w:rPr>
          <w:rFonts w:ascii="Garamond" w:hAnsi="Garamond"/>
          <w:sz w:val="24"/>
          <w:szCs w:val="24"/>
        </w:rPr>
        <w:t>‘</w:t>
      </w:r>
      <w:r w:rsidRPr="00A12EE5">
        <w:rPr>
          <w:rFonts w:ascii="Garamond" w:hAnsi="Garamond"/>
          <w:sz w:val="24"/>
          <w:szCs w:val="24"/>
        </w:rPr>
        <w:t>insistently offer[ing]</w:t>
      </w:r>
      <w:r w:rsidR="001F1989">
        <w:rPr>
          <w:rFonts w:ascii="Garamond" w:hAnsi="Garamond"/>
          <w:sz w:val="24"/>
          <w:szCs w:val="24"/>
        </w:rPr>
        <w:t>’</w:t>
      </w:r>
      <w:r w:rsidRPr="00A12EE5">
        <w:rPr>
          <w:rFonts w:ascii="Garamond" w:hAnsi="Garamond"/>
          <w:sz w:val="24"/>
          <w:szCs w:val="24"/>
        </w:rPr>
        <w:t xml:space="preserve"> his </w:t>
      </w:r>
      <w:r w:rsidR="001F1989">
        <w:rPr>
          <w:rFonts w:ascii="Garamond" w:hAnsi="Garamond"/>
          <w:sz w:val="24"/>
          <w:szCs w:val="24"/>
        </w:rPr>
        <w:t>‘</w:t>
      </w:r>
      <w:r w:rsidRPr="00A12EE5">
        <w:rPr>
          <w:rFonts w:ascii="Garamond" w:hAnsi="Garamond"/>
          <w:sz w:val="24"/>
          <w:szCs w:val="24"/>
        </w:rPr>
        <w:t>pears</w:t>
      </w:r>
      <w:r w:rsidR="001F1989">
        <w:rPr>
          <w:rFonts w:ascii="Garamond" w:hAnsi="Garamond"/>
          <w:sz w:val="24"/>
          <w:szCs w:val="24"/>
        </w:rPr>
        <w:t>’</w:t>
      </w:r>
      <w:r w:rsidRPr="00A12EE5">
        <w:rPr>
          <w:rFonts w:ascii="Garamond" w:hAnsi="Garamond"/>
          <w:sz w:val="24"/>
          <w:szCs w:val="24"/>
        </w:rPr>
        <w:t xml:space="preserve">. This is given by the words chosen, context, and the space offered to readers to interpret. Gestures and actions, within literature and life, give hints to meaning. The way which something is not said can sometimes be more powerful than </w:t>
      </w:r>
      <w:r w:rsidR="008A3557">
        <w:rPr>
          <w:rFonts w:ascii="Garamond" w:hAnsi="Garamond"/>
          <w:sz w:val="24"/>
          <w:szCs w:val="24"/>
        </w:rPr>
        <w:t xml:space="preserve">giving </w:t>
      </w:r>
      <w:r w:rsidRPr="00A12EE5">
        <w:rPr>
          <w:rFonts w:ascii="Garamond" w:hAnsi="Garamond"/>
          <w:sz w:val="24"/>
          <w:szCs w:val="24"/>
        </w:rPr>
        <w:t xml:space="preserve">the strict facts about a situation. Terry Eagleton states that ‘all literary works contain one or more sub-texts, and there is a sense in which they may be spoken of as the “unconscious” of the work itself. The work’s insights, as with all writing, are deeply related to its blindnesses: what it does not say, and </w:t>
      </w:r>
      <w:r w:rsidRPr="00A12EE5">
        <w:rPr>
          <w:rFonts w:ascii="Garamond" w:hAnsi="Garamond"/>
          <w:i/>
          <w:iCs/>
          <w:sz w:val="24"/>
          <w:szCs w:val="24"/>
        </w:rPr>
        <w:t>how</w:t>
      </w:r>
      <w:r w:rsidRPr="00A12EE5">
        <w:rPr>
          <w:rFonts w:ascii="Garamond" w:hAnsi="Garamond"/>
          <w:sz w:val="24"/>
          <w:szCs w:val="24"/>
        </w:rPr>
        <w:t xml:space="preserve"> it does not say it, may be as important as what it articulates: what seems absent, marginal, or ambivalent about it may provide a clue to its meanings.’</w:t>
      </w:r>
      <w:r w:rsidR="00F63D01">
        <w:rPr>
          <w:rStyle w:val="FootnoteReference"/>
          <w:rFonts w:ascii="Garamond" w:hAnsi="Garamond"/>
          <w:sz w:val="24"/>
          <w:szCs w:val="24"/>
        </w:rPr>
        <w:footnoteReference w:id="1"/>
      </w:r>
      <w:r w:rsidRPr="00A12EE5">
        <w:rPr>
          <w:rFonts w:ascii="Garamond" w:hAnsi="Garamond"/>
          <w:sz w:val="24"/>
          <w:szCs w:val="24"/>
        </w:rPr>
        <w:t xml:space="preserve"> This “unconscious” of a work may be understood as </w:t>
      </w:r>
      <w:r w:rsidR="00337436">
        <w:rPr>
          <w:rFonts w:ascii="Garamond" w:hAnsi="Garamond"/>
          <w:sz w:val="24"/>
          <w:szCs w:val="24"/>
        </w:rPr>
        <w:t xml:space="preserve">the hidden meaning which gives us </w:t>
      </w:r>
      <w:r w:rsidRPr="00A12EE5">
        <w:rPr>
          <w:rFonts w:ascii="Garamond" w:hAnsi="Garamond"/>
          <w:sz w:val="24"/>
          <w:szCs w:val="24"/>
        </w:rPr>
        <w:t xml:space="preserve">the instantaneous emotions we receive after reading a piece. Often, </w:t>
      </w:r>
      <w:r w:rsidR="00B737DD">
        <w:rPr>
          <w:rFonts w:ascii="Garamond" w:hAnsi="Garamond"/>
          <w:sz w:val="24"/>
          <w:szCs w:val="24"/>
        </w:rPr>
        <w:t xml:space="preserve">it may </w:t>
      </w:r>
      <w:r w:rsidRPr="00A12EE5">
        <w:rPr>
          <w:rFonts w:ascii="Garamond" w:hAnsi="Garamond"/>
          <w:sz w:val="24"/>
          <w:szCs w:val="24"/>
        </w:rPr>
        <w:t xml:space="preserve">feel as though there is something that </w:t>
      </w:r>
      <w:r w:rsidR="00B737DD">
        <w:rPr>
          <w:rFonts w:ascii="Garamond" w:hAnsi="Garamond"/>
          <w:sz w:val="24"/>
          <w:szCs w:val="24"/>
        </w:rPr>
        <w:t xml:space="preserve">has been </w:t>
      </w:r>
      <w:r w:rsidRPr="00A12EE5">
        <w:rPr>
          <w:rFonts w:ascii="Garamond" w:hAnsi="Garamond"/>
          <w:sz w:val="24"/>
          <w:szCs w:val="24"/>
        </w:rPr>
        <w:t xml:space="preserve">missed. When read through again, </w:t>
      </w:r>
      <w:r w:rsidR="00B737DD">
        <w:rPr>
          <w:rFonts w:ascii="Garamond" w:hAnsi="Garamond"/>
          <w:sz w:val="24"/>
          <w:szCs w:val="24"/>
        </w:rPr>
        <w:t xml:space="preserve">readers may </w:t>
      </w:r>
      <w:r w:rsidRPr="00A12EE5">
        <w:rPr>
          <w:rFonts w:ascii="Garamond" w:hAnsi="Garamond"/>
          <w:sz w:val="24"/>
          <w:szCs w:val="24"/>
        </w:rPr>
        <w:t xml:space="preserve">pick up on things the author has left out: why did a character take this action? Who is the narrator? What purpose did this discussion have on the characters? Once these questions are brought to the forefront of one’s mind, evidence can be searched for to answer them. Sometimes the evidence is simply what is not stated and how characters have reacted to these things being absent. New </w:t>
      </w:r>
      <w:r w:rsidRPr="00A12EE5">
        <w:rPr>
          <w:rFonts w:ascii="Garamond" w:hAnsi="Garamond"/>
          <w:sz w:val="24"/>
          <w:szCs w:val="24"/>
        </w:rPr>
        <w:lastRenderedPageBreak/>
        <w:t xml:space="preserve">interpretations can then arise from the words on the page, the words missing, and the meaning we fit in </w:t>
      </w:r>
      <w:r w:rsidR="004C7F10">
        <w:rPr>
          <w:rFonts w:ascii="Garamond" w:hAnsi="Garamond"/>
          <w:sz w:val="24"/>
          <w:szCs w:val="24"/>
        </w:rPr>
        <w:t>between</w:t>
      </w:r>
      <w:r w:rsidRPr="00A12EE5">
        <w:rPr>
          <w:rFonts w:ascii="Garamond" w:hAnsi="Garamond"/>
          <w:sz w:val="24"/>
          <w:szCs w:val="24"/>
        </w:rPr>
        <w:t>.</w:t>
      </w:r>
      <w:r w:rsidR="00C3734B">
        <w:rPr>
          <w:rFonts w:ascii="Garamond" w:hAnsi="Garamond"/>
          <w:sz w:val="24"/>
          <w:szCs w:val="24"/>
        </w:rPr>
        <w:t xml:space="preserve"> In order to highlight this idea, I will be looking closely at Edgar Allan Poe’s “The Black Cat”</w:t>
      </w:r>
      <w:r w:rsidR="00663F8A">
        <w:rPr>
          <w:rStyle w:val="FootnoteReference"/>
          <w:rFonts w:ascii="Garamond" w:hAnsi="Garamond"/>
          <w:sz w:val="24"/>
          <w:szCs w:val="24"/>
        </w:rPr>
        <w:footnoteReference w:id="2"/>
      </w:r>
      <w:r w:rsidR="00C3734B">
        <w:rPr>
          <w:rFonts w:ascii="Garamond" w:hAnsi="Garamond"/>
          <w:sz w:val="24"/>
          <w:szCs w:val="24"/>
        </w:rPr>
        <w:t xml:space="preserve"> and E. T. A. Hoffmann’s “The Sandman”</w:t>
      </w:r>
      <w:r w:rsidR="00663F8A">
        <w:rPr>
          <w:rStyle w:val="FootnoteReference"/>
          <w:rFonts w:ascii="Garamond" w:hAnsi="Garamond"/>
          <w:sz w:val="24"/>
          <w:szCs w:val="24"/>
        </w:rPr>
        <w:footnoteReference w:id="3"/>
      </w:r>
      <w:r w:rsidR="0016341F">
        <w:rPr>
          <w:rFonts w:ascii="Garamond" w:hAnsi="Garamond"/>
          <w:sz w:val="24"/>
          <w:szCs w:val="24"/>
        </w:rPr>
        <w:t>. Through the lens of others’ interpretations</w:t>
      </w:r>
      <w:r w:rsidR="000178BD">
        <w:rPr>
          <w:rFonts w:ascii="Garamond" w:hAnsi="Garamond"/>
          <w:sz w:val="24"/>
          <w:szCs w:val="24"/>
        </w:rPr>
        <w:t>,</w:t>
      </w:r>
      <w:r w:rsidR="00037510">
        <w:rPr>
          <w:rFonts w:ascii="Garamond" w:hAnsi="Garamond"/>
          <w:sz w:val="24"/>
          <w:szCs w:val="24"/>
        </w:rPr>
        <w:t xml:space="preserve"> </w:t>
      </w:r>
      <w:r w:rsidR="0016341F">
        <w:rPr>
          <w:rFonts w:ascii="Garamond" w:hAnsi="Garamond"/>
          <w:sz w:val="24"/>
          <w:szCs w:val="24"/>
        </w:rPr>
        <w:t xml:space="preserve">I will discuss the ways in which these authors have generated </w:t>
      </w:r>
      <w:r w:rsidR="0016341F" w:rsidRPr="009F0C08">
        <w:rPr>
          <w:rFonts w:ascii="Garamond" w:hAnsi="Garamond"/>
          <w:i/>
          <w:iCs/>
          <w:sz w:val="24"/>
          <w:szCs w:val="24"/>
        </w:rPr>
        <w:t>meaning</w:t>
      </w:r>
      <w:r w:rsidR="0016341F">
        <w:rPr>
          <w:rFonts w:ascii="Garamond" w:hAnsi="Garamond"/>
          <w:sz w:val="24"/>
          <w:szCs w:val="24"/>
        </w:rPr>
        <w:t xml:space="preserve"> </w:t>
      </w:r>
      <w:r w:rsidR="00855C11">
        <w:rPr>
          <w:rFonts w:ascii="Garamond" w:hAnsi="Garamond"/>
          <w:sz w:val="24"/>
          <w:szCs w:val="24"/>
        </w:rPr>
        <w:t>by purposefully leaving out specific information</w:t>
      </w:r>
      <w:r w:rsidR="009F0C08">
        <w:rPr>
          <w:rFonts w:ascii="Garamond" w:hAnsi="Garamond"/>
          <w:sz w:val="24"/>
          <w:szCs w:val="24"/>
        </w:rPr>
        <w:t>.</w:t>
      </w:r>
      <w:r w:rsidRPr="00A12EE5">
        <w:rPr>
          <w:rFonts w:ascii="Garamond" w:hAnsi="Garamond"/>
          <w:sz w:val="24"/>
          <w:szCs w:val="24"/>
        </w:rPr>
        <w:t xml:space="preserve"> Although studying the information given to readers is important in understanding the story of a piece, looking at the ways in which the author withholds information is important in finding possible hidden meanings of texts.</w:t>
      </w:r>
    </w:p>
    <w:p w14:paraId="51F7ACC2" w14:textId="77957EF3" w:rsidR="00BD2D8D" w:rsidRDefault="00D75BAE" w:rsidP="00477336">
      <w:pPr>
        <w:spacing w:after="0" w:line="480" w:lineRule="auto"/>
        <w:ind w:firstLine="720"/>
        <w:rPr>
          <w:rFonts w:ascii="Garamond" w:hAnsi="Garamond"/>
          <w:sz w:val="24"/>
          <w:szCs w:val="24"/>
        </w:rPr>
      </w:pPr>
      <w:r>
        <w:rPr>
          <w:rFonts w:ascii="Garamond" w:hAnsi="Garamond"/>
          <w:sz w:val="24"/>
          <w:szCs w:val="24"/>
        </w:rPr>
        <w:t xml:space="preserve">In this essay there will be an emphasis on </w:t>
      </w:r>
      <w:r w:rsidR="00B90814">
        <w:rPr>
          <w:rFonts w:ascii="Garamond" w:hAnsi="Garamond"/>
          <w:sz w:val="24"/>
          <w:szCs w:val="24"/>
        </w:rPr>
        <w:t>specific interpretations of both “The Black Cat” and “The Sandman” in order to</w:t>
      </w:r>
      <w:r w:rsidR="004B7517">
        <w:rPr>
          <w:rFonts w:ascii="Garamond" w:hAnsi="Garamond"/>
          <w:sz w:val="24"/>
          <w:szCs w:val="24"/>
        </w:rPr>
        <w:t xml:space="preserve"> highlight the idea that pieces of work hold hidden meanings through what they do not say. </w:t>
      </w:r>
      <w:r w:rsidR="006A5DD3">
        <w:rPr>
          <w:rFonts w:ascii="Garamond" w:hAnsi="Garamond"/>
          <w:sz w:val="24"/>
          <w:szCs w:val="24"/>
        </w:rPr>
        <w:t>Susan Amper</w:t>
      </w:r>
      <w:r w:rsidR="00671F81">
        <w:rPr>
          <w:rFonts w:ascii="Garamond" w:hAnsi="Garamond"/>
          <w:sz w:val="24"/>
          <w:szCs w:val="24"/>
        </w:rPr>
        <w:t>,</w:t>
      </w:r>
      <w:r w:rsidR="006A5DD3">
        <w:rPr>
          <w:rFonts w:ascii="Garamond" w:hAnsi="Garamond"/>
          <w:sz w:val="24"/>
          <w:szCs w:val="24"/>
        </w:rPr>
        <w:t xml:space="preserve"> in her article </w:t>
      </w:r>
      <w:r w:rsidR="00671F81">
        <w:rPr>
          <w:rFonts w:ascii="Garamond" w:hAnsi="Garamond"/>
          <w:sz w:val="24"/>
          <w:szCs w:val="24"/>
        </w:rPr>
        <w:t xml:space="preserve">‘Untold Story: The Lying Narrator in “The Black Cat”’, argues </w:t>
      </w:r>
      <w:r w:rsidR="007237EA">
        <w:rPr>
          <w:rFonts w:ascii="Garamond" w:hAnsi="Garamond"/>
          <w:sz w:val="24"/>
          <w:szCs w:val="24"/>
        </w:rPr>
        <w:t>that the</w:t>
      </w:r>
      <w:r w:rsidR="005A4218">
        <w:rPr>
          <w:rFonts w:ascii="Garamond" w:hAnsi="Garamond"/>
          <w:sz w:val="24"/>
          <w:szCs w:val="24"/>
        </w:rPr>
        <w:t xml:space="preserve"> narrator is fabricating the supernatural elements of the story in order to displace his guil</w:t>
      </w:r>
      <w:r w:rsidR="006A709B">
        <w:rPr>
          <w:rFonts w:ascii="Garamond" w:hAnsi="Garamond"/>
          <w:sz w:val="24"/>
          <w:szCs w:val="24"/>
        </w:rPr>
        <w:t>t of the murder of his wife</w:t>
      </w:r>
      <w:r w:rsidR="00EE58E3">
        <w:rPr>
          <w:rFonts w:ascii="Garamond" w:hAnsi="Garamond"/>
          <w:sz w:val="24"/>
          <w:szCs w:val="24"/>
        </w:rPr>
        <w:t>; s</w:t>
      </w:r>
      <w:r w:rsidR="004B7C9B">
        <w:rPr>
          <w:rFonts w:ascii="Garamond" w:hAnsi="Garamond"/>
          <w:sz w:val="24"/>
          <w:szCs w:val="24"/>
        </w:rPr>
        <w:t xml:space="preserve">he brings </w:t>
      </w:r>
      <w:r w:rsidR="00033573">
        <w:rPr>
          <w:rFonts w:ascii="Garamond" w:hAnsi="Garamond"/>
          <w:sz w:val="24"/>
          <w:szCs w:val="24"/>
        </w:rPr>
        <w:t xml:space="preserve">to </w:t>
      </w:r>
      <w:r w:rsidR="004B7C9B">
        <w:rPr>
          <w:rFonts w:ascii="Garamond" w:hAnsi="Garamond"/>
          <w:sz w:val="24"/>
          <w:szCs w:val="24"/>
        </w:rPr>
        <w:t>attention details the narrator withholds</w:t>
      </w:r>
      <w:r w:rsidR="001761AF">
        <w:rPr>
          <w:rFonts w:ascii="Garamond" w:hAnsi="Garamond"/>
          <w:sz w:val="24"/>
          <w:szCs w:val="24"/>
        </w:rPr>
        <w:t>,</w:t>
      </w:r>
      <w:r w:rsidR="00055983">
        <w:rPr>
          <w:rFonts w:ascii="Garamond" w:hAnsi="Garamond"/>
          <w:sz w:val="24"/>
          <w:szCs w:val="24"/>
        </w:rPr>
        <w:t xml:space="preserve"> while also </w:t>
      </w:r>
      <w:r w:rsidR="0081449A">
        <w:rPr>
          <w:rFonts w:ascii="Garamond" w:hAnsi="Garamond"/>
          <w:sz w:val="24"/>
          <w:szCs w:val="24"/>
        </w:rPr>
        <w:t>stressing</w:t>
      </w:r>
      <w:r w:rsidR="00055983">
        <w:rPr>
          <w:rFonts w:ascii="Garamond" w:hAnsi="Garamond"/>
          <w:sz w:val="24"/>
          <w:szCs w:val="24"/>
        </w:rPr>
        <w:t xml:space="preserve"> the logical ways which the supernatural details the narrator does give can be explained</w:t>
      </w:r>
      <w:r w:rsidR="00DF07C6">
        <w:rPr>
          <w:rFonts w:ascii="Garamond" w:hAnsi="Garamond"/>
          <w:sz w:val="24"/>
          <w:szCs w:val="24"/>
        </w:rPr>
        <w:t xml:space="preserve"> in more believable terms.</w:t>
      </w:r>
      <w:r w:rsidR="009D7514">
        <w:rPr>
          <w:rStyle w:val="FootnoteReference"/>
          <w:rFonts w:ascii="Garamond" w:hAnsi="Garamond"/>
          <w:sz w:val="24"/>
          <w:szCs w:val="24"/>
        </w:rPr>
        <w:footnoteReference w:id="4"/>
      </w:r>
      <w:r w:rsidR="00DF07C6">
        <w:rPr>
          <w:rFonts w:ascii="Garamond" w:hAnsi="Garamond"/>
          <w:sz w:val="24"/>
          <w:szCs w:val="24"/>
        </w:rPr>
        <w:t xml:space="preserve"> </w:t>
      </w:r>
      <w:r w:rsidR="009A0455">
        <w:rPr>
          <w:rFonts w:ascii="Garamond" w:hAnsi="Garamond"/>
          <w:sz w:val="24"/>
          <w:szCs w:val="24"/>
        </w:rPr>
        <w:t xml:space="preserve">Perhaps supplementing this idea is </w:t>
      </w:r>
      <w:r w:rsidR="004728DB">
        <w:rPr>
          <w:rFonts w:ascii="Garamond" w:hAnsi="Garamond"/>
          <w:sz w:val="24"/>
          <w:szCs w:val="24"/>
        </w:rPr>
        <w:t xml:space="preserve">Magdalen Wing-chi Ki’s </w:t>
      </w:r>
      <w:r w:rsidR="00E93D6B">
        <w:rPr>
          <w:rFonts w:ascii="Garamond" w:hAnsi="Garamond"/>
          <w:sz w:val="24"/>
          <w:szCs w:val="24"/>
        </w:rPr>
        <w:t>observation that the story is written in first person</w:t>
      </w:r>
      <w:r w:rsidR="00325012">
        <w:rPr>
          <w:rFonts w:ascii="Garamond" w:hAnsi="Garamond"/>
          <w:sz w:val="24"/>
          <w:szCs w:val="24"/>
        </w:rPr>
        <w:t>; Poe may be inviting readers to realize that the entirety of the narrative is under the manipulation of</w:t>
      </w:r>
      <w:r w:rsidR="0099588D">
        <w:rPr>
          <w:rFonts w:ascii="Garamond" w:hAnsi="Garamond"/>
          <w:sz w:val="24"/>
          <w:szCs w:val="24"/>
        </w:rPr>
        <w:t xml:space="preserve"> a </w:t>
      </w:r>
      <w:r w:rsidR="00325012">
        <w:rPr>
          <w:rFonts w:ascii="Garamond" w:hAnsi="Garamond"/>
          <w:sz w:val="24"/>
          <w:szCs w:val="24"/>
        </w:rPr>
        <w:t>man who committed murder.</w:t>
      </w:r>
      <w:r w:rsidR="00EE58E3">
        <w:rPr>
          <w:rStyle w:val="FootnoteReference"/>
          <w:rFonts w:ascii="Garamond" w:hAnsi="Garamond"/>
          <w:sz w:val="24"/>
          <w:szCs w:val="24"/>
        </w:rPr>
        <w:footnoteReference w:id="5"/>
      </w:r>
      <w:r w:rsidR="00633015">
        <w:rPr>
          <w:rFonts w:ascii="Garamond" w:hAnsi="Garamond"/>
          <w:sz w:val="24"/>
          <w:szCs w:val="24"/>
        </w:rPr>
        <w:t xml:space="preserve"> Ki also brings to light an awareness of the passivity of the black cat</w:t>
      </w:r>
      <w:r w:rsidR="0081449A">
        <w:rPr>
          <w:rFonts w:ascii="Garamond" w:hAnsi="Garamond"/>
          <w:sz w:val="24"/>
          <w:szCs w:val="24"/>
        </w:rPr>
        <w:t xml:space="preserve"> itself</w:t>
      </w:r>
      <w:r w:rsidR="003A2095">
        <w:rPr>
          <w:rFonts w:ascii="Garamond" w:hAnsi="Garamond"/>
          <w:sz w:val="24"/>
          <w:szCs w:val="24"/>
        </w:rPr>
        <w:t xml:space="preserve">. </w:t>
      </w:r>
      <w:r w:rsidR="00C46D9C">
        <w:rPr>
          <w:rFonts w:ascii="Garamond" w:hAnsi="Garamond"/>
          <w:sz w:val="24"/>
          <w:szCs w:val="24"/>
        </w:rPr>
        <w:t>Althoug</w:t>
      </w:r>
      <w:r w:rsidR="00BC0C60">
        <w:rPr>
          <w:rFonts w:ascii="Garamond" w:hAnsi="Garamond"/>
          <w:sz w:val="24"/>
          <w:szCs w:val="24"/>
        </w:rPr>
        <w:t xml:space="preserve">h it is simply existing, this existence </w:t>
      </w:r>
      <w:r w:rsidR="00633014">
        <w:rPr>
          <w:rFonts w:ascii="Garamond" w:hAnsi="Garamond"/>
          <w:sz w:val="24"/>
          <w:szCs w:val="24"/>
        </w:rPr>
        <w:t>ends up being the downfall of the narrator. Passivity is still an activity o</w:t>
      </w:r>
      <w:r w:rsidR="00300A00">
        <w:rPr>
          <w:rFonts w:ascii="Garamond" w:hAnsi="Garamond"/>
          <w:sz w:val="24"/>
          <w:szCs w:val="24"/>
        </w:rPr>
        <w:t xml:space="preserve">f its own </w:t>
      </w:r>
      <w:proofErr w:type="gramStart"/>
      <w:r w:rsidR="00300A00">
        <w:rPr>
          <w:rFonts w:ascii="Garamond" w:hAnsi="Garamond"/>
          <w:sz w:val="24"/>
          <w:szCs w:val="24"/>
        </w:rPr>
        <w:t>being</w:t>
      </w:r>
      <w:r w:rsidR="00947CD1">
        <w:rPr>
          <w:rFonts w:ascii="Garamond" w:hAnsi="Garamond"/>
          <w:sz w:val="24"/>
          <w:szCs w:val="24"/>
        </w:rPr>
        <w:t>,</w:t>
      </w:r>
      <w:r w:rsidR="00300A00">
        <w:rPr>
          <w:rFonts w:ascii="Garamond" w:hAnsi="Garamond"/>
          <w:sz w:val="24"/>
          <w:szCs w:val="24"/>
        </w:rPr>
        <w:t xml:space="preserve"> and</w:t>
      </w:r>
      <w:proofErr w:type="gramEnd"/>
      <w:r w:rsidR="00300A00">
        <w:rPr>
          <w:rFonts w:ascii="Garamond" w:hAnsi="Garamond"/>
          <w:sz w:val="24"/>
          <w:szCs w:val="24"/>
        </w:rPr>
        <w:t xml:space="preserve"> may bring with it new experiences</w:t>
      </w:r>
      <w:r w:rsidR="004B7467">
        <w:rPr>
          <w:rFonts w:ascii="Garamond" w:hAnsi="Garamond"/>
          <w:sz w:val="24"/>
          <w:szCs w:val="24"/>
        </w:rPr>
        <w:t>.</w:t>
      </w:r>
      <w:r w:rsidR="004B7467">
        <w:rPr>
          <w:rStyle w:val="FootnoteReference"/>
          <w:rFonts w:ascii="Garamond" w:hAnsi="Garamond"/>
          <w:sz w:val="24"/>
          <w:szCs w:val="24"/>
        </w:rPr>
        <w:footnoteReference w:id="6"/>
      </w:r>
      <w:r w:rsidR="004B7467">
        <w:rPr>
          <w:rFonts w:ascii="Garamond" w:hAnsi="Garamond"/>
          <w:sz w:val="24"/>
          <w:szCs w:val="24"/>
        </w:rPr>
        <w:t xml:space="preserve"> </w:t>
      </w:r>
      <w:r w:rsidR="00276260">
        <w:rPr>
          <w:rFonts w:ascii="Garamond" w:hAnsi="Garamond"/>
          <w:sz w:val="24"/>
          <w:szCs w:val="24"/>
        </w:rPr>
        <w:t xml:space="preserve">A kind of passivity can also be recognized </w:t>
      </w:r>
      <w:r w:rsidR="007A0632">
        <w:rPr>
          <w:rFonts w:ascii="Garamond" w:hAnsi="Garamond"/>
          <w:sz w:val="24"/>
          <w:szCs w:val="24"/>
        </w:rPr>
        <w:t xml:space="preserve">within the automaton Olympia </w:t>
      </w:r>
      <w:r w:rsidR="00276260">
        <w:rPr>
          <w:rFonts w:ascii="Garamond" w:hAnsi="Garamond"/>
          <w:sz w:val="24"/>
          <w:szCs w:val="24"/>
        </w:rPr>
        <w:t>in the story of “The Sandman”.</w:t>
      </w:r>
      <w:r w:rsidR="00477336">
        <w:rPr>
          <w:rFonts w:ascii="Garamond" w:hAnsi="Garamond"/>
          <w:sz w:val="24"/>
          <w:szCs w:val="24"/>
        </w:rPr>
        <w:t xml:space="preserve"> </w:t>
      </w:r>
      <w:r w:rsidR="00EA1843">
        <w:rPr>
          <w:rFonts w:ascii="Garamond" w:hAnsi="Garamond"/>
          <w:sz w:val="24"/>
          <w:szCs w:val="24"/>
        </w:rPr>
        <w:t xml:space="preserve">Elizabeth Purcell </w:t>
      </w:r>
      <w:r w:rsidR="00CC0580">
        <w:rPr>
          <w:rFonts w:ascii="Garamond" w:hAnsi="Garamond"/>
          <w:sz w:val="24"/>
          <w:szCs w:val="24"/>
        </w:rPr>
        <w:t xml:space="preserve">discusses </w:t>
      </w:r>
      <w:r w:rsidR="00AE5EB4">
        <w:rPr>
          <w:rFonts w:ascii="Garamond" w:hAnsi="Garamond"/>
          <w:sz w:val="24"/>
          <w:szCs w:val="24"/>
        </w:rPr>
        <w:t xml:space="preserve">the ways in which Nathaniel may begin questioning his own humanness </w:t>
      </w:r>
      <w:r w:rsidR="008A045E">
        <w:rPr>
          <w:rFonts w:ascii="Garamond" w:hAnsi="Garamond"/>
          <w:sz w:val="24"/>
          <w:szCs w:val="24"/>
        </w:rPr>
        <w:t xml:space="preserve">because of his experiences </w:t>
      </w:r>
      <w:r w:rsidR="00477336">
        <w:rPr>
          <w:rFonts w:ascii="Garamond" w:hAnsi="Garamond"/>
          <w:sz w:val="24"/>
          <w:szCs w:val="24"/>
        </w:rPr>
        <w:t xml:space="preserve">throughout the </w:t>
      </w:r>
      <w:r w:rsidR="00477336">
        <w:rPr>
          <w:rFonts w:ascii="Garamond" w:hAnsi="Garamond"/>
          <w:sz w:val="24"/>
          <w:szCs w:val="24"/>
        </w:rPr>
        <w:lastRenderedPageBreak/>
        <w:t>story</w:t>
      </w:r>
      <w:r w:rsidR="0019569A">
        <w:rPr>
          <w:rFonts w:ascii="Garamond" w:hAnsi="Garamond"/>
          <w:sz w:val="24"/>
          <w:szCs w:val="24"/>
        </w:rPr>
        <w:t>, although this is not determinately stated by the author</w:t>
      </w:r>
      <w:r w:rsidR="00477336">
        <w:rPr>
          <w:rFonts w:ascii="Garamond" w:hAnsi="Garamond"/>
          <w:sz w:val="24"/>
          <w:szCs w:val="24"/>
        </w:rPr>
        <w:t>.</w:t>
      </w:r>
      <w:r w:rsidR="00DE6885">
        <w:rPr>
          <w:rStyle w:val="FootnoteReference"/>
          <w:rFonts w:ascii="Garamond" w:hAnsi="Garamond"/>
          <w:sz w:val="24"/>
          <w:szCs w:val="24"/>
        </w:rPr>
        <w:footnoteReference w:id="7"/>
      </w:r>
      <w:r w:rsidR="00477336">
        <w:rPr>
          <w:rFonts w:ascii="Garamond" w:hAnsi="Garamond"/>
          <w:sz w:val="24"/>
          <w:szCs w:val="24"/>
        </w:rPr>
        <w:t xml:space="preserve"> </w:t>
      </w:r>
      <w:r w:rsidR="00927BE9">
        <w:rPr>
          <w:rFonts w:ascii="Garamond" w:hAnsi="Garamond"/>
          <w:sz w:val="24"/>
          <w:szCs w:val="24"/>
        </w:rPr>
        <w:t xml:space="preserve">As readers we experience </w:t>
      </w:r>
      <w:r w:rsidR="002D522B">
        <w:rPr>
          <w:rFonts w:ascii="Garamond" w:hAnsi="Garamond"/>
          <w:sz w:val="24"/>
          <w:szCs w:val="24"/>
        </w:rPr>
        <w:t>a type of jarring from this non-iterated state of being. A</w:t>
      </w:r>
      <w:r w:rsidR="008F429B">
        <w:rPr>
          <w:rFonts w:ascii="Garamond" w:hAnsi="Garamond"/>
          <w:sz w:val="24"/>
          <w:szCs w:val="24"/>
        </w:rPr>
        <w:t xml:space="preserve">s </w:t>
      </w:r>
      <w:r w:rsidR="007B7658">
        <w:rPr>
          <w:rFonts w:ascii="Garamond" w:hAnsi="Garamond"/>
          <w:sz w:val="24"/>
          <w:szCs w:val="24"/>
        </w:rPr>
        <w:t>highlighted by Neil Hertz, readers experience a lag in our understanding of the text as we can not quite grasp whether</w:t>
      </w:r>
      <w:r w:rsidR="0019569A">
        <w:rPr>
          <w:rFonts w:ascii="Garamond" w:hAnsi="Garamond"/>
          <w:sz w:val="24"/>
          <w:szCs w:val="24"/>
        </w:rPr>
        <w:t xml:space="preserve"> or not the writing is “real” or “fictitious”</w:t>
      </w:r>
      <w:r w:rsidR="002D522B">
        <w:rPr>
          <w:rFonts w:ascii="Garamond" w:hAnsi="Garamond"/>
          <w:sz w:val="24"/>
          <w:szCs w:val="24"/>
        </w:rPr>
        <w:t xml:space="preserve"> because of the way in which it has been presented</w:t>
      </w:r>
      <w:r w:rsidR="0019569A">
        <w:rPr>
          <w:rFonts w:ascii="Garamond" w:hAnsi="Garamond"/>
          <w:sz w:val="24"/>
          <w:szCs w:val="24"/>
        </w:rPr>
        <w:t>.</w:t>
      </w:r>
      <w:r w:rsidR="00A559D3">
        <w:rPr>
          <w:rStyle w:val="FootnoteReference"/>
          <w:rFonts w:ascii="Garamond" w:hAnsi="Garamond"/>
          <w:sz w:val="24"/>
          <w:szCs w:val="24"/>
        </w:rPr>
        <w:footnoteReference w:id="8"/>
      </w:r>
      <w:r w:rsidR="0019569A">
        <w:rPr>
          <w:rFonts w:ascii="Garamond" w:hAnsi="Garamond"/>
          <w:sz w:val="24"/>
          <w:szCs w:val="24"/>
        </w:rPr>
        <w:t xml:space="preserve"> </w:t>
      </w:r>
      <w:r w:rsidR="009A0F43">
        <w:rPr>
          <w:rFonts w:ascii="Garamond" w:hAnsi="Garamond"/>
          <w:sz w:val="24"/>
          <w:szCs w:val="24"/>
        </w:rPr>
        <w:t>By looking at the gaps or the way in which information has been presented</w:t>
      </w:r>
      <w:r w:rsidR="00FB4956">
        <w:rPr>
          <w:rFonts w:ascii="Garamond" w:hAnsi="Garamond"/>
          <w:sz w:val="24"/>
          <w:szCs w:val="24"/>
        </w:rPr>
        <w:t>,</w:t>
      </w:r>
      <w:r w:rsidR="0058610D">
        <w:rPr>
          <w:rFonts w:ascii="Garamond" w:hAnsi="Garamond"/>
          <w:sz w:val="24"/>
          <w:szCs w:val="24"/>
        </w:rPr>
        <w:t xml:space="preserve"> </w:t>
      </w:r>
      <w:r w:rsidR="00FB4956">
        <w:rPr>
          <w:rFonts w:ascii="Garamond" w:hAnsi="Garamond"/>
          <w:sz w:val="24"/>
          <w:szCs w:val="24"/>
        </w:rPr>
        <w:t>readers are able to fill in the</w:t>
      </w:r>
      <w:r w:rsidR="0058610D">
        <w:rPr>
          <w:rFonts w:ascii="Garamond" w:hAnsi="Garamond"/>
          <w:sz w:val="24"/>
          <w:szCs w:val="24"/>
        </w:rPr>
        <w:t xml:space="preserve"> sense of not-quite-there-ness</w:t>
      </w:r>
      <w:r w:rsidR="00FB4956">
        <w:rPr>
          <w:rFonts w:ascii="Garamond" w:hAnsi="Garamond"/>
          <w:sz w:val="24"/>
          <w:szCs w:val="24"/>
        </w:rPr>
        <w:t xml:space="preserve"> with the space that the author has left for interpretation. </w:t>
      </w:r>
    </w:p>
    <w:p w14:paraId="2AAAB238" w14:textId="72891CE2" w:rsidR="005F62C1" w:rsidRDefault="00B541F7" w:rsidP="005F62C1">
      <w:pPr>
        <w:spacing w:after="0" w:line="480" w:lineRule="auto"/>
        <w:ind w:firstLine="720"/>
        <w:rPr>
          <w:rFonts w:ascii="Garamond" w:hAnsi="Garamond"/>
          <w:sz w:val="24"/>
          <w:szCs w:val="24"/>
        </w:rPr>
      </w:pPr>
      <w:r>
        <w:rPr>
          <w:rFonts w:ascii="Garamond" w:hAnsi="Garamond"/>
          <w:sz w:val="24"/>
          <w:szCs w:val="24"/>
        </w:rPr>
        <w:t>The</w:t>
      </w:r>
      <w:r w:rsidR="007A4026">
        <w:rPr>
          <w:rFonts w:ascii="Garamond" w:hAnsi="Garamond"/>
          <w:sz w:val="24"/>
          <w:szCs w:val="24"/>
        </w:rPr>
        <w:t xml:space="preserve"> narrator of “The Black Cat” </w:t>
      </w:r>
      <w:r>
        <w:rPr>
          <w:rFonts w:ascii="Garamond" w:hAnsi="Garamond"/>
          <w:sz w:val="24"/>
          <w:szCs w:val="24"/>
        </w:rPr>
        <w:t>may be embellishing his story to shift blame away from himself for the murder of his wife</w:t>
      </w:r>
      <w:r w:rsidR="00C813EA">
        <w:rPr>
          <w:rFonts w:ascii="Garamond" w:hAnsi="Garamond"/>
          <w:sz w:val="24"/>
          <w:szCs w:val="24"/>
        </w:rPr>
        <w:t xml:space="preserve"> as a way of defence against being hung to death.</w:t>
      </w:r>
      <w:r w:rsidR="005F62C1">
        <w:rPr>
          <w:rFonts w:ascii="Garamond" w:hAnsi="Garamond"/>
          <w:sz w:val="24"/>
          <w:szCs w:val="24"/>
        </w:rPr>
        <w:t xml:space="preserve"> Amper calls attention to the narrator’s subconscious, and how it ‘drives him against his will to reveal the hiding place, so does it cause him to plant in his story telltale clues that disclose his guilty secret.’</w:t>
      </w:r>
      <w:r w:rsidR="00A559D3">
        <w:rPr>
          <w:rStyle w:val="FootnoteReference"/>
          <w:rFonts w:ascii="Garamond" w:hAnsi="Garamond"/>
          <w:sz w:val="24"/>
          <w:szCs w:val="24"/>
        </w:rPr>
        <w:footnoteReference w:id="9"/>
      </w:r>
      <w:r w:rsidR="005F62C1">
        <w:rPr>
          <w:rFonts w:ascii="Garamond" w:hAnsi="Garamond"/>
          <w:sz w:val="24"/>
          <w:szCs w:val="24"/>
        </w:rPr>
        <w:t xml:space="preserve"> This secret being that the actual murder of his wife was when he describes how he killed Pluto, their cat</w:t>
      </w:r>
      <w:r w:rsidR="00847FCE">
        <w:rPr>
          <w:rFonts w:ascii="Garamond" w:hAnsi="Garamond"/>
          <w:sz w:val="24"/>
          <w:szCs w:val="24"/>
        </w:rPr>
        <w:t>; Pluto is then determinately the same cat as the second, simply with a burned chest from the earlier house fire</w:t>
      </w:r>
      <w:r w:rsidR="005F62C1">
        <w:rPr>
          <w:rFonts w:ascii="Garamond" w:hAnsi="Garamond"/>
          <w:sz w:val="24"/>
          <w:szCs w:val="24"/>
        </w:rPr>
        <w:t xml:space="preserve">. </w:t>
      </w:r>
      <w:r w:rsidR="00847FCE">
        <w:rPr>
          <w:rFonts w:ascii="Garamond" w:hAnsi="Garamond"/>
          <w:sz w:val="24"/>
          <w:szCs w:val="24"/>
        </w:rPr>
        <w:t xml:space="preserve">Later in her essay Amper makes an insightful observation </w:t>
      </w:r>
      <w:r w:rsidR="00CC730F">
        <w:rPr>
          <w:rFonts w:ascii="Garamond" w:hAnsi="Garamond"/>
          <w:sz w:val="24"/>
          <w:szCs w:val="24"/>
        </w:rPr>
        <w:t>about the way the narrator describes the murder of his wife:</w:t>
      </w:r>
    </w:p>
    <w:p w14:paraId="37027310" w14:textId="38858721" w:rsidR="00CC730F" w:rsidRDefault="00CC730F" w:rsidP="00CC730F">
      <w:pPr>
        <w:spacing w:after="0" w:line="480" w:lineRule="auto"/>
        <w:ind w:left="851" w:right="851"/>
        <w:mirrorIndents/>
        <w:rPr>
          <w:rFonts w:ascii="Garamond" w:hAnsi="Garamond"/>
          <w:sz w:val="24"/>
          <w:szCs w:val="24"/>
        </w:rPr>
      </w:pPr>
      <w:r>
        <w:rPr>
          <w:rFonts w:ascii="Garamond" w:hAnsi="Garamond"/>
          <w:sz w:val="24"/>
          <w:szCs w:val="24"/>
        </w:rPr>
        <w:t xml:space="preserve">The seemingly awkward passive, “this blow was arrested by the hand of my wife,” slyly suggests volition – and even life – without expressing any. The gruesome, “I … buried the axe in her brain” neatly avoids claiming that this blow </w:t>
      </w:r>
      <w:proofErr w:type="gramStart"/>
      <w:r>
        <w:rPr>
          <w:rFonts w:ascii="Garamond" w:hAnsi="Garamond"/>
          <w:sz w:val="24"/>
          <w:szCs w:val="24"/>
        </w:rPr>
        <w:t>actually killed</w:t>
      </w:r>
      <w:proofErr w:type="gramEnd"/>
      <w:r>
        <w:rPr>
          <w:rFonts w:ascii="Garamond" w:hAnsi="Garamond"/>
          <w:sz w:val="24"/>
          <w:szCs w:val="24"/>
        </w:rPr>
        <w:t xml:space="preserve"> the woman. And the statement that she </w:t>
      </w:r>
      <w:proofErr w:type="gramStart"/>
      <w:r>
        <w:rPr>
          <w:rFonts w:ascii="Garamond" w:hAnsi="Garamond"/>
          <w:sz w:val="24"/>
          <w:szCs w:val="24"/>
        </w:rPr>
        <w:t>fell</w:t>
      </w:r>
      <w:proofErr w:type="gramEnd"/>
      <w:r>
        <w:rPr>
          <w:rFonts w:ascii="Garamond" w:hAnsi="Garamond"/>
          <w:sz w:val="24"/>
          <w:szCs w:val="24"/>
        </w:rPr>
        <w:t xml:space="preserve"> dead “without a groan,” turns out to be not a cliché, but a black joke. (The narrator offers another version of the same joke in the preceding paragraph, when, referring to his increasingly violent </w:t>
      </w:r>
      <w:r>
        <w:rPr>
          <w:rFonts w:ascii="Garamond" w:hAnsi="Garamond"/>
          <w:sz w:val="24"/>
          <w:szCs w:val="24"/>
        </w:rPr>
        <w:lastRenderedPageBreak/>
        <w:t>behaviour, he observes that his “uncomplaining wife, alas, was the most usual and the most patient of sufferers”.)</w:t>
      </w:r>
      <w:r w:rsidR="00A559D3">
        <w:rPr>
          <w:rStyle w:val="FootnoteReference"/>
          <w:rFonts w:ascii="Garamond" w:hAnsi="Garamond"/>
          <w:sz w:val="24"/>
          <w:szCs w:val="24"/>
        </w:rPr>
        <w:footnoteReference w:id="10"/>
      </w:r>
    </w:p>
    <w:p w14:paraId="06331C85" w14:textId="2F433861" w:rsidR="00CC730F" w:rsidRDefault="00CC730F" w:rsidP="002815CB">
      <w:pPr>
        <w:spacing w:after="0" w:line="480" w:lineRule="auto"/>
        <w:mirrorIndents/>
        <w:rPr>
          <w:rFonts w:ascii="Garamond" w:hAnsi="Garamond"/>
          <w:sz w:val="24"/>
          <w:szCs w:val="24"/>
        </w:rPr>
      </w:pPr>
      <w:r>
        <w:rPr>
          <w:rFonts w:ascii="Garamond" w:hAnsi="Garamond"/>
          <w:sz w:val="24"/>
          <w:szCs w:val="24"/>
        </w:rPr>
        <w:t xml:space="preserve">With this interpretation in mind, we can see </w:t>
      </w:r>
      <w:r w:rsidR="007150C6">
        <w:rPr>
          <w:rFonts w:ascii="Garamond" w:hAnsi="Garamond"/>
          <w:sz w:val="24"/>
          <w:szCs w:val="24"/>
        </w:rPr>
        <w:t>other</w:t>
      </w:r>
      <w:r>
        <w:rPr>
          <w:rFonts w:ascii="Garamond" w:hAnsi="Garamond"/>
          <w:sz w:val="24"/>
          <w:szCs w:val="24"/>
        </w:rPr>
        <w:t xml:space="preserve"> instances of the </w:t>
      </w:r>
      <w:r w:rsidR="006B152B">
        <w:rPr>
          <w:rFonts w:ascii="Garamond" w:hAnsi="Garamond"/>
          <w:sz w:val="24"/>
          <w:szCs w:val="24"/>
        </w:rPr>
        <w:t xml:space="preserve">narrator twisting words or using </w:t>
      </w:r>
      <w:r w:rsidR="002815CB">
        <w:rPr>
          <w:rFonts w:ascii="Garamond" w:hAnsi="Garamond"/>
          <w:sz w:val="24"/>
          <w:szCs w:val="24"/>
        </w:rPr>
        <w:t>words with equivocal meanings to tell the story in the way he wants the authorities to understand it. One instance is when the narrator cunningly mentions the ‘popular notion</w:t>
      </w:r>
      <w:r w:rsidR="000A1E9F">
        <w:rPr>
          <w:rFonts w:ascii="Garamond" w:hAnsi="Garamond"/>
          <w:sz w:val="24"/>
          <w:szCs w:val="24"/>
        </w:rPr>
        <w:t>,</w:t>
      </w:r>
      <w:r w:rsidR="002815CB">
        <w:rPr>
          <w:rFonts w:ascii="Garamond" w:hAnsi="Garamond"/>
          <w:sz w:val="24"/>
          <w:szCs w:val="24"/>
        </w:rPr>
        <w:t xml:space="preserve"> which regarded all black cats as witches in disguise’</w:t>
      </w:r>
      <w:r w:rsidR="007150C6">
        <w:rPr>
          <w:rFonts w:ascii="Garamond" w:hAnsi="Garamond"/>
          <w:sz w:val="24"/>
          <w:szCs w:val="24"/>
        </w:rPr>
        <w:t xml:space="preserve"> </w:t>
      </w:r>
      <w:r w:rsidR="002815CB">
        <w:rPr>
          <w:rFonts w:ascii="Garamond" w:hAnsi="Garamond"/>
          <w:sz w:val="24"/>
          <w:szCs w:val="24"/>
        </w:rPr>
        <w:t>and then goes on to say that he only mentions it because he happened to remember it</w:t>
      </w:r>
      <w:r w:rsidR="000A1E9F">
        <w:rPr>
          <w:rFonts w:ascii="Garamond" w:hAnsi="Garamond"/>
          <w:sz w:val="24"/>
          <w:szCs w:val="24"/>
        </w:rPr>
        <w:t>.</w:t>
      </w:r>
      <w:r w:rsidR="000A1E9F">
        <w:rPr>
          <w:rStyle w:val="FootnoteReference"/>
          <w:rFonts w:ascii="Garamond" w:hAnsi="Garamond"/>
          <w:sz w:val="24"/>
          <w:szCs w:val="24"/>
        </w:rPr>
        <w:footnoteReference w:id="11"/>
      </w:r>
      <w:r w:rsidR="000A1E9F">
        <w:rPr>
          <w:rFonts w:ascii="Garamond" w:hAnsi="Garamond"/>
          <w:sz w:val="24"/>
          <w:szCs w:val="24"/>
        </w:rPr>
        <w:t xml:space="preserve"> </w:t>
      </w:r>
      <w:r w:rsidR="002815CB">
        <w:rPr>
          <w:rFonts w:ascii="Garamond" w:hAnsi="Garamond"/>
          <w:sz w:val="24"/>
          <w:szCs w:val="24"/>
        </w:rPr>
        <w:t xml:space="preserve">The narrator is intentionally planting bugs in the ears of readers to manipulate their perceptions unconsciously by slipping in supposedly meaningless facts. </w:t>
      </w:r>
      <w:r w:rsidR="007150C6">
        <w:rPr>
          <w:rFonts w:ascii="Garamond" w:hAnsi="Garamond"/>
          <w:sz w:val="24"/>
          <w:szCs w:val="24"/>
        </w:rPr>
        <w:t>Although he does not outwardly state that he is guilty, the way in which he is speaking and presenting his story leads to suspicion of his character. If someone truly accidentally murdered their wife in such a way, surely they would not be manipulatively planting ideas in readers’ minds</w:t>
      </w:r>
      <w:r w:rsidR="00BC1D04">
        <w:rPr>
          <w:rFonts w:ascii="Garamond" w:hAnsi="Garamond"/>
          <w:sz w:val="24"/>
          <w:szCs w:val="24"/>
        </w:rPr>
        <w:t xml:space="preserve"> to twist their perceptions. </w:t>
      </w:r>
    </w:p>
    <w:p w14:paraId="1AA86787" w14:textId="03BF3815" w:rsidR="00DB0BC6" w:rsidRDefault="00B4658F" w:rsidP="00477336">
      <w:pPr>
        <w:spacing w:after="0" w:line="480" w:lineRule="auto"/>
        <w:ind w:firstLine="720"/>
        <w:rPr>
          <w:rFonts w:ascii="Garamond" w:hAnsi="Garamond"/>
          <w:sz w:val="24"/>
          <w:szCs w:val="24"/>
        </w:rPr>
      </w:pPr>
      <w:r>
        <w:rPr>
          <w:rFonts w:ascii="Garamond" w:hAnsi="Garamond"/>
          <w:sz w:val="24"/>
          <w:szCs w:val="24"/>
        </w:rPr>
        <w:t xml:space="preserve">Poe presents us with moments where the narrator </w:t>
      </w:r>
      <w:r w:rsidR="00012C31">
        <w:rPr>
          <w:rFonts w:ascii="Garamond" w:hAnsi="Garamond"/>
          <w:sz w:val="24"/>
          <w:szCs w:val="24"/>
        </w:rPr>
        <w:t>elaborates</w:t>
      </w:r>
      <w:r w:rsidR="00C45DCD">
        <w:rPr>
          <w:rFonts w:ascii="Garamond" w:hAnsi="Garamond"/>
          <w:sz w:val="24"/>
          <w:szCs w:val="24"/>
        </w:rPr>
        <w:t xml:space="preserve"> his</w:t>
      </w:r>
      <w:r w:rsidR="00012C31">
        <w:rPr>
          <w:rFonts w:ascii="Garamond" w:hAnsi="Garamond"/>
          <w:sz w:val="24"/>
          <w:szCs w:val="24"/>
        </w:rPr>
        <w:t xml:space="preserve"> past</w:t>
      </w:r>
      <w:r w:rsidR="00C45DCD">
        <w:rPr>
          <w:rFonts w:ascii="Garamond" w:hAnsi="Garamond"/>
          <w:sz w:val="24"/>
          <w:szCs w:val="24"/>
        </w:rPr>
        <w:t xml:space="preserve"> good behaviour to shift readers’ attention away from </w:t>
      </w:r>
      <w:r w:rsidR="00E60BB8">
        <w:rPr>
          <w:rFonts w:ascii="Garamond" w:hAnsi="Garamond"/>
          <w:sz w:val="24"/>
          <w:szCs w:val="24"/>
        </w:rPr>
        <w:t xml:space="preserve">the possible truth of the situation. </w:t>
      </w:r>
      <w:r w:rsidR="00E57F0E">
        <w:rPr>
          <w:rFonts w:ascii="Garamond" w:hAnsi="Garamond"/>
          <w:sz w:val="24"/>
          <w:szCs w:val="24"/>
        </w:rPr>
        <w:t>From the beginning of the story the narrator attempts to paint a picture of himself as having had been a gentle man. ‘I was noted for the docility and humanity of my disposition. My tenderness of heart was even so conspicuous as to make me the jest of my companions.</w:t>
      </w:r>
      <w:r w:rsidR="00C31E53">
        <w:rPr>
          <w:rFonts w:ascii="Garamond" w:hAnsi="Garamond"/>
          <w:sz w:val="24"/>
          <w:szCs w:val="24"/>
        </w:rPr>
        <w:t>’</w:t>
      </w:r>
      <w:r w:rsidR="002D2610">
        <w:rPr>
          <w:rStyle w:val="FootnoteReference"/>
          <w:rFonts w:ascii="Garamond" w:hAnsi="Garamond"/>
          <w:sz w:val="24"/>
          <w:szCs w:val="24"/>
        </w:rPr>
        <w:footnoteReference w:id="12"/>
      </w:r>
      <w:r w:rsidR="00E57F0E">
        <w:rPr>
          <w:rFonts w:ascii="Garamond" w:hAnsi="Garamond"/>
          <w:sz w:val="24"/>
          <w:szCs w:val="24"/>
        </w:rPr>
        <w:t xml:space="preserve"> </w:t>
      </w:r>
      <w:r w:rsidR="00FB5B39">
        <w:rPr>
          <w:rFonts w:ascii="Garamond" w:hAnsi="Garamond"/>
          <w:sz w:val="24"/>
          <w:szCs w:val="24"/>
        </w:rPr>
        <w:t xml:space="preserve">We find these moments sprinkled throughout the entirety of the story. By overcompensating in trying to have readers understand him as a good man, he is in fact leading readers who have uncovered his initial deceit into distinguishing him as a calculating criminal. </w:t>
      </w:r>
      <w:r w:rsidR="00C44453">
        <w:rPr>
          <w:rFonts w:ascii="Garamond" w:hAnsi="Garamond"/>
          <w:sz w:val="24"/>
          <w:szCs w:val="24"/>
        </w:rPr>
        <w:t xml:space="preserve">By obviously pushing an agenda he does not need to tell us that he is lying, it can be inferred by the way in which he does not say it. It is exactly as a child who has been caught beside a broken lamp. The parent asks the child if it was their fault. The child’s reaction is to tell the parent </w:t>
      </w:r>
      <w:r w:rsidR="00C44453">
        <w:rPr>
          <w:rFonts w:ascii="Garamond" w:hAnsi="Garamond"/>
          <w:sz w:val="24"/>
          <w:szCs w:val="24"/>
        </w:rPr>
        <w:lastRenderedPageBreak/>
        <w:t>all the good things they have done throughout the day and that it could not possibly have been their fault, although their face</w:t>
      </w:r>
      <w:r w:rsidR="003A4C3D">
        <w:rPr>
          <w:rFonts w:ascii="Garamond" w:hAnsi="Garamond"/>
          <w:sz w:val="24"/>
          <w:szCs w:val="24"/>
        </w:rPr>
        <w:t xml:space="preserve"> and the stammering of their words</w:t>
      </w:r>
      <w:r w:rsidR="00C44453">
        <w:rPr>
          <w:rFonts w:ascii="Garamond" w:hAnsi="Garamond"/>
          <w:sz w:val="24"/>
          <w:szCs w:val="24"/>
        </w:rPr>
        <w:t xml:space="preserve"> say otherwise. </w:t>
      </w:r>
    </w:p>
    <w:p w14:paraId="4D329CC2" w14:textId="0B93D744" w:rsidR="00375529" w:rsidRDefault="007B656C" w:rsidP="00477336">
      <w:pPr>
        <w:spacing w:after="0" w:line="480" w:lineRule="auto"/>
        <w:ind w:firstLine="720"/>
        <w:rPr>
          <w:rFonts w:ascii="Garamond" w:hAnsi="Garamond"/>
          <w:sz w:val="24"/>
          <w:szCs w:val="24"/>
        </w:rPr>
      </w:pPr>
      <w:r>
        <w:rPr>
          <w:rFonts w:ascii="Garamond" w:hAnsi="Garamond"/>
          <w:sz w:val="24"/>
          <w:szCs w:val="24"/>
        </w:rPr>
        <w:t xml:space="preserve">Another tactic “The Black Cat”’s narrator </w:t>
      </w:r>
      <w:r w:rsidR="0060173A">
        <w:rPr>
          <w:rFonts w:ascii="Garamond" w:hAnsi="Garamond"/>
          <w:sz w:val="24"/>
          <w:szCs w:val="24"/>
        </w:rPr>
        <w:t xml:space="preserve">uses </w:t>
      </w:r>
      <w:r>
        <w:rPr>
          <w:rFonts w:ascii="Garamond" w:hAnsi="Garamond"/>
          <w:sz w:val="24"/>
          <w:szCs w:val="24"/>
        </w:rPr>
        <w:t xml:space="preserve">is shifting blame onto outside forces for the actions he takes; this quietly shows </w:t>
      </w:r>
      <w:r w:rsidR="00971866">
        <w:rPr>
          <w:rFonts w:ascii="Garamond" w:hAnsi="Garamond"/>
          <w:sz w:val="24"/>
          <w:szCs w:val="24"/>
        </w:rPr>
        <w:t>his</w:t>
      </w:r>
      <w:r>
        <w:rPr>
          <w:rFonts w:ascii="Garamond" w:hAnsi="Garamond"/>
          <w:sz w:val="24"/>
          <w:szCs w:val="24"/>
        </w:rPr>
        <w:t xml:space="preserve"> true character. </w:t>
      </w:r>
      <w:r w:rsidR="00E536D6">
        <w:rPr>
          <w:rFonts w:ascii="Garamond" w:hAnsi="Garamond"/>
          <w:sz w:val="24"/>
          <w:szCs w:val="24"/>
        </w:rPr>
        <w:t>From the very beginning he implores the reader to understand that certain ‘events have terrified – have tortured – have destroyed [him].’</w:t>
      </w:r>
      <w:r w:rsidR="00DB434D">
        <w:rPr>
          <w:rStyle w:val="FootnoteReference"/>
          <w:rFonts w:ascii="Garamond" w:hAnsi="Garamond"/>
          <w:sz w:val="24"/>
          <w:szCs w:val="24"/>
        </w:rPr>
        <w:footnoteReference w:id="13"/>
      </w:r>
      <w:r w:rsidR="00DB434D">
        <w:rPr>
          <w:rFonts w:ascii="Garamond" w:hAnsi="Garamond"/>
          <w:sz w:val="24"/>
          <w:szCs w:val="24"/>
        </w:rPr>
        <w:t xml:space="preserve"> </w:t>
      </w:r>
      <w:r w:rsidR="00E536D6">
        <w:rPr>
          <w:rFonts w:ascii="Garamond" w:hAnsi="Garamond"/>
          <w:sz w:val="24"/>
          <w:szCs w:val="24"/>
        </w:rPr>
        <w:t xml:space="preserve">By beginning the story through the scope of being a victim himself, readers will either be manipulated by the words on the page or they may see the underlying sub-text that this man is a manipulative being who is trying to twist the belief of his readers in his favour so he may live another day. </w:t>
      </w:r>
      <w:r w:rsidR="005603C9">
        <w:rPr>
          <w:rFonts w:ascii="Garamond" w:hAnsi="Garamond"/>
          <w:sz w:val="24"/>
          <w:szCs w:val="24"/>
        </w:rPr>
        <w:t xml:space="preserve">He </w:t>
      </w:r>
      <w:r w:rsidR="00AA663D">
        <w:rPr>
          <w:rFonts w:ascii="Garamond" w:hAnsi="Garamond"/>
          <w:sz w:val="24"/>
          <w:szCs w:val="24"/>
        </w:rPr>
        <w:t xml:space="preserve">then </w:t>
      </w:r>
      <w:r w:rsidR="005603C9">
        <w:rPr>
          <w:rFonts w:ascii="Garamond" w:hAnsi="Garamond"/>
          <w:sz w:val="24"/>
          <w:szCs w:val="24"/>
        </w:rPr>
        <w:t>describes his ‘</w:t>
      </w:r>
      <w:r w:rsidR="0015450B">
        <w:rPr>
          <w:rFonts w:ascii="Garamond" w:hAnsi="Garamond"/>
          <w:sz w:val="24"/>
          <w:szCs w:val="24"/>
        </w:rPr>
        <w:t>temperament</w:t>
      </w:r>
      <w:r w:rsidR="005603C9">
        <w:rPr>
          <w:rFonts w:ascii="Garamond" w:hAnsi="Garamond"/>
          <w:sz w:val="24"/>
          <w:szCs w:val="24"/>
        </w:rPr>
        <w:t xml:space="preserve"> and character’ as having been altered negatively ‘through the instrumentality of the Fiend Intemperance’.</w:t>
      </w:r>
      <w:r w:rsidR="00DB434D">
        <w:rPr>
          <w:rStyle w:val="FootnoteReference"/>
          <w:rFonts w:ascii="Garamond" w:hAnsi="Garamond"/>
          <w:sz w:val="24"/>
          <w:szCs w:val="24"/>
        </w:rPr>
        <w:footnoteReference w:id="14"/>
      </w:r>
      <w:r w:rsidR="005603C9">
        <w:rPr>
          <w:rFonts w:ascii="Garamond" w:hAnsi="Garamond"/>
          <w:sz w:val="24"/>
          <w:szCs w:val="24"/>
        </w:rPr>
        <w:t xml:space="preserve"> </w:t>
      </w:r>
      <w:r w:rsidR="00971866">
        <w:rPr>
          <w:rFonts w:ascii="Garamond" w:hAnsi="Garamond"/>
          <w:sz w:val="24"/>
          <w:szCs w:val="24"/>
        </w:rPr>
        <w:t>Not much later in the text he continues to shift blame onto ‘the spirit of Perverseness”</w:t>
      </w:r>
      <w:r w:rsidR="00DB434D">
        <w:rPr>
          <w:rFonts w:ascii="Garamond" w:hAnsi="Garamond"/>
          <w:sz w:val="24"/>
          <w:szCs w:val="24"/>
        </w:rPr>
        <w:t>.</w:t>
      </w:r>
      <w:r w:rsidR="00DB434D">
        <w:rPr>
          <w:rStyle w:val="FootnoteReference"/>
          <w:rFonts w:ascii="Garamond" w:hAnsi="Garamond"/>
          <w:sz w:val="24"/>
          <w:szCs w:val="24"/>
        </w:rPr>
        <w:footnoteReference w:id="15"/>
      </w:r>
      <w:r w:rsidR="00DB434D">
        <w:rPr>
          <w:rFonts w:ascii="Garamond" w:hAnsi="Garamond"/>
          <w:sz w:val="24"/>
          <w:szCs w:val="24"/>
        </w:rPr>
        <w:t xml:space="preserve"> </w:t>
      </w:r>
      <w:r w:rsidR="00C0488D">
        <w:rPr>
          <w:rFonts w:ascii="Garamond" w:hAnsi="Garamond"/>
          <w:sz w:val="24"/>
          <w:szCs w:val="24"/>
        </w:rPr>
        <w:t xml:space="preserve">Rather than fully taking responsibility, the narrator falsely does so through the coloured scope of sharing the blame with things out of his control. By choosing to shift the blame in this way it silently tells readers that this man is not trustworthy and may be willing to twist the narrative to suit his needs. When you first read through his story you may even feel sympathy for the man simply because he has framed it in a way in which is not fully his fault – demons were out to get him! Once a reader realizes he has been influencing one throughout the story with subtle passivity, it becomes easy to infer the true matters of the story which he has been skillfully trying to hide. </w:t>
      </w:r>
    </w:p>
    <w:p w14:paraId="5DFA77E3" w14:textId="639BDB80" w:rsidR="0035772A" w:rsidRDefault="0035772A" w:rsidP="0035772A">
      <w:pPr>
        <w:spacing w:after="0" w:line="480" w:lineRule="auto"/>
        <w:ind w:firstLine="720"/>
        <w:rPr>
          <w:rFonts w:ascii="Garamond" w:hAnsi="Garamond"/>
          <w:sz w:val="24"/>
          <w:szCs w:val="24"/>
        </w:rPr>
      </w:pPr>
      <w:r>
        <w:rPr>
          <w:rFonts w:ascii="Garamond" w:hAnsi="Garamond"/>
          <w:sz w:val="24"/>
          <w:szCs w:val="24"/>
        </w:rPr>
        <w:t>There are hints throughout “The Sandman” that Nathaniel and his family may be automatons themselves, helping to give the story its uncanny quality. Coppelius makes us question whether Nathaniel is an automaton when he says: ‘we will examine the mechanism of his hands and feet’</w:t>
      </w:r>
      <w:r w:rsidR="006A5765">
        <w:rPr>
          <w:rFonts w:ascii="Garamond" w:hAnsi="Garamond"/>
          <w:sz w:val="24"/>
          <w:szCs w:val="24"/>
        </w:rPr>
        <w:t>.</w:t>
      </w:r>
      <w:r w:rsidR="006A5765">
        <w:rPr>
          <w:rStyle w:val="FootnoteReference"/>
          <w:rFonts w:ascii="Garamond" w:hAnsi="Garamond"/>
          <w:sz w:val="24"/>
          <w:szCs w:val="24"/>
        </w:rPr>
        <w:footnoteReference w:id="16"/>
      </w:r>
      <w:r w:rsidR="006A5765">
        <w:rPr>
          <w:rFonts w:ascii="Garamond" w:hAnsi="Garamond"/>
          <w:sz w:val="24"/>
          <w:szCs w:val="24"/>
        </w:rPr>
        <w:t xml:space="preserve"> </w:t>
      </w:r>
      <w:r>
        <w:rPr>
          <w:rFonts w:ascii="Garamond" w:hAnsi="Garamond"/>
          <w:sz w:val="24"/>
          <w:szCs w:val="24"/>
        </w:rPr>
        <w:t xml:space="preserve">It sounds as though he knows the machinations of Nathaniel and is ready to take him a part </w:t>
      </w:r>
      <w:r>
        <w:rPr>
          <w:rFonts w:ascii="Garamond" w:hAnsi="Garamond"/>
          <w:sz w:val="24"/>
          <w:szCs w:val="24"/>
        </w:rPr>
        <w:lastRenderedPageBreak/>
        <w:t>in order to put him back together in the way he sees fit. Lending to this idea is Purcell’s observation on Nathaniel’s descriptions of himself when Coppelius catches him spying on Coppelius and Nathaniel’s father working. Nathaniel describes his joints as cracking, his hands and feet unscrewing, and how Coppelius put them back ‘</w:t>
      </w:r>
      <w:r w:rsidR="002757B0">
        <w:rPr>
          <w:rFonts w:ascii="Garamond" w:hAnsi="Garamond"/>
          <w:sz w:val="24"/>
          <w:szCs w:val="24"/>
        </w:rPr>
        <w:t>one here and the other there.’</w:t>
      </w:r>
      <w:r w:rsidR="002757B0">
        <w:rPr>
          <w:rStyle w:val="FootnoteReference"/>
          <w:rFonts w:ascii="Garamond" w:hAnsi="Garamond"/>
          <w:sz w:val="24"/>
          <w:szCs w:val="24"/>
        </w:rPr>
        <w:footnoteReference w:id="17"/>
      </w:r>
      <w:r w:rsidR="002757B0">
        <w:rPr>
          <w:rFonts w:ascii="Garamond" w:hAnsi="Garamond"/>
          <w:sz w:val="24"/>
          <w:szCs w:val="24"/>
        </w:rPr>
        <w:t xml:space="preserve"> </w:t>
      </w:r>
      <w:r>
        <w:rPr>
          <w:rFonts w:ascii="Garamond" w:hAnsi="Garamond"/>
          <w:sz w:val="24"/>
          <w:szCs w:val="24"/>
        </w:rPr>
        <w:t>Purcell posits that “His descriptions of the event parallels Spalanzini’s construction and destruction of Olympia in that she has removeable parts. It is almost as if Nathaniel is questioning his own humanness</w:t>
      </w:r>
      <w:r w:rsidR="00FF50C5">
        <w:rPr>
          <w:rFonts w:ascii="Garamond" w:hAnsi="Garamond"/>
          <w:sz w:val="24"/>
          <w:szCs w:val="24"/>
        </w:rPr>
        <w:t>.</w:t>
      </w:r>
      <w:r>
        <w:rPr>
          <w:rFonts w:ascii="Garamond" w:hAnsi="Garamond"/>
          <w:sz w:val="24"/>
          <w:szCs w:val="24"/>
        </w:rPr>
        <w:t>’</w:t>
      </w:r>
      <w:r w:rsidR="00FF50C5">
        <w:rPr>
          <w:rStyle w:val="FootnoteReference"/>
          <w:rFonts w:ascii="Garamond" w:hAnsi="Garamond"/>
          <w:sz w:val="24"/>
          <w:szCs w:val="24"/>
        </w:rPr>
        <w:footnoteReference w:id="18"/>
      </w:r>
      <w:r>
        <w:rPr>
          <w:rFonts w:ascii="Garamond" w:hAnsi="Garamond"/>
          <w:sz w:val="24"/>
          <w:szCs w:val="24"/>
        </w:rPr>
        <w:t xml:space="preserve"> By giving automaton-like descriptions to even the assumed humans in the story, the author is not only foreshadowing but also creating an atmosphere of un-realness among all other aspects within the story. </w:t>
      </w:r>
      <w:r w:rsidR="005D3760">
        <w:rPr>
          <w:rFonts w:ascii="Garamond" w:hAnsi="Garamond"/>
          <w:sz w:val="24"/>
          <w:szCs w:val="24"/>
        </w:rPr>
        <w:t>There is another questionable incident when Coppelius returns to young Nathaniel’s home after being gone for awhile. The mother asks if it is Coppelius and when met with the answer yes, she responds towards Nathaniel’s father: ‘But father – father! […] must it be so?’</w:t>
      </w:r>
      <w:r w:rsidR="00FF50C5">
        <w:rPr>
          <w:rFonts w:ascii="Garamond" w:hAnsi="Garamond"/>
          <w:sz w:val="24"/>
          <w:szCs w:val="24"/>
        </w:rPr>
        <w:t>.</w:t>
      </w:r>
      <w:r w:rsidR="00FF50C5">
        <w:rPr>
          <w:rStyle w:val="FootnoteReference"/>
          <w:rFonts w:ascii="Garamond" w:hAnsi="Garamond"/>
          <w:sz w:val="24"/>
          <w:szCs w:val="24"/>
        </w:rPr>
        <w:footnoteReference w:id="19"/>
      </w:r>
      <w:r w:rsidR="00FF50C5">
        <w:rPr>
          <w:rFonts w:ascii="Garamond" w:hAnsi="Garamond"/>
          <w:sz w:val="24"/>
          <w:szCs w:val="24"/>
        </w:rPr>
        <w:t xml:space="preserve"> </w:t>
      </w:r>
      <w:r w:rsidR="005D3760">
        <w:rPr>
          <w:rFonts w:ascii="Garamond" w:hAnsi="Garamond"/>
          <w:sz w:val="24"/>
          <w:szCs w:val="24"/>
        </w:rPr>
        <w:t>Why would the wife be calling her husband father? It may be suggested that by using an out of place word the author is quietly hinting to readers that perhaps she is shouting out towards Coppelius, in fact calling him father. If she were to call him father then it may either be that he is her biological dad, or he is her creator</w:t>
      </w:r>
      <w:r w:rsidR="001C7AAC">
        <w:rPr>
          <w:rFonts w:ascii="Garamond" w:hAnsi="Garamond"/>
          <w:sz w:val="24"/>
          <w:szCs w:val="24"/>
        </w:rPr>
        <w:t xml:space="preserve">, suggesting she may be a doll herself. </w:t>
      </w:r>
      <w:r>
        <w:rPr>
          <w:rFonts w:ascii="Garamond" w:hAnsi="Garamond"/>
          <w:sz w:val="24"/>
          <w:szCs w:val="24"/>
        </w:rPr>
        <w:t>When Nathaniel’s father dies another instance is presented to us: Nathaniel’s father’s face is described as being ‘burned, blackened, and hideously distorted’</w:t>
      </w:r>
      <w:r w:rsidR="00FF50C5">
        <w:rPr>
          <w:rStyle w:val="FootnoteReference"/>
          <w:rFonts w:ascii="Garamond" w:hAnsi="Garamond"/>
          <w:sz w:val="24"/>
          <w:szCs w:val="24"/>
        </w:rPr>
        <w:footnoteReference w:id="20"/>
      </w:r>
      <w:r>
        <w:rPr>
          <w:rFonts w:ascii="Garamond" w:hAnsi="Garamond"/>
          <w:sz w:val="24"/>
          <w:szCs w:val="24"/>
        </w:rPr>
        <w:t>, yet on the day of his funeral suddenly ‘his features were again as mild and gentle as they had been in his life</w:t>
      </w:r>
      <w:r w:rsidR="00FF50C5">
        <w:rPr>
          <w:rFonts w:ascii="Garamond" w:hAnsi="Garamond"/>
          <w:sz w:val="24"/>
          <w:szCs w:val="24"/>
        </w:rPr>
        <w:t>’</w:t>
      </w:r>
      <w:r>
        <w:rPr>
          <w:rFonts w:ascii="Garamond" w:hAnsi="Garamond"/>
          <w:sz w:val="24"/>
          <w:szCs w:val="24"/>
        </w:rPr>
        <w:t>.</w:t>
      </w:r>
      <w:r w:rsidR="00FF50C5">
        <w:rPr>
          <w:rStyle w:val="FootnoteReference"/>
          <w:rFonts w:ascii="Garamond" w:hAnsi="Garamond"/>
          <w:sz w:val="24"/>
          <w:szCs w:val="24"/>
        </w:rPr>
        <w:footnoteReference w:id="21"/>
      </w:r>
      <w:r>
        <w:rPr>
          <w:rFonts w:ascii="Garamond" w:hAnsi="Garamond"/>
          <w:sz w:val="24"/>
          <w:szCs w:val="24"/>
        </w:rPr>
        <w:t xml:space="preserve"> How is it that a mans face could be ‘hideously distorted’ and then suddenly ‘mild and gentle’ if not for having a fake face which could be replaced when needed? One may begin to question whether Nathaniel and his family are all automatons which have been created by Coppelius. If this is the case, then one may then question the meaning of this and what humanness </w:t>
      </w:r>
      <w:r>
        <w:rPr>
          <w:rFonts w:ascii="Garamond" w:hAnsi="Garamond"/>
          <w:sz w:val="24"/>
          <w:szCs w:val="24"/>
        </w:rPr>
        <w:lastRenderedPageBreak/>
        <w:t xml:space="preserve">truly is; if this whole family could live among humans as automatons, if Olympia could have almost been mistaken as a human, then what is it that makes humans what they are? The way in which Hoffmann does not state these questions out loud makes them more impactful as the realization hits readers, giving the text a whole new meaning to consider. </w:t>
      </w:r>
    </w:p>
    <w:p w14:paraId="5987489A" w14:textId="715FE49F" w:rsidR="00841AC2" w:rsidRDefault="00E80AE8" w:rsidP="00477336">
      <w:pPr>
        <w:spacing w:after="0" w:line="480" w:lineRule="auto"/>
        <w:ind w:firstLine="720"/>
        <w:rPr>
          <w:rFonts w:ascii="Garamond" w:hAnsi="Garamond"/>
          <w:sz w:val="24"/>
          <w:szCs w:val="24"/>
        </w:rPr>
      </w:pPr>
      <w:r>
        <w:rPr>
          <w:rFonts w:ascii="Garamond" w:hAnsi="Garamond"/>
          <w:sz w:val="24"/>
          <w:szCs w:val="24"/>
        </w:rPr>
        <w:t xml:space="preserve">The narrator of “The Sandman” never gives his name or any information about how he </w:t>
      </w:r>
      <w:r w:rsidR="00F6579C">
        <w:rPr>
          <w:rFonts w:ascii="Garamond" w:hAnsi="Garamond"/>
          <w:sz w:val="24"/>
          <w:szCs w:val="24"/>
        </w:rPr>
        <w:t>knows so many details about Nathaniel’s life</w:t>
      </w:r>
      <w:r w:rsidR="00A97587">
        <w:rPr>
          <w:rFonts w:ascii="Garamond" w:hAnsi="Garamond"/>
          <w:sz w:val="24"/>
          <w:szCs w:val="24"/>
        </w:rPr>
        <w:t>;</w:t>
      </w:r>
      <w:r>
        <w:rPr>
          <w:rFonts w:ascii="Garamond" w:hAnsi="Garamond"/>
          <w:sz w:val="24"/>
          <w:szCs w:val="24"/>
        </w:rPr>
        <w:t xml:space="preserve"> </w:t>
      </w:r>
      <w:r w:rsidR="00A97587">
        <w:rPr>
          <w:rFonts w:ascii="Garamond" w:hAnsi="Garamond"/>
          <w:sz w:val="24"/>
          <w:szCs w:val="24"/>
        </w:rPr>
        <w:t xml:space="preserve">this lends to </w:t>
      </w:r>
      <w:r w:rsidR="00A11EF0">
        <w:rPr>
          <w:rFonts w:ascii="Garamond" w:hAnsi="Garamond"/>
          <w:sz w:val="24"/>
          <w:szCs w:val="24"/>
        </w:rPr>
        <w:t>the uneasiness of the story</w:t>
      </w:r>
      <w:r w:rsidR="0037747D">
        <w:rPr>
          <w:rFonts w:ascii="Garamond" w:hAnsi="Garamond"/>
          <w:sz w:val="24"/>
          <w:szCs w:val="24"/>
        </w:rPr>
        <w:t xml:space="preserve"> and makes readers question the rest of the narrative. Hertz discusses the effects this type of narrator has on the literature itself. He states that ‘the effect is playful but nonetheless complex: in fact, its particular structural complexity – a temporal lag which produces, retroactively, a situation in which a text cannot be characterized as unequivocally “real” or unequivocally “fictitious</w:t>
      </w:r>
      <w:r w:rsidR="00FF50C5">
        <w:rPr>
          <w:rFonts w:ascii="Garamond" w:hAnsi="Garamond"/>
          <w:sz w:val="24"/>
          <w:szCs w:val="24"/>
        </w:rPr>
        <w:t>.</w:t>
      </w:r>
      <w:r w:rsidR="0037747D">
        <w:rPr>
          <w:rFonts w:ascii="Garamond" w:hAnsi="Garamond"/>
          <w:sz w:val="24"/>
          <w:szCs w:val="24"/>
        </w:rPr>
        <w:t>”</w:t>
      </w:r>
      <w:r w:rsidR="00FF50C5">
        <w:rPr>
          <w:rFonts w:ascii="Garamond" w:hAnsi="Garamond"/>
          <w:sz w:val="24"/>
          <w:szCs w:val="24"/>
        </w:rPr>
        <w:t>.</w:t>
      </w:r>
      <w:r w:rsidR="00FF50C5">
        <w:rPr>
          <w:rStyle w:val="FootnoteReference"/>
          <w:rFonts w:ascii="Garamond" w:hAnsi="Garamond"/>
          <w:sz w:val="24"/>
          <w:szCs w:val="24"/>
        </w:rPr>
        <w:footnoteReference w:id="22"/>
      </w:r>
      <w:r w:rsidR="0037747D">
        <w:rPr>
          <w:rFonts w:ascii="Garamond" w:hAnsi="Garamond"/>
          <w:sz w:val="24"/>
          <w:szCs w:val="24"/>
        </w:rPr>
        <w:t xml:space="preserve"> As readers are presented with this ‘temporal lag’, or inability to understand right away, they are dragged along throughout the rest of the story as if they need to be aware of their every step, lest fall into a pit of the authors creation. By not giving readers any information about the narrator, except that he is Nathaniel’s ‘friend’, the author </w:t>
      </w:r>
      <w:r w:rsidR="00AC6752">
        <w:rPr>
          <w:rFonts w:ascii="Garamond" w:hAnsi="Garamond"/>
          <w:sz w:val="24"/>
          <w:szCs w:val="24"/>
        </w:rPr>
        <w:t>elicits</w:t>
      </w:r>
      <w:r w:rsidR="0037747D">
        <w:rPr>
          <w:rFonts w:ascii="Garamond" w:hAnsi="Garamond"/>
          <w:sz w:val="24"/>
          <w:szCs w:val="24"/>
        </w:rPr>
        <w:t xml:space="preserve"> questions within readers making them double check the rest of the information they are being given.</w:t>
      </w:r>
      <w:r w:rsidR="00CA384B">
        <w:rPr>
          <w:rFonts w:ascii="Garamond" w:hAnsi="Garamond"/>
          <w:sz w:val="24"/>
          <w:szCs w:val="24"/>
        </w:rPr>
        <w:t xml:space="preserve"> One might begin to question if the identity of the narrator is in fact the </w:t>
      </w:r>
      <w:r w:rsidR="00AC6752">
        <w:rPr>
          <w:rFonts w:ascii="Garamond" w:hAnsi="Garamond"/>
          <w:sz w:val="24"/>
          <w:szCs w:val="24"/>
        </w:rPr>
        <w:t>S</w:t>
      </w:r>
      <w:r w:rsidR="00CA384B">
        <w:rPr>
          <w:rFonts w:ascii="Garamond" w:hAnsi="Garamond"/>
          <w:sz w:val="24"/>
          <w:szCs w:val="24"/>
        </w:rPr>
        <w:t>andman. He could also be just a writer who is breaking the fourth wall when he introduces himself, and Nathaniel being his ‘friend’</w:t>
      </w:r>
      <w:r w:rsidR="00FF50C5">
        <w:rPr>
          <w:rStyle w:val="FootnoteReference"/>
          <w:rFonts w:ascii="Garamond" w:hAnsi="Garamond"/>
          <w:sz w:val="24"/>
          <w:szCs w:val="24"/>
        </w:rPr>
        <w:footnoteReference w:id="23"/>
      </w:r>
      <w:r w:rsidR="00A532B7">
        <w:rPr>
          <w:rFonts w:ascii="Garamond" w:hAnsi="Garamond"/>
          <w:sz w:val="24"/>
          <w:szCs w:val="24"/>
        </w:rPr>
        <w:t xml:space="preserve"> </w:t>
      </w:r>
      <w:r w:rsidR="00CA384B">
        <w:rPr>
          <w:rFonts w:ascii="Garamond" w:hAnsi="Garamond"/>
          <w:sz w:val="24"/>
          <w:szCs w:val="24"/>
        </w:rPr>
        <w:t xml:space="preserve">is just a play as all characters belonging to writers could be conceived as their ‘friends’. Perhaps the identity of the narrator does not truly matter, however the effects not knowing give an importance to the way it makes readers feel as they are engaging with the story. </w:t>
      </w:r>
      <w:r w:rsidR="00A532B7">
        <w:rPr>
          <w:rFonts w:ascii="Garamond" w:hAnsi="Garamond"/>
          <w:sz w:val="24"/>
          <w:szCs w:val="24"/>
        </w:rPr>
        <w:t>It creates an uneasiness within the readers mind which makes the rest of the story more effective with its themes of madness</w:t>
      </w:r>
      <w:r w:rsidR="00174E24">
        <w:rPr>
          <w:rFonts w:ascii="Garamond" w:hAnsi="Garamond"/>
          <w:sz w:val="24"/>
          <w:szCs w:val="24"/>
        </w:rPr>
        <w:t>.</w:t>
      </w:r>
      <w:r w:rsidR="00A723F2">
        <w:rPr>
          <w:rFonts w:ascii="Garamond" w:hAnsi="Garamond"/>
          <w:sz w:val="24"/>
          <w:szCs w:val="24"/>
        </w:rPr>
        <w:t xml:space="preserve"> The narrator also creates an uneasiness through the scope in which he shares Nathaniel’s story. At one point he slips into present tense stating that: “</w:t>
      </w:r>
      <w:r w:rsidR="00A723F2" w:rsidRPr="00520693">
        <w:rPr>
          <w:rFonts w:ascii="Garamond" w:hAnsi="Garamond"/>
          <w:sz w:val="24"/>
          <w:szCs w:val="24"/>
        </w:rPr>
        <w:t xml:space="preserve">he </w:t>
      </w:r>
      <w:r w:rsidR="00A723F2" w:rsidRPr="00520693">
        <w:rPr>
          <w:rFonts w:ascii="Garamond" w:hAnsi="Garamond"/>
          <w:i/>
          <w:iCs/>
          <w:sz w:val="24"/>
          <w:szCs w:val="24"/>
        </w:rPr>
        <w:t>is</w:t>
      </w:r>
      <w:r w:rsidR="00A723F2">
        <w:rPr>
          <w:rFonts w:ascii="Garamond" w:hAnsi="Garamond"/>
          <w:sz w:val="24"/>
          <w:szCs w:val="24"/>
        </w:rPr>
        <w:t xml:space="preserve">, </w:t>
      </w:r>
      <w:r w:rsidR="00A723F2">
        <w:rPr>
          <w:rFonts w:ascii="Garamond" w:hAnsi="Garamond"/>
          <w:sz w:val="24"/>
          <w:szCs w:val="24"/>
        </w:rPr>
        <w:lastRenderedPageBreak/>
        <w:t>according to the date of his last letter, hearin</w:t>
      </w:r>
      <w:bookmarkStart w:id="1" w:name="_GoBack"/>
      <w:bookmarkEnd w:id="1"/>
      <w:r w:rsidR="00A723F2">
        <w:rPr>
          <w:rFonts w:ascii="Garamond" w:hAnsi="Garamond"/>
          <w:sz w:val="24"/>
          <w:szCs w:val="24"/>
        </w:rPr>
        <w:t xml:space="preserve">g the lectures of the celebrated professor of physics, </w:t>
      </w:r>
      <w:proofErr w:type="spellStart"/>
      <w:r w:rsidR="00A723F2">
        <w:rPr>
          <w:rFonts w:ascii="Garamond" w:hAnsi="Garamond"/>
          <w:sz w:val="24"/>
          <w:szCs w:val="24"/>
        </w:rPr>
        <w:t>Spalanzani</w:t>
      </w:r>
      <w:proofErr w:type="spellEnd"/>
      <w:r w:rsidR="006C57A4">
        <w:rPr>
          <w:rFonts w:ascii="Garamond" w:hAnsi="Garamond"/>
          <w:sz w:val="24"/>
          <w:szCs w:val="24"/>
        </w:rPr>
        <w:t>.</w:t>
      </w:r>
      <w:r w:rsidR="00A723F2">
        <w:rPr>
          <w:rFonts w:ascii="Garamond" w:hAnsi="Garamond"/>
          <w:sz w:val="24"/>
          <w:szCs w:val="24"/>
        </w:rPr>
        <w:t>’</w:t>
      </w:r>
      <w:r w:rsidR="006C57A4">
        <w:rPr>
          <w:rStyle w:val="FootnoteReference"/>
          <w:rFonts w:ascii="Garamond" w:hAnsi="Garamond"/>
          <w:sz w:val="24"/>
          <w:szCs w:val="24"/>
        </w:rPr>
        <w:footnoteReference w:id="24"/>
      </w:r>
      <w:r w:rsidR="00A723F2">
        <w:rPr>
          <w:rFonts w:ascii="Garamond" w:hAnsi="Garamond"/>
          <w:sz w:val="24"/>
          <w:szCs w:val="24"/>
        </w:rPr>
        <w:t xml:space="preserve"> </w:t>
      </w:r>
      <w:r w:rsidR="0035772A">
        <w:rPr>
          <w:rFonts w:ascii="Garamond" w:hAnsi="Garamond"/>
          <w:sz w:val="24"/>
          <w:szCs w:val="24"/>
        </w:rPr>
        <w:t xml:space="preserve">After this slip of present tense, the rest of the story seems to be in the past, although readers are left with the question as to when in time this narrator exists. There is nothing in the text to suggest to readers that this narrator is magical or godly, however the mystique lends to the unconscious sublimation of readers feeling the need to question the meaning behind the text: perhaps this narrator is a out of worldly being trying to share the story of Nathaniel to warn others’ of the trap of madness.   </w:t>
      </w:r>
    </w:p>
    <w:p w14:paraId="3B0031AA" w14:textId="68EDCCBD" w:rsidR="00E8366D" w:rsidRDefault="00E8366D" w:rsidP="00477336">
      <w:pPr>
        <w:spacing w:after="0" w:line="480" w:lineRule="auto"/>
        <w:ind w:firstLine="720"/>
        <w:rPr>
          <w:rFonts w:ascii="Garamond" w:hAnsi="Garamond"/>
          <w:sz w:val="24"/>
          <w:szCs w:val="24"/>
        </w:rPr>
      </w:pPr>
      <w:r>
        <w:rPr>
          <w:rFonts w:ascii="Garamond" w:hAnsi="Garamond"/>
          <w:sz w:val="24"/>
          <w:szCs w:val="24"/>
        </w:rPr>
        <w:t>There are moments throughout “The Sandman”, which if paid close attention to, can be understood by readers in more ways than one. After Nathaniel purchases the telescope, Coppola leaves the room and ‘laugh[s] loudly on the stairs</w:t>
      </w:r>
      <w:r w:rsidR="00C01A5B">
        <w:rPr>
          <w:rFonts w:ascii="Garamond" w:hAnsi="Garamond"/>
          <w:sz w:val="24"/>
          <w:szCs w:val="24"/>
        </w:rPr>
        <w:t>.</w:t>
      </w:r>
      <w:r>
        <w:rPr>
          <w:rFonts w:ascii="Garamond" w:hAnsi="Garamond"/>
          <w:sz w:val="24"/>
          <w:szCs w:val="24"/>
        </w:rPr>
        <w:t>’</w:t>
      </w:r>
      <w:r w:rsidR="00C01A5B">
        <w:rPr>
          <w:rStyle w:val="FootnoteReference"/>
          <w:rFonts w:ascii="Garamond" w:hAnsi="Garamond"/>
          <w:sz w:val="24"/>
          <w:szCs w:val="24"/>
        </w:rPr>
        <w:footnoteReference w:id="25"/>
      </w:r>
      <w:r>
        <w:rPr>
          <w:rFonts w:ascii="Garamond" w:hAnsi="Garamond"/>
          <w:sz w:val="24"/>
          <w:szCs w:val="24"/>
        </w:rPr>
        <w:t xml:space="preserve"> Nathaniel believes this is because he has paid too much for the spyglass. </w:t>
      </w:r>
      <w:r w:rsidR="00A207AB">
        <w:rPr>
          <w:rFonts w:ascii="Garamond" w:hAnsi="Garamond"/>
          <w:sz w:val="24"/>
          <w:szCs w:val="24"/>
        </w:rPr>
        <w:t>Afterwards he says to himself that ‘it is pure madness – nay, more than madness, that the stupid thought, that I have paid Coppola too much for the glass, pains me even so strangely. I cannot see the cause.’</w:t>
      </w:r>
      <w:r w:rsidR="00C01A5B">
        <w:rPr>
          <w:rStyle w:val="FootnoteReference"/>
          <w:rFonts w:ascii="Garamond" w:hAnsi="Garamond"/>
          <w:sz w:val="24"/>
          <w:szCs w:val="24"/>
        </w:rPr>
        <w:footnoteReference w:id="26"/>
      </w:r>
      <w:r w:rsidR="00A207AB">
        <w:rPr>
          <w:rFonts w:ascii="Garamond" w:hAnsi="Garamond"/>
          <w:sz w:val="24"/>
          <w:szCs w:val="24"/>
        </w:rPr>
        <w:t xml:space="preserve"> In this moment we can either assume that Nathaniel is feeling at a loss because of his silliness and so therefore feels an unusual amount of ‘pain’ towards having had paid too much for the glass. However, we can also infer from the previous interaction with Coppola and his now uneasy feeling that perhaps within himself Nathaniel knows that this spyglass may be cursed in some way. It teeters on the edge of supernatural and natural, and yet, as with Nathaniel, readers may be determined to feel as though there has been hidden intent behind Coppola pushing glasses and spyglasses onto Nathaniel.</w:t>
      </w:r>
      <w:r w:rsidR="001B2D2D">
        <w:rPr>
          <w:rFonts w:ascii="Garamond" w:hAnsi="Garamond"/>
          <w:sz w:val="24"/>
          <w:szCs w:val="24"/>
        </w:rPr>
        <w:t xml:space="preserve"> By hinting this ‘pain’ Nathaniel feels, readers share in that pain and without being told to begin to question the actions of characters throughout the rest of the story. </w:t>
      </w:r>
      <w:r w:rsidR="00EA5B0C">
        <w:rPr>
          <w:rFonts w:ascii="Garamond" w:hAnsi="Garamond"/>
          <w:sz w:val="24"/>
          <w:szCs w:val="24"/>
        </w:rPr>
        <w:t xml:space="preserve">We can also recognize that after Nathaniel buys this spyglass, he becomes enraptured with Olympia. Before he gets a chance to finish his letter to Clara, he notices Olympia through his </w:t>
      </w:r>
      <w:r w:rsidR="00EA5B0C">
        <w:rPr>
          <w:rFonts w:ascii="Garamond" w:hAnsi="Garamond"/>
          <w:sz w:val="24"/>
          <w:szCs w:val="24"/>
        </w:rPr>
        <w:lastRenderedPageBreak/>
        <w:t xml:space="preserve">window sitting in the house across the way and he ‘instantly sprang out, as if impelled by an irresistible power, seized Coppola’s glass, and could not tear himself from the seductive view of Olympia, till his friend and brother Sigismund called him to go to Professor </w:t>
      </w:r>
      <w:proofErr w:type="spellStart"/>
      <w:r w:rsidR="00EA5B0C">
        <w:rPr>
          <w:rFonts w:ascii="Garamond" w:hAnsi="Garamond"/>
          <w:sz w:val="24"/>
          <w:szCs w:val="24"/>
        </w:rPr>
        <w:t>Spalanzani’s</w:t>
      </w:r>
      <w:proofErr w:type="spellEnd"/>
      <w:r w:rsidR="00EA5B0C">
        <w:rPr>
          <w:rFonts w:ascii="Garamond" w:hAnsi="Garamond"/>
          <w:sz w:val="24"/>
          <w:szCs w:val="24"/>
        </w:rPr>
        <w:t xml:space="preserve"> lecture.’</w:t>
      </w:r>
      <w:r w:rsidR="008D5840">
        <w:rPr>
          <w:rStyle w:val="FootnoteReference"/>
          <w:rFonts w:ascii="Garamond" w:hAnsi="Garamond"/>
          <w:sz w:val="24"/>
          <w:szCs w:val="24"/>
        </w:rPr>
        <w:footnoteReference w:id="27"/>
      </w:r>
      <w:r w:rsidR="008D5840">
        <w:rPr>
          <w:rFonts w:ascii="Garamond" w:hAnsi="Garamond"/>
          <w:sz w:val="24"/>
          <w:szCs w:val="24"/>
        </w:rPr>
        <w:t xml:space="preserve"> </w:t>
      </w:r>
      <w:r w:rsidR="00A435CF">
        <w:rPr>
          <w:rFonts w:ascii="Garamond" w:hAnsi="Garamond"/>
          <w:sz w:val="24"/>
          <w:szCs w:val="24"/>
        </w:rPr>
        <w:t>This enrapturement continues until the moment he realizes she is truly a doll. The fact that it felt as though he was ‘impelled by an irresistible power’ makes readers feel as though perhaps this spyglass is cursed, supernatural. We can also perceive, however, that it is his own perception of seeing Olympia which impels him to look through the glass in the first place, leading us to the thought that it may be his own madness. The narrator never outwardly presents these two options to readers, however in the way it is not said makes it clear that there is something not quite right with the actions happening throughout the story.</w:t>
      </w:r>
      <w:r w:rsidR="00EA5B0C">
        <w:rPr>
          <w:rFonts w:ascii="Garamond" w:hAnsi="Garamond"/>
          <w:sz w:val="24"/>
          <w:szCs w:val="24"/>
        </w:rPr>
        <w:t xml:space="preserve"> </w:t>
      </w:r>
      <w:r w:rsidR="001B2D2D">
        <w:rPr>
          <w:rFonts w:ascii="Garamond" w:hAnsi="Garamond"/>
          <w:sz w:val="24"/>
          <w:szCs w:val="24"/>
        </w:rPr>
        <w:t xml:space="preserve">This question of supernatural vs natural comes out further in the story when Spalanzani </w:t>
      </w:r>
      <w:r w:rsidR="00AF7136">
        <w:rPr>
          <w:rFonts w:ascii="Garamond" w:hAnsi="Garamond"/>
          <w:sz w:val="24"/>
          <w:szCs w:val="24"/>
        </w:rPr>
        <w:t>comes around to Nathaniel and Olympia at the end of his party. ‘Spalanzani strode through the empty hall, his steps caused a hollow echo, and his figure, round which a flickering shadow played, had a fearful, spectral appearance.’</w:t>
      </w:r>
      <w:r w:rsidR="008D5840">
        <w:rPr>
          <w:rStyle w:val="FootnoteReference"/>
          <w:rFonts w:ascii="Garamond" w:hAnsi="Garamond"/>
          <w:sz w:val="24"/>
          <w:szCs w:val="24"/>
        </w:rPr>
        <w:footnoteReference w:id="28"/>
      </w:r>
      <w:r w:rsidR="00AF7136">
        <w:rPr>
          <w:rFonts w:ascii="Garamond" w:hAnsi="Garamond"/>
          <w:sz w:val="24"/>
          <w:szCs w:val="24"/>
        </w:rPr>
        <w:t xml:space="preserve"> </w:t>
      </w:r>
      <w:r w:rsidR="0026197B">
        <w:rPr>
          <w:rFonts w:ascii="Garamond" w:hAnsi="Garamond"/>
          <w:sz w:val="24"/>
          <w:szCs w:val="24"/>
        </w:rPr>
        <w:t>The narrator begins to give Spalanzani a dark character when otherwise he seemed like a kind person. The way in which it is written makes readers question whether this is under the perception of Nathaniel going mad, or if perhaps Spalanzani is in fact a supernatural spectre who has evil intent towards Nathaniel. By keeping this vague,</w:t>
      </w:r>
      <w:r w:rsidR="00DF7619">
        <w:rPr>
          <w:rFonts w:ascii="Garamond" w:hAnsi="Garamond"/>
          <w:sz w:val="24"/>
          <w:szCs w:val="24"/>
        </w:rPr>
        <w:t xml:space="preserve"> Hoffmann</w:t>
      </w:r>
      <w:r w:rsidR="0026197B">
        <w:rPr>
          <w:rFonts w:ascii="Garamond" w:hAnsi="Garamond"/>
          <w:sz w:val="24"/>
          <w:szCs w:val="24"/>
        </w:rPr>
        <w:t xml:space="preserve"> continues to keep the story plainly intriguing to read while also keeping readers on the edge as to whether they should interpret the whole of the story as supernatural or an allegory of madness. </w:t>
      </w:r>
    </w:p>
    <w:p w14:paraId="3F7E9653" w14:textId="45BBE36C" w:rsidR="000D6A40" w:rsidRDefault="005F62C1" w:rsidP="00DE2473">
      <w:pPr>
        <w:spacing w:after="0" w:line="480" w:lineRule="auto"/>
        <w:ind w:firstLine="720"/>
        <w:rPr>
          <w:rFonts w:ascii="Garamond" w:hAnsi="Garamond"/>
          <w:sz w:val="24"/>
          <w:szCs w:val="24"/>
        </w:rPr>
      </w:pPr>
      <w:r>
        <w:rPr>
          <w:rFonts w:ascii="Garamond" w:hAnsi="Garamond"/>
          <w:sz w:val="24"/>
          <w:szCs w:val="24"/>
        </w:rPr>
        <w:t xml:space="preserve">Literary texts are often written for a purpose; this purpose may be understood as the ‘moral of the story’ which is </w:t>
      </w:r>
      <w:r w:rsidR="00D205B4">
        <w:rPr>
          <w:rFonts w:ascii="Garamond" w:hAnsi="Garamond"/>
          <w:sz w:val="24"/>
          <w:szCs w:val="24"/>
        </w:rPr>
        <w:t xml:space="preserve">often </w:t>
      </w:r>
      <w:r>
        <w:rPr>
          <w:rFonts w:ascii="Garamond" w:hAnsi="Garamond"/>
          <w:sz w:val="24"/>
          <w:szCs w:val="24"/>
        </w:rPr>
        <w:t xml:space="preserve">hidden behind metaphor to keep the reader intrigued. </w:t>
      </w:r>
      <w:r w:rsidR="00DE2473">
        <w:rPr>
          <w:rFonts w:ascii="Garamond" w:hAnsi="Garamond"/>
          <w:sz w:val="24"/>
          <w:szCs w:val="24"/>
        </w:rPr>
        <w:t xml:space="preserve">If everything was simply told straight to us, it would get tiresome quite fast. The piece may end up reading as an </w:t>
      </w:r>
      <w:r w:rsidR="00DE2473">
        <w:rPr>
          <w:rFonts w:ascii="Garamond" w:hAnsi="Garamond"/>
          <w:sz w:val="24"/>
          <w:szCs w:val="24"/>
        </w:rPr>
        <w:lastRenderedPageBreak/>
        <w:t>instruction manual rather than a work of literature which is meant to be enjoyed. Primarily, stories like these can be assumed to have been written for</w:t>
      </w:r>
      <w:r w:rsidR="00D205B4">
        <w:rPr>
          <w:rFonts w:ascii="Garamond" w:hAnsi="Garamond"/>
          <w:sz w:val="24"/>
          <w:szCs w:val="24"/>
        </w:rPr>
        <w:t xml:space="preserve"> the</w:t>
      </w:r>
      <w:r w:rsidR="00DE2473">
        <w:rPr>
          <w:rFonts w:ascii="Garamond" w:hAnsi="Garamond"/>
          <w:sz w:val="24"/>
          <w:szCs w:val="24"/>
        </w:rPr>
        <w:t xml:space="preserve"> enjoyment of the reader. Secondly, they could serve political purposes or historical purposes. There is never one meaning assigned to things in life. Pieces of literature, whether intended or not, will adopt an unconscious meaning to the people who read it. </w:t>
      </w:r>
      <w:r w:rsidR="000D6A40">
        <w:rPr>
          <w:rFonts w:ascii="Garamond" w:hAnsi="Garamond"/>
          <w:sz w:val="24"/>
          <w:szCs w:val="24"/>
        </w:rPr>
        <w:t xml:space="preserve">Throughout these examples we can see that an argument can be made that </w:t>
      </w:r>
      <w:r w:rsidR="00F247F1">
        <w:rPr>
          <w:rFonts w:ascii="Garamond" w:hAnsi="Garamond"/>
          <w:sz w:val="24"/>
          <w:szCs w:val="24"/>
        </w:rPr>
        <w:t xml:space="preserve">although a text may have an unconscious meaning, the words themselves are what lead to this </w:t>
      </w:r>
      <w:r w:rsidR="00BB5756">
        <w:rPr>
          <w:rFonts w:ascii="Garamond" w:hAnsi="Garamond"/>
          <w:sz w:val="24"/>
          <w:szCs w:val="24"/>
        </w:rPr>
        <w:t>unconsciousness; therefore</w:t>
      </w:r>
      <w:r w:rsidR="00610D6D">
        <w:rPr>
          <w:rFonts w:ascii="Garamond" w:hAnsi="Garamond"/>
          <w:sz w:val="24"/>
          <w:szCs w:val="24"/>
        </w:rPr>
        <w:t>,</w:t>
      </w:r>
      <w:r w:rsidR="00F247F1">
        <w:rPr>
          <w:rFonts w:ascii="Garamond" w:hAnsi="Garamond"/>
          <w:sz w:val="24"/>
          <w:szCs w:val="24"/>
        </w:rPr>
        <w:t xml:space="preserve"> the true importance </w:t>
      </w:r>
      <w:r w:rsidR="0072252F">
        <w:rPr>
          <w:rFonts w:ascii="Garamond" w:hAnsi="Garamond"/>
          <w:sz w:val="24"/>
          <w:szCs w:val="24"/>
        </w:rPr>
        <w:t>is</w:t>
      </w:r>
      <w:r w:rsidR="00F247F1">
        <w:rPr>
          <w:rFonts w:ascii="Garamond" w:hAnsi="Garamond"/>
          <w:sz w:val="24"/>
          <w:szCs w:val="24"/>
        </w:rPr>
        <w:t xml:space="preserve"> in the actual words which are said on the page. Although this may be true, it can </w:t>
      </w:r>
      <w:r w:rsidR="00610D6D">
        <w:rPr>
          <w:rFonts w:ascii="Garamond" w:hAnsi="Garamond"/>
          <w:sz w:val="24"/>
          <w:szCs w:val="24"/>
        </w:rPr>
        <w:t xml:space="preserve">more strongly </w:t>
      </w:r>
      <w:r w:rsidR="00F247F1">
        <w:rPr>
          <w:rFonts w:ascii="Garamond" w:hAnsi="Garamond"/>
          <w:sz w:val="24"/>
          <w:szCs w:val="24"/>
        </w:rPr>
        <w:t>be</w:t>
      </w:r>
      <w:r w:rsidR="00610D6D">
        <w:rPr>
          <w:rFonts w:ascii="Garamond" w:hAnsi="Garamond"/>
          <w:sz w:val="24"/>
          <w:szCs w:val="24"/>
        </w:rPr>
        <w:t xml:space="preserve"> inferred from these examples </w:t>
      </w:r>
      <w:r w:rsidR="00F247F1">
        <w:rPr>
          <w:rFonts w:ascii="Garamond" w:hAnsi="Garamond"/>
          <w:sz w:val="24"/>
          <w:szCs w:val="24"/>
        </w:rPr>
        <w:t xml:space="preserve">that it is the way in which these ideas have not been explicitly said </w:t>
      </w:r>
      <w:r w:rsidR="005B3CDC">
        <w:rPr>
          <w:rFonts w:ascii="Garamond" w:hAnsi="Garamond"/>
          <w:sz w:val="24"/>
          <w:szCs w:val="24"/>
        </w:rPr>
        <w:t>that</w:t>
      </w:r>
      <w:r w:rsidR="00F247F1">
        <w:rPr>
          <w:rFonts w:ascii="Garamond" w:hAnsi="Garamond"/>
          <w:sz w:val="24"/>
          <w:szCs w:val="24"/>
        </w:rPr>
        <w:t xml:space="preserve"> </w:t>
      </w:r>
      <w:r w:rsidR="007854F2">
        <w:rPr>
          <w:rFonts w:ascii="Garamond" w:hAnsi="Garamond"/>
          <w:sz w:val="24"/>
          <w:szCs w:val="24"/>
        </w:rPr>
        <w:t>creates a stronger impact on readers</w:t>
      </w:r>
      <w:r w:rsidR="005B3CDC">
        <w:rPr>
          <w:rFonts w:ascii="Garamond" w:hAnsi="Garamond"/>
          <w:sz w:val="24"/>
          <w:szCs w:val="24"/>
        </w:rPr>
        <w:t>.</w:t>
      </w:r>
      <w:r w:rsidR="007854F2">
        <w:rPr>
          <w:rFonts w:ascii="Garamond" w:hAnsi="Garamond"/>
          <w:sz w:val="24"/>
          <w:szCs w:val="24"/>
        </w:rPr>
        <w:t xml:space="preserve"> </w:t>
      </w:r>
      <w:r w:rsidR="005B3CDC">
        <w:rPr>
          <w:rFonts w:ascii="Garamond" w:hAnsi="Garamond"/>
          <w:sz w:val="24"/>
          <w:szCs w:val="24"/>
        </w:rPr>
        <w:t>O</w:t>
      </w:r>
      <w:r w:rsidR="007854F2">
        <w:rPr>
          <w:rFonts w:ascii="Garamond" w:hAnsi="Garamond"/>
          <w:sz w:val="24"/>
          <w:szCs w:val="24"/>
        </w:rPr>
        <w:t xml:space="preserve">nce </w:t>
      </w:r>
      <w:r w:rsidR="00BB5756">
        <w:rPr>
          <w:rFonts w:ascii="Garamond" w:hAnsi="Garamond"/>
          <w:sz w:val="24"/>
          <w:szCs w:val="24"/>
        </w:rPr>
        <w:t>readers</w:t>
      </w:r>
      <w:r w:rsidR="007854F2">
        <w:rPr>
          <w:rFonts w:ascii="Garamond" w:hAnsi="Garamond"/>
          <w:sz w:val="24"/>
          <w:szCs w:val="24"/>
        </w:rPr>
        <w:t xml:space="preserve"> have finally concluded what it is that has made them feel unfulfilled </w:t>
      </w:r>
      <w:r w:rsidR="00BB5756">
        <w:rPr>
          <w:rFonts w:ascii="Garamond" w:hAnsi="Garamond"/>
          <w:sz w:val="24"/>
          <w:szCs w:val="24"/>
        </w:rPr>
        <w:t>after</w:t>
      </w:r>
      <w:r w:rsidR="007854F2">
        <w:rPr>
          <w:rFonts w:ascii="Garamond" w:hAnsi="Garamond"/>
          <w:sz w:val="24"/>
          <w:szCs w:val="24"/>
        </w:rPr>
        <w:t xml:space="preserve"> the reading of a piece</w:t>
      </w:r>
      <w:r w:rsidR="005B3CDC">
        <w:rPr>
          <w:rFonts w:ascii="Garamond" w:hAnsi="Garamond"/>
          <w:sz w:val="24"/>
          <w:szCs w:val="24"/>
        </w:rPr>
        <w:t xml:space="preserve">, </w:t>
      </w:r>
      <w:r w:rsidR="0072252F">
        <w:rPr>
          <w:rFonts w:ascii="Garamond" w:hAnsi="Garamond"/>
          <w:sz w:val="24"/>
          <w:szCs w:val="24"/>
        </w:rPr>
        <w:t xml:space="preserve">they can begin to piece together their own interpretations. </w:t>
      </w:r>
      <w:r w:rsidR="00BB5756">
        <w:rPr>
          <w:rFonts w:ascii="Garamond" w:hAnsi="Garamond"/>
          <w:sz w:val="24"/>
          <w:szCs w:val="24"/>
        </w:rPr>
        <w:t xml:space="preserve">Clashing understandings of critical ideas within texts is what generates meaningful discussion between peers. These discussions may then lead to an improved consideration </w:t>
      </w:r>
      <w:r w:rsidR="003001A4">
        <w:rPr>
          <w:rFonts w:ascii="Garamond" w:hAnsi="Garamond"/>
          <w:sz w:val="24"/>
          <w:szCs w:val="24"/>
        </w:rPr>
        <w:t>of the importance of literary texts</w:t>
      </w:r>
      <w:r w:rsidR="00122B8B">
        <w:rPr>
          <w:rFonts w:ascii="Garamond" w:hAnsi="Garamond"/>
          <w:sz w:val="24"/>
          <w:szCs w:val="24"/>
        </w:rPr>
        <w:t>,</w:t>
      </w:r>
      <w:r w:rsidR="003001A4">
        <w:rPr>
          <w:rFonts w:ascii="Garamond" w:hAnsi="Garamond"/>
          <w:sz w:val="24"/>
          <w:szCs w:val="24"/>
        </w:rPr>
        <w:t xml:space="preserve"> and </w:t>
      </w:r>
      <w:r w:rsidR="00A14B38">
        <w:rPr>
          <w:rFonts w:ascii="Garamond" w:hAnsi="Garamond"/>
          <w:sz w:val="24"/>
          <w:szCs w:val="24"/>
        </w:rPr>
        <w:t xml:space="preserve">what they </w:t>
      </w:r>
      <w:r w:rsidR="00122B8B">
        <w:rPr>
          <w:rFonts w:ascii="Garamond" w:hAnsi="Garamond"/>
          <w:sz w:val="24"/>
          <w:szCs w:val="24"/>
        </w:rPr>
        <w:t xml:space="preserve">may </w:t>
      </w:r>
      <w:r w:rsidR="00A14B38">
        <w:rPr>
          <w:rFonts w:ascii="Garamond" w:hAnsi="Garamond"/>
          <w:sz w:val="24"/>
          <w:szCs w:val="24"/>
        </w:rPr>
        <w:t xml:space="preserve">reveal about the underlying </w:t>
      </w:r>
      <w:r w:rsidR="00D205B4">
        <w:rPr>
          <w:rFonts w:ascii="Garamond" w:hAnsi="Garamond"/>
          <w:sz w:val="24"/>
          <w:szCs w:val="24"/>
        </w:rPr>
        <w:t>issues</w:t>
      </w:r>
      <w:r w:rsidR="00122B8B">
        <w:rPr>
          <w:rFonts w:ascii="Garamond" w:hAnsi="Garamond"/>
          <w:sz w:val="24"/>
          <w:szCs w:val="24"/>
        </w:rPr>
        <w:t xml:space="preserve"> within</w:t>
      </w:r>
      <w:r w:rsidR="00A14B38">
        <w:rPr>
          <w:rFonts w:ascii="Garamond" w:hAnsi="Garamond"/>
          <w:sz w:val="24"/>
          <w:szCs w:val="24"/>
        </w:rPr>
        <w:t xml:space="preserve"> societies. </w:t>
      </w:r>
    </w:p>
    <w:p w14:paraId="541089AA" w14:textId="197E1A06" w:rsidR="00653D92" w:rsidRDefault="00653D92" w:rsidP="00653D92">
      <w:pPr>
        <w:spacing w:after="0" w:line="480" w:lineRule="auto"/>
        <w:rPr>
          <w:rFonts w:ascii="Garamond" w:hAnsi="Garamond"/>
          <w:sz w:val="24"/>
          <w:szCs w:val="24"/>
        </w:rPr>
      </w:pPr>
    </w:p>
    <w:p w14:paraId="15B914CD" w14:textId="79D755BC" w:rsidR="00653D92" w:rsidRDefault="00653D92" w:rsidP="00653D92">
      <w:pPr>
        <w:spacing w:after="0" w:line="480" w:lineRule="auto"/>
        <w:rPr>
          <w:rFonts w:ascii="Garamond" w:hAnsi="Garamond"/>
          <w:sz w:val="24"/>
          <w:szCs w:val="24"/>
        </w:rPr>
      </w:pPr>
      <w:r>
        <w:rPr>
          <w:rFonts w:ascii="Garamond" w:hAnsi="Garamond"/>
          <w:sz w:val="24"/>
          <w:szCs w:val="24"/>
        </w:rPr>
        <w:t>word count: 3</w:t>
      </w:r>
      <w:r w:rsidR="004B11DB">
        <w:rPr>
          <w:rFonts w:ascii="Garamond" w:hAnsi="Garamond"/>
          <w:sz w:val="24"/>
          <w:szCs w:val="24"/>
        </w:rPr>
        <w:t>544</w:t>
      </w:r>
    </w:p>
    <w:p w14:paraId="5501057B" w14:textId="233C2703" w:rsidR="00984237" w:rsidRDefault="00984237" w:rsidP="00653D92">
      <w:pPr>
        <w:spacing w:after="0" w:line="480" w:lineRule="auto"/>
        <w:rPr>
          <w:rFonts w:ascii="Garamond" w:hAnsi="Garamond"/>
          <w:sz w:val="24"/>
          <w:szCs w:val="24"/>
        </w:rPr>
      </w:pPr>
    </w:p>
    <w:p w14:paraId="55B16412" w14:textId="1158F968" w:rsidR="00984237" w:rsidRDefault="00984237" w:rsidP="00653D92">
      <w:pPr>
        <w:spacing w:after="0" w:line="480" w:lineRule="auto"/>
        <w:rPr>
          <w:rFonts w:ascii="Garamond" w:hAnsi="Garamond"/>
          <w:sz w:val="24"/>
          <w:szCs w:val="24"/>
        </w:rPr>
      </w:pPr>
    </w:p>
    <w:p w14:paraId="1D64CFB8" w14:textId="77777777" w:rsidR="00984237" w:rsidRDefault="00984237" w:rsidP="00653D92">
      <w:pPr>
        <w:spacing w:after="0" w:line="480" w:lineRule="auto"/>
        <w:rPr>
          <w:rFonts w:ascii="Garamond" w:hAnsi="Garamond"/>
          <w:sz w:val="24"/>
          <w:szCs w:val="24"/>
        </w:rPr>
      </w:pPr>
    </w:p>
    <w:p w14:paraId="7665F64C" w14:textId="77777777" w:rsidR="00F207FC" w:rsidRDefault="00F207FC" w:rsidP="00653D92">
      <w:pPr>
        <w:spacing w:after="0" w:line="480" w:lineRule="auto"/>
        <w:rPr>
          <w:rFonts w:ascii="Garamond" w:hAnsi="Garamond"/>
          <w:sz w:val="24"/>
          <w:szCs w:val="24"/>
        </w:rPr>
      </w:pPr>
    </w:p>
    <w:p w14:paraId="7693EA6C" w14:textId="3447DDD1" w:rsidR="00C30666" w:rsidRDefault="00C30666" w:rsidP="00DE2473">
      <w:pPr>
        <w:spacing w:after="0" w:line="480" w:lineRule="auto"/>
        <w:ind w:firstLine="720"/>
        <w:rPr>
          <w:rFonts w:ascii="Garamond" w:hAnsi="Garamond"/>
          <w:sz w:val="24"/>
          <w:szCs w:val="24"/>
        </w:rPr>
      </w:pPr>
    </w:p>
    <w:p w14:paraId="2D70D4AD" w14:textId="77777777" w:rsidR="00B04AC4" w:rsidRDefault="00B04AC4" w:rsidP="00477336">
      <w:pPr>
        <w:spacing w:after="0" w:line="480" w:lineRule="auto"/>
        <w:ind w:firstLine="720"/>
        <w:rPr>
          <w:rFonts w:ascii="Garamond" w:hAnsi="Garamond"/>
          <w:sz w:val="24"/>
          <w:szCs w:val="24"/>
        </w:rPr>
      </w:pPr>
    </w:p>
    <w:p w14:paraId="721681A2" w14:textId="77777777" w:rsidR="00A97587" w:rsidRDefault="00A97587" w:rsidP="00477336">
      <w:pPr>
        <w:spacing w:after="0" w:line="480" w:lineRule="auto"/>
        <w:ind w:firstLine="720"/>
        <w:rPr>
          <w:rFonts w:ascii="Garamond" w:hAnsi="Garamond"/>
          <w:sz w:val="24"/>
          <w:szCs w:val="24"/>
        </w:rPr>
      </w:pPr>
    </w:p>
    <w:p w14:paraId="1F927A2F" w14:textId="51662F45" w:rsidR="00DB0276" w:rsidRDefault="00DB0276" w:rsidP="006C26BF">
      <w:pPr>
        <w:spacing w:after="0" w:line="480" w:lineRule="auto"/>
        <w:rPr>
          <w:rFonts w:ascii="Garamond" w:hAnsi="Garamond"/>
          <w:sz w:val="24"/>
          <w:szCs w:val="24"/>
        </w:rPr>
      </w:pPr>
    </w:p>
    <w:p w14:paraId="515CFC4A" w14:textId="337BADD0" w:rsidR="00DB0276" w:rsidRPr="001A0D74" w:rsidRDefault="00DB0276" w:rsidP="00DB0276">
      <w:pPr>
        <w:rPr>
          <w:rFonts w:ascii="Garamond" w:hAnsi="Garamond"/>
          <w:b/>
          <w:bCs/>
          <w:sz w:val="24"/>
          <w:szCs w:val="24"/>
          <w:u w:val="single"/>
        </w:rPr>
      </w:pPr>
      <w:r w:rsidRPr="001A0D74">
        <w:rPr>
          <w:rFonts w:ascii="Garamond" w:hAnsi="Garamond"/>
          <w:b/>
          <w:bCs/>
          <w:sz w:val="24"/>
          <w:szCs w:val="24"/>
          <w:u w:val="single"/>
        </w:rPr>
        <w:lastRenderedPageBreak/>
        <w:t>Bibliography</w:t>
      </w:r>
    </w:p>
    <w:p w14:paraId="2AC7C647" w14:textId="77777777" w:rsidR="00DB0276" w:rsidRPr="001A0D74" w:rsidRDefault="00DB0276" w:rsidP="00DB0276">
      <w:pPr>
        <w:rPr>
          <w:rFonts w:ascii="Garamond" w:hAnsi="Garamond"/>
          <w:sz w:val="24"/>
          <w:szCs w:val="24"/>
        </w:rPr>
      </w:pPr>
    </w:p>
    <w:p w14:paraId="774778BF" w14:textId="77777777" w:rsidR="00DB0276" w:rsidRPr="001A0D74" w:rsidRDefault="00DB0276" w:rsidP="00DB0276">
      <w:pPr>
        <w:spacing w:after="0" w:line="240" w:lineRule="auto"/>
        <w:ind w:left="720" w:hanging="720"/>
        <w:rPr>
          <w:rFonts w:ascii="Garamond" w:hAnsi="Garamond"/>
          <w:sz w:val="24"/>
          <w:szCs w:val="24"/>
        </w:rPr>
      </w:pPr>
      <w:r w:rsidRPr="001A0D74">
        <w:rPr>
          <w:rFonts w:ascii="Garamond" w:hAnsi="Garamond"/>
          <w:sz w:val="24"/>
          <w:szCs w:val="24"/>
        </w:rPr>
        <w:t xml:space="preserve">Amper, Susan, ‘Untold Story: The Lying Narrator in “The Black Cat”’, </w:t>
      </w:r>
      <w:r w:rsidRPr="001A0D74">
        <w:rPr>
          <w:rFonts w:ascii="Garamond" w:hAnsi="Garamond"/>
          <w:i/>
          <w:iCs/>
          <w:sz w:val="24"/>
          <w:szCs w:val="24"/>
        </w:rPr>
        <w:t>Studies in Short Fiction</w:t>
      </w:r>
      <w:r w:rsidRPr="001A0D74">
        <w:rPr>
          <w:rFonts w:ascii="Garamond" w:hAnsi="Garamond"/>
          <w:sz w:val="24"/>
          <w:szCs w:val="24"/>
        </w:rPr>
        <w:t>, 29, 4 (1992), 475-485</w:t>
      </w:r>
    </w:p>
    <w:p w14:paraId="0BF03DBD" w14:textId="77777777" w:rsidR="00DB0276" w:rsidRPr="001A0D74" w:rsidRDefault="00DB0276" w:rsidP="00DB0276">
      <w:pPr>
        <w:spacing w:after="0" w:line="240" w:lineRule="auto"/>
        <w:ind w:left="720" w:hanging="720"/>
        <w:rPr>
          <w:rFonts w:ascii="Garamond" w:hAnsi="Garamond"/>
          <w:sz w:val="24"/>
          <w:szCs w:val="24"/>
        </w:rPr>
      </w:pPr>
    </w:p>
    <w:p w14:paraId="1A7D2300" w14:textId="77777777" w:rsidR="00DB0276" w:rsidRPr="001A0D74" w:rsidRDefault="00DB0276" w:rsidP="00DB0276">
      <w:pPr>
        <w:spacing w:after="0" w:line="240" w:lineRule="auto"/>
        <w:ind w:left="720" w:hanging="720"/>
        <w:rPr>
          <w:rFonts w:ascii="Garamond" w:hAnsi="Garamond"/>
          <w:sz w:val="24"/>
          <w:szCs w:val="24"/>
        </w:rPr>
      </w:pPr>
      <w:r w:rsidRPr="001A0D74">
        <w:rPr>
          <w:rFonts w:ascii="Garamond" w:hAnsi="Garamond"/>
          <w:sz w:val="24"/>
          <w:szCs w:val="24"/>
        </w:rPr>
        <w:t xml:space="preserve">Bonaparte, Marie, ‘Tales of the Mother’, </w:t>
      </w:r>
      <w:r w:rsidRPr="001A0D74">
        <w:rPr>
          <w:rFonts w:ascii="Garamond" w:hAnsi="Garamond"/>
          <w:i/>
          <w:iCs/>
          <w:sz w:val="24"/>
          <w:szCs w:val="24"/>
        </w:rPr>
        <w:t>The Life and Works of Edgar Allan Poe, a Psycho-Analytic Interpretation</w:t>
      </w:r>
      <w:r w:rsidRPr="001A0D74">
        <w:rPr>
          <w:rFonts w:ascii="Garamond" w:hAnsi="Garamond"/>
          <w:sz w:val="24"/>
          <w:szCs w:val="24"/>
        </w:rPr>
        <w:t>, (London: Imago, 1949)</w:t>
      </w:r>
    </w:p>
    <w:p w14:paraId="4DB47856" w14:textId="77777777" w:rsidR="00DB0276" w:rsidRPr="001A0D74" w:rsidRDefault="00DB0276" w:rsidP="00DB0276">
      <w:pPr>
        <w:spacing w:after="0" w:line="240" w:lineRule="auto"/>
        <w:ind w:left="720" w:hanging="720"/>
        <w:rPr>
          <w:rFonts w:ascii="Garamond" w:hAnsi="Garamond"/>
          <w:sz w:val="24"/>
          <w:szCs w:val="24"/>
        </w:rPr>
      </w:pPr>
    </w:p>
    <w:p w14:paraId="1F796412" w14:textId="1F3D6330" w:rsidR="00DB0276" w:rsidRDefault="00DB0276" w:rsidP="00DB0276">
      <w:pPr>
        <w:spacing w:after="0" w:line="240" w:lineRule="auto"/>
        <w:ind w:left="720" w:hanging="720"/>
        <w:rPr>
          <w:rFonts w:ascii="Garamond" w:hAnsi="Garamond"/>
          <w:sz w:val="24"/>
          <w:szCs w:val="24"/>
        </w:rPr>
      </w:pPr>
      <w:proofErr w:type="spellStart"/>
      <w:r w:rsidRPr="001A0D74">
        <w:rPr>
          <w:rFonts w:ascii="Garamond" w:hAnsi="Garamond"/>
          <w:sz w:val="24"/>
          <w:szCs w:val="24"/>
        </w:rPr>
        <w:t>Bresnick</w:t>
      </w:r>
      <w:proofErr w:type="spellEnd"/>
      <w:r w:rsidRPr="001A0D74">
        <w:rPr>
          <w:rFonts w:ascii="Garamond" w:hAnsi="Garamond"/>
          <w:sz w:val="24"/>
          <w:szCs w:val="24"/>
        </w:rPr>
        <w:t>, Adam, ‘</w:t>
      </w:r>
      <w:proofErr w:type="spellStart"/>
      <w:r w:rsidRPr="001A0D74">
        <w:rPr>
          <w:rFonts w:ascii="Garamond" w:hAnsi="Garamond"/>
          <w:sz w:val="24"/>
          <w:szCs w:val="24"/>
        </w:rPr>
        <w:t>Prosopoetic</w:t>
      </w:r>
      <w:proofErr w:type="spellEnd"/>
      <w:r w:rsidRPr="001A0D74">
        <w:rPr>
          <w:rFonts w:ascii="Garamond" w:hAnsi="Garamond"/>
          <w:sz w:val="24"/>
          <w:szCs w:val="24"/>
        </w:rPr>
        <w:t xml:space="preserve"> Compulsion: Reading the Uncanny in Freud and Hoffmann’, </w:t>
      </w:r>
      <w:r w:rsidRPr="001A0D74">
        <w:rPr>
          <w:rFonts w:ascii="Garamond" w:hAnsi="Garamond"/>
          <w:i/>
          <w:iCs/>
          <w:sz w:val="24"/>
          <w:szCs w:val="24"/>
        </w:rPr>
        <w:t>The Germanic Review</w:t>
      </w:r>
      <w:r w:rsidRPr="001A0D74">
        <w:rPr>
          <w:rFonts w:ascii="Garamond" w:hAnsi="Garamond"/>
          <w:sz w:val="24"/>
          <w:szCs w:val="24"/>
        </w:rPr>
        <w:t>, 71, 2 (1996), 114-132</w:t>
      </w:r>
    </w:p>
    <w:p w14:paraId="1112FA6A" w14:textId="77777777" w:rsidR="009770AA" w:rsidRDefault="009770AA" w:rsidP="00DB0276">
      <w:pPr>
        <w:spacing w:after="0" w:line="240" w:lineRule="auto"/>
        <w:ind w:left="720" w:hanging="720"/>
        <w:rPr>
          <w:rFonts w:ascii="Garamond" w:hAnsi="Garamond"/>
          <w:sz w:val="24"/>
          <w:szCs w:val="24"/>
        </w:rPr>
      </w:pPr>
    </w:p>
    <w:p w14:paraId="4BF93F04" w14:textId="67764C6D" w:rsidR="009770AA" w:rsidRPr="001A0D74" w:rsidRDefault="009770AA" w:rsidP="00DB0276">
      <w:pPr>
        <w:spacing w:after="0" w:line="240" w:lineRule="auto"/>
        <w:ind w:left="720" w:hanging="720"/>
        <w:rPr>
          <w:rFonts w:ascii="Garamond" w:hAnsi="Garamond"/>
          <w:sz w:val="24"/>
          <w:szCs w:val="24"/>
        </w:rPr>
      </w:pPr>
      <w:r>
        <w:rPr>
          <w:rFonts w:ascii="Garamond" w:hAnsi="Garamond"/>
          <w:sz w:val="24"/>
          <w:szCs w:val="24"/>
        </w:rPr>
        <w:t xml:space="preserve">Eagleton, Terry, </w:t>
      </w:r>
      <w:r w:rsidR="00A52AE3" w:rsidRPr="00152C56">
        <w:rPr>
          <w:rFonts w:ascii="Garamond" w:hAnsi="Garamond"/>
          <w:i/>
          <w:iCs/>
          <w:sz w:val="24"/>
          <w:szCs w:val="24"/>
        </w:rPr>
        <w:t>Literary Theory: An Introduction: Anniversary Edition</w:t>
      </w:r>
      <w:r w:rsidR="00A52AE3">
        <w:rPr>
          <w:rFonts w:ascii="Garamond" w:hAnsi="Garamond"/>
          <w:sz w:val="24"/>
          <w:szCs w:val="24"/>
        </w:rPr>
        <w:t xml:space="preserve">, </w:t>
      </w:r>
      <w:r w:rsidR="00054BF3">
        <w:rPr>
          <w:rFonts w:ascii="Garamond" w:hAnsi="Garamond"/>
          <w:sz w:val="24"/>
          <w:szCs w:val="24"/>
        </w:rPr>
        <w:t>2</w:t>
      </w:r>
      <w:r w:rsidR="00054BF3" w:rsidRPr="00054BF3">
        <w:rPr>
          <w:rFonts w:ascii="Garamond" w:hAnsi="Garamond"/>
          <w:sz w:val="24"/>
          <w:szCs w:val="24"/>
          <w:vertAlign w:val="superscript"/>
        </w:rPr>
        <w:t>nd</w:t>
      </w:r>
      <w:r w:rsidR="00054BF3">
        <w:rPr>
          <w:rFonts w:ascii="Garamond" w:hAnsi="Garamond"/>
          <w:sz w:val="24"/>
          <w:szCs w:val="24"/>
        </w:rPr>
        <w:t xml:space="preserve"> Ed, </w:t>
      </w:r>
      <w:r w:rsidR="00C93E20">
        <w:rPr>
          <w:rFonts w:ascii="Garamond" w:hAnsi="Garamond"/>
          <w:sz w:val="24"/>
          <w:szCs w:val="24"/>
        </w:rPr>
        <w:t>(</w:t>
      </w:r>
      <w:r w:rsidR="004C2879">
        <w:rPr>
          <w:rFonts w:ascii="Garamond" w:hAnsi="Garamond"/>
          <w:sz w:val="24"/>
          <w:szCs w:val="24"/>
        </w:rPr>
        <w:t>Blackwell</w:t>
      </w:r>
      <w:r w:rsidR="00054BF3">
        <w:rPr>
          <w:rFonts w:ascii="Garamond" w:hAnsi="Garamond"/>
          <w:sz w:val="24"/>
          <w:szCs w:val="24"/>
        </w:rPr>
        <w:t>, 2008)</w:t>
      </w:r>
    </w:p>
    <w:p w14:paraId="0F00BE70" w14:textId="77777777" w:rsidR="00DB0276" w:rsidRPr="001A0D74" w:rsidRDefault="00DB0276" w:rsidP="00DB0276">
      <w:pPr>
        <w:spacing w:after="0" w:line="240" w:lineRule="auto"/>
        <w:ind w:left="720" w:hanging="720"/>
        <w:rPr>
          <w:rFonts w:ascii="Garamond" w:hAnsi="Garamond"/>
          <w:sz w:val="24"/>
          <w:szCs w:val="24"/>
        </w:rPr>
      </w:pPr>
    </w:p>
    <w:p w14:paraId="2A96957F" w14:textId="77777777" w:rsidR="00DB0276" w:rsidRPr="001A0D74" w:rsidRDefault="00DB0276" w:rsidP="00DB0276">
      <w:pPr>
        <w:spacing w:after="0" w:line="240" w:lineRule="auto"/>
        <w:ind w:left="720" w:hanging="720"/>
        <w:rPr>
          <w:rFonts w:ascii="Garamond" w:hAnsi="Garamond"/>
          <w:sz w:val="24"/>
          <w:szCs w:val="24"/>
        </w:rPr>
      </w:pPr>
      <w:r w:rsidRPr="001A0D74">
        <w:rPr>
          <w:rFonts w:ascii="Garamond" w:hAnsi="Garamond"/>
          <w:sz w:val="24"/>
          <w:szCs w:val="24"/>
        </w:rPr>
        <w:t xml:space="preserve">Hertz, Neil, ‘Freud and the Sandman’, </w:t>
      </w:r>
      <w:r w:rsidRPr="001A0D74">
        <w:rPr>
          <w:rFonts w:ascii="Garamond" w:hAnsi="Garamond"/>
          <w:i/>
          <w:iCs/>
          <w:sz w:val="24"/>
          <w:szCs w:val="24"/>
        </w:rPr>
        <w:t>The End of the Line</w:t>
      </w:r>
      <w:r w:rsidRPr="001A0D74">
        <w:rPr>
          <w:rFonts w:ascii="Garamond" w:hAnsi="Garamond"/>
          <w:sz w:val="24"/>
          <w:szCs w:val="24"/>
        </w:rPr>
        <w:t>, (Colorado: The Davies Group Publishers, 2009)</w:t>
      </w:r>
    </w:p>
    <w:p w14:paraId="6DF1F590" w14:textId="77777777" w:rsidR="00DB0276" w:rsidRPr="001A0D74" w:rsidRDefault="00DB0276" w:rsidP="00DB0276">
      <w:pPr>
        <w:spacing w:after="0" w:line="240" w:lineRule="auto"/>
        <w:ind w:left="720" w:hanging="720"/>
        <w:rPr>
          <w:rFonts w:ascii="Garamond" w:hAnsi="Garamond"/>
          <w:sz w:val="24"/>
          <w:szCs w:val="24"/>
        </w:rPr>
      </w:pPr>
    </w:p>
    <w:p w14:paraId="766679A3" w14:textId="77777777" w:rsidR="00DB0276" w:rsidRPr="001A0D74" w:rsidRDefault="00DB0276" w:rsidP="00DB0276">
      <w:pPr>
        <w:spacing w:after="0" w:line="240" w:lineRule="auto"/>
        <w:ind w:left="720" w:hanging="720"/>
        <w:rPr>
          <w:rFonts w:ascii="Garamond" w:hAnsi="Garamond"/>
          <w:sz w:val="24"/>
          <w:szCs w:val="24"/>
        </w:rPr>
      </w:pPr>
      <w:r w:rsidRPr="001A0D74">
        <w:rPr>
          <w:rFonts w:ascii="Garamond" w:hAnsi="Garamond"/>
          <w:sz w:val="24"/>
          <w:szCs w:val="24"/>
        </w:rPr>
        <w:t xml:space="preserve">Hoffmann, E. T. A., </w:t>
      </w:r>
      <w:r w:rsidRPr="001A0D74">
        <w:rPr>
          <w:rFonts w:ascii="Garamond" w:hAnsi="Garamond"/>
          <w:i/>
          <w:iCs/>
          <w:sz w:val="24"/>
          <w:szCs w:val="24"/>
        </w:rPr>
        <w:t>The Sandman. The Elementary Spirit (Two Mysterious Tales)</w:t>
      </w:r>
      <w:r w:rsidRPr="001A0D74">
        <w:rPr>
          <w:rFonts w:ascii="Garamond" w:hAnsi="Garamond"/>
          <w:sz w:val="24"/>
          <w:szCs w:val="24"/>
        </w:rPr>
        <w:t xml:space="preserve"> (New York: Mondial, 2008) </w:t>
      </w:r>
    </w:p>
    <w:p w14:paraId="54556ACF" w14:textId="77777777" w:rsidR="00DB0276" w:rsidRPr="001A0D74" w:rsidRDefault="00DB0276" w:rsidP="00DB0276">
      <w:pPr>
        <w:spacing w:after="0" w:line="240" w:lineRule="auto"/>
        <w:ind w:left="720" w:hanging="720"/>
        <w:rPr>
          <w:rFonts w:ascii="Garamond" w:hAnsi="Garamond"/>
          <w:sz w:val="24"/>
          <w:szCs w:val="24"/>
        </w:rPr>
      </w:pPr>
    </w:p>
    <w:p w14:paraId="6BEF6622" w14:textId="77777777" w:rsidR="00DB0276" w:rsidRPr="001A0D74" w:rsidRDefault="00DB0276" w:rsidP="00DB0276">
      <w:pPr>
        <w:spacing w:after="0" w:line="240" w:lineRule="auto"/>
        <w:ind w:left="720" w:hanging="720"/>
        <w:rPr>
          <w:rFonts w:ascii="Garamond" w:hAnsi="Garamond"/>
          <w:sz w:val="24"/>
          <w:szCs w:val="24"/>
        </w:rPr>
      </w:pPr>
      <w:r w:rsidRPr="001A0D74">
        <w:rPr>
          <w:rFonts w:ascii="Garamond" w:hAnsi="Garamond"/>
          <w:sz w:val="24"/>
          <w:szCs w:val="24"/>
        </w:rPr>
        <w:t xml:space="preserve">Poe, Edgar Allan, </w:t>
      </w:r>
      <w:r w:rsidRPr="001A0D74">
        <w:rPr>
          <w:rFonts w:ascii="Garamond" w:hAnsi="Garamond"/>
          <w:i/>
          <w:iCs/>
          <w:sz w:val="24"/>
          <w:szCs w:val="24"/>
        </w:rPr>
        <w:t>The Fall of the House of Usher and Other Writings</w:t>
      </w:r>
      <w:r w:rsidRPr="001A0D74">
        <w:rPr>
          <w:rFonts w:ascii="Garamond" w:hAnsi="Garamond"/>
          <w:sz w:val="24"/>
          <w:szCs w:val="24"/>
        </w:rPr>
        <w:t xml:space="preserve"> (England: Penguin Books, 2003)</w:t>
      </w:r>
    </w:p>
    <w:p w14:paraId="5A2E0582" w14:textId="77777777" w:rsidR="00DB0276" w:rsidRPr="001A0D74" w:rsidRDefault="00DB0276" w:rsidP="00DB0276">
      <w:pPr>
        <w:spacing w:after="0" w:line="240" w:lineRule="auto"/>
        <w:ind w:left="720" w:hanging="720"/>
        <w:rPr>
          <w:rFonts w:ascii="Garamond" w:hAnsi="Garamond"/>
          <w:sz w:val="24"/>
          <w:szCs w:val="24"/>
        </w:rPr>
      </w:pPr>
    </w:p>
    <w:p w14:paraId="32964071" w14:textId="77777777" w:rsidR="00DB0276" w:rsidRPr="001A0D74" w:rsidRDefault="00DB0276" w:rsidP="00DB0276">
      <w:pPr>
        <w:spacing w:after="0" w:line="240" w:lineRule="auto"/>
        <w:ind w:left="720" w:hanging="720"/>
        <w:rPr>
          <w:rFonts w:ascii="Garamond" w:hAnsi="Garamond"/>
          <w:sz w:val="24"/>
          <w:szCs w:val="24"/>
        </w:rPr>
      </w:pPr>
      <w:r w:rsidRPr="001A0D74">
        <w:rPr>
          <w:rFonts w:ascii="Garamond" w:hAnsi="Garamond"/>
          <w:sz w:val="24"/>
          <w:szCs w:val="24"/>
        </w:rPr>
        <w:t xml:space="preserve">Purcell, Elizabeth, ‘The Crisis of Subjectivity: The Significance of </w:t>
      </w:r>
      <w:proofErr w:type="spellStart"/>
      <w:r w:rsidRPr="001A0D74">
        <w:rPr>
          <w:rFonts w:ascii="Garamond" w:hAnsi="Garamond"/>
          <w:sz w:val="24"/>
          <w:szCs w:val="24"/>
        </w:rPr>
        <w:t>Darstellung</w:t>
      </w:r>
      <w:proofErr w:type="spellEnd"/>
      <w:r w:rsidRPr="001A0D74">
        <w:rPr>
          <w:rFonts w:ascii="Garamond" w:hAnsi="Garamond"/>
          <w:sz w:val="24"/>
          <w:szCs w:val="24"/>
        </w:rPr>
        <w:t xml:space="preserve"> and Freedom in E. T. A. Hoffmann’s “The Sandman”’, </w:t>
      </w:r>
      <w:r w:rsidRPr="001A0D74">
        <w:rPr>
          <w:rFonts w:ascii="Garamond" w:hAnsi="Garamond"/>
          <w:i/>
          <w:iCs/>
          <w:sz w:val="24"/>
          <w:szCs w:val="24"/>
        </w:rPr>
        <w:t>Philosophy and Literature</w:t>
      </w:r>
      <w:r w:rsidRPr="001A0D74">
        <w:rPr>
          <w:rFonts w:ascii="Garamond" w:hAnsi="Garamond"/>
          <w:sz w:val="24"/>
          <w:szCs w:val="24"/>
        </w:rPr>
        <w:t>, 40, 1 (New York: 2016), 44-58</w:t>
      </w:r>
    </w:p>
    <w:p w14:paraId="4932FE53" w14:textId="77777777" w:rsidR="00DB0276" w:rsidRPr="001A0D74" w:rsidRDefault="00DB0276" w:rsidP="00DB0276">
      <w:pPr>
        <w:spacing w:after="0" w:line="240" w:lineRule="auto"/>
        <w:ind w:left="720" w:hanging="720"/>
        <w:rPr>
          <w:rFonts w:ascii="Garamond" w:hAnsi="Garamond"/>
          <w:sz w:val="24"/>
          <w:szCs w:val="24"/>
        </w:rPr>
      </w:pPr>
    </w:p>
    <w:p w14:paraId="445396BC" w14:textId="77777777" w:rsidR="00DB0276" w:rsidRPr="001A0D74" w:rsidRDefault="00DB0276" w:rsidP="00DB0276">
      <w:pPr>
        <w:spacing w:after="0" w:line="240" w:lineRule="auto"/>
        <w:ind w:left="720" w:hanging="720"/>
        <w:rPr>
          <w:rFonts w:ascii="Garamond" w:hAnsi="Garamond"/>
          <w:sz w:val="24"/>
          <w:szCs w:val="24"/>
        </w:rPr>
      </w:pPr>
      <w:r w:rsidRPr="001A0D74">
        <w:rPr>
          <w:rFonts w:ascii="Garamond" w:hAnsi="Garamond"/>
          <w:sz w:val="24"/>
          <w:szCs w:val="24"/>
        </w:rPr>
        <w:t xml:space="preserve">Wing-Chi Ki, Magdalen, ‘Diabolical Evil and “The Black Cat”’, </w:t>
      </w:r>
      <w:r w:rsidRPr="002144C8">
        <w:rPr>
          <w:rFonts w:ascii="Garamond" w:hAnsi="Garamond"/>
          <w:i/>
          <w:iCs/>
          <w:sz w:val="24"/>
          <w:szCs w:val="24"/>
        </w:rPr>
        <w:t>The Mississippi Quarterly</w:t>
      </w:r>
      <w:r w:rsidRPr="001A0D74">
        <w:rPr>
          <w:rFonts w:ascii="Garamond" w:hAnsi="Garamond"/>
          <w:sz w:val="24"/>
          <w:szCs w:val="24"/>
        </w:rPr>
        <w:t>, 62, ¾ (1992), 598-589</w:t>
      </w:r>
    </w:p>
    <w:p w14:paraId="799C9C70" w14:textId="77777777" w:rsidR="00DB0276" w:rsidRPr="00A12EE5" w:rsidRDefault="00DB0276" w:rsidP="00761FFD">
      <w:pPr>
        <w:spacing w:after="0" w:line="480" w:lineRule="auto"/>
        <w:ind w:firstLine="720"/>
        <w:rPr>
          <w:rFonts w:ascii="Garamond" w:hAnsi="Garamond"/>
          <w:sz w:val="24"/>
          <w:szCs w:val="24"/>
        </w:rPr>
      </w:pPr>
    </w:p>
    <w:p w14:paraId="6BB913C0" w14:textId="77777777" w:rsidR="00CE0DBB" w:rsidRDefault="00CE0DBB" w:rsidP="00761FFD">
      <w:pPr>
        <w:spacing w:after="0" w:line="480" w:lineRule="auto"/>
      </w:pPr>
    </w:p>
    <w:sectPr w:rsidR="00CE0DBB">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D25BD1" w14:textId="77777777" w:rsidR="00475B6B" w:rsidRDefault="00475B6B" w:rsidP="00A74B55">
      <w:pPr>
        <w:spacing w:after="0" w:line="240" w:lineRule="auto"/>
      </w:pPr>
      <w:r>
        <w:separator/>
      </w:r>
    </w:p>
  </w:endnote>
  <w:endnote w:type="continuationSeparator" w:id="0">
    <w:p w14:paraId="2352D808" w14:textId="77777777" w:rsidR="00475B6B" w:rsidRDefault="00475B6B" w:rsidP="00A74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8800077"/>
      <w:docPartObj>
        <w:docPartGallery w:val="Page Numbers (Bottom of Page)"/>
        <w:docPartUnique/>
      </w:docPartObj>
    </w:sdtPr>
    <w:sdtEndPr>
      <w:rPr>
        <w:color w:val="7F7F7F" w:themeColor="background1" w:themeShade="7F"/>
        <w:spacing w:val="60"/>
      </w:rPr>
    </w:sdtEndPr>
    <w:sdtContent>
      <w:p w14:paraId="307EF2C9" w14:textId="31CDE7AD" w:rsidR="00A74B55" w:rsidRDefault="00A74B5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F9DFBD4" w14:textId="77777777" w:rsidR="00A74B55" w:rsidRDefault="00A74B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2E89E7" w14:textId="77777777" w:rsidR="00475B6B" w:rsidRDefault="00475B6B" w:rsidP="00A74B55">
      <w:pPr>
        <w:spacing w:after="0" w:line="240" w:lineRule="auto"/>
      </w:pPr>
      <w:r>
        <w:separator/>
      </w:r>
    </w:p>
  </w:footnote>
  <w:footnote w:type="continuationSeparator" w:id="0">
    <w:p w14:paraId="0CA985AD" w14:textId="77777777" w:rsidR="00475B6B" w:rsidRDefault="00475B6B" w:rsidP="00A74B55">
      <w:pPr>
        <w:spacing w:after="0" w:line="240" w:lineRule="auto"/>
      </w:pPr>
      <w:r>
        <w:continuationSeparator/>
      </w:r>
    </w:p>
  </w:footnote>
  <w:footnote w:id="1">
    <w:p w14:paraId="5228C767" w14:textId="51450D35" w:rsidR="00F63D01" w:rsidRPr="00A559D3" w:rsidRDefault="00F63D01" w:rsidP="00F63D01">
      <w:pPr>
        <w:spacing w:after="0" w:line="240" w:lineRule="auto"/>
        <w:ind w:left="720" w:hanging="720"/>
        <w:rPr>
          <w:rFonts w:ascii="Garamond" w:hAnsi="Garamond"/>
          <w:sz w:val="18"/>
          <w:szCs w:val="18"/>
        </w:rPr>
      </w:pPr>
      <w:r w:rsidRPr="00A559D3">
        <w:rPr>
          <w:rStyle w:val="FootnoteReference"/>
          <w:rFonts w:ascii="Garamond" w:hAnsi="Garamond"/>
          <w:sz w:val="18"/>
          <w:szCs w:val="18"/>
        </w:rPr>
        <w:footnoteRef/>
      </w:r>
      <w:r w:rsidRPr="00A559D3">
        <w:rPr>
          <w:rFonts w:ascii="Garamond" w:hAnsi="Garamond"/>
          <w:sz w:val="18"/>
          <w:szCs w:val="18"/>
        </w:rPr>
        <w:t xml:space="preserve"> Eagleton, Terry</w:t>
      </w:r>
      <w:r w:rsidRPr="00A559D3">
        <w:rPr>
          <w:rFonts w:ascii="Garamond" w:hAnsi="Garamond"/>
          <w:i/>
          <w:iCs/>
          <w:sz w:val="18"/>
          <w:szCs w:val="18"/>
        </w:rPr>
        <w:t>, Literary Theory: An Introduction: Anniversary Edition</w:t>
      </w:r>
      <w:r w:rsidRPr="00A559D3">
        <w:rPr>
          <w:rFonts w:ascii="Garamond" w:hAnsi="Garamond"/>
          <w:sz w:val="18"/>
          <w:szCs w:val="18"/>
        </w:rPr>
        <w:t>, 2</w:t>
      </w:r>
      <w:r w:rsidRPr="00A559D3">
        <w:rPr>
          <w:rFonts w:ascii="Garamond" w:hAnsi="Garamond"/>
          <w:sz w:val="18"/>
          <w:szCs w:val="18"/>
          <w:vertAlign w:val="superscript"/>
        </w:rPr>
        <w:t>nd</w:t>
      </w:r>
      <w:r w:rsidRPr="00A559D3">
        <w:rPr>
          <w:rFonts w:ascii="Garamond" w:hAnsi="Garamond"/>
          <w:sz w:val="18"/>
          <w:szCs w:val="18"/>
        </w:rPr>
        <w:t xml:space="preserve"> Ed, (Blackwell, 2008), p. 155</w:t>
      </w:r>
    </w:p>
    <w:p w14:paraId="1AD97F06" w14:textId="5C0F4DCE" w:rsidR="00F63D01" w:rsidRDefault="00F63D01">
      <w:pPr>
        <w:pStyle w:val="FootnoteText"/>
      </w:pPr>
    </w:p>
  </w:footnote>
  <w:footnote w:id="2">
    <w:p w14:paraId="05A57BE8" w14:textId="1E63B1E2" w:rsidR="00663F8A" w:rsidRPr="00A559D3" w:rsidRDefault="00663F8A" w:rsidP="00DE6885">
      <w:pPr>
        <w:spacing w:after="0" w:line="240" w:lineRule="auto"/>
        <w:ind w:left="720" w:hanging="720"/>
        <w:rPr>
          <w:rFonts w:ascii="Garamond" w:hAnsi="Garamond"/>
          <w:sz w:val="18"/>
          <w:szCs w:val="18"/>
        </w:rPr>
      </w:pPr>
      <w:r w:rsidRPr="00A559D3">
        <w:rPr>
          <w:rStyle w:val="FootnoteReference"/>
          <w:rFonts w:ascii="Garamond" w:hAnsi="Garamond"/>
          <w:sz w:val="18"/>
          <w:szCs w:val="18"/>
        </w:rPr>
        <w:footnoteRef/>
      </w:r>
      <w:r w:rsidRPr="00A559D3">
        <w:rPr>
          <w:rFonts w:ascii="Garamond" w:hAnsi="Garamond"/>
          <w:sz w:val="18"/>
          <w:szCs w:val="18"/>
        </w:rPr>
        <w:t xml:space="preserve"> Poe, Edgar Allan, </w:t>
      </w:r>
      <w:r w:rsidRPr="00A559D3">
        <w:rPr>
          <w:rFonts w:ascii="Garamond" w:hAnsi="Garamond"/>
          <w:i/>
          <w:iCs/>
          <w:sz w:val="18"/>
          <w:szCs w:val="18"/>
        </w:rPr>
        <w:t>The Fall of the House of Usher and Other Writings</w:t>
      </w:r>
      <w:r w:rsidRPr="00A559D3">
        <w:rPr>
          <w:rFonts w:ascii="Garamond" w:hAnsi="Garamond"/>
          <w:sz w:val="18"/>
          <w:szCs w:val="18"/>
        </w:rPr>
        <w:t xml:space="preserve"> (England: Penguin Books, 2003)</w:t>
      </w:r>
    </w:p>
  </w:footnote>
  <w:footnote w:id="3">
    <w:p w14:paraId="1FD91303" w14:textId="0AA60DE3" w:rsidR="00663F8A" w:rsidRPr="00A559D3" w:rsidRDefault="00663F8A" w:rsidP="00DE6885">
      <w:pPr>
        <w:spacing w:after="0" w:line="240" w:lineRule="auto"/>
        <w:ind w:left="720" w:hanging="720"/>
        <w:rPr>
          <w:rFonts w:ascii="Garamond" w:hAnsi="Garamond"/>
          <w:sz w:val="18"/>
          <w:szCs w:val="18"/>
        </w:rPr>
      </w:pPr>
      <w:r w:rsidRPr="00A559D3">
        <w:rPr>
          <w:rStyle w:val="FootnoteReference"/>
          <w:rFonts w:ascii="Garamond" w:hAnsi="Garamond"/>
          <w:sz w:val="18"/>
          <w:szCs w:val="18"/>
        </w:rPr>
        <w:footnoteRef/>
      </w:r>
      <w:r w:rsidRPr="00A559D3">
        <w:rPr>
          <w:rFonts w:ascii="Garamond" w:hAnsi="Garamond"/>
          <w:sz w:val="18"/>
          <w:szCs w:val="18"/>
        </w:rPr>
        <w:t xml:space="preserve"> Hoffmann, E. T. A., </w:t>
      </w:r>
      <w:r w:rsidRPr="00A559D3">
        <w:rPr>
          <w:rFonts w:ascii="Garamond" w:hAnsi="Garamond"/>
          <w:i/>
          <w:iCs/>
          <w:sz w:val="18"/>
          <w:szCs w:val="18"/>
        </w:rPr>
        <w:t>The Sandman. The Elementary Spirit (Two Mysterious Tales)</w:t>
      </w:r>
      <w:r w:rsidRPr="00A559D3">
        <w:rPr>
          <w:rFonts w:ascii="Garamond" w:hAnsi="Garamond"/>
          <w:sz w:val="18"/>
          <w:szCs w:val="18"/>
        </w:rPr>
        <w:t xml:space="preserve"> (New York: Mondial, 2008) </w:t>
      </w:r>
    </w:p>
  </w:footnote>
  <w:footnote w:id="4">
    <w:p w14:paraId="4A8F6A02" w14:textId="7BD3076F" w:rsidR="009D7514" w:rsidRPr="00A559D3" w:rsidRDefault="009D7514" w:rsidP="00DE6885">
      <w:pPr>
        <w:spacing w:after="0" w:line="240" w:lineRule="auto"/>
        <w:ind w:left="720" w:hanging="720"/>
        <w:rPr>
          <w:rFonts w:ascii="Garamond" w:hAnsi="Garamond"/>
          <w:sz w:val="18"/>
          <w:szCs w:val="18"/>
        </w:rPr>
      </w:pPr>
      <w:r w:rsidRPr="00A559D3">
        <w:rPr>
          <w:rStyle w:val="FootnoteReference"/>
          <w:rFonts w:ascii="Garamond" w:hAnsi="Garamond"/>
          <w:sz w:val="18"/>
          <w:szCs w:val="18"/>
        </w:rPr>
        <w:footnoteRef/>
      </w:r>
      <w:r w:rsidRPr="00A559D3">
        <w:rPr>
          <w:rFonts w:ascii="Garamond" w:hAnsi="Garamond"/>
          <w:sz w:val="18"/>
          <w:szCs w:val="18"/>
        </w:rPr>
        <w:t xml:space="preserve"> Amper, Susan, ‘Untold Story: The Lying Narrator in “The Black Cat”’, </w:t>
      </w:r>
      <w:r w:rsidRPr="00A559D3">
        <w:rPr>
          <w:rFonts w:ascii="Garamond" w:hAnsi="Garamond"/>
          <w:i/>
          <w:iCs/>
          <w:sz w:val="18"/>
          <w:szCs w:val="18"/>
        </w:rPr>
        <w:t>Studies in Short Fiction</w:t>
      </w:r>
      <w:r w:rsidRPr="00A559D3">
        <w:rPr>
          <w:rFonts w:ascii="Garamond" w:hAnsi="Garamond"/>
          <w:sz w:val="18"/>
          <w:szCs w:val="18"/>
        </w:rPr>
        <w:t>, 29, 4 (1992), 475-485</w:t>
      </w:r>
    </w:p>
  </w:footnote>
  <w:footnote w:id="5">
    <w:p w14:paraId="5D6D7EED" w14:textId="5038E54B" w:rsidR="00EE58E3" w:rsidRPr="00A559D3" w:rsidRDefault="00EE58E3" w:rsidP="00DE6885">
      <w:pPr>
        <w:spacing w:after="0" w:line="240" w:lineRule="auto"/>
        <w:ind w:left="720" w:hanging="720"/>
        <w:rPr>
          <w:rFonts w:ascii="Garamond" w:hAnsi="Garamond"/>
          <w:sz w:val="18"/>
          <w:szCs w:val="18"/>
        </w:rPr>
      </w:pPr>
      <w:r w:rsidRPr="00A559D3">
        <w:rPr>
          <w:rStyle w:val="FootnoteReference"/>
          <w:rFonts w:ascii="Garamond" w:hAnsi="Garamond"/>
          <w:sz w:val="18"/>
          <w:szCs w:val="18"/>
        </w:rPr>
        <w:footnoteRef/>
      </w:r>
      <w:r w:rsidRPr="00A559D3">
        <w:rPr>
          <w:rFonts w:ascii="Garamond" w:hAnsi="Garamond"/>
          <w:sz w:val="18"/>
          <w:szCs w:val="18"/>
        </w:rPr>
        <w:t xml:space="preserve"> Wing-Chi Ki, Magdalen, ‘Diabolical Evil and “The Black Cat”’, </w:t>
      </w:r>
      <w:r w:rsidRPr="00A559D3">
        <w:rPr>
          <w:rFonts w:ascii="Garamond" w:hAnsi="Garamond"/>
          <w:i/>
          <w:iCs/>
          <w:sz w:val="18"/>
          <w:szCs w:val="18"/>
        </w:rPr>
        <w:t>The Mississippi Quarterly</w:t>
      </w:r>
      <w:r w:rsidRPr="00A559D3">
        <w:rPr>
          <w:rFonts w:ascii="Garamond" w:hAnsi="Garamond"/>
          <w:sz w:val="18"/>
          <w:szCs w:val="18"/>
        </w:rPr>
        <w:t xml:space="preserve">, 62, ¾ (1992), </w:t>
      </w:r>
      <w:r w:rsidR="00F70CE1" w:rsidRPr="00A559D3">
        <w:rPr>
          <w:rFonts w:ascii="Garamond" w:hAnsi="Garamond"/>
          <w:sz w:val="18"/>
          <w:szCs w:val="18"/>
        </w:rPr>
        <w:t xml:space="preserve">p. </w:t>
      </w:r>
      <w:r w:rsidRPr="00A559D3">
        <w:rPr>
          <w:rFonts w:ascii="Garamond" w:hAnsi="Garamond"/>
          <w:sz w:val="18"/>
          <w:szCs w:val="18"/>
        </w:rPr>
        <w:t>585</w:t>
      </w:r>
    </w:p>
  </w:footnote>
  <w:footnote w:id="6">
    <w:p w14:paraId="63B36A0F" w14:textId="58CC1155" w:rsidR="004B7467" w:rsidRDefault="004B7467" w:rsidP="00DE6885">
      <w:pPr>
        <w:pStyle w:val="FootnoteText"/>
        <w:ind w:left="720" w:hanging="720"/>
      </w:pPr>
      <w:r w:rsidRPr="00A559D3">
        <w:rPr>
          <w:rStyle w:val="FootnoteReference"/>
          <w:rFonts w:ascii="Garamond" w:hAnsi="Garamond"/>
          <w:sz w:val="18"/>
          <w:szCs w:val="18"/>
        </w:rPr>
        <w:footnoteRef/>
      </w:r>
      <w:r w:rsidRPr="00A559D3">
        <w:rPr>
          <w:rFonts w:ascii="Garamond" w:hAnsi="Garamond"/>
          <w:sz w:val="18"/>
          <w:szCs w:val="18"/>
        </w:rPr>
        <w:t xml:space="preserve"> Wing-Chi Ki, Magdalen, p. 586</w:t>
      </w:r>
    </w:p>
  </w:footnote>
  <w:footnote w:id="7">
    <w:p w14:paraId="1CF1B93C" w14:textId="48D6D0EF" w:rsidR="00DE6885" w:rsidRPr="00A559D3" w:rsidRDefault="00DE6885" w:rsidP="00DE6885">
      <w:pPr>
        <w:pStyle w:val="FootnoteText"/>
        <w:ind w:left="720" w:hanging="720"/>
        <w:rPr>
          <w:rFonts w:ascii="Garamond" w:hAnsi="Garamond"/>
          <w:sz w:val="18"/>
          <w:szCs w:val="18"/>
        </w:rPr>
      </w:pPr>
      <w:r w:rsidRPr="00A559D3">
        <w:rPr>
          <w:rStyle w:val="FootnoteReference"/>
          <w:rFonts w:ascii="Garamond" w:hAnsi="Garamond"/>
          <w:sz w:val="18"/>
          <w:szCs w:val="18"/>
        </w:rPr>
        <w:footnoteRef/>
      </w:r>
      <w:r w:rsidRPr="00A559D3">
        <w:rPr>
          <w:rFonts w:ascii="Garamond" w:hAnsi="Garamond"/>
          <w:sz w:val="18"/>
          <w:szCs w:val="18"/>
        </w:rPr>
        <w:t xml:space="preserve"> Purcell, Elizabeth, ‘The Crisis of Subjectivity: The Significance of </w:t>
      </w:r>
      <w:proofErr w:type="spellStart"/>
      <w:r w:rsidRPr="00A559D3">
        <w:rPr>
          <w:rFonts w:ascii="Garamond" w:hAnsi="Garamond"/>
          <w:sz w:val="18"/>
          <w:szCs w:val="18"/>
        </w:rPr>
        <w:t>Darstellung</w:t>
      </w:r>
      <w:proofErr w:type="spellEnd"/>
      <w:r w:rsidRPr="00A559D3">
        <w:rPr>
          <w:rFonts w:ascii="Garamond" w:hAnsi="Garamond"/>
          <w:sz w:val="18"/>
          <w:szCs w:val="18"/>
        </w:rPr>
        <w:t xml:space="preserve"> and Freedom in E. T. A. Hoffmann’s “The Sandman”’, </w:t>
      </w:r>
      <w:r w:rsidRPr="00A559D3">
        <w:rPr>
          <w:rFonts w:ascii="Garamond" w:hAnsi="Garamond"/>
          <w:i/>
          <w:iCs/>
          <w:sz w:val="18"/>
          <w:szCs w:val="18"/>
        </w:rPr>
        <w:t>Philosophy and Literature</w:t>
      </w:r>
      <w:r w:rsidRPr="00A559D3">
        <w:rPr>
          <w:rFonts w:ascii="Garamond" w:hAnsi="Garamond"/>
          <w:sz w:val="18"/>
          <w:szCs w:val="18"/>
        </w:rPr>
        <w:t>, 40, 1 (New York: 2016), p. 49</w:t>
      </w:r>
    </w:p>
  </w:footnote>
  <w:footnote w:id="8">
    <w:p w14:paraId="21DF9721" w14:textId="0DDA49DB" w:rsidR="00A559D3" w:rsidRPr="00A559D3" w:rsidRDefault="00A559D3" w:rsidP="00A559D3">
      <w:pPr>
        <w:spacing w:after="0" w:line="240" w:lineRule="auto"/>
        <w:ind w:left="720" w:hanging="720"/>
        <w:rPr>
          <w:rFonts w:ascii="Garamond" w:hAnsi="Garamond"/>
          <w:sz w:val="18"/>
          <w:szCs w:val="18"/>
        </w:rPr>
      </w:pPr>
      <w:r w:rsidRPr="00A559D3">
        <w:rPr>
          <w:rStyle w:val="FootnoteReference"/>
          <w:rFonts w:ascii="Garamond" w:hAnsi="Garamond"/>
          <w:sz w:val="18"/>
          <w:szCs w:val="18"/>
        </w:rPr>
        <w:footnoteRef/>
      </w:r>
      <w:r w:rsidRPr="00A559D3">
        <w:rPr>
          <w:rFonts w:ascii="Garamond" w:hAnsi="Garamond"/>
          <w:sz w:val="18"/>
          <w:szCs w:val="18"/>
        </w:rPr>
        <w:t xml:space="preserve"> Hertz, Neil, ‘Freud and the Sandman’, </w:t>
      </w:r>
      <w:r w:rsidRPr="00A559D3">
        <w:rPr>
          <w:rFonts w:ascii="Garamond" w:hAnsi="Garamond"/>
          <w:i/>
          <w:iCs/>
          <w:sz w:val="18"/>
          <w:szCs w:val="18"/>
        </w:rPr>
        <w:t>The End of the Line</w:t>
      </w:r>
      <w:r w:rsidRPr="00A559D3">
        <w:rPr>
          <w:rFonts w:ascii="Garamond" w:hAnsi="Garamond"/>
          <w:sz w:val="18"/>
          <w:szCs w:val="18"/>
        </w:rPr>
        <w:t>, (Colorado: The Davies Group Publishers, 2009), p. 306</w:t>
      </w:r>
    </w:p>
  </w:footnote>
  <w:footnote w:id="9">
    <w:p w14:paraId="1126115A" w14:textId="528C7C68" w:rsidR="00A559D3" w:rsidRPr="00A559D3" w:rsidRDefault="00A559D3">
      <w:pPr>
        <w:pStyle w:val="FootnoteText"/>
        <w:rPr>
          <w:rFonts w:ascii="Garamond" w:hAnsi="Garamond"/>
          <w:sz w:val="18"/>
          <w:szCs w:val="18"/>
        </w:rPr>
      </w:pPr>
      <w:r w:rsidRPr="00A559D3">
        <w:rPr>
          <w:rStyle w:val="FootnoteReference"/>
          <w:rFonts w:ascii="Garamond" w:hAnsi="Garamond"/>
          <w:sz w:val="18"/>
          <w:szCs w:val="18"/>
        </w:rPr>
        <w:footnoteRef/>
      </w:r>
      <w:r w:rsidRPr="00A559D3">
        <w:rPr>
          <w:rFonts w:ascii="Garamond" w:hAnsi="Garamond"/>
          <w:sz w:val="18"/>
          <w:szCs w:val="18"/>
        </w:rPr>
        <w:t xml:space="preserve"> Amper, Susan,</w:t>
      </w:r>
      <w:r>
        <w:rPr>
          <w:rFonts w:ascii="Garamond" w:hAnsi="Garamond"/>
          <w:sz w:val="18"/>
          <w:szCs w:val="18"/>
        </w:rPr>
        <w:t xml:space="preserve"> </w:t>
      </w:r>
      <w:r w:rsidRPr="00A559D3">
        <w:rPr>
          <w:rFonts w:ascii="Garamond" w:hAnsi="Garamond"/>
          <w:sz w:val="18"/>
          <w:szCs w:val="18"/>
        </w:rPr>
        <w:t>p. 475</w:t>
      </w:r>
    </w:p>
  </w:footnote>
  <w:footnote w:id="10">
    <w:p w14:paraId="759DD194" w14:textId="2B255722" w:rsidR="00A559D3" w:rsidRPr="006D40A6" w:rsidRDefault="00A559D3">
      <w:pPr>
        <w:pStyle w:val="FootnoteText"/>
        <w:rPr>
          <w:rFonts w:ascii="Garamond" w:hAnsi="Garamond"/>
          <w:sz w:val="18"/>
          <w:szCs w:val="18"/>
        </w:rPr>
      </w:pPr>
      <w:r w:rsidRPr="006D40A6">
        <w:rPr>
          <w:rStyle w:val="FootnoteReference"/>
          <w:rFonts w:ascii="Garamond" w:hAnsi="Garamond"/>
          <w:sz w:val="18"/>
          <w:szCs w:val="18"/>
        </w:rPr>
        <w:footnoteRef/>
      </w:r>
      <w:r w:rsidRPr="006D40A6">
        <w:rPr>
          <w:rFonts w:ascii="Garamond" w:hAnsi="Garamond"/>
          <w:sz w:val="18"/>
          <w:szCs w:val="18"/>
        </w:rPr>
        <w:t xml:space="preserve"> Amper, Susan, p. 484</w:t>
      </w:r>
    </w:p>
  </w:footnote>
  <w:footnote w:id="11">
    <w:p w14:paraId="40D6C03F" w14:textId="4A134628" w:rsidR="000A1E9F" w:rsidRPr="000A1E9F" w:rsidRDefault="000A1E9F">
      <w:pPr>
        <w:pStyle w:val="FootnoteText"/>
        <w:rPr>
          <w:rFonts w:ascii="Garamond" w:hAnsi="Garamond"/>
          <w:sz w:val="18"/>
          <w:szCs w:val="18"/>
        </w:rPr>
      </w:pPr>
      <w:r w:rsidRPr="000A1E9F">
        <w:rPr>
          <w:rStyle w:val="FootnoteReference"/>
          <w:rFonts w:ascii="Garamond" w:hAnsi="Garamond"/>
          <w:sz w:val="18"/>
          <w:szCs w:val="18"/>
        </w:rPr>
        <w:footnoteRef/>
      </w:r>
      <w:r w:rsidRPr="000A1E9F">
        <w:rPr>
          <w:rFonts w:ascii="Garamond" w:hAnsi="Garamond"/>
          <w:sz w:val="18"/>
          <w:szCs w:val="18"/>
        </w:rPr>
        <w:t xml:space="preserve"> Poe, Edgar Allan, p. 272</w:t>
      </w:r>
    </w:p>
  </w:footnote>
  <w:footnote w:id="12">
    <w:p w14:paraId="106D27EA" w14:textId="23A91AC0" w:rsidR="002D2610" w:rsidRPr="002D2610" w:rsidRDefault="002D2610">
      <w:pPr>
        <w:pStyle w:val="FootnoteText"/>
        <w:rPr>
          <w:rFonts w:ascii="Garamond" w:hAnsi="Garamond"/>
          <w:sz w:val="18"/>
          <w:szCs w:val="18"/>
        </w:rPr>
      </w:pPr>
      <w:r w:rsidRPr="002D2610">
        <w:rPr>
          <w:rStyle w:val="FootnoteReference"/>
          <w:rFonts w:ascii="Garamond" w:hAnsi="Garamond"/>
          <w:sz w:val="18"/>
          <w:szCs w:val="18"/>
        </w:rPr>
        <w:footnoteRef/>
      </w:r>
      <w:r w:rsidRPr="002D2610">
        <w:rPr>
          <w:rFonts w:ascii="Garamond" w:hAnsi="Garamond"/>
          <w:sz w:val="18"/>
          <w:szCs w:val="18"/>
        </w:rPr>
        <w:t xml:space="preserve"> </w:t>
      </w:r>
      <w:bookmarkStart w:id="0" w:name="_Hlk24701294"/>
      <w:r w:rsidRPr="002D2610">
        <w:rPr>
          <w:rFonts w:ascii="Garamond" w:hAnsi="Garamond"/>
          <w:sz w:val="18"/>
          <w:szCs w:val="18"/>
        </w:rPr>
        <w:t>Poe, Edgar Allan, p. 271</w:t>
      </w:r>
      <w:bookmarkEnd w:id="0"/>
    </w:p>
  </w:footnote>
  <w:footnote w:id="13">
    <w:p w14:paraId="73643529" w14:textId="1EB430CB" w:rsidR="00DB434D" w:rsidRPr="00DB434D" w:rsidRDefault="00DB434D">
      <w:pPr>
        <w:pStyle w:val="FootnoteText"/>
        <w:rPr>
          <w:rFonts w:ascii="Garamond" w:hAnsi="Garamond"/>
          <w:sz w:val="18"/>
          <w:szCs w:val="18"/>
        </w:rPr>
      </w:pPr>
      <w:r w:rsidRPr="00DB434D">
        <w:rPr>
          <w:rStyle w:val="FootnoteReference"/>
          <w:rFonts w:ascii="Garamond" w:hAnsi="Garamond"/>
          <w:sz w:val="18"/>
          <w:szCs w:val="18"/>
        </w:rPr>
        <w:footnoteRef/>
      </w:r>
      <w:r w:rsidRPr="00DB434D">
        <w:rPr>
          <w:rFonts w:ascii="Garamond" w:hAnsi="Garamond"/>
          <w:sz w:val="18"/>
          <w:szCs w:val="18"/>
        </w:rPr>
        <w:t xml:space="preserve"> Poe, Edgar Allan, p. 271</w:t>
      </w:r>
    </w:p>
  </w:footnote>
  <w:footnote w:id="14">
    <w:p w14:paraId="55692169" w14:textId="29391691" w:rsidR="00DB434D" w:rsidRPr="00DB434D" w:rsidRDefault="00DB434D">
      <w:pPr>
        <w:pStyle w:val="FootnoteText"/>
        <w:rPr>
          <w:rFonts w:ascii="Garamond" w:hAnsi="Garamond"/>
          <w:sz w:val="18"/>
          <w:szCs w:val="18"/>
        </w:rPr>
      </w:pPr>
      <w:r w:rsidRPr="00DB434D">
        <w:rPr>
          <w:rStyle w:val="FootnoteReference"/>
          <w:rFonts w:ascii="Garamond" w:hAnsi="Garamond"/>
          <w:sz w:val="18"/>
          <w:szCs w:val="18"/>
        </w:rPr>
        <w:footnoteRef/>
      </w:r>
      <w:r w:rsidRPr="00DB434D">
        <w:rPr>
          <w:rFonts w:ascii="Garamond" w:hAnsi="Garamond"/>
          <w:sz w:val="18"/>
          <w:szCs w:val="18"/>
        </w:rPr>
        <w:t xml:space="preserve"> Poe, Edgar Allan, p. 272</w:t>
      </w:r>
    </w:p>
  </w:footnote>
  <w:footnote w:id="15">
    <w:p w14:paraId="41B6150F" w14:textId="0FDF177D" w:rsidR="00DB434D" w:rsidRDefault="00DB434D">
      <w:pPr>
        <w:pStyle w:val="FootnoteText"/>
      </w:pPr>
      <w:r w:rsidRPr="00DB434D">
        <w:rPr>
          <w:rStyle w:val="FootnoteReference"/>
          <w:rFonts w:ascii="Garamond" w:hAnsi="Garamond"/>
          <w:sz w:val="18"/>
          <w:szCs w:val="18"/>
        </w:rPr>
        <w:footnoteRef/>
      </w:r>
      <w:r w:rsidRPr="00DB434D">
        <w:rPr>
          <w:rFonts w:ascii="Garamond" w:hAnsi="Garamond"/>
          <w:sz w:val="18"/>
          <w:szCs w:val="18"/>
        </w:rPr>
        <w:t xml:space="preserve"> Poe, Edgar Allan, p. 273</w:t>
      </w:r>
    </w:p>
  </w:footnote>
  <w:footnote w:id="16">
    <w:p w14:paraId="288E0263" w14:textId="30D5BEAE" w:rsidR="006A5765" w:rsidRPr="006A5765" w:rsidRDefault="006A5765">
      <w:pPr>
        <w:pStyle w:val="FootnoteText"/>
        <w:rPr>
          <w:rFonts w:ascii="Garamond" w:hAnsi="Garamond"/>
          <w:sz w:val="18"/>
          <w:szCs w:val="18"/>
        </w:rPr>
      </w:pPr>
      <w:r w:rsidRPr="006A5765">
        <w:rPr>
          <w:rStyle w:val="FootnoteReference"/>
          <w:rFonts w:ascii="Garamond" w:hAnsi="Garamond"/>
          <w:sz w:val="18"/>
          <w:szCs w:val="18"/>
        </w:rPr>
        <w:footnoteRef/>
      </w:r>
      <w:r w:rsidRPr="006A5765">
        <w:rPr>
          <w:rFonts w:ascii="Garamond" w:hAnsi="Garamond"/>
          <w:sz w:val="18"/>
          <w:szCs w:val="18"/>
        </w:rPr>
        <w:t xml:space="preserve"> Hoffmann, E. T. A., p. 10</w:t>
      </w:r>
    </w:p>
  </w:footnote>
  <w:footnote w:id="17">
    <w:p w14:paraId="0BD988A2" w14:textId="45A2C6E1" w:rsidR="002757B0" w:rsidRPr="00FF50C5" w:rsidRDefault="002757B0">
      <w:pPr>
        <w:pStyle w:val="FootnoteText"/>
        <w:rPr>
          <w:rFonts w:ascii="Garamond" w:hAnsi="Garamond"/>
          <w:sz w:val="18"/>
          <w:szCs w:val="18"/>
        </w:rPr>
      </w:pPr>
      <w:r w:rsidRPr="00FF50C5">
        <w:rPr>
          <w:rStyle w:val="FootnoteReference"/>
          <w:rFonts w:ascii="Garamond" w:hAnsi="Garamond"/>
          <w:sz w:val="18"/>
          <w:szCs w:val="18"/>
        </w:rPr>
        <w:footnoteRef/>
      </w:r>
      <w:r w:rsidRPr="00FF50C5">
        <w:rPr>
          <w:rFonts w:ascii="Garamond" w:hAnsi="Garamond"/>
          <w:sz w:val="18"/>
          <w:szCs w:val="18"/>
        </w:rPr>
        <w:t xml:space="preserve"> Hoffmann, E. T. A., p. 10</w:t>
      </w:r>
    </w:p>
  </w:footnote>
  <w:footnote w:id="18">
    <w:p w14:paraId="45081610" w14:textId="3B86A488" w:rsidR="00FF50C5" w:rsidRPr="00FF50C5" w:rsidRDefault="00FF50C5">
      <w:pPr>
        <w:pStyle w:val="FootnoteText"/>
        <w:rPr>
          <w:rFonts w:ascii="Garamond" w:hAnsi="Garamond"/>
          <w:sz w:val="18"/>
          <w:szCs w:val="18"/>
        </w:rPr>
      </w:pPr>
      <w:r w:rsidRPr="00FF50C5">
        <w:rPr>
          <w:rStyle w:val="FootnoteReference"/>
          <w:rFonts w:ascii="Garamond" w:hAnsi="Garamond"/>
          <w:sz w:val="18"/>
          <w:szCs w:val="18"/>
        </w:rPr>
        <w:footnoteRef/>
      </w:r>
      <w:r w:rsidRPr="00FF50C5">
        <w:rPr>
          <w:rFonts w:ascii="Garamond" w:hAnsi="Garamond"/>
          <w:sz w:val="18"/>
          <w:szCs w:val="18"/>
        </w:rPr>
        <w:t xml:space="preserve"> Purcell, Elizabeth, 49</w:t>
      </w:r>
    </w:p>
  </w:footnote>
  <w:footnote w:id="19">
    <w:p w14:paraId="3B6DD2C1" w14:textId="4D3FCAAE" w:rsidR="00FF50C5" w:rsidRPr="00FF50C5" w:rsidRDefault="00FF50C5">
      <w:pPr>
        <w:pStyle w:val="FootnoteText"/>
        <w:rPr>
          <w:rFonts w:ascii="Garamond" w:hAnsi="Garamond"/>
          <w:sz w:val="18"/>
          <w:szCs w:val="18"/>
        </w:rPr>
      </w:pPr>
      <w:r w:rsidRPr="00FF50C5">
        <w:rPr>
          <w:rStyle w:val="FootnoteReference"/>
          <w:rFonts w:ascii="Garamond" w:hAnsi="Garamond"/>
          <w:sz w:val="18"/>
          <w:szCs w:val="18"/>
        </w:rPr>
        <w:footnoteRef/>
      </w:r>
      <w:r w:rsidRPr="00FF50C5">
        <w:rPr>
          <w:rFonts w:ascii="Garamond" w:hAnsi="Garamond"/>
          <w:sz w:val="18"/>
          <w:szCs w:val="18"/>
        </w:rPr>
        <w:t xml:space="preserve"> Hoffmann, E. T. A., p. 11</w:t>
      </w:r>
    </w:p>
  </w:footnote>
  <w:footnote w:id="20">
    <w:p w14:paraId="11A035F8" w14:textId="7E166E08" w:rsidR="00FF50C5" w:rsidRPr="00FF50C5" w:rsidRDefault="00FF50C5">
      <w:pPr>
        <w:pStyle w:val="FootnoteText"/>
        <w:rPr>
          <w:rFonts w:ascii="Garamond" w:hAnsi="Garamond"/>
          <w:sz w:val="18"/>
          <w:szCs w:val="18"/>
        </w:rPr>
      </w:pPr>
      <w:r w:rsidRPr="00FF50C5">
        <w:rPr>
          <w:rStyle w:val="FootnoteReference"/>
          <w:rFonts w:ascii="Garamond" w:hAnsi="Garamond"/>
          <w:sz w:val="18"/>
          <w:szCs w:val="18"/>
        </w:rPr>
        <w:footnoteRef/>
      </w:r>
      <w:r w:rsidRPr="00FF50C5">
        <w:rPr>
          <w:rFonts w:ascii="Garamond" w:hAnsi="Garamond"/>
          <w:sz w:val="18"/>
          <w:szCs w:val="18"/>
        </w:rPr>
        <w:t xml:space="preserve"> Hoffmann, E. T. A., p. 11</w:t>
      </w:r>
    </w:p>
  </w:footnote>
  <w:footnote w:id="21">
    <w:p w14:paraId="6D40AAF8" w14:textId="3D882836" w:rsidR="00FF50C5" w:rsidRDefault="00FF50C5">
      <w:pPr>
        <w:pStyle w:val="FootnoteText"/>
      </w:pPr>
      <w:r w:rsidRPr="00FF50C5">
        <w:rPr>
          <w:rStyle w:val="FootnoteReference"/>
          <w:rFonts w:ascii="Garamond" w:hAnsi="Garamond"/>
          <w:sz w:val="18"/>
          <w:szCs w:val="18"/>
        </w:rPr>
        <w:footnoteRef/>
      </w:r>
      <w:r w:rsidRPr="00FF50C5">
        <w:rPr>
          <w:rFonts w:ascii="Garamond" w:hAnsi="Garamond"/>
          <w:sz w:val="18"/>
          <w:szCs w:val="18"/>
        </w:rPr>
        <w:t xml:space="preserve"> Hoffmann, E. T. A., p. 11</w:t>
      </w:r>
    </w:p>
  </w:footnote>
  <w:footnote w:id="22">
    <w:p w14:paraId="74679AEA" w14:textId="00EFCF48" w:rsidR="00FF50C5" w:rsidRPr="00FF50C5" w:rsidRDefault="00FF50C5">
      <w:pPr>
        <w:pStyle w:val="FootnoteText"/>
        <w:rPr>
          <w:rFonts w:ascii="Garamond" w:hAnsi="Garamond"/>
          <w:sz w:val="18"/>
          <w:szCs w:val="18"/>
        </w:rPr>
      </w:pPr>
      <w:r w:rsidRPr="00FF50C5">
        <w:rPr>
          <w:rStyle w:val="FootnoteReference"/>
          <w:rFonts w:ascii="Garamond" w:hAnsi="Garamond"/>
          <w:sz w:val="18"/>
          <w:szCs w:val="18"/>
        </w:rPr>
        <w:footnoteRef/>
      </w:r>
      <w:r w:rsidRPr="00FF50C5">
        <w:rPr>
          <w:rFonts w:ascii="Garamond" w:hAnsi="Garamond"/>
          <w:sz w:val="18"/>
          <w:szCs w:val="18"/>
        </w:rPr>
        <w:t xml:space="preserve"> Hertz, Neil, 306</w:t>
      </w:r>
    </w:p>
  </w:footnote>
  <w:footnote w:id="23">
    <w:p w14:paraId="227DDAA0" w14:textId="007E8DDC" w:rsidR="00FF50C5" w:rsidRDefault="00FF50C5">
      <w:pPr>
        <w:pStyle w:val="FootnoteText"/>
      </w:pPr>
      <w:r w:rsidRPr="00FF50C5">
        <w:rPr>
          <w:rStyle w:val="FootnoteReference"/>
          <w:rFonts w:ascii="Garamond" w:hAnsi="Garamond"/>
          <w:sz w:val="18"/>
          <w:szCs w:val="18"/>
        </w:rPr>
        <w:footnoteRef/>
      </w:r>
      <w:r w:rsidRPr="00FF50C5">
        <w:rPr>
          <w:rFonts w:ascii="Garamond" w:hAnsi="Garamond"/>
          <w:sz w:val="18"/>
          <w:szCs w:val="18"/>
        </w:rPr>
        <w:t xml:space="preserve"> Hoffmann, E. T. A., p. 17</w:t>
      </w:r>
    </w:p>
  </w:footnote>
  <w:footnote w:id="24">
    <w:p w14:paraId="06D295D6" w14:textId="5C36B29C" w:rsidR="006C57A4" w:rsidRPr="00C01A5B" w:rsidRDefault="006C57A4">
      <w:pPr>
        <w:pStyle w:val="FootnoteText"/>
        <w:rPr>
          <w:rFonts w:ascii="Garamond" w:hAnsi="Garamond"/>
          <w:sz w:val="18"/>
          <w:szCs w:val="18"/>
        </w:rPr>
      </w:pPr>
      <w:r w:rsidRPr="00C01A5B">
        <w:rPr>
          <w:rStyle w:val="FootnoteReference"/>
          <w:rFonts w:ascii="Garamond" w:hAnsi="Garamond"/>
          <w:sz w:val="18"/>
          <w:szCs w:val="18"/>
        </w:rPr>
        <w:footnoteRef/>
      </w:r>
      <w:r w:rsidRPr="00C01A5B">
        <w:rPr>
          <w:rFonts w:ascii="Garamond" w:hAnsi="Garamond"/>
          <w:sz w:val="18"/>
          <w:szCs w:val="18"/>
        </w:rPr>
        <w:t xml:space="preserve"> Hoffmann, E. T. A., p. 20, emphasis added</w:t>
      </w:r>
    </w:p>
  </w:footnote>
  <w:footnote w:id="25">
    <w:p w14:paraId="79FB2760" w14:textId="19F2C12E" w:rsidR="00C01A5B" w:rsidRPr="00C01A5B" w:rsidRDefault="00C01A5B">
      <w:pPr>
        <w:pStyle w:val="FootnoteText"/>
        <w:rPr>
          <w:rFonts w:ascii="Garamond" w:hAnsi="Garamond"/>
          <w:sz w:val="18"/>
          <w:szCs w:val="18"/>
        </w:rPr>
      </w:pPr>
      <w:r w:rsidRPr="00C01A5B">
        <w:rPr>
          <w:rStyle w:val="FootnoteReference"/>
          <w:rFonts w:ascii="Garamond" w:hAnsi="Garamond"/>
          <w:sz w:val="18"/>
          <w:szCs w:val="18"/>
        </w:rPr>
        <w:footnoteRef/>
      </w:r>
      <w:r w:rsidRPr="00C01A5B">
        <w:rPr>
          <w:rFonts w:ascii="Garamond" w:hAnsi="Garamond"/>
          <w:sz w:val="18"/>
          <w:szCs w:val="18"/>
        </w:rPr>
        <w:t xml:space="preserve"> Hoffmann, E. T. A., p. 29</w:t>
      </w:r>
    </w:p>
  </w:footnote>
  <w:footnote w:id="26">
    <w:p w14:paraId="5FE00E9B" w14:textId="455BE198" w:rsidR="00C01A5B" w:rsidRDefault="00C01A5B">
      <w:pPr>
        <w:pStyle w:val="FootnoteText"/>
      </w:pPr>
      <w:r w:rsidRPr="00C01A5B">
        <w:rPr>
          <w:rStyle w:val="FootnoteReference"/>
          <w:rFonts w:ascii="Garamond" w:hAnsi="Garamond"/>
          <w:sz w:val="18"/>
          <w:szCs w:val="18"/>
        </w:rPr>
        <w:footnoteRef/>
      </w:r>
      <w:r w:rsidRPr="00C01A5B">
        <w:rPr>
          <w:rFonts w:ascii="Garamond" w:hAnsi="Garamond"/>
          <w:sz w:val="18"/>
          <w:szCs w:val="18"/>
        </w:rPr>
        <w:t xml:space="preserve"> Hoffmann, E. T. A., p. 29</w:t>
      </w:r>
    </w:p>
  </w:footnote>
  <w:footnote w:id="27">
    <w:p w14:paraId="682F41F0" w14:textId="17BFFBF2" w:rsidR="008D5840" w:rsidRPr="008D5840" w:rsidRDefault="008D5840">
      <w:pPr>
        <w:pStyle w:val="FootnoteText"/>
        <w:rPr>
          <w:rFonts w:ascii="Garamond" w:hAnsi="Garamond"/>
          <w:sz w:val="18"/>
          <w:szCs w:val="18"/>
        </w:rPr>
      </w:pPr>
      <w:r w:rsidRPr="008D5840">
        <w:rPr>
          <w:rStyle w:val="FootnoteReference"/>
          <w:rFonts w:ascii="Garamond" w:hAnsi="Garamond"/>
          <w:sz w:val="18"/>
          <w:szCs w:val="18"/>
        </w:rPr>
        <w:footnoteRef/>
      </w:r>
      <w:r w:rsidRPr="008D5840">
        <w:rPr>
          <w:rFonts w:ascii="Garamond" w:hAnsi="Garamond"/>
          <w:sz w:val="18"/>
          <w:szCs w:val="18"/>
        </w:rPr>
        <w:t xml:space="preserve"> Hoffmann, E. T. A., p. 29</w:t>
      </w:r>
    </w:p>
  </w:footnote>
  <w:footnote w:id="28">
    <w:p w14:paraId="05D4547E" w14:textId="0085B39B" w:rsidR="008D5840" w:rsidRDefault="008D5840">
      <w:pPr>
        <w:pStyle w:val="FootnoteText"/>
      </w:pPr>
      <w:r w:rsidRPr="008D5840">
        <w:rPr>
          <w:rStyle w:val="FootnoteReference"/>
          <w:rFonts w:ascii="Garamond" w:hAnsi="Garamond"/>
          <w:sz w:val="18"/>
          <w:szCs w:val="18"/>
        </w:rPr>
        <w:footnoteRef/>
      </w:r>
      <w:r w:rsidRPr="008D5840">
        <w:rPr>
          <w:rFonts w:ascii="Garamond" w:hAnsi="Garamond"/>
          <w:sz w:val="18"/>
          <w:szCs w:val="18"/>
        </w:rPr>
        <w:t xml:space="preserve"> Hoffmann, E. T. A., p. 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DF26D" w14:textId="77777777" w:rsidR="00A74B55" w:rsidRPr="00DE7A57" w:rsidRDefault="00A74B55" w:rsidP="00DE7A57">
    <w:pPr>
      <w:jc w:val="center"/>
      <w:rPr>
        <w:rFonts w:ascii="Garamond" w:hAnsi="Garamond"/>
        <w:sz w:val="24"/>
        <w:szCs w:val="24"/>
      </w:rPr>
    </w:pPr>
    <w:r w:rsidRPr="00DE7A57">
      <w:rPr>
        <w:rFonts w:ascii="Garamond" w:hAnsi="Garamond"/>
        <w:sz w:val="24"/>
        <w:szCs w:val="24"/>
      </w:rPr>
      <w:t>The Importance of What is Not Said in Poe’s “The Black Cat” and Hoffmann’s “The Sandman”</w:t>
    </w:r>
  </w:p>
  <w:p w14:paraId="4E5E9A9F" w14:textId="77777777" w:rsidR="00A74B55" w:rsidRDefault="00A74B5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B55"/>
    <w:rsid w:val="00006357"/>
    <w:rsid w:val="00012C31"/>
    <w:rsid w:val="000178BD"/>
    <w:rsid w:val="0002291F"/>
    <w:rsid w:val="00033573"/>
    <w:rsid w:val="00037510"/>
    <w:rsid w:val="00037778"/>
    <w:rsid w:val="00045CFC"/>
    <w:rsid w:val="00054BF3"/>
    <w:rsid w:val="00055983"/>
    <w:rsid w:val="00074921"/>
    <w:rsid w:val="00092A86"/>
    <w:rsid w:val="000A1E9F"/>
    <w:rsid w:val="000D6A40"/>
    <w:rsid w:val="001003A9"/>
    <w:rsid w:val="00122B8B"/>
    <w:rsid w:val="00152C56"/>
    <w:rsid w:val="0015450B"/>
    <w:rsid w:val="0016341F"/>
    <w:rsid w:val="00174E24"/>
    <w:rsid w:val="001761AF"/>
    <w:rsid w:val="00176D3E"/>
    <w:rsid w:val="0019569A"/>
    <w:rsid w:val="001A0D74"/>
    <w:rsid w:val="001B2D2D"/>
    <w:rsid w:val="001C7AAC"/>
    <w:rsid w:val="001D7A5C"/>
    <w:rsid w:val="001E64C4"/>
    <w:rsid w:val="001F1989"/>
    <w:rsid w:val="002144C8"/>
    <w:rsid w:val="00215DBB"/>
    <w:rsid w:val="00223CC8"/>
    <w:rsid w:val="00230B3F"/>
    <w:rsid w:val="00236745"/>
    <w:rsid w:val="0026197B"/>
    <w:rsid w:val="00262BC7"/>
    <w:rsid w:val="00274B6E"/>
    <w:rsid w:val="002757B0"/>
    <w:rsid w:val="00276260"/>
    <w:rsid w:val="002815CB"/>
    <w:rsid w:val="00282727"/>
    <w:rsid w:val="002A0260"/>
    <w:rsid w:val="002A7FA9"/>
    <w:rsid w:val="002C47F1"/>
    <w:rsid w:val="002D2610"/>
    <w:rsid w:val="002D522B"/>
    <w:rsid w:val="003001A4"/>
    <w:rsid w:val="00300A00"/>
    <w:rsid w:val="00307ECD"/>
    <w:rsid w:val="00316FCE"/>
    <w:rsid w:val="00325012"/>
    <w:rsid w:val="00337436"/>
    <w:rsid w:val="0035772A"/>
    <w:rsid w:val="00371D69"/>
    <w:rsid w:val="00375529"/>
    <w:rsid w:val="0037747D"/>
    <w:rsid w:val="003A2095"/>
    <w:rsid w:val="003A4C3D"/>
    <w:rsid w:val="003B1A55"/>
    <w:rsid w:val="00406A78"/>
    <w:rsid w:val="004728DB"/>
    <w:rsid w:val="00475B6B"/>
    <w:rsid w:val="00477336"/>
    <w:rsid w:val="004A148C"/>
    <w:rsid w:val="004B0C93"/>
    <w:rsid w:val="004B11DB"/>
    <w:rsid w:val="004B7467"/>
    <w:rsid w:val="004B7517"/>
    <w:rsid w:val="004B7C9B"/>
    <w:rsid w:val="004C2879"/>
    <w:rsid w:val="004C7F10"/>
    <w:rsid w:val="004E310D"/>
    <w:rsid w:val="00520693"/>
    <w:rsid w:val="00530D1B"/>
    <w:rsid w:val="005603C9"/>
    <w:rsid w:val="0058610D"/>
    <w:rsid w:val="005A4218"/>
    <w:rsid w:val="005A4F68"/>
    <w:rsid w:val="005B3CDC"/>
    <w:rsid w:val="005D3760"/>
    <w:rsid w:val="005D7B34"/>
    <w:rsid w:val="005F0397"/>
    <w:rsid w:val="005F62C1"/>
    <w:rsid w:val="0060173A"/>
    <w:rsid w:val="00610D6D"/>
    <w:rsid w:val="00633014"/>
    <w:rsid w:val="00633015"/>
    <w:rsid w:val="00653D92"/>
    <w:rsid w:val="00657C73"/>
    <w:rsid w:val="00663F8A"/>
    <w:rsid w:val="00671F81"/>
    <w:rsid w:val="00686B00"/>
    <w:rsid w:val="006A5765"/>
    <w:rsid w:val="006A5DD3"/>
    <w:rsid w:val="006A709B"/>
    <w:rsid w:val="006B152B"/>
    <w:rsid w:val="006C26BF"/>
    <w:rsid w:val="006C3B10"/>
    <w:rsid w:val="006C57A4"/>
    <w:rsid w:val="006D2916"/>
    <w:rsid w:val="006D40A6"/>
    <w:rsid w:val="006D6757"/>
    <w:rsid w:val="006D7777"/>
    <w:rsid w:val="00711C7F"/>
    <w:rsid w:val="007150C6"/>
    <w:rsid w:val="0072252F"/>
    <w:rsid w:val="007237EA"/>
    <w:rsid w:val="00732BAB"/>
    <w:rsid w:val="00754591"/>
    <w:rsid w:val="00761FFD"/>
    <w:rsid w:val="007854F2"/>
    <w:rsid w:val="00792554"/>
    <w:rsid w:val="007A0632"/>
    <w:rsid w:val="007A4026"/>
    <w:rsid w:val="007B656C"/>
    <w:rsid w:val="007B7658"/>
    <w:rsid w:val="007D76B0"/>
    <w:rsid w:val="007F57B8"/>
    <w:rsid w:val="0081449A"/>
    <w:rsid w:val="00824008"/>
    <w:rsid w:val="00841AC2"/>
    <w:rsid w:val="00847FCE"/>
    <w:rsid w:val="00855C11"/>
    <w:rsid w:val="008A045E"/>
    <w:rsid w:val="008A3557"/>
    <w:rsid w:val="008C06A2"/>
    <w:rsid w:val="008D5840"/>
    <w:rsid w:val="008F429B"/>
    <w:rsid w:val="00905AD6"/>
    <w:rsid w:val="009106B2"/>
    <w:rsid w:val="0092650F"/>
    <w:rsid w:val="00927BE9"/>
    <w:rsid w:val="00947CD1"/>
    <w:rsid w:val="00971866"/>
    <w:rsid w:val="009770AA"/>
    <w:rsid w:val="00984237"/>
    <w:rsid w:val="0099588D"/>
    <w:rsid w:val="009A0455"/>
    <w:rsid w:val="009A0F43"/>
    <w:rsid w:val="009A2E01"/>
    <w:rsid w:val="009D7514"/>
    <w:rsid w:val="009F0C08"/>
    <w:rsid w:val="009F22AE"/>
    <w:rsid w:val="00A11EF0"/>
    <w:rsid w:val="00A12EE5"/>
    <w:rsid w:val="00A14B38"/>
    <w:rsid w:val="00A14C27"/>
    <w:rsid w:val="00A207AB"/>
    <w:rsid w:val="00A435CF"/>
    <w:rsid w:val="00A52AE3"/>
    <w:rsid w:val="00A532B7"/>
    <w:rsid w:val="00A559D3"/>
    <w:rsid w:val="00A723F2"/>
    <w:rsid w:val="00A74B55"/>
    <w:rsid w:val="00A85193"/>
    <w:rsid w:val="00A97587"/>
    <w:rsid w:val="00AA663D"/>
    <w:rsid w:val="00AC6752"/>
    <w:rsid w:val="00AE5EB4"/>
    <w:rsid w:val="00AF7136"/>
    <w:rsid w:val="00B04AC4"/>
    <w:rsid w:val="00B423FC"/>
    <w:rsid w:val="00B4658F"/>
    <w:rsid w:val="00B541F7"/>
    <w:rsid w:val="00B737DD"/>
    <w:rsid w:val="00B90814"/>
    <w:rsid w:val="00BB5756"/>
    <w:rsid w:val="00BC0C60"/>
    <w:rsid w:val="00BC1D04"/>
    <w:rsid w:val="00BD2D8D"/>
    <w:rsid w:val="00C01A5B"/>
    <w:rsid w:val="00C0488D"/>
    <w:rsid w:val="00C22FEC"/>
    <w:rsid w:val="00C30666"/>
    <w:rsid w:val="00C31E53"/>
    <w:rsid w:val="00C3734B"/>
    <w:rsid w:val="00C44453"/>
    <w:rsid w:val="00C45DCD"/>
    <w:rsid w:val="00C46D9C"/>
    <w:rsid w:val="00C813EA"/>
    <w:rsid w:val="00C93E20"/>
    <w:rsid w:val="00C96007"/>
    <w:rsid w:val="00CA1D1E"/>
    <w:rsid w:val="00CA384B"/>
    <w:rsid w:val="00CC0580"/>
    <w:rsid w:val="00CC730F"/>
    <w:rsid w:val="00CE0DBB"/>
    <w:rsid w:val="00D205B4"/>
    <w:rsid w:val="00D62DB3"/>
    <w:rsid w:val="00D75BAE"/>
    <w:rsid w:val="00DA32C9"/>
    <w:rsid w:val="00DB0276"/>
    <w:rsid w:val="00DB0BC6"/>
    <w:rsid w:val="00DB434D"/>
    <w:rsid w:val="00DE2473"/>
    <w:rsid w:val="00DE3391"/>
    <w:rsid w:val="00DE6885"/>
    <w:rsid w:val="00DE7A57"/>
    <w:rsid w:val="00DF07C6"/>
    <w:rsid w:val="00DF7619"/>
    <w:rsid w:val="00E01E3D"/>
    <w:rsid w:val="00E22C1C"/>
    <w:rsid w:val="00E47C24"/>
    <w:rsid w:val="00E536D6"/>
    <w:rsid w:val="00E57F0E"/>
    <w:rsid w:val="00E60BB8"/>
    <w:rsid w:val="00E77776"/>
    <w:rsid w:val="00E80AE8"/>
    <w:rsid w:val="00E8366D"/>
    <w:rsid w:val="00E92437"/>
    <w:rsid w:val="00E93D6B"/>
    <w:rsid w:val="00EA1843"/>
    <w:rsid w:val="00EA5B0C"/>
    <w:rsid w:val="00EC303E"/>
    <w:rsid w:val="00EE58E3"/>
    <w:rsid w:val="00EF4230"/>
    <w:rsid w:val="00EF4D85"/>
    <w:rsid w:val="00F05D34"/>
    <w:rsid w:val="00F1477A"/>
    <w:rsid w:val="00F207FC"/>
    <w:rsid w:val="00F247F1"/>
    <w:rsid w:val="00F63D01"/>
    <w:rsid w:val="00F6579C"/>
    <w:rsid w:val="00F70CE1"/>
    <w:rsid w:val="00F940C8"/>
    <w:rsid w:val="00F951EF"/>
    <w:rsid w:val="00FB4956"/>
    <w:rsid w:val="00FB5B39"/>
    <w:rsid w:val="00FD447C"/>
    <w:rsid w:val="00FD7132"/>
    <w:rsid w:val="00FE7F4E"/>
    <w:rsid w:val="00FF50C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A5FD0"/>
  <w15:chartTrackingRefBased/>
  <w15:docId w15:val="{007B4E74-D83A-478E-8FEC-D0C83E0F2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ja-JP"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74B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4B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4B55"/>
  </w:style>
  <w:style w:type="paragraph" w:styleId="Footer">
    <w:name w:val="footer"/>
    <w:basedOn w:val="Normal"/>
    <w:link w:val="FooterChar"/>
    <w:uiPriority w:val="99"/>
    <w:unhideWhenUsed/>
    <w:rsid w:val="00A74B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4B55"/>
  </w:style>
  <w:style w:type="paragraph" w:styleId="FootnoteText">
    <w:name w:val="footnote text"/>
    <w:basedOn w:val="Normal"/>
    <w:link w:val="FootnoteTextChar"/>
    <w:uiPriority w:val="99"/>
    <w:semiHidden/>
    <w:unhideWhenUsed/>
    <w:rsid w:val="00F63D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3D01"/>
    <w:rPr>
      <w:sz w:val="20"/>
      <w:szCs w:val="20"/>
    </w:rPr>
  </w:style>
  <w:style w:type="character" w:styleId="FootnoteReference">
    <w:name w:val="footnote reference"/>
    <w:basedOn w:val="DefaultParagraphFont"/>
    <w:uiPriority w:val="99"/>
    <w:semiHidden/>
    <w:unhideWhenUsed/>
    <w:rsid w:val="00F63D0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432F3F-81BC-4840-9475-6A276F5BC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3078</Words>
  <Characters>17545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McCoy</dc:creator>
  <cp:keywords/>
  <dc:description/>
  <cp:lastModifiedBy>Amber McCoy</cp:lastModifiedBy>
  <cp:revision>2</cp:revision>
  <dcterms:created xsi:type="dcterms:W3CDTF">2019-11-16T15:12:00Z</dcterms:created>
  <dcterms:modified xsi:type="dcterms:W3CDTF">2019-11-16T15:12:00Z</dcterms:modified>
</cp:coreProperties>
</file>