
<file path=[Content_Types].xml><?xml version="1.0" encoding="utf-8"?>
<Types xmlns="http://schemas.openxmlformats.org/package/2006/content-types">
  <Default Extension="xml" ContentType="application/xml"/>
  <Default Extension="jpeg" ContentType="image/jpeg"/>
  <Default Extension="gif" ContentType="image/gi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Times New Roman" w:hAnsi="Times New Roman" w:cs="Times New Roman"/>
          <w:b/>
          <w:bCs/>
          <w:sz w:val="24"/>
          <w:szCs w:val="24"/>
        </w:rPr>
      </w:pPr>
      <w:bookmarkStart w:id="0" w:name="_Toc40464576"/>
      <w:r>
        <w:rPr>
          <w:lang w:eastAsia="en-GB"/>
        </w:rPr>
        <w:drawing>
          <wp:anchor distT="0" distB="0" distL="114300" distR="114300" simplePos="0" relativeHeight="251659264" behindDoc="0" locked="0" layoutInCell="1" allowOverlap="1">
            <wp:simplePos x="0" y="0"/>
            <wp:positionH relativeFrom="margin">
              <wp:posOffset>-218440</wp:posOffset>
            </wp:positionH>
            <wp:positionV relativeFrom="paragraph">
              <wp:posOffset>3810</wp:posOffset>
            </wp:positionV>
            <wp:extent cx="2355215" cy="926465"/>
            <wp:effectExtent l="0" t="0" r="6985" b="6985"/>
            <wp:wrapNone/>
            <wp:docPr id="11"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ttp://www.southwaleschamber.co.uk/UserFiles/Image/Uni%20of%20S%20Wales%20Trinity%20St%20David.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355215" cy="926465"/>
                    </a:xfrm>
                    <a:prstGeom prst="rect">
                      <a:avLst/>
                    </a:prstGeom>
                    <a:noFill/>
                    <a:ln>
                      <a:noFill/>
                    </a:ln>
                  </pic:spPr>
                </pic:pic>
              </a:graphicData>
            </a:graphic>
          </wp:anchor>
        </w:drawing>
      </w:r>
    </w:p>
    <w:p>
      <w:pPr>
        <w:spacing w:line="360" w:lineRule="auto"/>
        <w:rPr>
          <w:rFonts w:ascii="Times New Roman" w:hAnsi="Times New Roman" w:cs="Times New Roman"/>
          <w:b/>
          <w:bCs/>
          <w:sz w:val="24"/>
          <w:szCs w:val="24"/>
        </w:rPr>
      </w:pPr>
    </w:p>
    <w:p>
      <w:pPr>
        <w:spacing w:line="360" w:lineRule="auto"/>
        <w:rPr>
          <w:rFonts w:ascii="Times New Roman" w:hAnsi="Times New Roman" w:cs="Times New Roman"/>
          <w:b/>
          <w:bCs/>
          <w:sz w:val="24"/>
          <w:szCs w:val="24"/>
        </w:rPr>
      </w:pPr>
    </w:p>
    <w:p>
      <w:pPr>
        <w:spacing w:line="360" w:lineRule="auto"/>
        <w:rPr>
          <w:rFonts w:ascii="Times New Roman" w:hAnsi="Times New Roman" w:cs="Times New Roman"/>
          <w:b/>
          <w:bCs/>
          <w:sz w:val="24"/>
          <w:szCs w:val="24"/>
        </w:rPr>
      </w:pPr>
    </w:p>
    <w:p>
      <w:pPr>
        <w:spacing w:line="360" w:lineRule="auto"/>
        <w:rPr>
          <w:rFonts w:ascii="Times New Roman" w:hAnsi="Times New Roman" w:cs="Times New Roman"/>
          <w:b/>
          <w:bCs/>
          <w:sz w:val="24"/>
          <w:szCs w:val="24"/>
        </w:rPr>
      </w:pPr>
    </w:p>
    <w:p>
      <w:pPr>
        <w:spacing w:line="360" w:lineRule="auto"/>
        <w:jc w:val="center"/>
        <w:rPr>
          <w:rFonts w:hint="eastAsia" w:ascii="Times New Roman" w:hAnsi="Times New Roman"/>
          <w:b/>
          <w:sz w:val="28"/>
          <w:szCs w:val="28"/>
          <w:lang w:eastAsia="zh-CN"/>
        </w:rPr>
      </w:pPr>
      <w:r>
        <w:rPr>
          <w:rFonts w:hint="eastAsia" w:ascii="Times New Roman" w:hAnsi="Times New Roman"/>
          <w:b/>
          <w:sz w:val="28"/>
          <w:szCs w:val="28"/>
          <w:lang w:eastAsia="zh-CN"/>
        </w:rPr>
        <w:t>Research on CSR of social media companies (taking Facebook as an example)</w:t>
      </w:r>
    </w:p>
    <w:p>
      <w:pPr>
        <w:spacing w:line="360" w:lineRule="auto"/>
        <w:jc w:val="center"/>
        <w:rPr>
          <w:rFonts w:hint="eastAsia" w:ascii="Times New Roman" w:hAnsi="Times New Roman"/>
          <w:b/>
          <w:sz w:val="28"/>
          <w:szCs w:val="28"/>
          <w:lang w:eastAsia="zh-CN"/>
        </w:rPr>
      </w:pPr>
      <w:r>
        <w:rPr>
          <w:rFonts w:hint="eastAsia" w:ascii="Times New Roman" w:hAnsi="Times New Roman"/>
          <w:b/>
          <w:sz w:val="28"/>
          <w:szCs w:val="28"/>
          <w:lang w:eastAsia="zh-CN"/>
        </w:rPr>
        <w:t xml:space="preserve"> </w:t>
      </w:r>
    </w:p>
    <w:p>
      <w:pPr>
        <w:spacing w:line="360" w:lineRule="auto"/>
        <w:jc w:val="center"/>
        <w:rPr>
          <w:rFonts w:hint="eastAsia" w:ascii="Times New Roman" w:hAnsi="Times New Roman" w:eastAsiaTheme="minorEastAsia"/>
          <w:b/>
          <w:sz w:val="28"/>
          <w:szCs w:val="28"/>
          <w:lang w:eastAsia="zh-CN"/>
        </w:rPr>
      </w:pPr>
      <w:r>
        <w:rPr>
          <w:rFonts w:hint="eastAsia" w:ascii="Times New Roman" w:hAnsi="Times New Roman" w:eastAsiaTheme="minorEastAsia"/>
          <w:b/>
          <w:sz w:val="28"/>
          <w:szCs w:val="28"/>
          <w:lang w:eastAsia="zh-CN"/>
        </w:rPr>
        <w:drawing>
          <wp:inline distT="0" distB="0" distL="114300" distR="114300">
            <wp:extent cx="5085080" cy="3992880"/>
            <wp:effectExtent l="0" t="0" r="1270" b="7620"/>
            <wp:docPr id="5" name="Picture 5" descr="47866796318240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47866796318240642"/>
                    <pic:cNvPicPr>
                      <a:picLocks noChangeAspect="1"/>
                    </pic:cNvPicPr>
                  </pic:nvPicPr>
                  <pic:blipFill>
                    <a:blip r:embed="rId6"/>
                    <a:stretch>
                      <a:fillRect/>
                    </a:stretch>
                  </pic:blipFill>
                  <pic:spPr>
                    <a:xfrm>
                      <a:off x="0" y="0"/>
                      <a:ext cx="5085080" cy="3992880"/>
                    </a:xfrm>
                    <a:prstGeom prst="rect">
                      <a:avLst/>
                    </a:prstGeom>
                  </pic:spPr>
                </pic:pic>
              </a:graphicData>
            </a:graphic>
          </wp:inline>
        </w:drawing>
      </w:r>
    </w:p>
    <w:p>
      <w:pPr>
        <w:spacing w:line="360" w:lineRule="auto"/>
        <w:jc w:val="center"/>
        <w:rPr>
          <w:rFonts w:ascii="Times New Roman" w:hAnsi="Times New Roman" w:cs="Times New Roman"/>
          <w:b/>
          <w:bCs/>
          <w:sz w:val="24"/>
          <w:szCs w:val="24"/>
        </w:rPr>
      </w:pPr>
    </w:p>
    <w:p>
      <w:pPr>
        <w:spacing w:line="360" w:lineRule="auto"/>
        <w:jc w:val="center"/>
        <w:rPr>
          <w:rFonts w:ascii="Times New Roman" w:hAnsi="Times New Roman"/>
          <w:b/>
          <w:bCs/>
          <w:sz w:val="24"/>
          <w:szCs w:val="24"/>
        </w:rPr>
      </w:pPr>
      <w:r>
        <w:rPr>
          <w:rFonts w:ascii="Times New Roman" w:hAnsi="Times New Roman"/>
          <w:b/>
          <w:bCs/>
          <w:sz w:val="24"/>
          <w:szCs w:val="24"/>
        </w:rPr>
        <w:t>MODULE NAME:</w:t>
      </w:r>
      <w:r>
        <w:rPr>
          <w:rFonts w:ascii="Times New Roman" w:hAnsi="Times New Roman"/>
          <w:b/>
          <w:bCs/>
          <w:sz w:val="24"/>
          <w:szCs w:val="24"/>
        </w:rPr>
        <w:tab/>
      </w:r>
      <w:r>
        <w:rPr>
          <w:rFonts w:ascii="Times New Roman" w:hAnsi="Times New Roman"/>
          <w:b/>
          <w:bCs/>
          <w:sz w:val="24"/>
          <w:szCs w:val="24"/>
        </w:rPr>
        <w:tab/>
      </w:r>
      <w:r>
        <w:rPr>
          <w:rFonts w:hint="eastAsia" w:ascii="Times New Roman" w:hAnsi="Times New Roman"/>
          <w:b/>
          <w:bCs/>
          <w:sz w:val="24"/>
          <w:szCs w:val="24"/>
        </w:rPr>
        <w:t>Critical Perspectives On Management (M3X9080)</w:t>
      </w:r>
    </w:p>
    <w:p>
      <w:pPr>
        <w:spacing w:line="360" w:lineRule="auto"/>
        <w:jc w:val="center"/>
        <w:rPr>
          <w:rFonts w:ascii="Times New Roman" w:hAnsi="Times New Roman"/>
          <w:b/>
          <w:bCs/>
          <w:sz w:val="24"/>
          <w:szCs w:val="24"/>
        </w:rPr>
      </w:pPr>
      <w:r>
        <w:rPr>
          <w:rFonts w:ascii="Times New Roman" w:hAnsi="Times New Roman"/>
          <w:b/>
          <w:bCs/>
          <w:sz w:val="24"/>
          <w:szCs w:val="24"/>
        </w:rPr>
        <w:t>Name:</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Jiankai Gao</w:t>
      </w:r>
    </w:p>
    <w:p>
      <w:pPr>
        <w:spacing w:line="360" w:lineRule="auto"/>
        <w:jc w:val="center"/>
        <w:rPr>
          <w:rFonts w:ascii="Times New Roman" w:hAnsi="Times New Roman" w:cs="Times New Roman"/>
          <w:b/>
          <w:bCs/>
          <w:sz w:val="24"/>
          <w:szCs w:val="24"/>
        </w:rPr>
      </w:pPr>
      <w:r>
        <w:rPr>
          <w:rFonts w:ascii="Times New Roman" w:hAnsi="Times New Roman"/>
          <w:b/>
          <w:bCs/>
          <w:sz w:val="24"/>
          <w:szCs w:val="24"/>
        </w:rPr>
        <w:t>Student Number:</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1904304</w:t>
      </w:r>
    </w:p>
    <w:p>
      <w:pPr>
        <w:spacing w:line="360" w:lineRule="auto"/>
        <w:rPr>
          <w:rFonts w:ascii="Times New Roman" w:hAnsi="Times New Roman" w:cs="Times New Roman"/>
          <w:b/>
          <w:bCs/>
          <w:sz w:val="24"/>
          <w:szCs w:val="24"/>
        </w:rPr>
      </w:pPr>
    </w:p>
    <w:p>
      <w:pPr>
        <w:spacing w:line="360" w:lineRule="auto"/>
        <w:jc w:val="right"/>
        <w:rPr>
          <w:rFonts w:ascii="Times New Roman" w:hAnsi="Times New Roman"/>
          <w:b/>
          <w:bCs/>
          <w:sz w:val="24"/>
          <w:szCs w:val="24"/>
        </w:rPr>
      </w:pPr>
    </w:p>
    <w:p>
      <w:pPr>
        <w:spacing w:line="360" w:lineRule="auto"/>
        <w:jc w:val="center"/>
        <w:rPr>
          <w:rFonts w:ascii="Times New Roman" w:hAnsi="Times New Roman" w:cs="Times New Roman"/>
          <w:b/>
          <w:bCs/>
          <w:sz w:val="24"/>
          <w:szCs w:val="24"/>
        </w:rPr>
      </w:pPr>
      <w:r>
        <w:rPr>
          <w:rFonts w:hint="eastAsia" w:ascii="Times New Roman" w:hAnsi="Times New Roman"/>
          <w:b/>
          <w:bCs/>
          <w:sz w:val="24"/>
          <w:szCs w:val="24"/>
          <w:lang w:val="en-US" w:eastAsia="zh-CN"/>
        </w:rPr>
        <w:t>23</w:t>
      </w:r>
      <w:bookmarkStart w:id="12" w:name="_GoBack"/>
      <w:bookmarkEnd w:id="12"/>
      <w:r>
        <w:rPr>
          <w:rFonts w:hint="eastAsia" w:ascii="Times New Roman" w:hAnsi="Times New Roman"/>
          <w:b/>
          <w:bCs/>
          <w:sz w:val="24"/>
          <w:szCs w:val="24"/>
          <w:vertAlign w:val="superscript"/>
          <w:lang w:eastAsia="zh-CN"/>
        </w:rPr>
        <w:t>th</w:t>
      </w:r>
      <w:r>
        <w:rPr>
          <w:rFonts w:ascii="Times New Roman" w:hAnsi="Times New Roman"/>
          <w:b/>
          <w:bCs/>
          <w:sz w:val="24"/>
          <w:szCs w:val="24"/>
        </w:rPr>
        <w:t>/</w:t>
      </w:r>
      <w:r>
        <w:rPr>
          <w:rFonts w:hint="eastAsia" w:ascii="Times New Roman" w:hAnsi="Times New Roman"/>
          <w:b/>
          <w:bCs/>
          <w:sz w:val="24"/>
          <w:szCs w:val="24"/>
          <w:lang w:eastAsia="zh-CN"/>
        </w:rPr>
        <w:t>May</w:t>
      </w:r>
      <w:r>
        <w:rPr>
          <w:rFonts w:ascii="Times New Roman" w:hAnsi="Times New Roman"/>
          <w:b/>
          <w:bCs/>
          <w:sz w:val="24"/>
          <w:szCs w:val="24"/>
        </w:rPr>
        <w:t>/2020</w:t>
      </w:r>
    </w:p>
    <w:p>
      <w:pPr>
        <w:pStyle w:val="2"/>
        <w:pageBreakBefore/>
        <w:jc w:val="left"/>
        <w:rPr>
          <w:rFonts w:cs="Arial"/>
          <w:lang w:val="en-GB"/>
        </w:rPr>
        <w:sectPr>
          <w:footerReference r:id="rId3" w:type="default"/>
          <w:pgSz w:w="12240" w:h="15840"/>
          <w:pgMar w:top="1440" w:right="1440" w:bottom="1440" w:left="1440" w:header="720" w:footer="720" w:gutter="0"/>
          <w:cols w:space="720" w:num="1"/>
          <w:titlePg/>
          <w:docGrid w:linePitch="360" w:charSpace="0"/>
        </w:sectPr>
      </w:pPr>
    </w:p>
    <w:p>
      <w:pPr>
        <w:pStyle w:val="2"/>
        <w:pageBreakBefore/>
        <w:jc w:val="left"/>
        <w:rPr>
          <w:rFonts w:cs="Arial"/>
          <w:lang w:val="en-GB"/>
        </w:rPr>
      </w:pPr>
      <w:r>
        <w:rPr>
          <w:rFonts w:cs="Arial"/>
          <w:lang w:val="en-GB"/>
        </w:rPr>
        <w:t>Executive Summary</w:t>
      </w:r>
      <w:bookmarkEnd w:id="0"/>
    </w:p>
    <w:p>
      <w:pPr>
        <w:rPr>
          <w:lang w:val="en-GB"/>
        </w:rPr>
      </w:pPr>
      <w:r>
        <w:rPr>
          <w:lang w:val="en-GB"/>
        </w:rPr>
        <w:t xml:space="preserve">The current report has revealed corporate social responsibility as an important practice that social media companies should embrace in their quest of meeting societal expectations. The Carroll’s Pyramid of CSR presents one of the widely used models of corporate social responsibility, which identifies economic, legal, ethical, and philanthropic responsibilities as important elements of CSR. Facebook has been highly effective in meeting its economic responsibility by being highly profitable and innovative. However, it while it has ensured it meets its legal obligations, it has failed through violations of data protection laws. Additionally, it has failed in its ethical obligations in areas whereby it has been accused of selling private user data to third parties as well as allowing political ads which perpetuate lies in the society. On the other hand, the company is not philanthropic and argues that its activities have brought better to the society than philanthropy can achieve. From the analysis, the report recommends the need for company to increase its response to societal ethical needs, privacy measures to eliminate the access of private user information by third parties, and consider philanthropy in its CSR. </w:t>
      </w:r>
    </w:p>
    <w:p>
      <w:pPr>
        <w:jc w:val="center"/>
        <w:rPr>
          <w:lang w:val="en-GB"/>
        </w:rPr>
      </w:pPr>
    </w:p>
    <w:p>
      <w:pPr>
        <w:jc w:val="center"/>
        <w:rPr>
          <w:lang w:val="en-GB"/>
        </w:rPr>
      </w:pPr>
    </w:p>
    <w:p>
      <w:pPr>
        <w:jc w:val="center"/>
        <w:rPr>
          <w:lang w:val="en-GB"/>
        </w:rPr>
      </w:pPr>
    </w:p>
    <w:p>
      <w:pPr>
        <w:jc w:val="center"/>
        <w:rPr>
          <w:lang w:val="en-GB"/>
        </w:rPr>
      </w:pPr>
    </w:p>
    <w:p>
      <w:pPr>
        <w:jc w:val="center"/>
        <w:rPr>
          <w:lang w:val="en-GB"/>
        </w:rPr>
      </w:pPr>
    </w:p>
    <w:p>
      <w:pPr>
        <w:jc w:val="center"/>
        <w:rPr>
          <w:lang w:val="en-GB"/>
        </w:rPr>
      </w:pPr>
    </w:p>
    <w:p>
      <w:pPr>
        <w:jc w:val="center"/>
        <w:rPr>
          <w:lang w:val="en-GB"/>
        </w:rPr>
      </w:pPr>
    </w:p>
    <w:p>
      <w:pPr>
        <w:jc w:val="center"/>
        <w:rPr>
          <w:lang w:val="en-GB"/>
        </w:rPr>
      </w:pPr>
    </w:p>
    <w:p>
      <w:pPr>
        <w:jc w:val="center"/>
        <w:rPr>
          <w:lang w:val="en-GB"/>
        </w:rPr>
      </w:pPr>
      <w:r>
        <w:rPr>
          <w:lang w:val="en-GB"/>
        </w:rPr>
        <w:t>Table of Contents</w:t>
      </w:r>
    </w:p>
    <w:p>
      <w:pPr>
        <w:pStyle w:val="13"/>
        <w:tabs>
          <w:tab w:val="right" w:leader="dot" w:pos="9350"/>
        </w:tabs>
        <w:rPr>
          <w:rFonts w:asciiTheme="minorHAnsi" w:hAnsiTheme="minorHAnsi"/>
          <w:sz w:val="22"/>
          <w:lang w:val="zh-CN" w:eastAsia="zh-CN"/>
        </w:rPr>
      </w:pPr>
      <w:r>
        <w:rPr>
          <w:lang w:val="en-GB"/>
        </w:rPr>
        <w:fldChar w:fldCharType="begin"/>
      </w:r>
      <w:r>
        <w:rPr>
          <w:lang w:val="en-GB"/>
        </w:rPr>
        <w:instrText xml:space="preserve"> TOC \o "1-3" \h \z \u </w:instrText>
      </w:r>
      <w:r>
        <w:rPr>
          <w:lang w:val="en-GB"/>
        </w:rPr>
        <w:fldChar w:fldCharType="separate"/>
      </w:r>
      <w:r>
        <w:fldChar w:fldCharType="begin"/>
      </w:r>
      <w:r>
        <w:instrText xml:space="preserve"> HYPERLINK \l "_Toc40464576" </w:instrText>
      </w:r>
      <w:r>
        <w:fldChar w:fldCharType="separate"/>
      </w:r>
      <w:r>
        <w:rPr>
          <w:rStyle w:val="18"/>
          <w:rFonts w:cs="Arial"/>
          <w:lang w:val="en-GB"/>
        </w:rPr>
        <w:t>Executive Summary</w:t>
      </w:r>
      <w:r>
        <w:tab/>
      </w:r>
      <w:r>
        <w:fldChar w:fldCharType="begin"/>
      </w:r>
      <w:r>
        <w:instrText xml:space="preserve"> PAGEREF _Toc40464576 \h </w:instrText>
      </w:r>
      <w:r>
        <w:fldChar w:fldCharType="separate"/>
      </w:r>
      <w:r>
        <w:t>1</w:t>
      </w:r>
      <w:r>
        <w:fldChar w:fldCharType="end"/>
      </w:r>
      <w:r>
        <w:fldChar w:fldCharType="end"/>
      </w:r>
    </w:p>
    <w:p>
      <w:pPr>
        <w:pStyle w:val="13"/>
        <w:tabs>
          <w:tab w:val="left" w:pos="660"/>
          <w:tab w:val="right" w:leader="dot" w:pos="9350"/>
        </w:tabs>
        <w:rPr>
          <w:rFonts w:asciiTheme="minorHAnsi" w:hAnsiTheme="minorHAnsi"/>
          <w:sz w:val="22"/>
          <w:lang w:val="zh-CN" w:eastAsia="zh-CN"/>
        </w:rPr>
      </w:pPr>
      <w:r>
        <w:fldChar w:fldCharType="begin"/>
      </w:r>
      <w:r>
        <w:instrText xml:space="preserve"> HYPERLINK \l "_Toc40464577" </w:instrText>
      </w:r>
      <w:r>
        <w:fldChar w:fldCharType="separate"/>
      </w:r>
      <w:r>
        <w:rPr>
          <w:rStyle w:val="18"/>
          <w:rFonts w:cs="Arial"/>
          <w:lang w:val="en-GB"/>
        </w:rPr>
        <w:t>1.0.</w:t>
      </w:r>
      <w:r>
        <w:rPr>
          <w:rFonts w:asciiTheme="minorHAnsi" w:hAnsiTheme="minorHAnsi"/>
          <w:sz w:val="22"/>
          <w:lang w:val="zh-CN" w:eastAsia="zh-CN"/>
        </w:rPr>
        <w:tab/>
      </w:r>
      <w:r>
        <w:rPr>
          <w:rStyle w:val="18"/>
          <w:lang w:val="en-GB"/>
        </w:rPr>
        <w:t>Introduction</w:t>
      </w:r>
      <w:r>
        <w:tab/>
      </w:r>
      <w:r>
        <w:fldChar w:fldCharType="begin"/>
      </w:r>
      <w:r>
        <w:instrText xml:space="preserve"> PAGEREF _Toc40464577 \h </w:instrText>
      </w:r>
      <w:r>
        <w:fldChar w:fldCharType="separate"/>
      </w:r>
      <w:r>
        <w:t>4</w:t>
      </w:r>
      <w:r>
        <w:fldChar w:fldCharType="end"/>
      </w:r>
      <w:r>
        <w:fldChar w:fldCharType="end"/>
      </w:r>
    </w:p>
    <w:p>
      <w:pPr>
        <w:pStyle w:val="13"/>
        <w:tabs>
          <w:tab w:val="left" w:pos="660"/>
          <w:tab w:val="right" w:leader="dot" w:pos="9350"/>
        </w:tabs>
        <w:rPr>
          <w:rFonts w:asciiTheme="minorHAnsi" w:hAnsiTheme="minorHAnsi"/>
          <w:sz w:val="22"/>
          <w:lang w:val="zh-CN" w:eastAsia="zh-CN"/>
        </w:rPr>
      </w:pPr>
      <w:r>
        <w:fldChar w:fldCharType="begin"/>
      </w:r>
      <w:r>
        <w:instrText xml:space="preserve"> HYPERLINK \l "_Toc40464578" </w:instrText>
      </w:r>
      <w:r>
        <w:fldChar w:fldCharType="separate"/>
      </w:r>
      <w:r>
        <w:rPr>
          <w:rStyle w:val="18"/>
          <w:rFonts w:cs="Arial"/>
          <w:lang w:val="en-GB"/>
        </w:rPr>
        <w:t>2.0.</w:t>
      </w:r>
      <w:r>
        <w:rPr>
          <w:rFonts w:asciiTheme="minorHAnsi" w:hAnsiTheme="minorHAnsi"/>
          <w:sz w:val="22"/>
          <w:lang w:val="zh-CN" w:eastAsia="zh-CN"/>
        </w:rPr>
        <w:tab/>
      </w:r>
      <w:r>
        <w:rPr>
          <w:rStyle w:val="18"/>
          <w:lang w:val="en-GB"/>
        </w:rPr>
        <w:t>Corporate Social Media Engagement and Responsibilities of Social Media Companies</w:t>
      </w:r>
      <w:r>
        <w:tab/>
      </w:r>
      <w:r>
        <w:fldChar w:fldCharType="begin"/>
      </w:r>
      <w:r>
        <w:instrText xml:space="preserve"> PAGEREF _Toc40464578 \h </w:instrText>
      </w:r>
      <w:r>
        <w:fldChar w:fldCharType="separate"/>
      </w:r>
      <w:r>
        <w:t>5</w:t>
      </w:r>
      <w:r>
        <w:fldChar w:fldCharType="end"/>
      </w:r>
      <w:r>
        <w:fldChar w:fldCharType="end"/>
      </w:r>
    </w:p>
    <w:p>
      <w:pPr>
        <w:pStyle w:val="14"/>
        <w:tabs>
          <w:tab w:val="left" w:pos="880"/>
          <w:tab w:val="right" w:leader="dot" w:pos="9350"/>
        </w:tabs>
        <w:rPr>
          <w:rFonts w:asciiTheme="minorHAnsi" w:hAnsiTheme="minorHAnsi"/>
          <w:sz w:val="22"/>
          <w:lang w:val="zh-CN" w:eastAsia="zh-CN"/>
        </w:rPr>
      </w:pPr>
      <w:r>
        <w:fldChar w:fldCharType="begin"/>
      </w:r>
      <w:r>
        <w:instrText xml:space="preserve"> HYPERLINK \l "_Toc40464579" </w:instrText>
      </w:r>
      <w:r>
        <w:fldChar w:fldCharType="separate"/>
      </w:r>
      <w:r>
        <w:rPr>
          <w:rStyle w:val="18"/>
          <w:lang w:val="en-GB"/>
        </w:rPr>
        <w:t>2.1.</w:t>
      </w:r>
      <w:r>
        <w:rPr>
          <w:rFonts w:asciiTheme="minorHAnsi" w:hAnsiTheme="minorHAnsi"/>
          <w:sz w:val="22"/>
          <w:lang w:val="zh-CN" w:eastAsia="zh-CN"/>
        </w:rPr>
        <w:tab/>
      </w:r>
      <w:r>
        <w:rPr>
          <w:rStyle w:val="18"/>
          <w:lang w:val="en-GB"/>
        </w:rPr>
        <w:t>Defining Corporate Social Responsibility (CSR)</w:t>
      </w:r>
      <w:r>
        <w:tab/>
      </w:r>
      <w:r>
        <w:fldChar w:fldCharType="begin"/>
      </w:r>
      <w:r>
        <w:instrText xml:space="preserve"> PAGEREF _Toc40464579 \h </w:instrText>
      </w:r>
      <w:r>
        <w:fldChar w:fldCharType="separate"/>
      </w:r>
      <w:r>
        <w:t>5</w:t>
      </w:r>
      <w:r>
        <w:fldChar w:fldCharType="end"/>
      </w:r>
      <w:r>
        <w:fldChar w:fldCharType="end"/>
      </w:r>
    </w:p>
    <w:p>
      <w:pPr>
        <w:pStyle w:val="14"/>
        <w:tabs>
          <w:tab w:val="left" w:pos="880"/>
          <w:tab w:val="right" w:leader="dot" w:pos="9350"/>
        </w:tabs>
        <w:rPr>
          <w:rFonts w:asciiTheme="minorHAnsi" w:hAnsiTheme="minorHAnsi"/>
          <w:sz w:val="22"/>
          <w:lang w:val="zh-CN" w:eastAsia="zh-CN"/>
        </w:rPr>
      </w:pPr>
      <w:r>
        <w:fldChar w:fldCharType="begin"/>
      </w:r>
      <w:r>
        <w:instrText xml:space="preserve"> HYPERLINK \l "_Toc40464580" </w:instrText>
      </w:r>
      <w:r>
        <w:fldChar w:fldCharType="separate"/>
      </w:r>
      <w:r>
        <w:rPr>
          <w:rStyle w:val="18"/>
          <w:lang w:val="en-GB"/>
        </w:rPr>
        <w:t>2.2.</w:t>
      </w:r>
      <w:r>
        <w:rPr>
          <w:rFonts w:asciiTheme="minorHAnsi" w:hAnsiTheme="minorHAnsi"/>
          <w:sz w:val="22"/>
          <w:lang w:val="zh-CN" w:eastAsia="zh-CN"/>
        </w:rPr>
        <w:tab/>
      </w:r>
      <w:r>
        <w:rPr>
          <w:rStyle w:val="18"/>
          <w:lang w:val="en-GB"/>
        </w:rPr>
        <w:t>Models of Corporate Social Responsibility and their Relation to Social Media Companies</w:t>
      </w:r>
      <w:r>
        <w:tab/>
      </w:r>
      <w:r>
        <w:fldChar w:fldCharType="begin"/>
      </w:r>
      <w:r>
        <w:instrText xml:space="preserve"> PAGEREF _Toc40464580 \h </w:instrText>
      </w:r>
      <w:r>
        <w:fldChar w:fldCharType="separate"/>
      </w:r>
      <w:r>
        <w:t>5</w:t>
      </w:r>
      <w:r>
        <w:fldChar w:fldCharType="end"/>
      </w:r>
      <w:r>
        <w:fldChar w:fldCharType="end"/>
      </w:r>
    </w:p>
    <w:p>
      <w:pPr>
        <w:pStyle w:val="15"/>
        <w:tabs>
          <w:tab w:val="left" w:pos="1320"/>
          <w:tab w:val="right" w:leader="dot" w:pos="9350"/>
        </w:tabs>
        <w:rPr>
          <w:rFonts w:asciiTheme="minorHAnsi" w:hAnsiTheme="minorHAnsi"/>
          <w:sz w:val="22"/>
          <w:lang w:val="zh-CN" w:eastAsia="zh-CN"/>
        </w:rPr>
      </w:pPr>
      <w:r>
        <w:fldChar w:fldCharType="begin"/>
      </w:r>
      <w:r>
        <w:instrText xml:space="preserve"> HYPERLINK \l "_Toc40464581" </w:instrText>
      </w:r>
      <w:r>
        <w:fldChar w:fldCharType="separate"/>
      </w:r>
      <w:r>
        <w:rPr>
          <w:rStyle w:val="18"/>
          <w:lang w:val="en-GB"/>
        </w:rPr>
        <w:t>2.2.1.</w:t>
      </w:r>
      <w:r>
        <w:rPr>
          <w:rFonts w:asciiTheme="minorHAnsi" w:hAnsiTheme="minorHAnsi"/>
          <w:sz w:val="22"/>
          <w:lang w:val="zh-CN" w:eastAsia="zh-CN"/>
        </w:rPr>
        <w:tab/>
      </w:r>
      <w:r>
        <w:rPr>
          <w:rStyle w:val="18"/>
          <w:lang w:val="en-GB"/>
        </w:rPr>
        <w:t>Economic Responsibilities of Social Media Companies in CSR</w:t>
      </w:r>
      <w:r>
        <w:tab/>
      </w:r>
      <w:r>
        <w:fldChar w:fldCharType="begin"/>
      </w:r>
      <w:r>
        <w:instrText xml:space="preserve"> PAGEREF _Toc40464581 \h </w:instrText>
      </w:r>
      <w:r>
        <w:fldChar w:fldCharType="separate"/>
      </w:r>
      <w:r>
        <w:t>7</w:t>
      </w:r>
      <w:r>
        <w:fldChar w:fldCharType="end"/>
      </w:r>
      <w:r>
        <w:fldChar w:fldCharType="end"/>
      </w:r>
    </w:p>
    <w:p>
      <w:pPr>
        <w:pStyle w:val="15"/>
        <w:tabs>
          <w:tab w:val="left" w:pos="1320"/>
          <w:tab w:val="right" w:leader="dot" w:pos="9350"/>
        </w:tabs>
        <w:rPr>
          <w:rFonts w:asciiTheme="minorHAnsi" w:hAnsiTheme="minorHAnsi"/>
          <w:sz w:val="22"/>
          <w:lang w:val="zh-CN" w:eastAsia="zh-CN"/>
        </w:rPr>
      </w:pPr>
      <w:r>
        <w:fldChar w:fldCharType="begin"/>
      </w:r>
      <w:r>
        <w:instrText xml:space="preserve"> HYPERLINK \l "_Toc40464582" </w:instrText>
      </w:r>
      <w:r>
        <w:fldChar w:fldCharType="separate"/>
      </w:r>
      <w:r>
        <w:rPr>
          <w:rStyle w:val="18"/>
          <w:lang w:val="en-GB"/>
        </w:rPr>
        <w:t>2.2.2.</w:t>
      </w:r>
      <w:r>
        <w:rPr>
          <w:rFonts w:asciiTheme="minorHAnsi" w:hAnsiTheme="minorHAnsi"/>
          <w:sz w:val="22"/>
          <w:lang w:val="zh-CN" w:eastAsia="zh-CN"/>
        </w:rPr>
        <w:tab/>
      </w:r>
      <w:r>
        <w:rPr>
          <w:rStyle w:val="18"/>
          <w:lang w:val="en-GB"/>
        </w:rPr>
        <w:t>Legal Responsibilities of Social Media Companies in CSR</w:t>
      </w:r>
      <w:r>
        <w:tab/>
      </w:r>
      <w:r>
        <w:fldChar w:fldCharType="begin"/>
      </w:r>
      <w:r>
        <w:instrText xml:space="preserve"> PAGEREF _Toc40464582 \h </w:instrText>
      </w:r>
      <w:r>
        <w:fldChar w:fldCharType="separate"/>
      </w:r>
      <w:r>
        <w:t>7</w:t>
      </w:r>
      <w:r>
        <w:fldChar w:fldCharType="end"/>
      </w:r>
      <w:r>
        <w:fldChar w:fldCharType="end"/>
      </w:r>
    </w:p>
    <w:p>
      <w:pPr>
        <w:pStyle w:val="15"/>
        <w:tabs>
          <w:tab w:val="left" w:pos="1320"/>
          <w:tab w:val="right" w:leader="dot" w:pos="9350"/>
        </w:tabs>
        <w:rPr>
          <w:rFonts w:asciiTheme="minorHAnsi" w:hAnsiTheme="minorHAnsi"/>
          <w:sz w:val="22"/>
          <w:lang w:val="zh-CN" w:eastAsia="zh-CN"/>
        </w:rPr>
      </w:pPr>
      <w:r>
        <w:fldChar w:fldCharType="begin"/>
      </w:r>
      <w:r>
        <w:instrText xml:space="preserve"> HYPERLINK \l "_Toc40464583" </w:instrText>
      </w:r>
      <w:r>
        <w:fldChar w:fldCharType="separate"/>
      </w:r>
      <w:r>
        <w:rPr>
          <w:rStyle w:val="18"/>
          <w:lang w:val="en-GB"/>
        </w:rPr>
        <w:t>2.2.3.</w:t>
      </w:r>
      <w:r>
        <w:rPr>
          <w:rFonts w:asciiTheme="minorHAnsi" w:hAnsiTheme="minorHAnsi"/>
          <w:sz w:val="22"/>
          <w:lang w:val="zh-CN" w:eastAsia="zh-CN"/>
        </w:rPr>
        <w:tab/>
      </w:r>
      <w:r>
        <w:rPr>
          <w:rStyle w:val="18"/>
          <w:lang w:val="en-GB"/>
        </w:rPr>
        <w:t>Ethical Responsibilities of Social Media Companies in CSR</w:t>
      </w:r>
      <w:r>
        <w:tab/>
      </w:r>
      <w:r>
        <w:fldChar w:fldCharType="begin"/>
      </w:r>
      <w:r>
        <w:instrText xml:space="preserve"> PAGEREF _Toc40464583 \h </w:instrText>
      </w:r>
      <w:r>
        <w:fldChar w:fldCharType="separate"/>
      </w:r>
      <w:r>
        <w:t>8</w:t>
      </w:r>
      <w:r>
        <w:fldChar w:fldCharType="end"/>
      </w:r>
      <w:r>
        <w:fldChar w:fldCharType="end"/>
      </w:r>
    </w:p>
    <w:p>
      <w:pPr>
        <w:pStyle w:val="15"/>
        <w:tabs>
          <w:tab w:val="left" w:pos="1320"/>
          <w:tab w:val="right" w:leader="dot" w:pos="9350"/>
        </w:tabs>
        <w:rPr>
          <w:rFonts w:asciiTheme="minorHAnsi" w:hAnsiTheme="minorHAnsi"/>
          <w:sz w:val="22"/>
          <w:lang w:val="zh-CN" w:eastAsia="zh-CN"/>
        </w:rPr>
      </w:pPr>
      <w:r>
        <w:fldChar w:fldCharType="begin"/>
      </w:r>
      <w:r>
        <w:instrText xml:space="preserve"> HYPERLINK \l "_Toc40464584" </w:instrText>
      </w:r>
      <w:r>
        <w:fldChar w:fldCharType="separate"/>
      </w:r>
      <w:r>
        <w:rPr>
          <w:rStyle w:val="18"/>
          <w:lang w:val="en-GB"/>
        </w:rPr>
        <w:t>2.2.4.</w:t>
      </w:r>
      <w:r>
        <w:rPr>
          <w:rFonts w:asciiTheme="minorHAnsi" w:hAnsiTheme="minorHAnsi"/>
          <w:sz w:val="22"/>
          <w:lang w:val="zh-CN" w:eastAsia="zh-CN"/>
        </w:rPr>
        <w:tab/>
      </w:r>
      <w:r>
        <w:rPr>
          <w:rStyle w:val="18"/>
          <w:lang w:val="en-GB"/>
        </w:rPr>
        <w:t>Philanthropic Responsibilities of Social Media Companies in CSR</w:t>
      </w:r>
      <w:r>
        <w:tab/>
      </w:r>
      <w:r>
        <w:fldChar w:fldCharType="begin"/>
      </w:r>
      <w:r>
        <w:instrText xml:space="preserve"> PAGEREF _Toc40464584 \h </w:instrText>
      </w:r>
      <w:r>
        <w:fldChar w:fldCharType="separate"/>
      </w:r>
      <w:r>
        <w:t>9</w:t>
      </w:r>
      <w:r>
        <w:fldChar w:fldCharType="end"/>
      </w:r>
      <w:r>
        <w:fldChar w:fldCharType="end"/>
      </w:r>
    </w:p>
    <w:p>
      <w:pPr>
        <w:pStyle w:val="13"/>
        <w:tabs>
          <w:tab w:val="left" w:pos="660"/>
          <w:tab w:val="right" w:leader="dot" w:pos="9350"/>
        </w:tabs>
        <w:rPr>
          <w:rFonts w:asciiTheme="minorHAnsi" w:hAnsiTheme="minorHAnsi"/>
          <w:sz w:val="22"/>
          <w:lang w:val="zh-CN" w:eastAsia="zh-CN"/>
        </w:rPr>
      </w:pPr>
      <w:r>
        <w:fldChar w:fldCharType="begin"/>
      </w:r>
      <w:r>
        <w:instrText xml:space="preserve"> HYPERLINK \l "_Toc40464585" </w:instrText>
      </w:r>
      <w:r>
        <w:fldChar w:fldCharType="separate"/>
      </w:r>
      <w:r>
        <w:rPr>
          <w:rStyle w:val="18"/>
          <w:rFonts w:cs="Arial"/>
          <w:lang w:val="en-GB"/>
        </w:rPr>
        <w:t>3.0.</w:t>
      </w:r>
      <w:r>
        <w:rPr>
          <w:rFonts w:asciiTheme="minorHAnsi" w:hAnsiTheme="minorHAnsi"/>
          <w:sz w:val="22"/>
          <w:lang w:val="zh-CN" w:eastAsia="zh-CN"/>
        </w:rPr>
        <w:tab/>
      </w:r>
      <w:r>
        <w:rPr>
          <w:rStyle w:val="18"/>
          <w:lang w:val="en-GB"/>
        </w:rPr>
        <w:t>The Case of Facebook in CSR</w:t>
      </w:r>
      <w:r>
        <w:tab/>
      </w:r>
      <w:r>
        <w:fldChar w:fldCharType="begin"/>
      </w:r>
      <w:r>
        <w:instrText xml:space="preserve"> PAGEREF _Toc40464585 \h </w:instrText>
      </w:r>
      <w:r>
        <w:fldChar w:fldCharType="separate"/>
      </w:r>
      <w:r>
        <w:t>10</w:t>
      </w:r>
      <w:r>
        <w:fldChar w:fldCharType="end"/>
      </w:r>
      <w:r>
        <w:fldChar w:fldCharType="end"/>
      </w:r>
    </w:p>
    <w:p>
      <w:pPr>
        <w:pStyle w:val="13"/>
        <w:tabs>
          <w:tab w:val="left" w:pos="660"/>
          <w:tab w:val="right" w:leader="dot" w:pos="9350"/>
        </w:tabs>
        <w:rPr>
          <w:rFonts w:asciiTheme="minorHAnsi" w:hAnsiTheme="minorHAnsi"/>
          <w:sz w:val="22"/>
          <w:lang w:val="zh-CN" w:eastAsia="zh-CN"/>
        </w:rPr>
      </w:pPr>
      <w:r>
        <w:fldChar w:fldCharType="begin"/>
      </w:r>
      <w:r>
        <w:instrText xml:space="preserve"> HYPERLINK \l "_Toc40464586" </w:instrText>
      </w:r>
      <w:r>
        <w:fldChar w:fldCharType="separate"/>
      </w:r>
      <w:r>
        <w:rPr>
          <w:rStyle w:val="18"/>
          <w:rFonts w:cs="Arial"/>
          <w:lang w:val="en-GB"/>
        </w:rPr>
        <w:t>4.0.</w:t>
      </w:r>
      <w:r>
        <w:rPr>
          <w:rFonts w:asciiTheme="minorHAnsi" w:hAnsiTheme="minorHAnsi"/>
          <w:sz w:val="22"/>
          <w:lang w:val="zh-CN" w:eastAsia="zh-CN"/>
        </w:rPr>
        <w:tab/>
      </w:r>
      <w:r>
        <w:rPr>
          <w:rStyle w:val="18"/>
          <w:lang w:val="en-GB"/>
        </w:rPr>
        <w:t>Conclusion and Recommendations</w:t>
      </w:r>
      <w:r>
        <w:tab/>
      </w:r>
      <w:r>
        <w:fldChar w:fldCharType="begin"/>
      </w:r>
      <w:r>
        <w:instrText xml:space="preserve"> PAGEREF _Toc40464586 \h </w:instrText>
      </w:r>
      <w:r>
        <w:fldChar w:fldCharType="separate"/>
      </w:r>
      <w:r>
        <w:t>12</w:t>
      </w:r>
      <w:r>
        <w:fldChar w:fldCharType="end"/>
      </w:r>
      <w:r>
        <w:fldChar w:fldCharType="end"/>
      </w:r>
    </w:p>
    <w:p>
      <w:pPr>
        <w:pStyle w:val="13"/>
        <w:tabs>
          <w:tab w:val="right" w:leader="dot" w:pos="9350"/>
        </w:tabs>
        <w:rPr>
          <w:rFonts w:asciiTheme="minorHAnsi" w:hAnsiTheme="minorHAnsi"/>
          <w:sz w:val="22"/>
          <w:lang w:val="zh-CN" w:eastAsia="zh-CN"/>
        </w:rPr>
      </w:pPr>
      <w:r>
        <w:fldChar w:fldCharType="begin"/>
      </w:r>
      <w:r>
        <w:instrText xml:space="preserve"> HYPERLINK \l "_Toc40464587" </w:instrText>
      </w:r>
      <w:r>
        <w:fldChar w:fldCharType="separate"/>
      </w:r>
      <w:r>
        <w:rPr>
          <w:rStyle w:val="18"/>
          <w:lang w:val="en-GB"/>
        </w:rPr>
        <w:t>References</w:t>
      </w:r>
      <w:r>
        <w:tab/>
      </w:r>
      <w:r>
        <w:fldChar w:fldCharType="begin"/>
      </w:r>
      <w:r>
        <w:instrText xml:space="preserve"> PAGEREF _Toc40464587 \h </w:instrText>
      </w:r>
      <w:r>
        <w:fldChar w:fldCharType="separate"/>
      </w:r>
      <w:r>
        <w:t>14</w:t>
      </w:r>
      <w:r>
        <w:fldChar w:fldCharType="end"/>
      </w:r>
      <w:r>
        <w:fldChar w:fldCharType="end"/>
      </w:r>
    </w:p>
    <w:p>
      <w:pPr>
        <w:rPr>
          <w:lang w:val="en-GB"/>
        </w:rPr>
      </w:pPr>
      <w:r>
        <w:rPr>
          <w:lang w:val="en-GB"/>
        </w:rPr>
        <w:fldChar w:fldCharType="end"/>
      </w:r>
    </w:p>
    <w:p>
      <w:pPr>
        <w:rPr>
          <w:lang w:val="en-GB"/>
        </w:rPr>
      </w:pPr>
    </w:p>
    <w:p>
      <w:pPr>
        <w:rPr>
          <w:lang w:val="en-GB"/>
        </w:rPr>
      </w:pPr>
    </w:p>
    <w:p>
      <w:pPr>
        <w:pStyle w:val="2"/>
        <w:jc w:val="left"/>
        <w:rPr>
          <w:rFonts w:cs="Arial"/>
          <w:lang w:val="en-GB"/>
        </w:rPr>
      </w:pPr>
    </w:p>
    <w:p>
      <w:pPr>
        <w:rPr>
          <w:lang w:val="en-GB"/>
        </w:rPr>
      </w:pPr>
    </w:p>
    <w:p>
      <w:pPr>
        <w:pStyle w:val="2"/>
        <w:pageBreakBefore/>
        <w:numPr>
          <w:ilvl w:val="0"/>
          <w:numId w:val="1"/>
        </w:numPr>
        <w:jc w:val="left"/>
        <w:rPr>
          <w:rStyle w:val="22"/>
          <w:b/>
          <w:bCs/>
          <w:lang w:val="en-GB"/>
        </w:rPr>
      </w:pPr>
      <w:bookmarkStart w:id="1" w:name="_Toc40464577"/>
      <w:r>
        <w:rPr>
          <w:lang w:val="en-GB"/>
        </w:rPr>
        <w:t>I</w:t>
      </w:r>
      <w:r>
        <w:rPr>
          <w:rStyle w:val="22"/>
          <w:rFonts w:ascii="Arial" w:hAnsi="Arial"/>
          <w:b/>
          <w:bCs/>
          <w:lang w:val="en-GB"/>
        </w:rPr>
        <w:t>ntroduction</w:t>
      </w:r>
      <w:bookmarkEnd w:id="1"/>
    </w:p>
    <w:p>
      <w:pPr>
        <w:ind w:firstLine="720"/>
        <w:rPr>
          <w:lang w:val="en-GB"/>
        </w:rPr>
      </w:pPr>
      <w:r>
        <w:rPr>
          <w:lang w:val="en-GB"/>
        </w:rPr>
        <w:t xml:space="preserve">The advent of internet technology has revolutionized the way people communicate and how businesses operate across the world. One of the most radical outcomes of internet technologies is social network sites (SNS), which are technology/internet-based platforms that are user-content driven, and which allow people to share information, communicate directly with each other, and to network (Tuten &amp; Solomon, 2017). Some of the leading SNS include Facebook, Instagram, YouTube, TikTok, and Twitter.  According to Chaffey (2020), there are now more than 3.8 billion social media users across the world, with Facebook being the most popular with 2.4 billion monthly users, followed by YouTube at 2 billion monthly users, while TikTok and Twitter have 800 million and 340 million users respectively. The impact of social media is widespread and more than ever, businesses are choosing to advertise on the platforms than on mainstream media. With almost half of the world on social media platforms, SNS companies a major role to play in the world, and this puts a major focus on corporate social responsibility (CSR) (Schivinski &amp; Dabrowski, 2016). The widespread reach and the kind of information that SNS collect present major ethical issues that cover privacy, data protection, social media addiction, and others that have led to a growing push for such companies to engage in CSR to protect the society from </w:t>
      </w:r>
      <w:r>
        <w:t xml:space="preserve">their harm (Acquisti, Brandimarte, &amp; Loewenstein, 2015). </w:t>
      </w:r>
      <w:r>
        <w:rPr>
          <w:lang w:val="en-GB"/>
        </w:rPr>
        <w:t xml:space="preserve">Additionally, the high profitability of such companies also is a major factor that has led to increased calls for such businesses to engage in CSR </w:t>
      </w:r>
      <w:r>
        <w:rPr>
          <w:shd w:val="clear" w:color="auto" w:fill="FFFFFF"/>
        </w:rPr>
        <w:t>(Bernal</w:t>
      </w:r>
      <w:r>
        <w:rPr>
          <w:rFonts w:ascii="Cambria Math" w:hAnsi="Cambria Math" w:cs="Cambria Math"/>
          <w:shd w:val="clear" w:color="auto" w:fill="FFFFFF"/>
        </w:rPr>
        <w:t>‐</w:t>
      </w:r>
      <w:r>
        <w:rPr>
          <w:shd w:val="clear" w:color="auto" w:fill="FFFFFF"/>
        </w:rPr>
        <w:t>Conesa, de Nieves Nieto, &amp; Briones</w:t>
      </w:r>
      <w:r>
        <w:rPr>
          <w:rFonts w:ascii="Cambria Math" w:hAnsi="Cambria Math" w:cs="Cambria Math"/>
          <w:shd w:val="clear" w:color="auto" w:fill="FFFFFF"/>
        </w:rPr>
        <w:t>‐</w:t>
      </w:r>
      <w:r>
        <w:rPr>
          <w:shd w:val="clear" w:color="auto" w:fill="FFFFFF"/>
        </w:rPr>
        <w:t xml:space="preserve">Peñalver, 2017). </w:t>
      </w:r>
      <w:r>
        <w:rPr>
          <w:lang w:val="en-GB"/>
        </w:rPr>
        <w:t xml:space="preserve">The current paper seeks to analyse the CSR engagement and responsibilities of social media companies. The analysis will also involve the use of Facebook as a case study and make logical recommendations for improving ethical performance. </w:t>
      </w:r>
    </w:p>
    <w:p>
      <w:pPr>
        <w:pStyle w:val="2"/>
        <w:numPr>
          <w:ilvl w:val="0"/>
          <w:numId w:val="1"/>
        </w:numPr>
        <w:jc w:val="left"/>
        <w:rPr>
          <w:lang w:val="en-GB"/>
        </w:rPr>
      </w:pPr>
      <w:bookmarkStart w:id="2" w:name="_Toc40464578"/>
      <w:r>
        <w:rPr>
          <w:lang w:val="en-GB"/>
        </w:rPr>
        <w:t>Corporate Social Media Engagement and Responsibilities of Social Media Companies</w:t>
      </w:r>
      <w:bookmarkEnd w:id="2"/>
      <w:r>
        <w:rPr>
          <w:lang w:val="en-GB"/>
        </w:rPr>
        <w:t xml:space="preserve">  </w:t>
      </w:r>
    </w:p>
    <w:p>
      <w:pPr>
        <w:pStyle w:val="3"/>
        <w:numPr>
          <w:ilvl w:val="1"/>
          <w:numId w:val="1"/>
        </w:numPr>
        <w:rPr>
          <w:lang w:val="en-GB"/>
        </w:rPr>
      </w:pPr>
      <w:bookmarkStart w:id="3" w:name="_Toc40464579"/>
      <w:r>
        <w:rPr>
          <w:lang w:val="en-GB"/>
        </w:rPr>
        <w:t>Defining Corporate Social Responsibility (CSR)</w:t>
      </w:r>
      <w:bookmarkEnd w:id="3"/>
    </w:p>
    <w:p>
      <w:pPr>
        <w:ind w:firstLine="720"/>
        <w:rPr>
          <w:lang w:val="en-GB"/>
        </w:rPr>
      </w:pPr>
      <w:r>
        <w:rPr>
          <w:lang w:val="en-GB"/>
        </w:rPr>
        <w:t xml:space="preserve">Corporate Social Responsibility (CSR) can be defined as how companies, through their activities, can contribute to the social, economic, and environmental wellbeing of the society </w:t>
      </w:r>
      <w:r>
        <w:rPr>
          <w:shd w:val="clear" w:color="auto" w:fill="FFFFFF"/>
        </w:rPr>
        <w:t>(Crane, Matten, &amp; Spence, 2019)</w:t>
      </w:r>
      <w:r>
        <w:rPr>
          <w:lang w:val="en-GB"/>
        </w:rPr>
        <w:t xml:space="preserve">. However, unlike in the past where CSR was considered as simply an act of goodwill or philanthropy to the society, there is a growing shift towards ensuring that organisations, throughout their activities, put in place measures that support the wellbeing of societies directly and indirectly </w:t>
      </w:r>
      <w:r>
        <w:rPr>
          <w:shd w:val="clear" w:color="auto" w:fill="FFFFFF"/>
        </w:rPr>
        <w:t>(Rasche, Morsing, &amp; Moon, 2017)</w:t>
      </w:r>
      <w:r>
        <w:rPr>
          <w:lang w:val="en-GB"/>
        </w:rPr>
        <w:t xml:space="preserve">. Indeed, this shift can be best explained by Beschorner (2020) who argues that “CSR is about how companies make profits. Not about how they spend them’. Such an approach ensures that CSR activities stop being “whitewashing” initiatives that seek to hide the ills of companies </w:t>
      </w:r>
      <w:r>
        <w:rPr>
          <w:shd w:val="clear" w:color="auto" w:fill="FFFFFF"/>
        </w:rPr>
        <w:t>(Sierra</w:t>
      </w:r>
      <w:r>
        <w:rPr>
          <w:rFonts w:ascii="Cambria Math" w:hAnsi="Cambria Math" w:cs="Cambria Math"/>
          <w:shd w:val="clear" w:color="auto" w:fill="FFFFFF"/>
        </w:rPr>
        <w:t>‐</w:t>
      </w:r>
      <w:r>
        <w:rPr>
          <w:shd w:val="clear" w:color="auto" w:fill="FFFFFF"/>
        </w:rPr>
        <w:t>García, Zorio</w:t>
      </w:r>
      <w:r>
        <w:rPr>
          <w:rFonts w:ascii="Cambria Math" w:hAnsi="Cambria Math" w:cs="Cambria Math"/>
          <w:shd w:val="clear" w:color="auto" w:fill="FFFFFF"/>
        </w:rPr>
        <w:t>‐</w:t>
      </w:r>
      <w:r>
        <w:rPr>
          <w:shd w:val="clear" w:color="auto" w:fill="FFFFFF"/>
        </w:rPr>
        <w:t>Grima, &amp; García</w:t>
      </w:r>
      <w:r>
        <w:rPr>
          <w:rFonts w:ascii="Cambria Math" w:hAnsi="Cambria Math" w:cs="Cambria Math"/>
          <w:shd w:val="clear" w:color="auto" w:fill="FFFFFF"/>
        </w:rPr>
        <w:t>‐</w:t>
      </w:r>
      <w:r>
        <w:rPr>
          <w:shd w:val="clear" w:color="auto" w:fill="FFFFFF"/>
        </w:rPr>
        <w:t>Benau, 2015)</w:t>
      </w:r>
      <w:r>
        <w:rPr>
          <w:lang w:val="en-GB"/>
        </w:rPr>
        <w:t xml:space="preserve">. Hence, a good CSR is one where companies ensure that their activities, from the start to the end, are done with their impact on the society under serious consideration. However, this approach does not absolve companies from undertaking acts of philanthropy as CSR. </w:t>
      </w:r>
    </w:p>
    <w:p>
      <w:pPr>
        <w:pStyle w:val="3"/>
        <w:numPr>
          <w:ilvl w:val="1"/>
          <w:numId w:val="1"/>
        </w:numPr>
        <w:rPr>
          <w:lang w:val="en-GB"/>
        </w:rPr>
      </w:pPr>
      <w:bookmarkStart w:id="4" w:name="_Toc40464580"/>
      <w:r>
        <w:rPr>
          <w:lang w:val="en-GB"/>
        </w:rPr>
        <w:t>Models of Corporate Social Responsibility and their Relation to Social Media Companies</w:t>
      </w:r>
      <w:bookmarkEnd w:id="4"/>
      <w:r>
        <w:rPr>
          <w:lang w:val="en-GB"/>
        </w:rPr>
        <w:t xml:space="preserve"> </w:t>
      </w:r>
    </w:p>
    <w:p>
      <w:pPr>
        <w:ind w:firstLine="720"/>
        <w:rPr>
          <w:lang w:val="en-GB"/>
        </w:rPr>
      </w:pPr>
      <w:r>
        <w:rPr>
          <w:lang w:val="en-GB"/>
        </w:rPr>
        <w:t xml:space="preserve">There is no single definition that can be considered as the most effective in defining and guiding corporate social responsibility in organisations. Instead, some several models or concepts exist that organisations can apply in defining their CSR activities or policies </w:t>
      </w:r>
      <w:r>
        <w:rPr>
          <w:shd w:val="clear" w:color="auto" w:fill="FFFFFF"/>
        </w:rPr>
        <w:t>(Bernal</w:t>
      </w:r>
      <w:r>
        <w:rPr>
          <w:rFonts w:ascii="Cambria Math" w:hAnsi="Cambria Math" w:cs="Cambria Math"/>
          <w:shd w:val="clear" w:color="auto" w:fill="FFFFFF"/>
        </w:rPr>
        <w:t>‐</w:t>
      </w:r>
      <w:r>
        <w:rPr>
          <w:shd w:val="clear" w:color="auto" w:fill="FFFFFF"/>
        </w:rPr>
        <w:t>Conesa et al., 2017)</w:t>
      </w:r>
      <w:r>
        <w:rPr>
          <w:lang w:val="en-GB"/>
        </w:rPr>
        <w:t xml:space="preserve">. One of the most widespread models of Corporate Social Responsibility was put forward by Archie Carroll in 1991, and is referred to as the Carroll’s Pyramid of CSR (Carroll, 2016). The model will be utilised to analyse CSR engagement of social media companies and their responsibilities. </w:t>
      </w:r>
    </w:p>
    <w:p>
      <w:pPr>
        <w:rPr>
          <w:lang w:val="en-GB"/>
        </w:rPr>
      </w:pPr>
      <w:r>
        <w:rPr>
          <w:lang w:val="en-GB"/>
        </w:rPr>
        <w:t xml:space="preserve">According to Carroll (1991, as cited by Carroll, 2016), from which the Pyramid of CSR builds from, corporate social responsibility focuses on the economic, legal, ethical, and the philanthropic expectations of the society towards an organisation at any given point in time. As per the model, these responsibilities are hierarchical whereby economic responsibilities are the most important followed by legal, ethical, and the philanthropic ones (See figure 1) (Carroll, 2016). A company, in the quest of meetings its responsibilities to the society, must ensure it considers and puts effective measures to achieve all the above in their order of importance. </w:t>
      </w:r>
    </w:p>
    <w:p>
      <w:pPr>
        <w:jc w:val="center"/>
        <w:rPr>
          <w:lang w:val="en-GB"/>
        </w:rPr>
      </w:pPr>
      <w:r>
        <w:rPr>
          <w:lang w:val="en-GB"/>
        </w:rPr>
        <w:br w:type="textWrapping"/>
      </w:r>
      <w:r>
        <w:drawing>
          <wp:inline distT="0" distB="0" distL="0" distR="0">
            <wp:extent cx="4524375" cy="2819400"/>
            <wp:effectExtent l="0" t="0" r="9525" b="0"/>
            <wp:docPr id="1" name="Picture 1"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ig.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524375" cy="2819400"/>
                    </a:xfrm>
                    <a:prstGeom prst="rect">
                      <a:avLst/>
                    </a:prstGeom>
                    <a:noFill/>
                    <a:ln>
                      <a:noFill/>
                    </a:ln>
                  </pic:spPr>
                </pic:pic>
              </a:graphicData>
            </a:graphic>
          </wp:inline>
        </w:drawing>
      </w:r>
    </w:p>
    <w:p>
      <w:pPr>
        <w:jc w:val="center"/>
        <w:rPr>
          <w:lang w:val="en-GB"/>
        </w:rPr>
      </w:pPr>
      <w:r>
        <w:rPr>
          <w:lang w:val="en-GB"/>
        </w:rPr>
        <w:t>Figure 1: Carroll’s Pyramid of CSR (Carroll, 2016)</w:t>
      </w:r>
    </w:p>
    <w:p>
      <w:pPr>
        <w:pStyle w:val="4"/>
        <w:numPr>
          <w:ilvl w:val="2"/>
          <w:numId w:val="1"/>
        </w:numPr>
        <w:rPr>
          <w:lang w:val="en-GB"/>
        </w:rPr>
      </w:pPr>
      <w:bookmarkStart w:id="5" w:name="_Toc40464581"/>
      <w:r>
        <w:rPr>
          <w:lang w:val="en-GB"/>
        </w:rPr>
        <w:t>Economic Responsibilities of Social Media Companies in CSR</w:t>
      </w:r>
      <w:bookmarkEnd w:id="5"/>
    </w:p>
    <w:p>
      <w:pPr>
        <w:ind w:firstLine="720"/>
        <w:rPr>
          <w:rFonts w:cs="Arial"/>
          <w:szCs w:val="24"/>
          <w:lang w:val="en-GB"/>
        </w:rPr>
      </w:pPr>
      <w:r>
        <w:rPr>
          <w:rFonts w:cs="Arial"/>
          <w:szCs w:val="24"/>
          <w:lang w:val="en-GB"/>
        </w:rPr>
        <w:t xml:space="preserve">The first important corporate social responsibility of businesses as described by Carroll’s Pyramid of CSR is to bring value in terms of profits to their owners and stakeholders. According to Carroll (2016), the society expects businesses to be profitable since this plays a major role in ensuring their success and continued operations. Carroll (1991) notes that businesses have a responsibility to perform in a manner that maximises earnings per share, to be as committed as possible to being as profitable as position, and to maintain a competitive position, maintain high levels of operational efficiency. In the case of social media companies, economic success is essential just as is the case with any business. According to </w:t>
      </w:r>
      <w:r>
        <w:rPr>
          <w:shd w:val="clear" w:color="auto" w:fill="FFFFFF"/>
        </w:rPr>
        <w:t>Bernal</w:t>
      </w:r>
      <w:r>
        <w:rPr>
          <w:rFonts w:ascii="Cambria Math" w:hAnsi="Cambria Math" w:cs="Cambria Math"/>
          <w:shd w:val="clear" w:color="auto" w:fill="FFFFFF"/>
        </w:rPr>
        <w:t>‐</w:t>
      </w:r>
      <w:r>
        <w:rPr>
          <w:shd w:val="clear" w:color="auto" w:fill="FFFFFF"/>
        </w:rPr>
        <w:t xml:space="preserve">Conesa et al., (2017), </w:t>
      </w:r>
      <w:r>
        <w:rPr>
          <w:rFonts w:cs="Arial"/>
          <w:szCs w:val="24"/>
          <w:lang w:val="en-GB"/>
        </w:rPr>
        <w:t xml:space="preserve">social media companies are some of the modern-tech companies that attract millions of dollars of investor money, and it is essential for them to be profitable to give them the motivation that they need to continue supporting such ventures. It is a major responsibility for those companies to do whatever it takes to become profitable and give returns to the shareholders and investors who believed and continue to support the company. </w:t>
      </w:r>
    </w:p>
    <w:p>
      <w:pPr>
        <w:pStyle w:val="4"/>
        <w:numPr>
          <w:ilvl w:val="2"/>
          <w:numId w:val="1"/>
        </w:numPr>
        <w:rPr>
          <w:lang w:val="en-GB"/>
        </w:rPr>
      </w:pPr>
      <w:bookmarkStart w:id="6" w:name="_Toc40464582"/>
      <w:r>
        <w:rPr>
          <w:lang w:val="en-GB"/>
        </w:rPr>
        <w:t>Legal Responsibilities of Social Media Companies in CSR</w:t>
      </w:r>
      <w:bookmarkEnd w:id="6"/>
    </w:p>
    <w:p>
      <w:pPr>
        <w:ind w:firstLine="720"/>
        <w:rPr>
          <w:rFonts w:cs="Arial"/>
          <w:szCs w:val="24"/>
          <w:lang w:val="en-GB"/>
        </w:rPr>
      </w:pPr>
      <w:r>
        <w:rPr>
          <w:rFonts w:cs="Arial"/>
          <w:szCs w:val="24"/>
          <w:lang w:val="en-GB"/>
        </w:rPr>
        <w:t xml:space="preserve">The society is guided by rules, through laws and regulations which govern the way individuals and entities such as businesses should conduct themselves. In this case, and as per the Carroll’s Pyramid of CSR, businesses are guided by laws which sanction their activities (Carroll, 2016). The laws that exist in a society represent the view of “codified ethics” of the society, which underpin the general perceptions of notions of fair business practices in a nation, state, and local levels </w:t>
      </w:r>
      <w:r>
        <w:rPr>
          <w:shd w:val="clear" w:color="auto" w:fill="FFFFFF"/>
        </w:rPr>
        <w:t>(Rasche et al., 2017)</w:t>
      </w:r>
      <w:r>
        <w:rPr>
          <w:rFonts w:cs="Arial"/>
          <w:szCs w:val="24"/>
          <w:lang w:val="en-GB"/>
        </w:rPr>
        <w:t>. As part of the corporate social responsibility, businesses are expected by the society to comply with such laws (Carroll, 1991). In a general sense, businesses are expected to perform in consistency with the expectations of law and government, comply with various national, state, and local regulations, be law-abiding corporate citizens, fulfil their legal duties to stakeholders in the society, and provide goods and services that meet the minimum legal specifications (Dhanesh, 2015).  For social media companies, legal responsibilities are well defined and cut across different segments of their operations. I</w:t>
      </w:r>
      <w:r>
        <w:t>n the United Kingdom, online companies have</w:t>
      </w:r>
      <w:r>
        <w:rPr>
          <w:rFonts w:cs="Arial"/>
          <w:szCs w:val="24"/>
          <w:lang w:val="en-GB"/>
        </w:rPr>
        <w:t xml:space="preserve"> an obligation under the Data Protection Act of 2018, to protect to ensure privacy and security of personal data that they hold (UK Government, 2020). Most importantly, the companies have an obligation to offer services that meet the specifications such as security, protection for minors, ensuring the usage of the platforms for legal purposes only, and so on. </w:t>
      </w:r>
    </w:p>
    <w:p>
      <w:pPr>
        <w:pStyle w:val="4"/>
        <w:numPr>
          <w:ilvl w:val="2"/>
          <w:numId w:val="1"/>
        </w:numPr>
        <w:rPr>
          <w:lang w:val="en-GB"/>
        </w:rPr>
      </w:pPr>
      <w:bookmarkStart w:id="7" w:name="_Toc40464583"/>
      <w:r>
        <w:rPr>
          <w:lang w:val="en-GB"/>
        </w:rPr>
        <w:t>Ethical Responsibilities of Social Media Companies in CSR</w:t>
      </w:r>
      <w:bookmarkEnd w:id="7"/>
    </w:p>
    <w:p>
      <w:pPr>
        <w:ind w:firstLine="720"/>
      </w:pPr>
      <w:r>
        <w:rPr>
          <w:rFonts w:cs="Arial"/>
          <w:szCs w:val="24"/>
          <w:lang w:val="en-GB"/>
        </w:rPr>
        <w:t xml:space="preserve">While adhering to legal obligations is essential for businesses, it is not enough. According to Carroll’s Pyramid of CSR, businesses should go further than the requirements of laws, and ensure that they operate ethically (Carroll, 2016). Operating ethically means that businesses will ensure their activities meet the norms, standards, and practices that even though they are not sanctioned by law, are expected nonetheless (Carroll, 2016). The concept of ethics is essential since it plays a major role in offering guidance whether laws are missing, and ensuring that organisations do not violate those practices that are prohibited or shunned by the society, even when they </w:t>
      </w:r>
      <w:r>
        <w:t xml:space="preserve">are not covered under the law (Acquisti et al., 2015).  </w:t>
      </w:r>
      <w:r>
        <w:rPr>
          <w:rFonts w:cs="Arial"/>
          <w:szCs w:val="24"/>
          <w:lang w:val="en-GB"/>
        </w:rPr>
        <w:t xml:space="preserve">In general, businesses, including social media companies have ethical obligations to the society whereby they have to perform in consistency with societal ethical norms, respect new and evolving ethical norms in the society, prevent violation of ethical norms in the quest of meeting business goals, and most importantly, recognising universal moral philosophies such as justice, rights, and utilitarianism </w:t>
      </w:r>
      <w:r>
        <w:rPr>
          <w:shd w:val="clear" w:color="auto" w:fill="FFFFFF"/>
        </w:rPr>
        <w:t>(Sierra</w:t>
      </w:r>
      <w:r>
        <w:rPr>
          <w:rFonts w:ascii="Cambria Math" w:hAnsi="Cambria Math" w:cs="Cambria Math"/>
          <w:shd w:val="clear" w:color="auto" w:fill="FFFFFF"/>
        </w:rPr>
        <w:t>‐</w:t>
      </w:r>
      <w:r>
        <w:rPr>
          <w:shd w:val="clear" w:color="auto" w:fill="FFFFFF"/>
        </w:rPr>
        <w:t>García et al., 2015)</w:t>
      </w:r>
      <w:r>
        <w:rPr>
          <w:rFonts w:cs="Arial"/>
          <w:szCs w:val="24"/>
          <w:lang w:val="en-GB"/>
        </w:rPr>
        <w:t xml:space="preserve">. For example, SNS companies can undertake ethical measures such as blocking accounts that bullying others, take actions against racism on their platforms, and so on, even though they may not be required to do so under the law. </w:t>
      </w:r>
    </w:p>
    <w:p>
      <w:pPr>
        <w:pStyle w:val="4"/>
        <w:numPr>
          <w:ilvl w:val="2"/>
          <w:numId w:val="1"/>
        </w:numPr>
        <w:rPr>
          <w:lang w:val="en-GB"/>
        </w:rPr>
      </w:pPr>
      <w:bookmarkStart w:id="8" w:name="_Toc40464584"/>
      <w:r>
        <w:rPr>
          <w:lang w:val="en-GB"/>
        </w:rPr>
        <w:t>Philanthropic Responsibilities of Social Media Companies in CSR</w:t>
      </w:r>
      <w:bookmarkEnd w:id="8"/>
    </w:p>
    <w:p>
      <w:pPr>
        <w:ind w:firstLine="720"/>
        <w:rPr>
          <w:lang w:val="en-GB"/>
        </w:rPr>
      </w:pPr>
      <w:r>
        <w:rPr>
          <w:lang w:val="en-GB"/>
        </w:rPr>
        <w:t xml:space="preserve">Philanthropy incorporates defines all forms of business giving. Also referred to as corporate philanthropy, it is a discretionary or voluntary activity that the society expects from organisations, and an important part of CSR as per the Carroll’s Pyramid of CSR (Carroll, 2016). However, corporate philanthropy is not expected in an ethical sense, and organisations that do not engage in it are not judged negatively by the society as would be the case if they failed to be ethical </w:t>
      </w:r>
      <w:r>
        <w:rPr>
          <w:shd w:val="clear" w:color="auto" w:fill="FFFFFF"/>
        </w:rPr>
        <w:t>(Sasse &amp; Trahan, 2007)</w:t>
      </w:r>
      <w:r>
        <w:rPr>
          <w:lang w:val="en-GB"/>
        </w:rPr>
        <w:t xml:space="preserve">. Even though failure to participate in corporate philanthropy does not have serious repercussions for businesses, it is viewed as an important way of showing “good citizenship” (Carroll, 2016). It is generally expected for businesses, just as private individuals are, to give back to the society. Businesses across the world often engage in corporate philanthropy by giving gifts, monetary donations, building utilities, and many other forms (Gautier &amp; Pache, 2015). For social media companies, corporate philanthropy is a way of showing good corporate citizenship, and this can be depicted in numerous ways including sharing information that is needed by the society, for example, updates on coronavirus, as well as others such as giving back to the society through financial donations, and many others. </w:t>
      </w:r>
    </w:p>
    <w:p>
      <w:pPr>
        <w:pStyle w:val="2"/>
        <w:numPr>
          <w:ilvl w:val="0"/>
          <w:numId w:val="1"/>
        </w:numPr>
        <w:jc w:val="left"/>
        <w:rPr>
          <w:lang w:val="en-GB"/>
        </w:rPr>
      </w:pPr>
      <w:bookmarkStart w:id="9" w:name="_Toc40464585"/>
      <w:r>
        <w:rPr>
          <w:lang w:val="en-GB"/>
        </w:rPr>
        <w:t>The Case of Facebook in CSR</w:t>
      </w:r>
      <w:bookmarkEnd w:id="9"/>
    </w:p>
    <w:p>
      <w:pPr>
        <w:ind w:firstLine="720"/>
        <w:rPr>
          <w:rFonts w:cs="Arial"/>
          <w:szCs w:val="24"/>
          <w:lang w:val="en-GB"/>
        </w:rPr>
      </w:pPr>
      <w:r>
        <w:rPr>
          <w:rFonts w:cs="Arial"/>
          <w:szCs w:val="24"/>
          <w:lang w:val="en-GB"/>
        </w:rPr>
        <w:t xml:space="preserve">Facebook is the world’s largest social media company not only in terms of users, but also in financial strength, brand recognition, and reach. The company’s reach across the world and its usage by more than 3.8 billion people makes it one of the most influential organisations globally </w:t>
      </w:r>
      <w:r>
        <w:t>(Forrest, 2019)</w:t>
      </w:r>
      <w:r>
        <w:rPr>
          <w:rFonts w:cs="Arial"/>
          <w:szCs w:val="24"/>
          <w:lang w:val="en-GB"/>
        </w:rPr>
        <w:t>. Just like other companies, Facebook must meet societal expectations that are depicted through corporate social responsibility.</w:t>
      </w:r>
    </w:p>
    <w:p>
      <w:pPr>
        <w:ind w:firstLine="720"/>
        <w:rPr>
          <w:rFonts w:cs="Arial"/>
          <w:szCs w:val="24"/>
          <w:lang w:val="en-GB"/>
        </w:rPr>
      </w:pPr>
      <w:r>
        <w:rPr>
          <w:rFonts w:cs="Arial"/>
          <w:szCs w:val="24"/>
          <w:lang w:val="en-GB"/>
        </w:rPr>
        <w:t xml:space="preserve">Firstly, as previously noted, Facebook has a major economic responsibility to the society. The company has thousands of shareholders, who have invested heavily into the entity, both directly as investors or shareholders who have bought into the company since it is publicly traded. The earliest major investor into Facebook was Peter Thiel, who invested $500,000 in 2004, then $12.7m from Accel and $1 million from Jim Breyer in 2005 (Boyd, 2019). To this end, Facebook has ensured consistent returns for its shareholders and investors. For example, Peter Thiel, who invested $500,000 in 2004 and had 44.7 million shares by the time of Initial Public Offer (IPO) in 2012 (Shinal, 2017). In the months following the IPO, Thiel began to sell his shares off whereby he gained more than $400 million in 2012 by dumping 80% of his shares (Shinal, 2017). On the other, companies such as Microsoft that invested $240 million had its investment valued at between $8 and 9 billion in 2017 (Nolter, 2017). Most importantly, the shares of Facebook have grown from $38 during its IPO to the current level of $202.27 per share as of May 1, 2020 (Macrotrends, 2020). All these are indications that Facebook has been highly effective in meeting its economic CSR by creating enormous value to its investors and shareholders since it was formed. </w:t>
      </w:r>
    </w:p>
    <w:p>
      <w:pPr>
        <w:ind w:firstLine="720"/>
        <w:rPr>
          <w:rFonts w:cs="Arial"/>
          <w:szCs w:val="24"/>
          <w:lang w:val="en-GB"/>
        </w:rPr>
      </w:pPr>
      <w:r>
        <w:rPr>
          <w:rFonts w:cs="Arial"/>
          <w:szCs w:val="24"/>
          <w:lang w:val="en-GB"/>
        </w:rPr>
        <w:t xml:space="preserve">Secondly, in legal responsibilities, social media companies have an obligation to be law abiding corporate. There are guidelines that are enshrined in strict laws and regulations concerning data collection, usage, and privacy. Since social media companies collected data from millions or billions of individuals, they are highly regulated and must operate within the privacy laws that exist in the society </w:t>
      </w:r>
      <w:r>
        <w:t xml:space="preserve">(Bonneau &amp; Preibusch, 2010). As such, </w:t>
      </w:r>
      <w:r>
        <w:rPr>
          <w:rFonts w:cs="Arial"/>
          <w:szCs w:val="24"/>
          <w:lang w:val="en-GB"/>
        </w:rPr>
        <w:t xml:space="preserve">Facebook is required to operate within laws that guide businesses generally, and in its area of operations. In the United Kingdom, Facebook, as a digital company is required to ensure that its activities are within the guidelines of the Data Protection Act of 2018 (UK Government, 2020). Most importantly, they must adhere to other laws such as competition laws, among others. For Facebook, the company needs to adhere to the set laws. Indeed, the company has been actively supporting increased legislation towards data protection to ensure that social media companies as a whole take more proactive measures to protecting the privacy of their users (Roosendaal, 2012). However, Facebook is not without blemish, and has been accused of violating privacy laws. For example, in 2018, Facebook was accused of selling data of 87 million users to Cambridge Analytica, a charge that led to a fine of $5 billion by the U.S. Federal Trade Commission (Forrest, 2019). Such situation shows that Facebook did not meet its CSR and paid dearly for its mistakes. </w:t>
      </w:r>
    </w:p>
    <w:p>
      <w:pPr>
        <w:ind w:firstLine="720"/>
        <w:rPr>
          <w:rFonts w:cs="Arial"/>
          <w:szCs w:val="24"/>
          <w:lang w:val="en-GB"/>
        </w:rPr>
      </w:pPr>
      <w:r>
        <w:rPr>
          <w:rFonts w:cs="Arial"/>
          <w:szCs w:val="24"/>
          <w:lang w:val="en-GB"/>
        </w:rPr>
        <w:t>On ethical responsibility, Facebook is required to adhere to not only local norms and moral standards, but also universally accepted moral philosophy. However, Facebook has historically been accused of violating ethical standards to the detriment of its users (Roosendaal, 2012). For instance, the company’s ‘inappropriate’ sharing of user information despite being a legal issue is also a major ethical problem. Secondly, the company continues to allow political advertising, despite increased calls for banning or restricting them since they are characterised by lying to the population (Newton, 2020). However, the company has continued to express its commitment to being ethical, and continued to adjust its site and services to ensure it remains ethical.</w:t>
      </w:r>
    </w:p>
    <w:p>
      <w:pPr>
        <w:ind w:firstLine="720"/>
        <w:rPr>
          <w:rFonts w:cs="Arial"/>
          <w:szCs w:val="24"/>
          <w:lang w:val="en-GB"/>
        </w:rPr>
      </w:pPr>
      <w:r>
        <w:rPr>
          <w:rFonts w:cs="Arial"/>
          <w:szCs w:val="24"/>
          <w:lang w:val="en-GB"/>
        </w:rPr>
        <w:t xml:space="preserve">Lastly, Facebook is not strong in philanthropy and historically, its policy has been guided by the founder’s argument that the company is already doing a lot of good to the society and that it does not need to focus on giving back to the society through donations in kind (Fessler, 2017). In this case, the company notes that it is already leading to more open societies through its platform, and this presents a major good and hence no need for philanthropy. Despite the lack of focus on philanthropy, the company has engaged in some philanthropic activities. For instance, in November 2017, the company launched a $50 million gift fund aimed at supporting communities recovering from disasters and initiatives such as blood donation and suicide prevention (Constine, 2017). Therefore, in philanthropy, Facebook needs to improve on the aspect to meet the CSR obligations. </w:t>
      </w:r>
    </w:p>
    <w:p>
      <w:pPr>
        <w:pStyle w:val="2"/>
        <w:numPr>
          <w:ilvl w:val="0"/>
          <w:numId w:val="1"/>
        </w:numPr>
        <w:jc w:val="left"/>
        <w:rPr>
          <w:lang w:val="en-GB"/>
        </w:rPr>
      </w:pPr>
      <w:bookmarkStart w:id="10" w:name="_Toc40464586"/>
      <w:r>
        <w:rPr>
          <w:lang w:val="en-GB"/>
        </w:rPr>
        <w:t>Conclusion and Recommendations</w:t>
      </w:r>
      <w:bookmarkEnd w:id="10"/>
    </w:p>
    <w:p>
      <w:pPr>
        <w:rPr>
          <w:lang w:val="en-GB"/>
        </w:rPr>
      </w:pPr>
      <w:r>
        <w:rPr>
          <w:lang w:val="en-GB"/>
        </w:rPr>
        <w:t>The report has revealed an important role of CSR in organisations, including social media companies. Just like any other businesses, social media companies have economic, legal, ethical, and philanthropic responsibilities that they should focus on to ensure they participate effectively in the society. For Facebook, the company has strived to ensure that it meets requirements of CSR yet it has fallen short, especially in ethical responsibility. To ensure Facebook improves its ethical performance, the following recommendations will be essential:</w:t>
      </w:r>
    </w:p>
    <w:p>
      <w:pPr>
        <w:pStyle w:val="29"/>
        <w:numPr>
          <w:ilvl w:val="0"/>
          <w:numId w:val="2"/>
        </w:numPr>
        <w:rPr>
          <w:lang w:val="en-GB"/>
        </w:rPr>
      </w:pPr>
      <w:r>
        <w:rPr>
          <w:b/>
          <w:lang w:val="en-GB"/>
        </w:rPr>
        <w:t>Increase its response to societal ethical needs</w:t>
      </w:r>
      <w:r>
        <w:rPr>
          <w:lang w:val="en-GB"/>
        </w:rPr>
        <w:t xml:space="preserve">: Currently, Facebook has continued to ignore calls to stop political advertising. The company needs to start listening and responding to ethical concerns and standards as they arise in the society </w:t>
      </w:r>
    </w:p>
    <w:p>
      <w:pPr>
        <w:pStyle w:val="29"/>
        <w:numPr>
          <w:ilvl w:val="0"/>
          <w:numId w:val="2"/>
        </w:numPr>
        <w:rPr>
          <w:lang w:val="en-GB"/>
        </w:rPr>
      </w:pPr>
      <w:r>
        <w:rPr>
          <w:b/>
          <w:lang w:val="en-GB"/>
        </w:rPr>
        <w:t>Increase privacy measures to eliminate access to private user information by third parties</w:t>
      </w:r>
      <w:r>
        <w:rPr>
          <w:lang w:val="en-GB"/>
        </w:rPr>
        <w:t>: The company should ensure that third party companies only have access to information that is not private to users</w:t>
      </w:r>
    </w:p>
    <w:p>
      <w:pPr>
        <w:pStyle w:val="29"/>
        <w:numPr>
          <w:ilvl w:val="0"/>
          <w:numId w:val="2"/>
        </w:numPr>
        <w:rPr>
          <w:lang w:val="en-GB"/>
        </w:rPr>
      </w:pPr>
      <w:r>
        <w:rPr>
          <w:b/>
          <w:lang w:val="en-GB"/>
        </w:rPr>
        <w:t>Introduce Philanthropy Programs-</w:t>
      </w:r>
      <w:r>
        <w:rPr>
          <w:bCs/>
          <w:lang w:val="en-GB"/>
        </w:rPr>
        <w:t xml:space="preserve">As a company that makes billions and which has a reach to 3.8 billion people, Facebook as the ability to use its resources, both monetary and influence, to support good causes of philanthropy all over the world. Hence, it is important, in order to meet CSR requirements, to introduce philanthropy into its activities. </w:t>
      </w:r>
    </w:p>
    <w:p>
      <w:pPr>
        <w:pStyle w:val="2"/>
        <w:pageBreakBefore/>
        <w:rPr>
          <w:b w:val="0"/>
          <w:lang w:val="en-GB"/>
        </w:rPr>
      </w:pPr>
      <w:bookmarkStart w:id="11" w:name="_Toc40464587"/>
      <w:r>
        <w:rPr>
          <w:b w:val="0"/>
          <w:lang w:val="en-GB"/>
        </w:rPr>
        <w:t>References</w:t>
      </w:r>
      <w:bookmarkEnd w:id="11"/>
    </w:p>
    <w:p>
      <w:pPr>
        <w:ind w:left="720" w:hanging="720"/>
        <w:rPr>
          <w:shd w:val="clear" w:color="auto" w:fill="FFFFFF"/>
        </w:rPr>
      </w:pPr>
      <w:r>
        <w:rPr>
          <w:shd w:val="clear" w:color="auto" w:fill="FFFFFF"/>
        </w:rPr>
        <w:t>Acquisti, A., Brandimarte, L., &amp; Loewenstein, G. (2015). Privacy and human behavior in the age of information. </w:t>
      </w:r>
      <w:r>
        <w:rPr>
          <w:i/>
          <w:iCs/>
          <w:shd w:val="clear" w:color="auto" w:fill="FFFFFF"/>
        </w:rPr>
        <w:t>Science</w:t>
      </w:r>
      <w:r>
        <w:rPr>
          <w:shd w:val="clear" w:color="auto" w:fill="FFFFFF"/>
        </w:rPr>
        <w:t>, </w:t>
      </w:r>
      <w:r>
        <w:rPr>
          <w:i/>
          <w:iCs/>
          <w:shd w:val="clear" w:color="auto" w:fill="FFFFFF"/>
        </w:rPr>
        <w:t>347</w:t>
      </w:r>
      <w:r>
        <w:rPr>
          <w:shd w:val="clear" w:color="auto" w:fill="FFFFFF"/>
        </w:rPr>
        <w:t>(6221), 509-514.</w:t>
      </w:r>
    </w:p>
    <w:p>
      <w:pPr>
        <w:ind w:left="720" w:hanging="720"/>
        <w:rPr>
          <w:shd w:val="clear" w:color="auto" w:fill="FFFFFF"/>
        </w:rPr>
      </w:pPr>
      <w:r>
        <w:rPr>
          <w:shd w:val="clear" w:color="auto" w:fill="FFFFFF"/>
        </w:rPr>
        <w:t>Bernal</w:t>
      </w:r>
      <w:r>
        <w:rPr>
          <w:rFonts w:ascii="Cambria Math" w:hAnsi="Cambria Math" w:cs="Cambria Math"/>
          <w:shd w:val="clear" w:color="auto" w:fill="FFFFFF"/>
        </w:rPr>
        <w:t>‐</w:t>
      </w:r>
      <w:r>
        <w:rPr>
          <w:shd w:val="clear" w:color="auto" w:fill="FFFFFF"/>
        </w:rPr>
        <w:t>Conesa, J. A., de Nieves Nieto, C., &amp; Briones</w:t>
      </w:r>
      <w:r>
        <w:rPr>
          <w:rFonts w:ascii="Cambria Math" w:hAnsi="Cambria Math" w:cs="Cambria Math"/>
          <w:shd w:val="clear" w:color="auto" w:fill="FFFFFF"/>
        </w:rPr>
        <w:t>‐</w:t>
      </w:r>
      <w:r>
        <w:rPr>
          <w:shd w:val="clear" w:color="auto" w:fill="FFFFFF"/>
        </w:rPr>
        <w:t>Peñalver, A. J. (2017). CSR strategy in technology companies: Its influence on performance, competitiveness, and sustainability. </w:t>
      </w:r>
      <w:r>
        <w:rPr>
          <w:i/>
          <w:iCs/>
          <w:shd w:val="clear" w:color="auto" w:fill="FFFFFF"/>
        </w:rPr>
        <w:t>Corporate social responsibility and environmental management</w:t>
      </w:r>
      <w:r>
        <w:rPr>
          <w:shd w:val="clear" w:color="auto" w:fill="FFFFFF"/>
        </w:rPr>
        <w:t>, </w:t>
      </w:r>
      <w:r>
        <w:rPr>
          <w:i/>
          <w:iCs/>
          <w:shd w:val="clear" w:color="auto" w:fill="FFFFFF"/>
        </w:rPr>
        <w:t>24</w:t>
      </w:r>
      <w:r>
        <w:rPr>
          <w:shd w:val="clear" w:color="auto" w:fill="FFFFFF"/>
        </w:rPr>
        <w:t>(2), 96-107.</w:t>
      </w:r>
    </w:p>
    <w:p>
      <w:pPr>
        <w:ind w:left="720" w:hanging="720"/>
        <w:rPr>
          <w:shd w:val="clear" w:color="auto" w:fill="FFFFFF"/>
        </w:rPr>
      </w:pPr>
      <w:r>
        <w:rPr>
          <w:shd w:val="clear" w:color="auto" w:fill="FFFFFF"/>
        </w:rPr>
        <w:t>Bonneau, J., &amp; Preibusch, S. (2010). The privacy jungle: On the market for data protection in social networks. In </w:t>
      </w:r>
      <w:r>
        <w:rPr>
          <w:i/>
          <w:iCs/>
          <w:shd w:val="clear" w:color="auto" w:fill="FFFFFF"/>
        </w:rPr>
        <w:t>Economics of information security and privacy</w:t>
      </w:r>
      <w:r>
        <w:rPr>
          <w:shd w:val="clear" w:color="auto" w:fill="FFFFFF"/>
        </w:rPr>
        <w:t> (pp. 121-167). Springer, Boston, MA.</w:t>
      </w:r>
    </w:p>
    <w:p>
      <w:pPr>
        <w:ind w:left="720" w:hanging="720"/>
      </w:pPr>
      <w:r>
        <w:rPr>
          <w:lang w:val="en-GB"/>
        </w:rPr>
        <w:t xml:space="preserve">Boyd, J. (2019). The history of Facebook: From basic to Global giant. Retrieved from </w:t>
      </w:r>
      <w:r>
        <w:t>https://www.brandwatch.com/blog/history-of-facebook/</w:t>
      </w:r>
    </w:p>
    <w:p>
      <w:pPr>
        <w:ind w:left="720" w:hanging="720"/>
      </w:pPr>
      <w:r>
        <w:rPr>
          <w:lang w:val="en-GB"/>
        </w:rPr>
        <w:t xml:space="preserve">Carr, A. (2010). The Facebook valuation timeline: Do we hear $10 billion? $50 billion??? $1 Trillion?!?. Retrieved from </w:t>
      </w:r>
      <w:r>
        <w:t>https://www.fastcompany.com/1706359/facebook-valuation-timeline-do-we-hear-10-billion-50-billion-1-trillion</w:t>
      </w:r>
    </w:p>
    <w:p>
      <w:pPr>
        <w:ind w:left="720" w:hanging="720"/>
        <w:rPr>
          <w:rFonts w:ascii="Segoe UI" w:hAnsi="Segoe UI" w:cs="Segoe UI"/>
          <w:color w:val="333333"/>
          <w:shd w:val="clear" w:color="auto" w:fill="FCFCFC"/>
        </w:rPr>
      </w:pPr>
      <w:r>
        <w:t>Carroll, A. B. (1991). The pyramid of corporate social responsibility: toward the moral management of organizational stakeholders. Business Horizons, 34(4), 39–48.</w:t>
      </w:r>
    </w:p>
    <w:p>
      <w:pPr>
        <w:ind w:left="720" w:hanging="720"/>
        <w:rPr>
          <w:rFonts w:ascii="Segoe UI" w:hAnsi="Segoe UI" w:cs="Segoe UI"/>
          <w:color w:val="333333"/>
          <w:shd w:val="clear" w:color="auto" w:fill="FCFCFC"/>
        </w:rPr>
      </w:pPr>
      <w:r>
        <w:rPr>
          <w:shd w:val="clear" w:color="auto" w:fill="FFFFFF"/>
        </w:rPr>
        <w:t>Carroll, A. B. (2016). Carroll’s pyramid of CSR: taking another look. </w:t>
      </w:r>
      <w:r>
        <w:rPr>
          <w:i/>
          <w:iCs/>
          <w:shd w:val="clear" w:color="auto" w:fill="FFFFFF"/>
        </w:rPr>
        <w:t>International journal of corporate social responsibility</w:t>
      </w:r>
      <w:r>
        <w:rPr>
          <w:shd w:val="clear" w:color="auto" w:fill="FFFFFF"/>
        </w:rPr>
        <w:t>, </w:t>
      </w:r>
      <w:r>
        <w:rPr>
          <w:i/>
          <w:iCs/>
          <w:shd w:val="clear" w:color="auto" w:fill="FFFFFF"/>
        </w:rPr>
        <w:t>1</w:t>
      </w:r>
      <w:r>
        <w:rPr>
          <w:shd w:val="clear" w:color="auto" w:fill="FFFFFF"/>
        </w:rPr>
        <w:t xml:space="preserve">(1), 3. </w:t>
      </w:r>
      <w:r>
        <w:t>https://doi.org/10.1186/s40991-016-0004-6</w:t>
      </w:r>
    </w:p>
    <w:p>
      <w:pPr>
        <w:ind w:left="720" w:hanging="720"/>
      </w:pPr>
      <w:r>
        <w:t>Constine, J. (2017). Facebook drops fee on donations, will match $50M/year, adds mentor feature. Retrieved from https://techcrunch.com/2017/11/29/facebook-donations-fund/</w:t>
      </w:r>
    </w:p>
    <w:p>
      <w:pPr>
        <w:ind w:left="720" w:hanging="720"/>
        <w:rPr>
          <w:shd w:val="clear" w:color="auto" w:fill="FFFFFF"/>
        </w:rPr>
      </w:pPr>
      <w:r>
        <w:rPr>
          <w:shd w:val="clear" w:color="auto" w:fill="FFFFFF"/>
        </w:rPr>
        <w:t>Crane, A., Matten, D., &amp; Spence, L. (Eds.). (2019). </w:t>
      </w:r>
      <w:r>
        <w:rPr>
          <w:i/>
          <w:iCs/>
          <w:shd w:val="clear" w:color="auto" w:fill="FFFFFF"/>
        </w:rPr>
        <w:t>Corporate social responsibility: Readings and cases in a global context</w:t>
      </w:r>
      <w:r>
        <w:rPr>
          <w:shd w:val="clear" w:color="auto" w:fill="FFFFFF"/>
        </w:rPr>
        <w:t>. Routledge.</w:t>
      </w:r>
    </w:p>
    <w:p>
      <w:pPr>
        <w:ind w:left="720" w:hanging="720"/>
        <w:rPr>
          <w:shd w:val="clear" w:color="auto" w:fill="FFFFFF"/>
        </w:rPr>
      </w:pPr>
      <w:r>
        <w:rPr>
          <w:shd w:val="clear" w:color="auto" w:fill="FFFFFF"/>
        </w:rPr>
        <w:t>Dhanesh, G. S. (2015). Why corporate social responsibility? An analysis of drivers of CSR in India. </w:t>
      </w:r>
      <w:r>
        <w:rPr>
          <w:i/>
          <w:iCs/>
          <w:shd w:val="clear" w:color="auto" w:fill="FFFFFF"/>
        </w:rPr>
        <w:t>Management Communication Quarterly</w:t>
      </w:r>
      <w:r>
        <w:rPr>
          <w:shd w:val="clear" w:color="auto" w:fill="FFFFFF"/>
        </w:rPr>
        <w:t>, </w:t>
      </w:r>
      <w:r>
        <w:rPr>
          <w:i/>
          <w:iCs/>
          <w:shd w:val="clear" w:color="auto" w:fill="FFFFFF"/>
        </w:rPr>
        <w:t>29</w:t>
      </w:r>
      <w:r>
        <w:rPr>
          <w:shd w:val="clear" w:color="auto" w:fill="FFFFFF"/>
        </w:rPr>
        <w:t>(1), 114-129.</w:t>
      </w:r>
    </w:p>
    <w:p>
      <w:pPr>
        <w:ind w:left="720" w:hanging="720"/>
      </w:pPr>
      <w:r>
        <w:t>Fessler, L. (2017). Zuckerberg says Facebook doesn’t focus on charity because it’s already doing plenty of good. Retrieved from https://qz.com/955829/mark-zuckerberg-says-facebook-doesnt-need-philanthropy-because-its-already-doing-plenty-of-good/</w:t>
      </w:r>
    </w:p>
    <w:p>
      <w:pPr>
        <w:ind w:left="720" w:hanging="720"/>
      </w:pPr>
      <w:r>
        <w:t>Forrest, A. (2019). Facebook data scandal: Social network fined $5bn over ‘inappropriate’ sharing of users’ personal information. Retrieved from https://www.independent.co.uk/news/world/americas/facebook-data-privacy-scandal-settlement-cambridge-analytica-court-a9003106.html</w:t>
      </w:r>
    </w:p>
    <w:p>
      <w:pPr>
        <w:ind w:left="720" w:hanging="720"/>
        <w:rPr>
          <w:shd w:val="clear" w:color="auto" w:fill="FFFFFF"/>
        </w:rPr>
      </w:pPr>
      <w:r>
        <w:rPr>
          <w:shd w:val="clear" w:color="auto" w:fill="FFFFFF"/>
        </w:rPr>
        <w:t>Gautier, A., &amp; Pache, A. C. (2015). Research on corporate philanthropy: A review and assessment. </w:t>
      </w:r>
      <w:r>
        <w:rPr>
          <w:i/>
          <w:iCs/>
          <w:shd w:val="clear" w:color="auto" w:fill="FFFFFF"/>
        </w:rPr>
        <w:t>Journal of Business Ethics</w:t>
      </w:r>
      <w:r>
        <w:rPr>
          <w:shd w:val="clear" w:color="auto" w:fill="FFFFFF"/>
        </w:rPr>
        <w:t>, </w:t>
      </w:r>
      <w:r>
        <w:rPr>
          <w:i/>
          <w:iCs/>
          <w:shd w:val="clear" w:color="auto" w:fill="FFFFFF"/>
        </w:rPr>
        <w:t>126</w:t>
      </w:r>
      <w:r>
        <w:rPr>
          <w:shd w:val="clear" w:color="auto" w:fill="FFFFFF"/>
        </w:rPr>
        <w:t>(3), 343-369.</w:t>
      </w:r>
    </w:p>
    <w:p>
      <w:pPr>
        <w:ind w:left="720" w:hanging="720"/>
      </w:pPr>
      <w:r>
        <w:t>Macrotrends. (2020). Facebook-Stock price history/FB. Retrieved 4 May 2020, from https://www.macrotrends.net/stocks/charts/FB/facebook/stock-price-history</w:t>
      </w:r>
    </w:p>
    <w:p>
      <w:pPr>
        <w:ind w:left="720" w:hanging="720"/>
      </w:pPr>
      <w:r>
        <w:t>Newton, C. (2020). Facebook’s revised political advertising policy doubles down on division. Retrieved from https://www.independent.co.uk/news/world/americas/facebook-data-privacy-scandal-settlement-cambridge-analytica-court-a9003106.html</w:t>
      </w:r>
    </w:p>
    <w:p>
      <w:pPr>
        <w:ind w:left="720" w:hanging="720"/>
        <w:rPr>
          <w:lang w:val="en-GB"/>
        </w:rPr>
      </w:pPr>
      <w:r>
        <w:rPr>
          <w:lang w:val="en-GB"/>
        </w:rPr>
        <w:t xml:space="preserve">Nolter, C. (2017). Here comes Microsoft’s big payday for its Facebook investment. Retrieved from </w:t>
      </w:r>
      <w:r>
        <w:t>https://www.thestreet.com/investing/stocks/microsoft-s-facebook-payday-14390824</w:t>
      </w:r>
    </w:p>
    <w:p>
      <w:pPr>
        <w:ind w:left="720" w:hanging="720"/>
        <w:rPr>
          <w:shd w:val="clear" w:color="auto" w:fill="FFFFFF"/>
        </w:rPr>
      </w:pPr>
      <w:r>
        <w:rPr>
          <w:shd w:val="clear" w:color="auto" w:fill="FFFFFF"/>
        </w:rPr>
        <w:t>Rasche, A., Morsing, M., &amp; Moon, J. (Eds.). (2017). </w:t>
      </w:r>
      <w:r>
        <w:rPr>
          <w:i/>
          <w:iCs/>
          <w:shd w:val="clear" w:color="auto" w:fill="FFFFFF"/>
        </w:rPr>
        <w:t>Corporate social responsibility: Strategy, communication, governance</w:t>
      </w:r>
      <w:r>
        <w:rPr>
          <w:shd w:val="clear" w:color="auto" w:fill="FFFFFF"/>
        </w:rPr>
        <w:t>. Cambridge University Press.</w:t>
      </w:r>
    </w:p>
    <w:p>
      <w:pPr>
        <w:ind w:left="720" w:hanging="720"/>
        <w:rPr>
          <w:shd w:val="clear" w:color="auto" w:fill="FFFFFF"/>
        </w:rPr>
      </w:pPr>
      <w:r>
        <w:rPr>
          <w:shd w:val="clear" w:color="auto" w:fill="FFFFFF"/>
        </w:rPr>
        <w:t>Roosendaal, A. (2012). We Are All Connected to Facebook… by Facebook! In </w:t>
      </w:r>
      <w:r>
        <w:rPr>
          <w:i/>
          <w:iCs/>
          <w:shd w:val="clear" w:color="auto" w:fill="FFFFFF"/>
        </w:rPr>
        <w:t>European Data Protection: In Good Health?</w:t>
      </w:r>
      <w:r>
        <w:rPr>
          <w:shd w:val="clear" w:color="auto" w:fill="FFFFFF"/>
        </w:rPr>
        <w:t> (pp. 3-19). Springer, Dordrecht.</w:t>
      </w:r>
    </w:p>
    <w:p>
      <w:pPr>
        <w:ind w:left="720" w:hanging="720"/>
        <w:rPr>
          <w:shd w:val="clear" w:color="auto" w:fill="FFFFFF"/>
        </w:rPr>
      </w:pPr>
      <w:r>
        <w:rPr>
          <w:shd w:val="clear" w:color="auto" w:fill="FFFFFF"/>
        </w:rPr>
        <w:t>Sasse, C. M., &amp; Trahan, R. T. (2007). Rethinking the new corporate philanthropy. </w:t>
      </w:r>
      <w:r>
        <w:rPr>
          <w:i/>
          <w:iCs/>
          <w:shd w:val="clear" w:color="auto" w:fill="FFFFFF"/>
        </w:rPr>
        <w:t>Business Horizons</w:t>
      </w:r>
      <w:r>
        <w:rPr>
          <w:shd w:val="clear" w:color="auto" w:fill="FFFFFF"/>
        </w:rPr>
        <w:t>, </w:t>
      </w:r>
      <w:r>
        <w:rPr>
          <w:i/>
          <w:iCs/>
          <w:shd w:val="clear" w:color="auto" w:fill="FFFFFF"/>
        </w:rPr>
        <w:t>50</w:t>
      </w:r>
      <w:r>
        <w:rPr>
          <w:shd w:val="clear" w:color="auto" w:fill="FFFFFF"/>
        </w:rPr>
        <w:t>(1), 29-38.</w:t>
      </w:r>
    </w:p>
    <w:p>
      <w:pPr>
        <w:ind w:left="720" w:hanging="720"/>
        <w:rPr>
          <w:shd w:val="clear" w:color="auto" w:fill="FFFFFF"/>
        </w:rPr>
      </w:pPr>
      <w:r>
        <w:rPr>
          <w:shd w:val="clear" w:color="auto" w:fill="FFFFFF"/>
        </w:rPr>
        <w:t>Schivinski, B., &amp; Dabrowski, D. (2016). The effect of social media communication on consumer perceptions of brands. </w:t>
      </w:r>
      <w:r>
        <w:rPr>
          <w:i/>
          <w:iCs/>
          <w:shd w:val="clear" w:color="auto" w:fill="FFFFFF"/>
        </w:rPr>
        <w:t>Journal of Marketing Communications</w:t>
      </w:r>
      <w:r>
        <w:rPr>
          <w:shd w:val="clear" w:color="auto" w:fill="FFFFFF"/>
        </w:rPr>
        <w:t>, </w:t>
      </w:r>
      <w:r>
        <w:rPr>
          <w:i/>
          <w:iCs/>
          <w:shd w:val="clear" w:color="auto" w:fill="FFFFFF"/>
        </w:rPr>
        <w:t>22</w:t>
      </w:r>
      <w:r>
        <w:rPr>
          <w:shd w:val="clear" w:color="auto" w:fill="FFFFFF"/>
        </w:rPr>
        <w:t>(2), 189-214.</w:t>
      </w:r>
    </w:p>
    <w:p>
      <w:pPr>
        <w:ind w:left="720" w:hanging="720"/>
      </w:pPr>
      <w:r>
        <w:rPr>
          <w:lang w:val="en-GB"/>
        </w:rPr>
        <w:t xml:space="preserve">Shinal, J. (2017). Peter Thiel just sold more Facebook shares, but his big mistake was dumping them in 2012. Retrieved from </w:t>
      </w:r>
      <w:r>
        <w:t>https://www.cnbc.com/2017/11/22/peter-thiel-sells-majority-of-facebook-shares-but-2012-was-bigger.html</w:t>
      </w:r>
    </w:p>
    <w:p>
      <w:pPr>
        <w:ind w:left="720" w:hanging="720"/>
        <w:rPr>
          <w:shd w:val="clear" w:color="auto" w:fill="FFFFFF"/>
        </w:rPr>
      </w:pPr>
      <w:r>
        <w:rPr>
          <w:shd w:val="clear" w:color="auto" w:fill="FFFFFF"/>
        </w:rPr>
        <w:t>Sierra</w:t>
      </w:r>
      <w:r>
        <w:rPr>
          <w:rFonts w:ascii="Cambria Math" w:hAnsi="Cambria Math" w:cs="Cambria Math"/>
          <w:shd w:val="clear" w:color="auto" w:fill="FFFFFF"/>
        </w:rPr>
        <w:t>‐</w:t>
      </w:r>
      <w:r>
        <w:rPr>
          <w:shd w:val="clear" w:color="auto" w:fill="FFFFFF"/>
        </w:rPr>
        <w:t>García, L., Zorio</w:t>
      </w:r>
      <w:r>
        <w:rPr>
          <w:rFonts w:ascii="Cambria Math" w:hAnsi="Cambria Math" w:cs="Cambria Math"/>
          <w:shd w:val="clear" w:color="auto" w:fill="FFFFFF"/>
        </w:rPr>
        <w:t>‐</w:t>
      </w:r>
      <w:r>
        <w:rPr>
          <w:shd w:val="clear" w:color="auto" w:fill="FFFFFF"/>
        </w:rPr>
        <w:t>Grima, A., &amp; García</w:t>
      </w:r>
      <w:r>
        <w:rPr>
          <w:rFonts w:ascii="Cambria Math" w:hAnsi="Cambria Math" w:cs="Cambria Math"/>
          <w:shd w:val="clear" w:color="auto" w:fill="FFFFFF"/>
        </w:rPr>
        <w:t>‐</w:t>
      </w:r>
      <w:r>
        <w:rPr>
          <w:shd w:val="clear" w:color="auto" w:fill="FFFFFF"/>
        </w:rPr>
        <w:t>Benau, M. A. (2015). Stakeholder engagement, corporate social responsibility and integrated reporting: An exploratory study. </w:t>
      </w:r>
      <w:r>
        <w:rPr>
          <w:i/>
          <w:iCs/>
          <w:shd w:val="clear" w:color="auto" w:fill="FFFFFF"/>
        </w:rPr>
        <w:t>Corporate Social Responsibility and Environmental Management</w:t>
      </w:r>
      <w:r>
        <w:rPr>
          <w:shd w:val="clear" w:color="auto" w:fill="FFFFFF"/>
        </w:rPr>
        <w:t>, </w:t>
      </w:r>
      <w:r>
        <w:rPr>
          <w:i/>
          <w:iCs/>
          <w:shd w:val="clear" w:color="auto" w:fill="FFFFFF"/>
        </w:rPr>
        <w:t>22</w:t>
      </w:r>
      <w:r>
        <w:rPr>
          <w:shd w:val="clear" w:color="auto" w:fill="FFFFFF"/>
        </w:rPr>
        <w:t>(5), 286-304.</w:t>
      </w:r>
    </w:p>
    <w:p>
      <w:pPr>
        <w:ind w:left="720" w:hanging="720"/>
      </w:pPr>
      <w:r>
        <w:rPr>
          <w:lang w:val="en-GB"/>
        </w:rPr>
        <w:t>Tuten, T. L., &amp; Solomon, M. R. (2017). Social media marketing. New York, NY: Sage.</w:t>
      </w:r>
      <w:r>
        <w:t xml:space="preserve"> </w:t>
      </w:r>
      <w:r>
        <w:rPr>
          <w:lang w:val="en-GB"/>
        </w:rPr>
        <w:t xml:space="preserve">UK Government. (2020). Data protection. Retrieved from </w:t>
      </w:r>
      <w:r>
        <w:t>https://www.gov.uk/data-protection</w:t>
      </w:r>
    </w:p>
    <w:sectPr>
      <w:pgSz w:w="12240" w:h="15840"/>
      <w:pgMar w:top="1440" w:right="1440" w:bottom="1440" w:left="1440"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0843077"/>
    </w:sdtPr>
    <w:sdtContent>
      <w:p>
        <w:pPr>
          <w:pStyle w:val="10"/>
          <w:jc w:val="right"/>
        </w:pPr>
        <w:r>
          <w:fldChar w:fldCharType="begin"/>
        </w:r>
        <w:r>
          <w:instrText xml:space="preserve"> PAGE   \* MERGEFORMAT </w:instrText>
        </w:r>
        <w:r>
          <w:fldChar w:fldCharType="separate"/>
        </w:r>
        <w:r>
          <w:t>2</w:t>
        </w:r>
        <w:r>
          <w:fldChar w:fldCharType="end"/>
        </w:r>
      </w:p>
    </w:sdtContent>
  </w:sdt>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27F3D"/>
    <w:multiLevelType w:val="multilevel"/>
    <w:tmpl w:val="31427F3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7C7A28CE"/>
    <w:multiLevelType w:val="multilevel"/>
    <w:tmpl w:val="7C7A28CE"/>
    <w:lvl w:ilvl="0" w:tentative="0">
      <w:start w:val="1"/>
      <w:numFmt w:val="decimal"/>
      <w:lvlText w:val="%1.0."/>
      <w:lvlJc w:val="left"/>
      <w:pPr>
        <w:ind w:left="360" w:hanging="360"/>
      </w:pPr>
      <w:rPr>
        <w:rFonts w:hint="default" w:ascii="Arial" w:hAnsi="Arial" w:cs="Arial"/>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attachedTemplate r:id="rId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7A0MbK0MDQ2MjUwMbJQ0lEKTi0uzszPAykwqQUAH6KogSwAAAA="/>
  </w:docVars>
  <w:rsids>
    <w:rsidRoot w:val="00DD604B"/>
    <w:rsid w:val="000032DB"/>
    <w:rsid w:val="00013F95"/>
    <w:rsid w:val="00015346"/>
    <w:rsid w:val="00033026"/>
    <w:rsid w:val="000414D2"/>
    <w:rsid w:val="00073573"/>
    <w:rsid w:val="00084313"/>
    <w:rsid w:val="000900F5"/>
    <w:rsid w:val="0009029E"/>
    <w:rsid w:val="000964D4"/>
    <w:rsid w:val="000B2E9C"/>
    <w:rsid w:val="000B47DC"/>
    <w:rsid w:val="000C0E52"/>
    <w:rsid w:val="000C4386"/>
    <w:rsid w:val="000E1378"/>
    <w:rsid w:val="00101444"/>
    <w:rsid w:val="00116000"/>
    <w:rsid w:val="00122BAA"/>
    <w:rsid w:val="001248CE"/>
    <w:rsid w:val="00155FE5"/>
    <w:rsid w:val="00170BE7"/>
    <w:rsid w:val="00176A9E"/>
    <w:rsid w:val="001C7D43"/>
    <w:rsid w:val="001E3D70"/>
    <w:rsid w:val="001E4A35"/>
    <w:rsid w:val="002110B8"/>
    <w:rsid w:val="00211C2F"/>
    <w:rsid w:val="00262517"/>
    <w:rsid w:val="002A6237"/>
    <w:rsid w:val="002B75BB"/>
    <w:rsid w:val="002E4C81"/>
    <w:rsid w:val="002E4F3B"/>
    <w:rsid w:val="0030696E"/>
    <w:rsid w:val="003143B0"/>
    <w:rsid w:val="00321542"/>
    <w:rsid w:val="00331D68"/>
    <w:rsid w:val="00345E3B"/>
    <w:rsid w:val="00357179"/>
    <w:rsid w:val="00364E88"/>
    <w:rsid w:val="0037711C"/>
    <w:rsid w:val="0038745A"/>
    <w:rsid w:val="003A1910"/>
    <w:rsid w:val="003D0173"/>
    <w:rsid w:val="003E0D41"/>
    <w:rsid w:val="003E47AC"/>
    <w:rsid w:val="003F2080"/>
    <w:rsid w:val="003F6758"/>
    <w:rsid w:val="004047D6"/>
    <w:rsid w:val="00412470"/>
    <w:rsid w:val="0042207F"/>
    <w:rsid w:val="00422733"/>
    <w:rsid w:val="00430AD0"/>
    <w:rsid w:val="0043617E"/>
    <w:rsid w:val="004409EB"/>
    <w:rsid w:val="00464D71"/>
    <w:rsid w:val="004A224D"/>
    <w:rsid w:val="004B1CFA"/>
    <w:rsid w:val="004B40AD"/>
    <w:rsid w:val="004D6206"/>
    <w:rsid w:val="004E2806"/>
    <w:rsid w:val="004E437D"/>
    <w:rsid w:val="004E56A5"/>
    <w:rsid w:val="00514805"/>
    <w:rsid w:val="00544E38"/>
    <w:rsid w:val="00553B9C"/>
    <w:rsid w:val="00593DB9"/>
    <w:rsid w:val="005B4760"/>
    <w:rsid w:val="005C7E7C"/>
    <w:rsid w:val="005D7856"/>
    <w:rsid w:val="005F299F"/>
    <w:rsid w:val="0061509E"/>
    <w:rsid w:val="006203AF"/>
    <w:rsid w:val="00627C20"/>
    <w:rsid w:val="0063340B"/>
    <w:rsid w:val="00647E20"/>
    <w:rsid w:val="00660BB8"/>
    <w:rsid w:val="006644F8"/>
    <w:rsid w:val="0067051F"/>
    <w:rsid w:val="00684F5D"/>
    <w:rsid w:val="006965BD"/>
    <w:rsid w:val="006A7022"/>
    <w:rsid w:val="006D110E"/>
    <w:rsid w:val="006D5C5E"/>
    <w:rsid w:val="007043B7"/>
    <w:rsid w:val="00724CEF"/>
    <w:rsid w:val="007277F2"/>
    <w:rsid w:val="00743FBB"/>
    <w:rsid w:val="00744128"/>
    <w:rsid w:val="00757417"/>
    <w:rsid w:val="007702D0"/>
    <w:rsid w:val="0078250E"/>
    <w:rsid w:val="0079667A"/>
    <w:rsid w:val="007A6E19"/>
    <w:rsid w:val="007B5E2E"/>
    <w:rsid w:val="007C6594"/>
    <w:rsid w:val="007D4566"/>
    <w:rsid w:val="008062E1"/>
    <w:rsid w:val="00845421"/>
    <w:rsid w:val="008458F5"/>
    <w:rsid w:val="0085014B"/>
    <w:rsid w:val="00852104"/>
    <w:rsid w:val="00855C3A"/>
    <w:rsid w:val="00864319"/>
    <w:rsid w:val="008714FE"/>
    <w:rsid w:val="00873524"/>
    <w:rsid w:val="0088237E"/>
    <w:rsid w:val="008836CC"/>
    <w:rsid w:val="008A49F1"/>
    <w:rsid w:val="008D1D66"/>
    <w:rsid w:val="008D28B8"/>
    <w:rsid w:val="008E5782"/>
    <w:rsid w:val="008E68C1"/>
    <w:rsid w:val="008F4EC3"/>
    <w:rsid w:val="00902545"/>
    <w:rsid w:val="00914632"/>
    <w:rsid w:val="00916C68"/>
    <w:rsid w:val="00917C93"/>
    <w:rsid w:val="00920A27"/>
    <w:rsid w:val="00927D54"/>
    <w:rsid w:val="009307A5"/>
    <w:rsid w:val="00934C67"/>
    <w:rsid w:val="00940456"/>
    <w:rsid w:val="00943500"/>
    <w:rsid w:val="00975D29"/>
    <w:rsid w:val="0098170C"/>
    <w:rsid w:val="009D5E6B"/>
    <w:rsid w:val="009F202C"/>
    <w:rsid w:val="00A0213E"/>
    <w:rsid w:val="00A12215"/>
    <w:rsid w:val="00A17301"/>
    <w:rsid w:val="00A3021C"/>
    <w:rsid w:val="00A4345C"/>
    <w:rsid w:val="00A539D3"/>
    <w:rsid w:val="00A74E48"/>
    <w:rsid w:val="00A90499"/>
    <w:rsid w:val="00AB0C7B"/>
    <w:rsid w:val="00AB7BF7"/>
    <w:rsid w:val="00AC25C8"/>
    <w:rsid w:val="00AC5F40"/>
    <w:rsid w:val="00AD1764"/>
    <w:rsid w:val="00AD47BD"/>
    <w:rsid w:val="00AD7000"/>
    <w:rsid w:val="00AE21C2"/>
    <w:rsid w:val="00AE2445"/>
    <w:rsid w:val="00AE37EB"/>
    <w:rsid w:val="00AF4CFC"/>
    <w:rsid w:val="00AF6B56"/>
    <w:rsid w:val="00B1019B"/>
    <w:rsid w:val="00B17796"/>
    <w:rsid w:val="00B207E1"/>
    <w:rsid w:val="00B2553E"/>
    <w:rsid w:val="00B54602"/>
    <w:rsid w:val="00B635DA"/>
    <w:rsid w:val="00B655C5"/>
    <w:rsid w:val="00BA5743"/>
    <w:rsid w:val="00BE4DE6"/>
    <w:rsid w:val="00BE74F2"/>
    <w:rsid w:val="00BF053D"/>
    <w:rsid w:val="00BF33C9"/>
    <w:rsid w:val="00C13BBD"/>
    <w:rsid w:val="00C53978"/>
    <w:rsid w:val="00C831D5"/>
    <w:rsid w:val="00C87FB5"/>
    <w:rsid w:val="00CA0B9E"/>
    <w:rsid w:val="00CA1262"/>
    <w:rsid w:val="00CA74DA"/>
    <w:rsid w:val="00CD3D78"/>
    <w:rsid w:val="00D0670E"/>
    <w:rsid w:val="00D149FB"/>
    <w:rsid w:val="00D17B3C"/>
    <w:rsid w:val="00D26E3B"/>
    <w:rsid w:val="00D32CB1"/>
    <w:rsid w:val="00D3380A"/>
    <w:rsid w:val="00D60242"/>
    <w:rsid w:val="00D80B2A"/>
    <w:rsid w:val="00DA1FD9"/>
    <w:rsid w:val="00DD604B"/>
    <w:rsid w:val="00E01D09"/>
    <w:rsid w:val="00E01D55"/>
    <w:rsid w:val="00E021A8"/>
    <w:rsid w:val="00E203E9"/>
    <w:rsid w:val="00E325D6"/>
    <w:rsid w:val="00E36ABF"/>
    <w:rsid w:val="00E4354D"/>
    <w:rsid w:val="00E439A4"/>
    <w:rsid w:val="00E70C45"/>
    <w:rsid w:val="00EA0B55"/>
    <w:rsid w:val="00EA3557"/>
    <w:rsid w:val="00EC4D7F"/>
    <w:rsid w:val="00ED3D11"/>
    <w:rsid w:val="00F04AA6"/>
    <w:rsid w:val="00F114BF"/>
    <w:rsid w:val="00F26BDB"/>
    <w:rsid w:val="00F41699"/>
    <w:rsid w:val="00F576EE"/>
    <w:rsid w:val="00F64F96"/>
    <w:rsid w:val="00F67A67"/>
    <w:rsid w:val="00F820AA"/>
    <w:rsid w:val="00F96945"/>
    <w:rsid w:val="00FD07AB"/>
    <w:rsid w:val="00FE4D7C"/>
    <w:rsid w:val="00FF59A6"/>
    <w:rsid w:val="00FF6EA5"/>
    <w:rsid w:val="00FF712D"/>
    <w:rsid w:val="080C4AC4"/>
    <w:rsid w:val="0A1125F4"/>
    <w:rsid w:val="26775D7D"/>
    <w:rsid w:val="40CC4E3D"/>
    <w:rsid w:val="52A569FF"/>
    <w:rsid w:val="7F086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480" w:lineRule="auto"/>
    </w:pPr>
    <w:rPr>
      <w:rFonts w:ascii="Arial" w:hAnsi="Arial" w:eastAsiaTheme="minorEastAsia" w:cstheme="minorBidi"/>
      <w:sz w:val="24"/>
      <w:szCs w:val="22"/>
      <w:lang w:val="en-US" w:eastAsia="en-US" w:bidi="ar-SA"/>
    </w:rPr>
  </w:style>
  <w:style w:type="paragraph" w:styleId="2">
    <w:name w:val="heading 1"/>
    <w:basedOn w:val="1"/>
    <w:next w:val="1"/>
    <w:link w:val="22"/>
    <w:qFormat/>
    <w:uiPriority w:val="9"/>
    <w:pPr>
      <w:keepNext/>
      <w:keepLines/>
      <w:jc w:val="center"/>
      <w:outlineLvl w:val="0"/>
    </w:pPr>
    <w:rPr>
      <w:rFonts w:eastAsiaTheme="majorEastAsia" w:cstheme="majorBidi"/>
      <w:b/>
      <w:bCs/>
      <w:szCs w:val="28"/>
    </w:rPr>
  </w:style>
  <w:style w:type="paragraph" w:styleId="3">
    <w:name w:val="heading 2"/>
    <w:basedOn w:val="1"/>
    <w:next w:val="1"/>
    <w:link w:val="23"/>
    <w:unhideWhenUsed/>
    <w:qFormat/>
    <w:uiPriority w:val="9"/>
    <w:pPr>
      <w:keepNext/>
      <w:keepLines/>
      <w:outlineLvl w:val="1"/>
    </w:pPr>
    <w:rPr>
      <w:rFonts w:eastAsiaTheme="majorEastAsia" w:cstheme="majorBidi"/>
      <w:b/>
      <w:bCs/>
      <w:szCs w:val="26"/>
    </w:rPr>
  </w:style>
  <w:style w:type="paragraph" w:styleId="4">
    <w:name w:val="heading 3"/>
    <w:basedOn w:val="1"/>
    <w:next w:val="1"/>
    <w:link w:val="24"/>
    <w:unhideWhenUsed/>
    <w:qFormat/>
    <w:uiPriority w:val="9"/>
    <w:pPr>
      <w:keepNext/>
      <w:keepLines/>
      <w:spacing w:before="200"/>
      <w:ind w:left="720"/>
      <w:outlineLvl w:val="2"/>
    </w:pPr>
    <w:rPr>
      <w:rFonts w:eastAsiaTheme="majorEastAsia" w:cstheme="majorBidi"/>
      <w:b/>
      <w:bCs/>
    </w:rPr>
  </w:style>
  <w:style w:type="paragraph" w:styleId="5">
    <w:name w:val="heading 4"/>
    <w:basedOn w:val="1"/>
    <w:next w:val="1"/>
    <w:link w:val="25"/>
    <w:unhideWhenUsed/>
    <w:qFormat/>
    <w:uiPriority w:val="9"/>
    <w:pPr>
      <w:keepNext/>
      <w:keepLines/>
      <w:spacing w:before="200"/>
      <w:ind w:left="720"/>
      <w:outlineLvl w:val="3"/>
    </w:pPr>
    <w:rPr>
      <w:rFonts w:eastAsiaTheme="majorEastAsia" w:cstheme="majorBidi"/>
      <w:b/>
      <w:bCs/>
      <w:i/>
      <w:iCs/>
    </w:rPr>
  </w:style>
  <w:style w:type="paragraph" w:styleId="6">
    <w:name w:val="heading 5"/>
    <w:basedOn w:val="1"/>
    <w:next w:val="1"/>
    <w:link w:val="26"/>
    <w:unhideWhenUsed/>
    <w:qFormat/>
    <w:uiPriority w:val="9"/>
    <w:pPr>
      <w:keepNext/>
      <w:keepLines/>
      <w:spacing w:before="200"/>
      <w:ind w:left="720"/>
      <w:outlineLvl w:val="4"/>
    </w:pPr>
    <w:rPr>
      <w:rFonts w:eastAsiaTheme="majorEastAsia" w:cstheme="majorBidi"/>
      <w:i/>
    </w:rPr>
  </w:style>
  <w:style w:type="character" w:default="1" w:styleId="16">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27"/>
    <w:semiHidden/>
    <w:unhideWhenUsed/>
    <w:qFormat/>
    <w:uiPriority w:val="99"/>
    <w:pPr>
      <w:spacing w:line="240" w:lineRule="auto"/>
    </w:pPr>
    <w:rPr>
      <w:rFonts w:ascii="Segoe UI" w:hAnsi="Segoe UI" w:cs="Segoe UI"/>
      <w:sz w:val="18"/>
      <w:szCs w:val="18"/>
    </w:rPr>
  </w:style>
  <w:style w:type="paragraph" w:styleId="8">
    <w:name w:val="annotation text"/>
    <w:basedOn w:val="1"/>
    <w:link w:val="30"/>
    <w:semiHidden/>
    <w:unhideWhenUsed/>
    <w:qFormat/>
    <w:uiPriority w:val="99"/>
    <w:pPr>
      <w:spacing w:line="240" w:lineRule="auto"/>
    </w:pPr>
    <w:rPr>
      <w:sz w:val="20"/>
      <w:szCs w:val="20"/>
    </w:rPr>
  </w:style>
  <w:style w:type="paragraph" w:styleId="9">
    <w:name w:val="annotation subject"/>
    <w:basedOn w:val="8"/>
    <w:next w:val="8"/>
    <w:link w:val="31"/>
    <w:semiHidden/>
    <w:unhideWhenUsed/>
    <w:qFormat/>
    <w:uiPriority w:val="99"/>
    <w:rPr>
      <w:b/>
      <w:bCs/>
    </w:rPr>
  </w:style>
  <w:style w:type="paragraph" w:styleId="10">
    <w:name w:val="footer"/>
    <w:basedOn w:val="1"/>
    <w:link w:val="21"/>
    <w:unhideWhenUsed/>
    <w:uiPriority w:val="99"/>
    <w:pPr>
      <w:tabs>
        <w:tab w:val="center" w:pos="4680"/>
        <w:tab w:val="right" w:pos="9360"/>
      </w:tabs>
      <w:spacing w:line="240" w:lineRule="auto"/>
    </w:pPr>
  </w:style>
  <w:style w:type="paragraph" w:styleId="11">
    <w:name w:val="header"/>
    <w:basedOn w:val="1"/>
    <w:link w:val="20"/>
    <w:unhideWhenUsed/>
    <w:qFormat/>
    <w:uiPriority w:val="99"/>
    <w:pPr>
      <w:tabs>
        <w:tab w:val="center" w:pos="4680"/>
        <w:tab w:val="right" w:pos="9360"/>
      </w:tabs>
      <w:spacing w:line="240" w:lineRule="auto"/>
    </w:pPr>
  </w:style>
  <w:style w:type="paragraph" w:styleId="12">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Cs w:val="24"/>
    </w:rPr>
  </w:style>
  <w:style w:type="paragraph" w:styleId="13">
    <w:name w:val="toc 1"/>
    <w:basedOn w:val="1"/>
    <w:next w:val="1"/>
    <w:unhideWhenUsed/>
    <w:qFormat/>
    <w:uiPriority w:val="39"/>
    <w:pPr>
      <w:spacing w:after="100"/>
    </w:pPr>
  </w:style>
  <w:style w:type="paragraph" w:styleId="14">
    <w:name w:val="toc 2"/>
    <w:basedOn w:val="1"/>
    <w:next w:val="1"/>
    <w:unhideWhenUsed/>
    <w:qFormat/>
    <w:uiPriority w:val="39"/>
    <w:pPr>
      <w:spacing w:after="100"/>
      <w:ind w:left="240"/>
    </w:pPr>
  </w:style>
  <w:style w:type="paragraph" w:styleId="15">
    <w:name w:val="toc 3"/>
    <w:basedOn w:val="1"/>
    <w:next w:val="1"/>
    <w:unhideWhenUsed/>
    <w:qFormat/>
    <w:uiPriority w:val="39"/>
    <w:pPr>
      <w:spacing w:after="100"/>
      <w:ind w:left="480"/>
    </w:pPr>
  </w:style>
  <w:style w:type="character" w:styleId="17">
    <w:name w:val="annotation reference"/>
    <w:basedOn w:val="16"/>
    <w:semiHidden/>
    <w:unhideWhenUsed/>
    <w:qFormat/>
    <w:uiPriority w:val="99"/>
    <w:rPr>
      <w:sz w:val="16"/>
      <w:szCs w:val="16"/>
    </w:rPr>
  </w:style>
  <w:style w:type="character" w:styleId="18">
    <w:name w:val="Hyperlink"/>
    <w:basedOn w:val="16"/>
    <w:unhideWhenUsed/>
    <w:qFormat/>
    <w:uiPriority w:val="99"/>
    <w:rPr>
      <w:color w:val="0000FF"/>
      <w:u w:val="single"/>
    </w:rPr>
  </w:style>
  <w:style w:type="character" w:customStyle="1" w:styleId="20">
    <w:name w:val="Header Char"/>
    <w:basedOn w:val="16"/>
    <w:link w:val="11"/>
    <w:qFormat/>
    <w:uiPriority w:val="99"/>
  </w:style>
  <w:style w:type="character" w:customStyle="1" w:styleId="21">
    <w:name w:val="Footer Char"/>
    <w:basedOn w:val="16"/>
    <w:link w:val="10"/>
    <w:qFormat/>
    <w:uiPriority w:val="99"/>
  </w:style>
  <w:style w:type="character" w:customStyle="1" w:styleId="22">
    <w:name w:val="Heading 1 Char"/>
    <w:basedOn w:val="16"/>
    <w:link w:val="2"/>
    <w:qFormat/>
    <w:uiPriority w:val="9"/>
    <w:rPr>
      <w:rFonts w:ascii="Times New Roman" w:hAnsi="Times New Roman" w:eastAsiaTheme="majorEastAsia" w:cstheme="majorBidi"/>
      <w:b/>
      <w:bCs/>
      <w:sz w:val="24"/>
      <w:szCs w:val="28"/>
    </w:rPr>
  </w:style>
  <w:style w:type="character" w:customStyle="1" w:styleId="23">
    <w:name w:val="Heading 2 Char"/>
    <w:basedOn w:val="16"/>
    <w:link w:val="3"/>
    <w:qFormat/>
    <w:uiPriority w:val="9"/>
    <w:rPr>
      <w:rFonts w:ascii="Times New Roman" w:hAnsi="Times New Roman" w:eastAsiaTheme="majorEastAsia" w:cstheme="majorBidi"/>
      <w:b/>
      <w:bCs/>
      <w:sz w:val="24"/>
      <w:szCs w:val="26"/>
    </w:rPr>
  </w:style>
  <w:style w:type="character" w:customStyle="1" w:styleId="24">
    <w:name w:val="Heading 3 Char"/>
    <w:basedOn w:val="16"/>
    <w:link w:val="4"/>
    <w:qFormat/>
    <w:uiPriority w:val="9"/>
    <w:rPr>
      <w:rFonts w:ascii="Times New Roman" w:hAnsi="Times New Roman" w:eastAsiaTheme="majorEastAsia" w:cstheme="majorBidi"/>
      <w:b/>
      <w:bCs/>
      <w:sz w:val="24"/>
    </w:rPr>
  </w:style>
  <w:style w:type="character" w:customStyle="1" w:styleId="25">
    <w:name w:val="Heading 4 Char"/>
    <w:basedOn w:val="16"/>
    <w:link w:val="5"/>
    <w:qFormat/>
    <w:uiPriority w:val="9"/>
    <w:rPr>
      <w:rFonts w:ascii="Times New Roman" w:hAnsi="Times New Roman" w:eastAsiaTheme="majorEastAsia" w:cstheme="majorBidi"/>
      <w:b/>
      <w:bCs/>
      <w:i/>
      <w:iCs/>
      <w:sz w:val="24"/>
    </w:rPr>
  </w:style>
  <w:style w:type="character" w:customStyle="1" w:styleId="26">
    <w:name w:val="Heading 5 Char"/>
    <w:basedOn w:val="16"/>
    <w:link w:val="6"/>
    <w:qFormat/>
    <w:uiPriority w:val="9"/>
    <w:rPr>
      <w:rFonts w:ascii="Times New Roman" w:hAnsi="Times New Roman" w:eastAsiaTheme="majorEastAsia" w:cstheme="majorBidi"/>
      <w:i/>
      <w:sz w:val="24"/>
    </w:rPr>
  </w:style>
  <w:style w:type="character" w:customStyle="1" w:styleId="27">
    <w:name w:val="Balloon Text Char"/>
    <w:basedOn w:val="16"/>
    <w:link w:val="7"/>
    <w:semiHidden/>
    <w:qFormat/>
    <w:uiPriority w:val="99"/>
    <w:rPr>
      <w:rFonts w:ascii="Segoe UI" w:hAnsi="Segoe UI" w:cs="Segoe UI"/>
      <w:sz w:val="18"/>
      <w:szCs w:val="18"/>
    </w:rPr>
  </w:style>
  <w:style w:type="character" w:customStyle="1" w:styleId="28">
    <w:name w:val="Unresolved Mention1"/>
    <w:basedOn w:val="16"/>
    <w:semiHidden/>
    <w:unhideWhenUsed/>
    <w:uiPriority w:val="99"/>
    <w:rPr>
      <w:color w:val="605E5C"/>
      <w:shd w:val="clear" w:color="auto" w:fill="E1DFDD"/>
    </w:rPr>
  </w:style>
  <w:style w:type="paragraph" w:styleId="29">
    <w:name w:val="List Paragraph"/>
    <w:basedOn w:val="1"/>
    <w:qFormat/>
    <w:uiPriority w:val="34"/>
    <w:pPr>
      <w:ind w:left="720"/>
      <w:contextualSpacing/>
    </w:pPr>
  </w:style>
  <w:style w:type="character" w:customStyle="1" w:styleId="30">
    <w:name w:val="Comment Text Char"/>
    <w:basedOn w:val="16"/>
    <w:link w:val="8"/>
    <w:semiHidden/>
    <w:qFormat/>
    <w:uiPriority w:val="99"/>
    <w:rPr>
      <w:rFonts w:ascii="Arial" w:hAnsi="Arial"/>
      <w:lang w:val="en-US" w:eastAsia="en-US"/>
    </w:rPr>
  </w:style>
  <w:style w:type="character" w:customStyle="1" w:styleId="31">
    <w:name w:val="Comment Subject Char"/>
    <w:basedOn w:val="30"/>
    <w:link w:val="9"/>
    <w:semiHidden/>
    <w:uiPriority w:val="99"/>
    <w:rPr>
      <w:rFonts w:ascii="Arial" w:hAnsi="Arial"/>
      <w:b/>
      <w:bCs/>
      <w:lang w:val="en-US" w:eastAsia="en-US"/>
    </w:rPr>
  </w:style>
  <w:style w:type="character" w:customStyle="1" w:styleId="32">
    <w:name w:val="Unresolved Mention"/>
    <w:basedOn w:val="1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GIF"/><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5.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APA%20Template%20Updat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4DCCA7-1464-4F72-8CF3-2E90E363364B}">
  <ds:schemaRefs/>
</ds:datastoreItem>
</file>

<file path=customXml/itemProps3.xml><?xml version="1.0" encoding="utf-8"?>
<ds:datastoreItem xmlns:ds="http://schemas.openxmlformats.org/officeDocument/2006/customXml" ds:itemID="{127DB284-9236-4343-9654-4B6AB7D4F773}">
  <ds:schemaRefs/>
</ds:datastoreItem>
</file>

<file path=customXml/itemProps4.xml><?xml version="1.0" encoding="utf-8"?>
<ds:datastoreItem xmlns:ds="http://schemas.openxmlformats.org/officeDocument/2006/customXml" ds:itemID="{E66B7890-8209-459E-9EB7-0BEC6C63271F}">
  <ds:schemaRefs/>
</ds:datastoreItem>
</file>

<file path=customXml/itemProps5.xml><?xml version="1.0" encoding="utf-8"?>
<ds:datastoreItem xmlns:ds="http://schemas.openxmlformats.org/officeDocument/2006/customXml" ds:itemID="{F36147E2-C486-4F90-8208-6E7AAFB83D20}">
  <ds:schemaRefs/>
</ds:datastoreItem>
</file>

<file path=docProps/app.xml><?xml version="1.0" encoding="utf-8"?>
<Properties xmlns="http://schemas.openxmlformats.org/officeDocument/2006/extended-properties" xmlns:vt="http://schemas.openxmlformats.org/officeDocument/2006/docPropsVTypes">
  <Template>APA Template Updated</Template>
  <Pages>15</Pages>
  <Words>3502</Words>
  <Characters>19967</Characters>
  <Lines>166</Lines>
  <Paragraphs>46</Paragraphs>
  <TotalTime>10</TotalTime>
  <ScaleCrop>false</ScaleCrop>
  <LinksUpToDate>false</LinksUpToDate>
  <CharactersWithSpaces>23423</CharactersWithSpaces>
  <Application>WPS Office_11.2.0.9260_F1E327BC-269C-435d-A152-05C5408002CA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2020-05-11T18:43:00Z</dcterms:created>
  <dc:creator>11707</dc:creator>
  <cp:lastModifiedBy>11707</cp:lastModifiedBy>
  <dcterms:modified xsi:type="dcterms:W3CDTF">2020-05-21T20:01:52Z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1033-11.2.0.9260</vt:lpwstr>
  </property>
  <property fmtid="{D5CDD505-2E9C-101B-9397-08002B2CF9AE}" pid="3" name="ContentTypeId">
    <vt:lpwstr>0x0101008CBEBE1B5A18CA4D82AA3EC25D86BF17</vt:lpwstr>
  </property>
</Properties>
</file>