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2A6659">
      <w:pPr>
        <w:pStyle w:val="9"/>
        <w:jc w:val="both"/>
      </w:pPr>
    </w:p>
    <w:p w14:paraId="29D6B04F">
      <w:pPr>
        <w:pStyle w:val="9"/>
        <w:jc w:val="both"/>
      </w:pPr>
      <w:r>
        <w:t xml:space="preserve"> </w:t>
      </w:r>
    </w:p>
    <w:p w14:paraId="0A6959E7">
      <w:pPr>
        <w:pStyle w:val="9"/>
        <w:jc w:val="center"/>
      </w:pPr>
      <w:r>
        <w:t xml:space="preserve"> </w:t>
      </w:r>
    </w:p>
    <w:p w14:paraId="100C5B58">
      <w:pPr>
        <w:pStyle w:val="9"/>
        <w:jc w:val="center"/>
      </w:pPr>
      <w:r>
        <w:t xml:space="preserve"> </w:t>
      </w:r>
    </w:p>
    <w:p w14:paraId="12F40E89">
      <w:pPr>
        <w:pStyle w:val="9"/>
        <w:jc w:val="center"/>
      </w:pPr>
      <w:r>
        <w:t xml:space="preserve"> </w:t>
      </w:r>
    </w:p>
    <w:p w14:paraId="608DEACE">
      <w:pPr>
        <w:pStyle w:val="9"/>
        <w:jc w:val="center"/>
      </w:pPr>
      <w:r>
        <w:t xml:space="preserve"> </w:t>
      </w:r>
    </w:p>
    <w:p w14:paraId="2BAC6FC9">
      <w:pPr>
        <w:pStyle w:val="9"/>
        <w:jc w:val="center"/>
      </w:pPr>
      <w:r>
        <w:t xml:space="preserve"> </w:t>
      </w:r>
    </w:p>
    <w:p w14:paraId="0FF869FE">
      <w:pPr>
        <w:pStyle w:val="9"/>
        <w:jc w:val="center"/>
        <w:rPr>
          <w:rFonts w:ascii="Calibri" w:hAnsi="Calibri" w:eastAsia="Calibri" w:cs="Calibri"/>
          <w:sz w:val="44"/>
          <w:szCs w:val="44"/>
        </w:rPr>
      </w:pPr>
      <w:r>
        <w:rPr>
          <w:rFonts w:ascii="Calibri" w:hAnsi="Calibri"/>
          <w:sz w:val="44"/>
          <w:szCs w:val="44"/>
        </w:rPr>
        <w:t>Andrea Matthews</w:t>
      </w:r>
    </w:p>
    <w:p w14:paraId="52F68F81">
      <w:pPr>
        <w:pStyle w:val="9"/>
        <w:jc w:val="center"/>
        <w:rPr>
          <w:rFonts w:ascii="Calibri" w:hAnsi="Calibri" w:eastAsia="Calibri" w:cs="Calibri"/>
          <w:sz w:val="44"/>
          <w:szCs w:val="44"/>
        </w:rPr>
      </w:pPr>
      <w:r>
        <w:rPr>
          <w:rFonts w:ascii="Calibri" w:hAnsi="Calibri"/>
          <w:sz w:val="44"/>
          <w:szCs w:val="44"/>
        </w:rPr>
        <w:t>Student Number: 0850916</w:t>
      </w:r>
    </w:p>
    <w:p w14:paraId="156A6281">
      <w:pPr>
        <w:pStyle w:val="9"/>
        <w:jc w:val="center"/>
        <w:rPr>
          <w:rFonts w:ascii="Calibri" w:hAnsi="Calibri" w:eastAsia="Calibri" w:cs="Calibri"/>
          <w:sz w:val="44"/>
          <w:szCs w:val="44"/>
        </w:rPr>
      </w:pPr>
      <w:r>
        <w:rPr>
          <w:rFonts w:ascii="Calibri" w:hAnsi="Calibri"/>
          <w:sz w:val="44"/>
          <w:szCs w:val="44"/>
        </w:rPr>
        <w:t xml:space="preserve"> </w:t>
      </w:r>
    </w:p>
    <w:p w14:paraId="22E57993">
      <w:pPr>
        <w:pStyle w:val="9"/>
        <w:jc w:val="center"/>
        <w:rPr>
          <w:rFonts w:ascii="Calibri" w:hAnsi="Calibri" w:eastAsia="Calibri" w:cs="Calibri"/>
          <w:sz w:val="44"/>
          <w:szCs w:val="44"/>
        </w:rPr>
      </w:pPr>
      <w:r>
        <w:rPr>
          <w:rFonts w:ascii="Calibri" w:hAnsi="Calibri"/>
          <w:sz w:val="44"/>
          <w:szCs w:val="44"/>
        </w:rPr>
        <w:t>Level 5 Associate Diploma in People Management</w:t>
      </w:r>
    </w:p>
    <w:p w14:paraId="20876B09">
      <w:pPr>
        <w:pStyle w:val="9"/>
        <w:jc w:val="center"/>
        <w:rPr>
          <w:rFonts w:ascii="Calibri" w:hAnsi="Calibri" w:eastAsia="Calibri" w:cs="Calibri"/>
          <w:sz w:val="44"/>
          <w:szCs w:val="44"/>
        </w:rPr>
      </w:pPr>
      <w:r>
        <w:rPr>
          <w:rFonts w:ascii="Calibri" w:hAnsi="Calibri"/>
          <w:sz w:val="44"/>
          <w:szCs w:val="44"/>
        </w:rPr>
        <w:t xml:space="preserve"> </w:t>
      </w:r>
    </w:p>
    <w:p w14:paraId="6069721C">
      <w:pPr>
        <w:pStyle w:val="9"/>
        <w:jc w:val="center"/>
        <w:rPr>
          <w:rFonts w:ascii="Calibri" w:hAnsi="Calibri" w:eastAsia="Calibri" w:cs="Calibri"/>
          <w:sz w:val="44"/>
          <w:szCs w:val="44"/>
          <w:lang w:val="en-GB"/>
        </w:rPr>
      </w:pPr>
      <w:r>
        <w:rPr>
          <w:rFonts w:ascii="Calibri" w:hAnsi="Calibri" w:eastAsia="Calibri" w:cs="Calibri"/>
          <w:sz w:val="44"/>
          <w:szCs w:val="44"/>
          <w:lang w:val="en-GB"/>
        </w:rPr>
        <w:t>Employment Relationship Management</w:t>
      </w:r>
    </w:p>
    <w:p w14:paraId="10146664">
      <w:pPr>
        <w:pStyle w:val="9"/>
        <w:jc w:val="center"/>
        <w:rPr>
          <w:rFonts w:ascii="Calibri" w:hAnsi="Calibri" w:eastAsia="Calibri" w:cs="Calibri"/>
          <w:sz w:val="28"/>
          <w:szCs w:val="28"/>
        </w:rPr>
      </w:pPr>
      <w:r>
        <w:rPr>
          <w:rFonts w:ascii="Calibri" w:hAnsi="Calibri"/>
          <w:sz w:val="28"/>
          <w:szCs w:val="28"/>
        </w:rPr>
        <w:t xml:space="preserve"> </w:t>
      </w:r>
    </w:p>
    <w:p w14:paraId="4510D9B9">
      <w:pPr>
        <w:pStyle w:val="9"/>
        <w:jc w:val="center"/>
        <w:rPr>
          <w:rFonts w:ascii="Calibri" w:hAnsi="Calibri" w:eastAsia="Calibri" w:cs="Calibri"/>
          <w:kern w:val="0"/>
          <w:sz w:val="44"/>
          <w:szCs w:val="44"/>
        </w:rPr>
      </w:pPr>
      <w:r>
        <w:rPr>
          <w:rFonts w:ascii="Calibri" w:hAnsi="Calibri"/>
          <w:sz w:val="44"/>
          <w:szCs w:val="44"/>
        </w:rPr>
        <w:t>(</w:t>
      </w:r>
      <w:r>
        <w:rPr>
          <w:rFonts w:ascii="Calibri" w:hAnsi="Calibri"/>
          <w:kern w:val="0"/>
          <w:sz w:val="44"/>
          <w:szCs w:val="44"/>
        </w:rPr>
        <w:t>5</w:t>
      </w:r>
      <w:r>
        <w:rPr>
          <w:rFonts w:ascii="Calibri" w:hAnsi="Calibri"/>
          <w:kern w:val="0"/>
          <w:sz w:val="44"/>
          <w:szCs w:val="44"/>
          <w:lang w:val="en-GB"/>
        </w:rPr>
        <w:t>HR</w:t>
      </w:r>
      <w:r>
        <w:rPr>
          <w:rFonts w:ascii="Calibri" w:hAnsi="Calibri"/>
          <w:kern w:val="0"/>
          <w:sz w:val="44"/>
          <w:szCs w:val="44"/>
        </w:rPr>
        <w:t>01)</w:t>
      </w:r>
    </w:p>
    <w:p w14:paraId="5B68B9CD">
      <w:pPr>
        <w:pStyle w:val="9"/>
        <w:jc w:val="center"/>
        <w:rPr>
          <w:rFonts w:ascii="Calibri" w:hAnsi="Calibri" w:eastAsia="Calibri" w:cs="Calibri"/>
          <w:kern w:val="0"/>
          <w:sz w:val="44"/>
          <w:szCs w:val="44"/>
        </w:rPr>
      </w:pPr>
      <w:r>
        <w:rPr>
          <w:rFonts w:ascii="Calibri" w:hAnsi="Calibri"/>
          <w:kern w:val="0"/>
          <w:sz w:val="44"/>
          <w:szCs w:val="44"/>
        </w:rPr>
        <w:t xml:space="preserve"> </w:t>
      </w:r>
    </w:p>
    <w:p w14:paraId="4B5ECDA8">
      <w:pPr>
        <w:pStyle w:val="9"/>
        <w:jc w:val="center"/>
        <w:rPr>
          <w:rFonts w:hint="default" w:ascii="Calibri" w:hAnsi="Calibri"/>
          <w:kern w:val="0"/>
          <w:sz w:val="44"/>
          <w:szCs w:val="44"/>
          <w:lang w:val="en-GB"/>
        </w:rPr>
      </w:pPr>
      <w:r>
        <w:rPr>
          <w:rFonts w:ascii="Calibri" w:hAnsi="Calibri"/>
          <w:kern w:val="0"/>
          <w:sz w:val="44"/>
          <w:szCs w:val="44"/>
        </w:rPr>
        <w:t>Total word count</w:t>
      </w:r>
      <w:r>
        <w:rPr>
          <w:rFonts w:ascii="Calibri" w:hAnsi="Calibri"/>
          <w:kern w:val="0"/>
          <w:sz w:val="44"/>
          <w:szCs w:val="44"/>
          <w:lang w:val="en-GB"/>
        </w:rPr>
        <w:t xml:space="preserve"> </w:t>
      </w:r>
      <w:r>
        <w:rPr>
          <w:rFonts w:hint="default" w:ascii="Calibri" w:hAnsi="Calibri"/>
          <w:kern w:val="0"/>
          <w:sz w:val="44"/>
          <w:szCs w:val="44"/>
          <w:lang w:val="en-GB"/>
        </w:rPr>
        <w:t>4275</w:t>
      </w:r>
    </w:p>
    <w:p w14:paraId="58855EB0">
      <w:pPr>
        <w:pStyle w:val="9"/>
        <w:jc w:val="center"/>
        <w:rPr>
          <w:rFonts w:ascii="Calibri" w:hAnsi="Calibri"/>
          <w:kern w:val="0"/>
          <w:sz w:val="44"/>
          <w:szCs w:val="44"/>
          <w:lang w:val="en-GB"/>
        </w:rPr>
      </w:pPr>
    </w:p>
    <w:p w14:paraId="1B7172F4">
      <w:pPr>
        <w:pStyle w:val="9"/>
        <w:jc w:val="center"/>
        <w:rPr>
          <w:rFonts w:ascii="Calibri" w:hAnsi="Calibri" w:eastAsia="Calibri" w:cs="Calibri"/>
          <w:sz w:val="44"/>
          <w:szCs w:val="44"/>
        </w:rPr>
      </w:pPr>
      <w:r>
        <w:rPr>
          <w:rFonts w:ascii="Calibri" w:hAnsi="Calibri"/>
          <w:sz w:val="44"/>
          <w:szCs w:val="44"/>
        </w:rPr>
        <w:t xml:space="preserve"> </w:t>
      </w:r>
    </w:p>
    <w:p w14:paraId="325CE300">
      <w:pPr>
        <w:pStyle w:val="9"/>
        <w:rPr>
          <w:rFonts w:ascii="Calibri" w:hAnsi="Calibri" w:eastAsia="Calibri" w:cs="Calibri"/>
          <w:b/>
          <w:bCs/>
        </w:rPr>
      </w:pPr>
      <w:r>
        <w:rPr>
          <w:rFonts w:ascii="Calibri" w:hAnsi="Calibri"/>
          <w:b/>
          <w:bCs/>
        </w:rPr>
        <w:t xml:space="preserve"> </w:t>
      </w:r>
    </w:p>
    <w:p w14:paraId="25DD3341">
      <w:pPr>
        <w:pStyle w:val="9"/>
        <w:rPr>
          <w:rFonts w:ascii="Calibri" w:hAnsi="Calibri" w:eastAsia="Calibri" w:cs="Calibri"/>
          <w:kern w:val="0"/>
        </w:rPr>
      </w:pPr>
      <w:r>
        <w:rPr>
          <w:rFonts w:ascii="Calibri" w:hAnsi="Calibri"/>
          <w:kern w:val="0"/>
        </w:rPr>
        <w:t xml:space="preserve"> </w:t>
      </w:r>
    </w:p>
    <w:p w14:paraId="23DD831B">
      <w:pPr>
        <w:pStyle w:val="9"/>
        <w:rPr>
          <w:rFonts w:ascii="Calibri" w:hAnsi="Calibri" w:eastAsia="Calibri" w:cs="Calibri"/>
          <w:kern w:val="0"/>
        </w:rPr>
      </w:pPr>
      <w:r>
        <w:rPr>
          <w:rFonts w:ascii="Calibri" w:hAnsi="Calibri"/>
          <w:kern w:val="0"/>
        </w:rPr>
        <w:t xml:space="preserve"> </w:t>
      </w:r>
    </w:p>
    <w:p w14:paraId="28CE8CB7">
      <w:pPr>
        <w:pStyle w:val="9"/>
        <w:rPr>
          <w:rFonts w:ascii="Calibri" w:hAnsi="Calibri" w:eastAsia="Calibri" w:cs="Calibri"/>
          <w:kern w:val="0"/>
        </w:rPr>
      </w:pPr>
      <w:r>
        <w:rPr>
          <w:rFonts w:ascii="Calibri" w:hAnsi="Calibri"/>
          <w:kern w:val="0"/>
        </w:rPr>
        <w:t xml:space="preserve"> </w:t>
      </w:r>
    </w:p>
    <w:p w14:paraId="1895D3B7">
      <w:pPr>
        <w:pStyle w:val="9"/>
        <w:rPr>
          <w:rFonts w:ascii="Calibri" w:hAnsi="Calibri" w:eastAsia="Calibri" w:cs="Calibri"/>
          <w:kern w:val="0"/>
        </w:rPr>
      </w:pPr>
      <w:r>
        <w:rPr>
          <w:rFonts w:ascii="Calibri" w:hAnsi="Calibri"/>
          <w:kern w:val="0"/>
        </w:rPr>
        <w:t xml:space="preserve"> </w:t>
      </w:r>
    </w:p>
    <w:p w14:paraId="7FDE0BDC">
      <w:pPr>
        <w:pStyle w:val="9"/>
        <w:rPr>
          <w:rFonts w:ascii="Trebuchet MS" w:hAnsi="Trebuchet MS" w:eastAsia="Trebuchet MS" w:cs="Trebuchet MS"/>
          <w:b/>
          <w:bCs/>
        </w:rPr>
      </w:pPr>
      <w:r>
        <w:rPr>
          <w:rFonts w:ascii="Calibri" w:hAnsi="Calibri"/>
          <w:kern w:val="0"/>
        </w:rPr>
        <w:t xml:space="preserve"> </w:t>
      </w:r>
    </w:p>
    <w:p w14:paraId="0A37501D">
      <w:pPr>
        <w:pStyle w:val="10"/>
        <w:rPr>
          <w:rFonts w:ascii="Trebuchet MS" w:hAnsi="Trebuchet MS" w:eastAsia="Trebuchet MS" w:cs="Trebuchet MS"/>
          <w:b/>
          <w:bCs/>
        </w:rPr>
      </w:pPr>
    </w:p>
    <w:p w14:paraId="5DAB6C7B">
      <w:pPr>
        <w:pStyle w:val="10"/>
        <w:rPr>
          <w:rFonts w:ascii="Trebuchet MS" w:hAnsi="Trebuchet MS" w:eastAsia="Trebuchet MS" w:cs="Trebuchet MS"/>
          <w:b/>
          <w:bCs/>
        </w:rPr>
      </w:pPr>
    </w:p>
    <w:p w14:paraId="02EB378F">
      <w:pPr>
        <w:pStyle w:val="10"/>
        <w:rPr>
          <w:rFonts w:ascii="Trebuchet MS" w:hAnsi="Trebuchet MS" w:eastAsia="Trebuchet MS" w:cs="Trebuchet MS"/>
          <w:b/>
          <w:bCs/>
        </w:rPr>
      </w:pPr>
    </w:p>
    <w:p w14:paraId="6A05A809">
      <w:pPr>
        <w:pStyle w:val="10"/>
        <w:rPr>
          <w:rFonts w:ascii="Trebuchet MS" w:hAnsi="Trebuchet MS" w:eastAsia="Trebuchet MS" w:cs="Trebuchet MS"/>
          <w:b/>
          <w:bCs/>
        </w:rPr>
      </w:pPr>
    </w:p>
    <w:p w14:paraId="5A39BBE3">
      <w:pPr>
        <w:pStyle w:val="10"/>
        <w:rPr>
          <w:rFonts w:ascii="Trebuchet MS" w:hAnsi="Trebuchet MS" w:eastAsia="Trebuchet MS" w:cs="Trebuchet MS"/>
          <w:b/>
          <w:bCs/>
        </w:rPr>
      </w:pPr>
    </w:p>
    <w:p w14:paraId="41C8F396">
      <w:pPr>
        <w:pStyle w:val="10"/>
        <w:rPr>
          <w:rFonts w:ascii="Trebuchet MS" w:hAnsi="Trebuchet MS" w:eastAsia="Trebuchet MS" w:cs="Trebuchet MS"/>
          <w:b/>
          <w:bCs/>
        </w:rPr>
      </w:pPr>
    </w:p>
    <w:p w14:paraId="72A3D3EC">
      <w:pPr>
        <w:pStyle w:val="10"/>
        <w:rPr>
          <w:rFonts w:ascii="Trebuchet MS" w:hAnsi="Trebuchet MS" w:eastAsia="Trebuchet MS" w:cs="Trebuchet MS"/>
          <w:b/>
          <w:bCs/>
        </w:rPr>
      </w:pPr>
    </w:p>
    <w:p w14:paraId="0D0B940D">
      <w:pPr>
        <w:pStyle w:val="10"/>
        <w:rPr>
          <w:rFonts w:ascii="Trebuchet MS" w:hAnsi="Trebuchet MS" w:eastAsia="Trebuchet MS" w:cs="Trebuchet MS"/>
          <w:b/>
          <w:bCs/>
        </w:rPr>
      </w:pPr>
    </w:p>
    <w:p w14:paraId="0E27B00A">
      <w:pPr>
        <w:pStyle w:val="10"/>
        <w:rPr>
          <w:rFonts w:ascii="Trebuchet MS" w:hAnsi="Trebuchet MS" w:eastAsia="Trebuchet MS" w:cs="Trebuchet MS"/>
          <w:b/>
          <w:bCs/>
        </w:rPr>
      </w:pPr>
    </w:p>
    <w:p w14:paraId="60061E4C">
      <w:pPr>
        <w:pStyle w:val="10"/>
        <w:rPr>
          <w:rFonts w:ascii="Calibri" w:hAnsi="Calibri"/>
          <w:b/>
          <w:bCs/>
          <w:color w:val="004147"/>
          <w:sz w:val="24"/>
          <w:szCs w:val="24"/>
          <w:u w:color="004147"/>
        </w:rPr>
      </w:pPr>
    </w:p>
    <w:p w14:paraId="154D5E95">
      <w:pPr>
        <w:pStyle w:val="10"/>
        <w:rPr>
          <w:rFonts w:ascii="Calibri" w:hAnsi="Calibri"/>
          <w:b/>
          <w:bCs/>
          <w:color w:val="004147"/>
          <w:sz w:val="24"/>
          <w:szCs w:val="24"/>
          <w:u w:color="004147"/>
        </w:rPr>
      </w:pPr>
      <w:r>
        <w:rPr>
          <w:rFonts w:ascii="Calibri" w:hAnsi="Calibri"/>
          <w:b/>
          <w:bCs/>
          <w:color w:val="004147"/>
          <w:sz w:val="24"/>
          <w:szCs w:val="24"/>
          <w:u w:color="004147"/>
        </w:rPr>
        <w:t>AC 1.1</w:t>
      </w:r>
    </w:p>
    <w:p w14:paraId="44EAFD9C">
      <w:pPr>
        <w:pStyle w:val="10"/>
        <w:rPr>
          <w:rFonts w:ascii="Calibri" w:hAnsi="Calibri"/>
          <w:b/>
          <w:bCs/>
          <w:color w:val="004147"/>
          <w:sz w:val="24"/>
          <w:szCs w:val="24"/>
          <w:u w:color="004147"/>
        </w:rPr>
      </w:pPr>
    </w:p>
    <w:p w14:paraId="526703A2">
      <w:pPr>
        <w:pStyle w:val="10"/>
        <w:numPr>
          <w:ilvl w:val="253"/>
          <w:numId w:val="0"/>
        </w:numPr>
        <w:jc w:val="both"/>
        <w:rPr>
          <w:rFonts w:ascii="Calibri" w:hAnsi="Calibri" w:cs="Calibri"/>
          <w:b/>
          <w:bCs/>
          <w:sz w:val="24"/>
          <w:szCs w:val="24"/>
        </w:rPr>
      </w:pPr>
      <w:r>
        <w:rPr>
          <w:rFonts w:ascii="Calibri" w:hAnsi="Calibri" w:cs="Calibri"/>
          <w:b/>
          <w:bCs/>
          <w:sz w:val="24"/>
          <w:szCs w:val="24"/>
        </w:rPr>
        <w:t xml:space="preserve">Differentiate between employee involvement and employee participation and how </w:t>
      </w:r>
      <w:r>
        <w:rPr>
          <w:rFonts w:ascii="Calibri" w:hAnsi="Calibri" w:cs="Calibri"/>
          <w:b/>
          <w:bCs/>
          <w:sz w:val="24"/>
          <w:szCs w:val="24"/>
          <w:lang w:val="en-GB"/>
        </w:rPr>
        <w:t xml:space="preserve">they </w:t>
      </w:r>
      <w:r>
        <w:rPr>
          <w:rFonts w:ascii="Calibri" w:hAnsi="Calibri" w:cs="Calibri"/>
          <w:b/>
          <w:bCs/>
          <w:sz w:val="24"/>
          <w:szCs w:val="24"/>
        </w:rPr>
        <w:t>build relationships.</w:t>
      </w:r>
    </w:p>
    <w:p w14:paraId="4B94D5A5">
      <w:pPr>
        <w:pStyle w:val="10"/>
        <w:numPr>
          <w:ilvl w:val="253"/>
          <w:numId w:val="0"/>
        </w:numPr>
        <w:ind w:left="240" w:hanging="240" w:hangingChars="100"/>
        <w:jc w:val="both"/>
        <w:rPr>
          <w:rFonts w:ascii="Calibri" w:hAnsi="Calibri" w:cs="Calibri"/>
          <w:sz w:val="24"/>
          <w:szCs w:val="24"/>
        </w:rPr>
      </w:pPr>
    </w:p>
    <w:p w14:paraId="5EC78DDE">
      <w:pPr>
        <w:pStyle w:val="10"/>
        <w:numPr>
          <w:ilvl w:val="253"/>
          <w:numId w:val="0"/>
        </w:numPr>
        <w:jc w:val="both"/>
        <w:rPr>
          <w:rFonts w:ascii="Calibri" w:hAnsi="Calibri" w:cs="Calibri"/>
          <w:sz w:val="24"/>
          <w:szCs w:val="24"/>
          <w:lang w:val="en-GB"/>
        </w:rPr>
      </w:pPr>
      <w:r>
        <w:rPr>
          <w:rFonts w:ascii="Calibri" w:hAnsi="Calibri" w:cs="Calibri"/>
          <w:sz w:val="24"/>
          <w:szCs w:val="24"/>
          <w:lang w:val="en-GB"/>
        </w:rPr>
        <w:t xml:space="preserve"> As part of the organisation’s employee engagement strategy it is useful to understand the importance of employee involvement and participation and how these two methods can help to assist in decision-making processes to build relationships. According to Taylor and Woodhams (2022, p. 15), involvement and participation can be described as follows:</w:t>
      </w:r>
    </w:p>
    <w:p w14:paraId="3DEEC669">
      <w:pPr>
        <w:pStyle w:val="10"/>
        <w:numPr>
          <w:ilvl w:val="253"/>
          <w:numId w:val="0"/>
        </w:numPr>
        <w:jc w:val="both"/>
        <w:rPr>
          <w:rFonts w:ascii="Calibri" w:hAnsi="Calibri" w:cs="Calibri"/>
          <w:sz w:val="24"/>
          <w:szCs w:val="24"/>
          <w:lang w:val="en-GB"/>
        </w:rPr>
      </w:pPr>
    </w:p>
    <w:p w14:paraId="6DA8D382">
      <w:pPr>
        <w:pStyle w:val="10"/>
        <w:numPr>
          <w:ilvl w:val="0"/>
          <w:numId w:val="1"/>
        </w:numPr>
        <w:jc w:val="both"/>
        <w:rPr>
          <w:rFonts w:ascii="Calibri" w:hAnsi="Calibri" w:cs="Calibri"/>
          <w:sz w:val="24"/>
          <w:szCs w:val="24"/>
          <w:lang w:val="en-GB"/>
        </w:rPr>
      </w:pPr>
      <w:r>
        <w:rPr>
          <w:rFonts w:ascii="Calibri" w:hAnsi="Calibri" w:cs="Calibri"/>
          <w:sz w:val="24"/>
          <w:szCs w:val="24"/>
          <w:lang w:val="en-GB"/>
        </w:rPr>
        <w:t>Involvement - where management work with employees who provide ideas and cooperate to introduce practices. Examples of this are suggestion boxes, focus groups, surveys and newsletters. Employee involvement helps employees to feel valued and that trust can be built by using this method. This will contribute to a better understanding to align individual goals to those of the organisation.</w:t>
      </w:r>
    </w:p>
    <w:p w14:paraId="4FA84353">
      <w:pPr>
        <w:pStyle w:val="10"/>
        <w:numPr>
          <w:ilvl w:val="0"/>
          <w:numId w:val="2"/>
        </w:numPr>
        <w:jc w:val="both"/>
        <w:rPr>
          <w:rFonts w:ascii="Calibri" w:hAnsi="Calibri" w:cs="Calibri"/>
          <w:sz w:val="24"/>
          <w:szCs w:val="24"/>
          <w:lang w:val="en-GB"/>
        </w:rPr>
      </w:pPr>
      <w:r>
        <w:rPr>
          <w:rFonts w:ascii="Calibri" w:hAnsi="Calibri" w:cs="Calibri"/>
          <w:sz w:val="24"/>
          <w:szCs w:val="24"/>
          <w:lang w:val="en-GB"/>
        </w:rPr>
        <w:t>Participation - employees partake in the decision making process through their representatives. Employee forums, consultative committees and partnership working are examples of employee participation. If employees are involved in the decisions that are made within the organisation, it is more likely that they will buy into change and improve relationships.</w:t>
      </w:r>
    </w:p>
    <w:p w14:paraId="3656B9AB">
      <w:pPr>
        <w:pStyle w:val="10"/>
        <w:jc w:val="both"/>
        <w:rPr>
          <w:rFonts w:ascii="Calibri" w:hAnsi="Calibri" w:cs="Calibri"/>
          <w:sz w:val="24"/>
          <w:szCs w:val="24"/>
          <w:lang w:val="en-GB"/>
        </w:rPr>
      </w:pPr>
    </w:p>
    <w:p w14:paraId="741A61C7">
      <w:pPr>
        <w:pStyle w:val="10"/>
        <w:jc w:val="both"/>
        <w:rPr>
          <w:rFonts w:hint="default" w:ascii="Calibri" w:hAnsi="Calibri" w:cs="Calibri"/>
          <w:sz w:val="24"/>
          <w:szCs w:val="24"/>
          <w:lang w:val="en-GB"/>
        </w:rPr>
      </w:pPr>
      <w:r>
        <w:rPr>
          <w:rFonts w:ascii="Calibri" w:hAnsi="Calibri" w:cs="Calibri"/>
          <w:sz w:val="24"/>
          <w:szCs w:val="24"/>
          <w:lang w:val="en-GB"/>
        </w:rPr>
        <w:t>The both methods are similar in that they encourage employee engagement and are ways in which views and opinions can be communicated to employers, however participation goes one step further in that employees will be have the opportunity to feed into and contribute first hand to the decisions that are being made. This is unlike involvement, where the views and opinions are taken into consideration however management go onto make the final decisions. Whilst these two terms can be interlinked and can be seen to have the same meanings, involvement is about having a degree of influence on a decision and participation is actively being part of the decision making process.</w:t>
      </w:r>
      <w:r>
        <w:rPr>
          <w:rFonts w:hint="default" w:ascii="Calibri" w:hAnsi="Calibri" w:cs="Calibri"/>
          <w:sz w:val="24"/>
          <w:szCs w:val="24"/>
          <w:lang w:val="en-GB"/>
        </w:rPr>
        <w:t xml:space="preserve"> (Taylor and Woodhams, 2022).</w:t>
      </w:r>
    </w:p>
    <w:p w14:paraId="45FB0818">
      <w:pPr>
        <w:pStyle w:val="10"/>
        <w:jc w:val="both"/>
        <w:rPr>
          <w:rFonts w:ascii="Calibri" w:hAnsi="Calibri" w:cs="Calibri"/>
          <w:sz w:val="24"/>
          <w:szCs w:val="24"/>
          <w:lang w:val="en-GB"/>
        </w:rPr>
      </w:pPr>
    </w:p>
    <w:p w14:paraId="12DA5394">
      <w:pPr>
        <w:pStyle w:val="10"/>
        <w:jc w:val="both"/>
        <w:rPr>
          <w:rFonts w:hint="default" w:ascii="Calibri" w:hAnsi="Calibri" w:cs="Calibri"/>
          <w:sz w:val="24"/>
          <w:szCs w:val="24"/>
          <w:lang w:val="en-GB"/>
        </w:rPr>
      </w:pPr>
      <w:r>
        <w:rPr>
          <w:rFonts w:ascii="Calibri" w:hAnsi="Calibri" w:cs="Calibri"/>
          <w:sz w:val="24"/>
          <w:szCs w:val="24"/>
          <w:lang w:val="en-GB"/>
        </w:rPr>
        <w:t>As part of the recent merger, it will be really important to consider how each can be used to create an inclusive culture to support productivity and staff morale</w:t>
      </w:r>
      <w:r>
        <w:rPr>
          <w:rFonts w:hint="default" w:ascii="Calibri" w:hAnsi="Calibri" w:cs="Calibri"/>
          <w:sz w:val="24"/>
          <w:szCs w:val="24"/>
          <w:lang w:val="en-GB"/>
        </w:rPr>
        <w:t xml:space="preserve"> and how managers can best support this. </w:t>
      </w:r>
      <w:r>
        <w:rPr>
          <w:rFonts w:ascii="Calibri" w:hAnsi="Calibri" w:cs="Calibri"/>
          <w:sz w:val="24"/>
          <w:szCs w:val="24"/>
          <w:lang w:val="en-GB"/>
        </w:rPr>
        <w:t xml:space="preserve">According to Armstrong (2021, p.257), by building relationships with employees they will develop a psychological contract with the organisation which helps to </w:t>
      </w:r>
      <w:r>
        <w:rPr>
          <w:rFonts w:hint="default" w:ascii="Calibri" w:hAnsi="Calibri" w:cs="Calibri"/>
          <w:sz w:val="24"/>
          <w:szCs w:val="24"/>
          <w:lang w:val="en-GB"/>
        </w:rPr>
        <w:t>set terms on</w:t>
      </w:r>
      <w:r>
        <w:rPr>
          <w:rFonts w:ascii="Calibri" w:hAnsi="Calibri" w:cs="Calibri"/>
          <w:sz w:val="24"/>
          <w:szCs w:val="24"/>
          <w:lang w:val="en-GB"/>
        </w:rPr>
        <w:t xml:space="preserve"> what employees are willing to offer in return for their inclusion. In turn the benefits will include increased productivity and performance, more fulfilled and motivated employees and staff retention (CIPD, 2024). These will be important factors to consider when considering how to encourage employees to become more involved to participate in the decision making processes moving forward. </w:t>
      </w:r>
    </w:p>
    <w:p w14:paraId="049F31CB">
      <w:pPr>
        <w:pStyle w:val="10"/>
        <w:jc w:val="both"/>
        <w:rPr>
          <w:rFonts w:ascii="Calibri" w:hAnsi="Calibri" w:cs="Calibri"/>
          <w:sz w:val="24"/>
          <w:szCs w:val="24"/>
          <w:lang w:val="en-GB"/>
        </w:rPr>
      </w:pPr>
    </w:p>
    <w:p w14:paraId="53128261">
      <w:pPr>
        <w:pStyle w:val="10"/>
        <w:jc w:val="both"/>
        <w:rPr>
          <w:rFonts w:ascii="Calibri" w:hAnsi="Calibri" w:cs="Calibri"/>
          <w:sz w:val="24"/>
          <w:szCs w:val="24"/>
          <w:lang w:val="en-GB"/>
        </w:rPr>
      </w:pPr>
    </w:p>
    <w:p w14:paraId="62486C05">
      <w:pPr>
        <w:pStyle w:val="10"/>
        <w:jc w:val="both"/>
        <w:rPr>
          <w:rFonts w:ascii="Calibri" w:hAnsi="Calibri" w:cs="Calibri"/>
          <w:sz w:val="24"/>
          <w:szCs w:val="24"/>
          <w:lang w:val="en-GB"/>
        </w:rPr>
      </w:pPr>
    </w:p>
    <w:p w14:paraId="4101652C">
      <w:pPr>
        <w:pStyle w:val="10"/>
        <w:rPr>
          <w:rFonts w:ascii="Calibri" w:hAnsi="Calibri"/>
          <w:b/>
          <w:bCs/>
          <w:color w:val="004147"/>
          <w:sz w:val="24"/>
          <w:szCs w:val="24"/>
          <w:u w:color="004147"/>
        </w:rPr>
      </w:pPr>
    </w:p>
    <w:p w14:paraId="37E688EA">
      <w:pPr>
        <w:pStyle w:val="10"/>
        <w:rPr>
          <w:rFonts w:ascii="Calibri" w:hAnsi="Calibri"/>
          <w:b/>
          <w:bCs/>
          <w:color w:val="004147"/>
          <w:sz w:val="24"/>
          <w:szCs w:val="24"/>
          <w:u w:color="004147"/>
        </w:rPr>
      </w:pPr>
    </w:p>
    <w:p w14:paraId="1347D314">
      <w:pPr>
        <w:pStyle w:val="10"/>
        <w:rPr>
          <w:rFonts w:ascii="Calibri" w:hAnsi="Calibri" w:eastAsia="Calibri" w:cs="Calibri"/>
          <w:b/>
          <w:bCs/>
          <w:color w:val="004147"/>
          <w:sz w:val="24"/>
          <w:szCs w:val="24"/>
          <w:u w:color="004147"/>
        </w:rPr>
      </w:pPr>
      <w:r>
        <w:rPr>
          <w:rFonts w:ascii="Calibri" w:hAnsi="Calibri"/>
          <w:b/>
          <w:bCs/>
          <w:color w:val="004147"/>
          <w:sz w:val="24"/>
          <w:szCs w:val="24"/>
          <w:u w:color="004147"/>
        </w:rPr>
        <w:t>AC 1.2</w:t>
      </w:r>
    </w:p>
    <w:p w14:paraId="6C1031F9">
      <w:pPr>
        <w:pStyle w:val="10"/>
        <w:rPr>
          <w:rFonts w:ascii="Calibri" w:hAnsi="Calibri" w:cs="Calibri"/>
          <w:b/>
          <w:bCs/>
          <w:sz w:val="24"/>
          <w:szCs w:val="24"/>
        </w:rPr>
      </w:pPr>
      <w:r>
        <w:rPr>
          <w:rFonts w:ascii="Calibri" w:hAnsi="Calibri" w:cs="Calibri"/>
          <w:b/>
          <w:bCs/>
          <w:sz w:val="24"/>
          <w:szCs w:val="24"/>
        </w:rPr>
        <w:t xml:space="preserve"> </w:t>
      </w:r>
    </w:p>
    <w:p w14:paraId="5E9B13BD">
      <w:pPr>
        <w:pStyle w:val="10"/>
        <w:rPr>
          <w:rFonts w:ascii="Calibri" w:hAnsi="Calibri" w:cs="Calibri"/>
          <w:b/>
          <w:bCs/>
          <w:sz w:val="24"/>
          <w:szCs w:val="24"/>
        </w:rPr>
      </w:pPr>
      <w:r>
        <w:rPr>
          <w:rFonts w:ascii="Calibri" w:hAnsi="Calibri" w:cs="Calibri"/>
          <w:b/>
          <w:bCs/>
          <w:sz w:val="24"/>
          <w:szCs w:val="24"/>
        </w:rPr>
        <w:t>Compare forms of union and non-union employee representation.</w:t>
      </w:r>
    </w:p>
    <w:p w14:paraId="4B99056E">
      <w:pPr>
        <w:pStyle w:val="10"/>
        <w:rPr>
          <w:rFonts w:ascii="Calibri" w:hAnsi="Calibri" w:cs="Calibri"/>
          <w:sz w:val="24"/>
          <w:szCs w:val="24"/>
        </w:rPr>
      </w:pPr>
    </w:p>
    <w:p w14:paraId="35B00411">
      <w:pPr>
        <w:pStyle w:val="10"/>
        <w:rPr>
          <w:rFonts w:ascii="Calibri" w:hAnsi="Calibri" w:cs="Calibri"/>
          <w:sz w:val="24"/>
          <w:szCs w:val="24"/>
          <w:lang w:val="en-GB"/>
        </w:rPr>
      </w:pPr>
      <w:r>
        <w:rPr>
          <w:rFonts w:ascii="Calibri" w:hAnsi="Calibri" w:cs="Calibri"/>
          <w:sz w:val="24"/>
          <w:szCs w:val="24"/>
          <w:lang w:val="en-GB"/>
        </w:rPr>
        <w:t>According to Taylor and Woodhams (2022, p.15) employee voice is defined as ‘the ways and means through which employees attempt to have a say, formally/informally’. This can also be described as a collective voice channel. There are two different types of this which are as follows:</w:t>
      </w:r>
    </w:p>
    <w:p w14:paraId="1299C43A">
      <w:pPr>
        <w:pStyle w:val="10"/>
        <w:rPr>
          <w:rFonts w:ascii="Calibri" w:hAnsi="Calibri" w:cs="Calibri"/>
          <w:sz w:val="24"/>
          <w:szCs w:val="24"/>
          <w:lang w:val="en-GB"/>
        </w:rPr>
      </w:pPr>
    </w:p>
    <w:p w14:paraId="22F30CA6">
      <w:pPr>
        <w:pStyle w:val="10"/>
        <w:numPr>
          <w:ilvl w:val="0"/>
          <w:numId w:val="2"/>
        </w:numPr>
        <w:rPr>
          <w:rFonts w:ascii="Calibri" w:hAnsi="Calibri" w:cs="Calibri"/>
          <w:sz w:val="24"/>
          <w:szCs w:val="24"/>
          <w:lang w:val="en-GB"/>
        </w:rPr>
      </w:pPr>
      <w:r>
        <w:rPr>
          <w:rFonts w:ascii="Calibri" w:hAnsi="Calibri" w:cs="Calibri"/>
          <w:sz w:val="24"/>
          <w:szCs w:val="24"/>
          <w:lang w:val="en-GB"/>
        </w:rPr>
        <w:t xml:space="preserve">Union representation - The Trade Union and Labour Relations (Consolidation) Act 1992 defines a trade union as ‘ An organisation whose principal purposes include the regulation of relations between workers and employers or employee associations’ (Daniels, 2025, p.219). According to the TUC (2025), trade union representatives provide advice and support on terms and conditions and employment rights. </w:t>
      </w:r>
    </w:p>
    <w:p w14:paraId="4DDBEF00">
      <w:pPr>
        <w:pStyle w:val="10"/>
        <w:rPr>
          <w:rFonts w:ascii="Calibri" w:hAnsi="Calibri" w:cs="Calibri"/>
          <w:sz w:val="24"/>
          <w:szCs w:val="24"/>
          <w:lang w:val="en-GB"/>
        </w:rPr>
      </w:pPr>
    </w:p>
    <w:p w14:paraId="523BC228">
      <w:pPr>
        <w:pStyle w:val="10"/>
        <w:numPr>
          <w:ilvl w:val="0"/>
          <w:numId w:val="2"/>
        </w:numPr>
        <w:rPr>
          <w:rFonts w:ascii="Calibri" w:hAnsi="Calibri" w:cs="Calibri"/>
          <w:sz w:val="24"/>
          <w:szCs w:val="24"/>
          <w:lang w:val="en-GB"/>
        </w:rPr>
      </w:pPr>
      <w:r>
        <w:rPr>
          <w:rFonts w:ascii="Calibri" w:hAnsi="Calibri" w:cs="Calibri"/>
          <w:sz w:val="24"/>
          <w:szCs w:val="24"/>
          <w:lang w:val="en-GB"/>
        </w:rPr>
        <w:t xml:space="preserve">Non-union representation - These are voluntary committees that can be set up by employers to improve communications and consult with the workforce (ACAS, 2011). Representing employees on pensions, redundancies, safety and leading on employee forums are just some of the duties included within this form of representation (People Management, 2019). </w:t>
      </w:r>
    </w:p>
    <w:p w14:paraId="3461D779">
      <w:pPr>
        <w:pStyle w:val="10"/>
        <w:rPr>
          <w:rFonts w:ascii="Calibri" w:hAnsi="Calibri" w:cs="Calibri"/>
          <w:sz w:val="24"/>
          <w:szCs w:val="24"/>
          <w:lang w:val="en-GB"/>
        </w:rPr>
      </w:pPr>
    </w:p>
    <w:p w14:paraId="3CF2D8B6">
      <w:pPr>
        <w:pStyle w:val="10"/>
        <w:rPr>
          <w:rFonts w:hint="default" w:ascii="Calibri" w:hAnsi="Calibri" w:cs="Calibri"/>
          <w:sz w:val="24"/>
          <w:szCs w:val="24"/>
          <w:lang w:val="en-GB"/>
        </w:rPr>
      </w:pPr>
      <w:r>
        <w:rPr>
          <w:rFonts w:ascii="Calibri" w:hAnsi="Calibri" w:cs="Calibri"/>
          <w:sz w:val="24"/>
          <w:szCs w:val="24"/>
          <w:lang w:val="en-GB"/>
        </w:rPr>
        <w:t xml:space="preserve">The main </w:t>
      </w:r>
      <w:r>
        <w:rPr>
          <w:rFonts w:hint="default" w:ascii="Calibri" w:hAnsi="Calibri" w:cs="Calibri"/>
          <w:sz w:val="24"/>
          <w:szCs w:val="24"/>
          <w:lang w:val="en-GB"/>
        </w:rPr>
        <w:t>difference</w:t>
      </w:r>
      <w:r>
        <w:rPr>
          <w:rFonts w:ascii="Calibri" w:hAnsi="Calibri" w:cs="Calibri"/>
          <w:sz w:val="24"/>
          <w:szCs w:val="24"/>
          <w:lang w:val="en-GB"/>
        </w:rPr>
        <w:t xml:space="preserve"> between the </w:t>
      </w:r>
      <w:r>
        <w:rPr>
          <w:rFonts w:hint="default" w:ascii="Calibri" w:hAnsi="Calibri" w:cs="Calibri"/>
          <w:sz w:val="24"/>
          <w:szCs w:val="24"/>
          <w:lang w:val="en-GB"/>
        </w:rPr>
        <w:t xml:space="preserve">two is </w:t>
      </w:r>
      <w:r>
        <w:rPr>
          <w:rFonts w:ascii="Calibri" w:hAnsi="Calibri" w:cs="Calibri"/>
          <w:sz w:val="24"/>
          <w:szCs w:val="24"/>
          <w:lang w:val="en-GB"/>
        </w:rPr>
        <w:t xml:space="preserve">that </w:t>
      </w:r>
      <w:r>
        <w:rPr>
          <w:rFonts w:hint="default" w:ascii="Calibri" w:hAnsi="Calibri" w:cs="Calibri"/>
          <w:sz w:val="24"/>
          <w:szCs w:val="24"/>
          <w:lang w:val="en-GB"/>
        </w:rPr>
        <w:t xml:space="preserve">Trade Unions have the right to call for industrial action which differs from that of non-union representation (CIPD, 2025). </w:t>
      </w:r>
      <w:r>
        <w:rPr>
          <w:rFonts w:ascii="Calibri" w:hAnsi="Calibri" w:cs="Calibri"/>
          <w:sz w:val="24"/>
          <w:szCs w:val="24"/>
          <w:lang w:val="en-GB"/>
        </w:rPr>
        <w:t xml:space="preserve">According to the CIPD (2025), Trade Unions have the right to negotiate pay, working conditions and to be informed of changes such as TUPE, redundancies and health and safety. Representatives of the Trade Union also have a legal right to protections such as dismissal or unfair treatment and are paid for their duties. This is not the case for non-union representatives (however larger organisations may provide compensation for this additional role or may have roles created for this sole purpose).  </w:t>
      </w:r>
    </w:p>
    <w:p w14:paraId="67B228CB">
      <w:pPr>
        <w:pStyle w:val="10"/>
        <w:rPr>
          <w:rFonts w:hint="default" w:ascii="Calibri" w:hAnsi="Calibri" w:cs="Calibri"/>
          <w:sz w:val="24"/>
          <w:szCs w:val="24"/>
          <w:lang w:val="en-GB"/>
        </w:rPr>
      </w:pPr>
    </w:p>
    <w:p w14:paraId="60B5A07E">
      <w:pPr>
        <w:pStyle w:val="10"/>
        <w:rPr>
          <w:rFonts w:hint="default" w:ascii="Calibri" w:hAnsi="Calibri" w:eastAsia="SimSun" w:cs="Calibri"/>
          <w:sz w:val="24"/>
          <w:szCs w:val="24"/>
          <w:lang w:val="en-GB"/>
        </w:rPr>
      </w:pPr>
      <w:r>
        <w:rPr>
          <w:rFonts w:ascii="Calibri" w:hAnsi="Calibri" w:cs="Calibri"/>
          <w:sz w:val="24"/>
          <w:szCs w:val="24"/>
          <w:lang w:val="en-GB"/>
        </w:rPr>
        <w:t>According to</w:t>
      </w:r>
      <w:r>
        <w:rPr>
          <w:rFonts w:hint="default" w:ascii="Calibri" w:hAnsi="Calibri" w:cs="Calibri"/>
          <w:sz w:val="24"/>
          <w:szCs w:val="24"/>
          <w:lang w:val="en-GB"/>
        </w:rPr>
        <w:t xml:space="preserve"> a 2022</w:t>
      </w:r>
      <w:r>
        <w:rPr>
          <w:rFonts w:ascii="Calibri" w:hAnsi="Calibri" w:cs="Calibri"/>
          <w:sz w:val="24"/>
          <w:szCs w:val="24"/>
          <w:lang w:val="en-GB"/>
        </w:rPr>
        <w:t xml:space="preserve"> CIPD report: </w:t>
      </w:r>
      <w:r>
        <w:rPr>
          <w:rFonts w:ascii="Calibri" w:hAnsi="Calibri" w:eastAsia="SimSun" w:cs="Calibri"/>
          <w:i/>
          <w:iCs/>
          <w:sz w:val="24"/>
          <w:szCs w:val="24"/>
          <w:lang w:val="en-GB"/>
        </w:rPr>
        <w:t>‘</w:t>
      </w:r>
      <w:r>
        <w:rPr>
          <w:rFonts w:ascii="Calibri" w:hAnsi="Calibri" w:eastAsia="SimSun" w:cs="Calibri"/>
          <w:sz w:val="24"/>
          <w:szCs w:val="24"/>
        </w:rPr>
        <w:t>the public sector is significantly more likely to have representative arrangements with trade unions (30% compared with 12% in the private sector)</w:t>
      </w:r>
      <w:r>
        <w:rPr>
          <w:rFonts w:hint="default" w:ascii="Calibri" w:hAnsi="Calibri" w:eastAsia="SimSun" w:cs="Calibri"/>
          <w:sz w:val="24"/>
          <w:szCs w:val="24"/>
          <w:lang w:val="en-GB"/>
        </w:rPr>
        <w:t xml:space="preserve">. </w:t>
      </w:r>
      <w:r>
        <w:rPr>
          <w:rFonts w:ascii="Calibri" w:hAnsi="Calibri" w:eastAsia="SimSun" w:cs="Calibri"/>
          <w:sz w:val="24"/>
          <w:szCs w:val="24"/>
          <w:lang w:val="en-GB"/>
        </w:rPr>
        <w:t>Therefore as we are working in the public sector, it is extremely important to be fully aware of the role that the trade union plays in employee representation and collective bargaining.</w:t>
      </w:r>
      <w:r>
        <w:rPr>
          <w:rFonts w:hint="default" w:ascii="Calibri" w:hAnsi="Calibri" w:eastAsia="SimSun" w:cs="Calibri"/>
          <w:sz w:val="24"/>
          <w:szCs w:val="24"/>
          <w:lang w:val="en-GB"/>
        </w:rPr>
        <w:t xml:space="preserve"> </w:t>
      </w:r>
      <w:r>
        <w:rPr>
          <w:rFonts w:ascii="Calibri" w:hAnsi="Calibri" w:eastAsia="SimSun" w:cs="Calibri"/>
          <w:sz w:val="24"/>
          <w:szCs w:val="24"/>
          <w:lang w:val="en-GB"/>
        </w:rPr>
        <w:t xml:space="preserve">Regardless of the type of representation, it is important to work effectively with both union and non-union representatives to establish clear guidelines for process and communication channels, to work open and honestly to cause minimal disruption (CIPD, 2025). </w:t>
      </w:r>
      <w:r>
        <w:rPr>
          <w:rFonts w:hint="default" w:ascii="Calibri" w:hAnsi="Calibri" w:eastAsia="SimSun" w:cs="Calibri"/>
          <w:sz w:val="24"/>
          <w:szCs w:val="24"/>
          <w:lang w:val="en-GB"/>
        </w:rPr>
        <w:t>My recommendations would be to ensure that there are effective structures and processes in place to communicate with both non-union and union representatives  and also  ensure that there are effective channels set up to to gain feedback from employees for them to voice their suggestions and opinions.</w:t>
      </w:r>
    </w:p>
    <w:p w14:paraId="61FC650D">
      <w:pPr>
        <w:pStyle w:val="10"/>
        <w:rPr>
          <w:rFonts w:ascii="Calibri" w:hAnsi="Calibri" w:eastAsia="SimSun" w:cs="Calibri"/>
          <w:sz w:val="24"/>
          <w:szCs w:val="24"/>
          <w:lang w:val="en-GB"/>
        </w:rPr>
      </w:pPr>
    </w:p>
    <w:p w14:paraId="1FC39945">
      <w:pPr>
        <w:pStyle w:val="10"/>
        <w:rPr>
          <w:rFonts w:ascii="Calibri" w:hAnsi="Calibri"/>
          <w:b/>
          <w:bCs/>
          <w:color w:val="004147"/>
          <w:sz w:val="24"/>
          <w:szCs w:val="24"/>
          <w:u w:color="004147"/>
        </w:rPr>
      </w:pPr>
    </w:p>
    <w:p w14:paraId="396140B2">
      <w:pPr>
        <w:pStyle w:val="10"/>
        <w:rPr>
          <w:rFonts w:ascii="Calibri" w:hAnsi="Calibri"/>
          <w:b/>
          <w:bCs/>
          <w:color w:val="004147"/>
          <w:sz w:val="24"/>
          <w:szCs w:val="24"/>
          <w:u w:color="004147"/>
        </w:rPr>
      </w:pPr>
    </w:p>
    <w:p w14:paraId="5FCEACDE">
      <w:pPr>
        <w:pStyle w:val="10"/>
        <w:rPr>
          <w:rFonts w:ascii="Calibri" w:hAnsi="Calibri"/>
          <w:b/>
          <w:bCs/>
          <w:color w:val="004147"/>
          <w:sz w:val="24"/>
          <w:szCs w:val="24"/>
          <w:u w:color="004147"/>
          <w:lang w:val="en-GB"/>
        </w:rPr>
      </w:pPr>
      <w:r>
        <w:rPr>
          <w:rFonts w:ascii="Calibri" w:hAnsi="Calibri"/>
          <w:b/>
          <w:bCs/>
          <w:color w:val="004147"/>
          <w:sz w:val="24"/>
          <w:szCs w:val="24"/>
          <w:u w:color="004147"/>
        </w:rPr>
        <w:t xml:space="preserve">AC </w:t>
      </w:r>
      <w:r>
        <w:rPr>
          <w:rFonts w:ascii="Calibri" w:hAnsi="Calibri"/>
          <w:b/>
          <w:bCs/>
          <w:color w:val="004147"/>
          <w:sz w:val="24"/>
          <w:szCs w:val="24"/>
          <w:u w:color="004147"/>
          <w:lang w:val="en-GB"/>
        </w:rPr>
        <w:t>1.3</w:t>
      </w:r>
    </w:p>
    <w:p w14:paraId="0562CB0E">
      <w:pPr>
        <w:pStyle w:val="10"/>
        <w:rPr>
          <w:rFonts w:ascii="Calibri" w:hAnsi="Calibri" w:cs="Calibri"/>
          <w:b/>
          <w:bCs/>
          <w:sz w:val="24"/>
          <w:szCs w:val="24"/>
        </w:rPr>
      </w:pPr>
    </w:p>
    <w:p w14:paraId="74E8BC6F">
      <w:pPr>
        <w:pStyle w:val="10"/>
        <w:rPr>
          <w:rFonts w:ascii="Calibri" w:hAnsi="Calibri" w:cs="Calibri"/>
          <w:b/>
          <w:bCs/>
          <w:sz w:val="24"/>
          <w:szCs w:val="24"/>
          <w:lang w:val="en-GB"/>
        </w:rPr>
      </w:pPr>
      <w:r>
        <w:rPr>
          <w:rFonts w:ascii="Calibri" w:hAnsi="Calibri" w:cs="Calibri"/>
          <w:b/>
          <w:bCs/>
          <w:sz w:val="24"/>
          <w:szCs w:val="24"/>
        </w:rPr>
        <w:t>Evaluate the relationship between employee voice and organisational performance</w:t>
      </w:r>
      <w:r>
        <w:rPr>
          <w:rFonts w:ascii="Calibri" w:hAnsi="Calibri" w:cs="Calibri"/>
          <w:b/>
          <w:bCs/>
          <w:sz w:val="24"/>
          <w:szCs w:val="24"/>
          <w:lang w:val="en-GB"/>
        </w:rPr>
        <w:t>.</w:t>
      </w:r>
    </w:p>
    <w:p w14:paraId="34CE0A41">
      <w:pPr>
        <w:pStyle w:val="10"/>
        <w:rPr>
          <w:rFonts w:ascii="Calibri" w:hAnsi="Calibri" w:cs="Calibri"/>
          <w:b/>
          <w:bCs/>
          <w:sz w:val="24"/>
          <w:szCs w:val="24"/>
          <w:lang w:val="en-GB"/>
        </w:rPr>
      </w:pPr>
    </w:p>
    <w:p w14:paraId="37302B09">
      <w:pPr>
        <w:pStyle w:val="10"/>
        <w:rPr>
          <w:rFonts w:ascii="Calibri" w:hAnsi="Calibri" w:cs="Calibri"/>
          <w:sz w:val="24"/>
          <w:szCs w:val="24"/>
          <w:lang w:val="en-GB"/>
        </w:rPr>
      </w:pPr>
      <w:r>
        <w:rPr>
          <w:rFonts w:ascii="Calibri" w:hAnsi="Calibri" w:cs="Calibri"/>
          <w:sz w:val="24"/>
          <w:szCs w:val="24"/>
          <w:lang w:val="en-GB"/>
        </w:rPr>
        <w:t>According to the CIPD (2025), employee voice is a mechanism that encourages employees to share their opinions and ideas in order to promote a better working environment. There are two forms of this which include individual voice (gathering feedback from surveys and meetings) and collective voice (through the use of union and non-union representatives). When used effectively these communication channels help to create a climate of trust, openness and increased staff morale, leading to improved job satisfaction and increased performance.</w:t>
      </w:r>
    </w:p>
    <w:p w14:paraId="62EBF3C5">
      <w:pPr>
        <w:pStyle w:val="10"/>
        <w:rPr>
          <w:rFonts w:ascii="Calibri" w:hAnsi="Calibri" w:cs="Calibri"/>
          <w:sz w:val="24"/>
          <w:szCs w:val="24"/>
          <w:lang w:val="en-GB"/>
        </w:rPr>
      </w:pPr>
    </w:p>
    <w:p w14:paraId="436078A4">
      <w:pPr>
        <w:pStyle w:val="10"/>
        <w:rPr>
          <w:rFonts w:ascii="Calibri" w:hAnsi="Calibri" w:cs="Calibri"/>
          <w:sz w:val="24"/>
          <w:szCs w:val="24"/>
          <w:lang w:val="en-GB"/>
        </w:rPr>
      </w:pPr>
      <w:r>
        <w:rPr>
          <w:rFonts w:hint="default" w:ascii="Calibri" w:hAnsi="Calibri" w:cs="Calibri"/>
          <w:sz w:val="24"/>
          <w:szCs w:val="24"/>
          <w:lang w:val="en-GB"/>
        </w:rPr>
        <w:t>E</w:t>
      </w:r>
      <w:r>
        <w:rPr>
          <w:rFonts w:ascii="Calibri" w:hAnsi="Calibri" w:cs="Calibri"/>
          <w:sz w:val="24"/>
          <w:szCs w:val="24"/>
          <w:lang w:val="en-GB"/>
        </w:rPr>
        <w:t>mployee voice is critical to organisational success. Actively listening to your employees can improve morale, retention and encourage innovation. However, when employees are not able to speak out or suggestions are not followed through, this can lead to an overall drop in performan</w:t>
      </w:r>
      <w:r>
        <w:rPr>
          <w:rFonts w:ascii="Calibri" w:hAnsi="Calibri" w:cs="Calibri"/>
          <w:sz w:val="24"/>
          <w:szCs w:val="24"/>
          <w:lang w:val="en-GB"/>
        </w:rPr>
        <w:t>c</w:t>
      </w:r>
      <w:r>
        <w:rPr>
          <w:rFonts w:hint="default" w:ascii="Calibri" w:hAnsi="Calibri" w:cs="Calibri"/>
          <w:sz w:val="24"/>
          <w:szCs w:val="24"/>
          <w:lang w:val="en-GB"/>
        </w:rPr>
        <w:t>e (Investors in People, 2019).</w:t>
      </w:r>
      <w:r>
        <w:rPr>
          <w:rFonts w:hint="default" w:ascii="Calibri" w:hAnsi="Calibri" w:cs="Calibri"/>
          <w:lang w:val="en-GB"/>
        </w:rPr>
        <w:t xml:space="preserve"> </w:t>
      </w:r>
      <w:r>
        <w:rPr>
          <w:rFonts w:ascii="Calibri" w:hAnsi="Calibri" w:cs="Calibri"/>
          <w:sz w:val="24"/>
          <w:szCs w:val="24"/>
          <w:lang w:val="en-GB"/>
        </w:rPr>
        <w:t>An example of  this can be demonstrated by a 1920’s study in Chicago called the Hawthorne Experiment. Workers were subject to an experiment to check if changes to working conditions following feedback from employees improved productivity. One suggestion from the workers was that the lighting was too low. The lighting was changed and productivity increased. This was seen as a success as it was thought that acting on the suggestion directly impacted the increase in productivity. Critics of the study would argue that the increased productivity was a result of being observed, not as a result of being listened to and care and attention taken for the employees (BBC, 2013).</w:t>
      </w:r>
    </w:p>
    <w:p w14:paraId="6D98A12B">
      <w:pPr>
        <w:pStyle w:val="10"/>
        <w:rPr>
          <w:rFonts w:ascii="Calibri" w:hAnsi="Calibri" w:cs="Calibri"/>
          <w:sz w:val="24"/>
          <w:szCs w:val="24"/>
          <w:lang w:val="en-GB"/>
        </w:rPr>
      </w:pPr>
    </w:p>
    <w:p w14:paraId="4FE6DEEC">
      <w:pPr>
        <w:pStyle w:val="10"/>
        <w:rPr>
          <w:rFonts w:hint="default" w:ascii="Calibri" w:hAnsi="Calibri" w:cs="Calibri"/>
          <w:sz w:val="24"/>
          <w:szCs w:val="24"/>
          <w:lang w:val="en-GB"/>
        </w:rPr>
      </w:pPr>
      <w:r>
        <w:rPr>
          <w:rFonts w:hint="default" w:ascii="Calibri" w:hAnsi="Calibri" w:cs="Calibri"/>
          <w:sz w:val="24"/>
          <w:szCs w:val="24"/>
          <w:lang w:val="en-GB"/>
        </w:rPr>
        <w:t>According to Taylor and Woodhams, 2022, t</w:t>
      </w:r>
      <w:r>
        <w:rPr>
          <w:rFonts w:ascii="Calibri" w:hAnsi="Calibri" w:cs="Calibri"/>
          <w:sz w:val="24"/>
          <w:szCs w:val="24"/>
          <w:lang w:val="en-GB"/>
        </w:rPr>
        <w:t>he concept of employee voice driving the success of performance could be challenged due to the nature of conflicting demands from different individuals for personal gains. This can be demonstrated through the comparison of  Pluralism and U</w:t>
      </w:r>
      <w:r>
        <w:rPr>
          <w:rFonts w:hint="default" w:ascii="Calibri" w:hAnsi="Calibri" w:cs="Calibri"/>
          <w:sz w:val="24"/>
          <w:szCs w:val="24"/>
          <w:lang w:val="en-GB"/>
        </w:rPr>
        <w:t>nitarist</w:t>
      </w:r>
      <w:r>
        <w:rPr>
          <w:rFonts w:ascii="Calibri" w:hAnsi="Calibri" w:cs="Calibri"/>
          <w:sz w:val="24"/>
          <w:szCs w:val="24"/>
          <w:lang w:val="en-GB"/>
        </w:rPr>
        <w:t xml:space="preserve"> ideologies.  Unitarians view that employers and workers are a united group who work together to achieve the organisations goals through the direction of the manager with little or no conflict. This could be on the basis of expecting all employees to have a psychological contract with their employer and there is little or no evidence to show that having a voice in decisions drive performance.  On the other hand, pluralists believe that employees have different intentions such as promotions and personal gains. Employee voice would be challenging to control in this type of environment and other methods of motivation will be need to be considered to drive performance</w:t>
      </w:r>
      <w:r>
        <w:rPr>
          <w:rFonts w:hint="default" w:ascii="Calibri" w:hAnsi="Calibri" w:cs="Calibri"/>
          <w:sz w:val="24"/>
          <w:szCs w:val="24"/>
          <w:lang w:val="en-GB"/>
        </w:rPr>
        <w:t>.</w:t>
      </w:r>
    </w:p>
    <w:p w14:paraId="2946DB82">
      <w:pPr>
        <w:pStyle w:val="10"/>
        <w:rPr>
          <w:rFonts w:ascii="Calibri" w:hAnsi="Calibri" w:cs="Calibri"/>
          <w:sz w:val="24"/>
          <w:szCs w:val="24"/>
          <w:lang w:val="en-GB"/>
        </w:rPr>
      </w:pPr>
    </w:p>
    <w:p w14:paraId="5997CC1D">
      <w:pPr>
        <w:pStyle w:val="10"/>
        <w:rPr>
          <w:rFonts w:hint="default" w:ascii="Calibri" w:hAnsi="Calibri" w:cs="Calibri"/>
          <w:sz w:val="24"/>
          <w:szCs w:val="24"/>
          <w:lang w:val="en-GB"/>
        </w:rPr>
      </w:pPr>
      <w:r>
        <w:rPr>
          <w:rFonts w:ascii="Calibri" w:hAnsi="Calibri" w:cs="Calibri"/>
          <w:sz w:val="24"/>
          <w:szCs w:val="24"/>
          <w:lang w:val="en-GB"/>
        </w:rPr>
        <w:t>If used correctly, employee voice can be a great tool to drive performance. This would involve effective communication between all parties to follow on and provide feedback from suggestions that are made to clear demonstrate that they staff are being listened to. Failure to do so will result in employees disengaging and a drop in staff morale which will inevitably cause a drop in performance</w:t>
      </w:r>
      <w:r>
        <w:rPr>
          <w:rFonts w:hint="default" w:ascii="Calibri" w:hAnsi="Calibri" w:cs="Calibri"/>
          <w:sz w:val="24"/>
          <w:szCs w:val="24"/>
          <w:lang w:val="en-GB"/>
        </w:rPr>
        <w:t xml:space="preserve"> (CIPD, 2025)</w:t>
      </w:r>
    </w:p>
    <w:p w14:paraId="6A9093F9">
      <w:pPr>
        <w:pStyle w:val="10"/>
        <w:rPr>
          <w:rFonts w:hint="default" w:ascii="Calibri" w:hAnsi="Calibri" w:cs="Calibri"/>
          <w:sz w:val="24"/>
          <w:szCs w:val="24"/>
          <w:lang w:val="en-GB"/>
        </w:rPr>
      </w:pPr>
    </w:p>
    <w:p w14:paraId="5C5D3B1F">
      <w:pPr>
        <w:pStyle w:val="10"/>
        <w:rPr>
          <w:rFonts w:hint="default" w:ascii="Calibri" w:hAnsi="Calibri" w:cs="Calibri"/>
          <w:sz w:val="24"/>
          <w:szCs w:val="24"/>
          <w:lang w:val="en-GB"/>
        </w:rPr>
      </w:pPr>
    </w:p>
    <w:p w14:paraId="6464DF28">
      <w:pPr>
        <w:pStyle w:val="10"/>
        <w:rPr>
          <w:rFonts w:hint="default" w:ascii="Calibri" w:hAnsi="Calibri" w:cs="Calibri"/>
          <w:sz w:val="24"/>
          <w:szCs w:val="24"/>
          <w:lang w:val="en-GB"/>
        </w:rPr>
      </w:pPr>
    </w:p>
    <w:p w14:paraId="110FFD37">
      <w:pPr>
        <w:pStyle w:val="10"/>
        <w:rPr>
          <w:rFonts w:ascii="Calibri" w:hAnsi="Calibri" w:cs="Calibri"/>
          <w:b/>
          <w:bCs/>
          <w:sz w:val="24"/>
          <w:szCs w:val="24"/>
        </w:rPr>
      </w:pPr>
      <w:r>
        <w:rPr>
          <w:rFonts w:ascii="Calibri" w:hAnsi="Calibri"/>
          <w:b/>
          <w:bCs/>
          <w:color w:val="004147"/>
          <w:sz w:val="24"/>
          <w:szCs w:val="24"/>
          <w:u w:color="004147"/>
        </w:rPr>
        <w:t xml:space="preserve">AC </w:t>
      </w:r>
      <w:r>
        <w:rPr>
          <w:rFonts w:ascii="Calibri" w:hAnsi="Calibri"/>
          <w:b/>
          <w:bCs/>
          <w:color w:val="004147"/>
          <w:sz w:val="24"/>
          <w:szCs w:val="24"/>
          <w:u w:color="004147"/>
          <w:lang w:val="en-GB"/>
        </w:rPr>
        <w:t>1.4</w:t>
      </w:r>
    </w:p>
    <w:p w14:paraId="6712C2E7">
      <w:pPr>
        <w:pStyle w:val="10"/>
        <w:rPr>
          <w:rFonts w:ascii="Calibri" w:hAnsi="Calibri" w:cs="Calibri"/>
          <w:b/>
          <w:bCs/>
          <w:sz w:val="24"/>
          <w:szCs w:val="24"/>
          <w:lang w:val="en-GB"/>
        </w:rPr>
      </w:pPr>
      <w:r>
        <w:rPr>
          <w:rFonts w:ascii="Calibri" w:hAnsi="Calibri" w:cs="Calibri"/>
          <w:b/>
          <w:bCs/>
          <w:sz w:val="24"/>
          <w:szCs w:val="24"/>
        </w:rPr>
        <w:t>Explain the concept of better working lives and how this can be designed</w:t>
      </w:r>
      <w:r>
        <w:rPr>
          <w:rFonts w:ascii="Calibri" w:hAnsi="Calibri" w:cs="Calibri"/>
          <w:b/>
          <w:bCs/>
          <w:sz w:val="24"/>
          <w:szCs w:val="24"/>
          <w:lang w:val="en-GB"/>
        </w:rPr>
        <w:t>.</w:t>
      </w:r>
    </w:p>
    <w:p w14:paraId="6B699379">
      <w:pPr>
        <w:pStyle w:val="10"/>
        <w:rPr>
          <w:rFonts w:ascii="Calibri" w:hAnsi="Calibri" w:cs="Calibri"/>
          <w:sz w:val="24"/>
          <w:szCs w:val="24"/>
          <w:lang w:val="en-GB"/>
        </w:rPr>
      </w:pPr>
    </w:p>
    <w:p w14:paraId="7AF8056E">
      <w:pPr>
        <w:pStyle w:val="10"/>
        <w:rPr>
          <w:rFonts w:ascii="Calibri" w:hAnsi="Calibri" w:cs="Calibri"/>
          <w:sz w:val="24"/>
          <w:szCs w:val="24"/>
          <w:lang w:val="en-GB"/>
        </w:rPr>
      </w:pPr>
      <w:r>
        <w:rPr>
          <w:rFonts w:ascii="Calibri" w:hAnsi="Calibri" w:cs="Calibri"/>
          <w:sz w:val="24"/>
          <w:szCs w:val="24"/>
          <w:lang w:val="en-GB"/>
        </w:rPr>
        <w:t xml:space="preserve">Before defining ‘Good Work’ it is useful to look at the effects of ‘Bad Work’. According to the TUC (2010), bad work can cause ill health, reduce motivation, reduced levels of performance and higher staff turnover as opposed to ‘Good Work’ which looks to promote physical and mental well being, opportunities for continued professional development, job security and empowering employees to make decisions. An example of this can be demonstrated by Zurich Insurance who have introduced a number of well being initiatives to promote ‘good work’ such as a comprehensive employee assistance programme, flexible working arrangements, enhanced parental leave packages and voluntary publication of its  ethnicity pay gap (HR Magazine, 2022). </w:t>
      </w:r>
    </w:p>
    <w:p w14:paraId="3FE9F23F">
      <w:pPr>
        <w:pStyle w:val="10"/>
        <w:rPr>
          <w:rFonts w:ascii="Calibri" w:hAnsi="Calibri" w:cs="Calibri"/>
          <w:sz w:val="24"/>
          <w:szCs w:val="24"/>
          <w:lang w:val="en-GB"/>
        </w:rPr>
      </w:pPr>
    </w:p>
    <w:p w14:paraId="22E3DDD8">
      <w:pPr>
        <w:pStyle w:val="10"/>
        <w:rPr>
          <w:rFonts w:ascii="Calibri" w:hAnsi="Calibri" w:cs="Calibri"/>
          <w:sz w:val="24"/>
          <w:szCs w:val="24"/>
          <w:lang w:val="en-GB"/>
        </w:rPr>
      </w:pPr>
      <w:r>
        <w:rPr>
          <w:rFonts w:ascii="Calibri" w:hAnsi="Calibri" w:cs="Calibri"/>
          <w:sz w:val="24"/>
          <w:szCs w:val="24"/>
          <w:lang w:val="en-GB"/>
        </w:rPr>
        <w:t>Each year the CIPD publishes its Good Work Index report which sets out is aims to champion better working lives for workers, employers and society as a whole. The results recorded within the review are obtained as a result of gathering feedback from employees on the quality of their work and what capacity they had to influence decisions in the workplace. Trends were identified which were set into two main groups: work-life balance and health and well being indexes.  The most recent report from the CIPD in 2024 has continued to look at the changes in the workplace landscape including the cost of living crisis and geopolitical tensions (CIPD, 2024). Some examples of what constitutes good work were noted in this report as flexible working arrangements, health and wellness incentives and  comprehensive CPD programmes.  The conclusion of the report noted that there is still some way to go to raise overall job quality. While a large number of respondents are satisfied with their working conditions, 25% said that their work had a negative impact on their physical and mental well</w:t>
      </w:r>
      <w:r>
        <w:rPr>
          <w:rFonts w:hint="default" w:ascii="Calibri" w:hAnsi="Calibri" w:cs="Calibri"/>
          <w:sz w:val="24"/>
          <w:szCs w:val="24"/>
          <w:lang w:val="en-GB"/>
        </w:rPr>
        <w:t xml:space="preserve"> </w:t>
      </w:r>
      <w:r>
        <w:rPr>
          <w:rFonts w:ascii="Calibri" w:hAnsi="Calibri" w:cs="Calibri"/>
          <w:sz w:val="24"/>
          <w:szCs w:val="24"/>
          <w:lang w:val="en-GB"/>
        </w:rPr>
        <w:t xml:space="preserve">being (CIPD, 2024). </w:t>
      </w:r>
    </w:p>
    <w:p w14:paraId="1F72F646">
      <w:pPr>
        <w:pStyle w:val="10"/>
        <w:rPr>
          <w:rFonts w:ascii="Calibri" w:hAnsi="Calibri" w:cs="Calibri"/>
          <w:sz w:val="24"/>
          <w:szCs w:val="24"/>
          <w:lang w:val="en-GB"/>
        </w:rPr>
      </w:pPr>
    </w:p>
    <w:p w14:paraId="592BCEE6">
      <w:pPr>
        <w:pStyle w:val="10"/>
        <w:rPr>
          <w:rFonts w:ascii="Calibri" w:hAnsi="Calibri"/>
          <w:sz w:val="24"/>
          <w:szCs w:val="24"/>
          <w:lang w:val="en-GB"/>
        </w:rPr>
      </w:pPr>
      <w:r>
        <w:rPr>
          <w:rFonts w:hint="default" w:ascii="Calibri" w:hAnsi="Calibri" w:cs="Calibri"/>
          <w:sz w:val="24"/>
          <w:szCs w:val="24"/>
          <w:lang w:val="en-GB"/>
        </w:rPr>
        <w:t xml:space="preserve">According to the CIPD, 2024, job design is a process which roles and responsibilities are established  in order to enhance quality, improve performance and raise levels of job satisfaction. </w:t>
      </w:r>
      <w:r>
        <w:rPr>
          <w:rFonts w:ascii="Calibri" w:hAnsi="Calibri" w:cs="Calibri"/>
          <w:sz w:val="24"/>
          <w:szCs w:val="24"/>
          <w:lang w:val="en-GB"/>
        </w:rPr>
        <w:t xml:space="preserve">Jobs should be designed by taking all the above into consideration through methods such as employee voice, flexible working, employee assistance programmes and enhanced terms and conditions which help to work towards overall staff well being and job satisfaction. </w:t>
      </w:r>
      <w:r>
        <w:rPr>
          <w:rFonts w:hint="default" w:ascii="Calibri" w:hAnsi="Calibri" w:cs="Calibri"/>
          <w:sz w:val="24"/>
          <w:szCs w:val="24"/>
          <w:lang w:val="en-GB"/>
        </w:rPr>
        <w:t xml:space="preserve">Considering areas such as wages, employment quality, eduaction and training, working conditions and  work /life balance will help towards the better design of jobs (Taylor, 2017 p.13). </w:t>
      </w:r>
      <w:r>
        <w:rPr>
          <w:rFonts w:ascii="Calibri" w:hAnsi="Calibri" w:cs="Calibri"/>
          <w:sz w:val="24"/>
          <w:szCs w:val="24"/>
          <w:lang w:val="en-GB"/>
        </w:rPr>
        <w:t xml:space="preserve">As a public sector organisation, it is particularly important to  promote the concept of better working lives and designing strategies to promote this to create a culture of striking the balance between work and home life. </w:t>
      </w:r>
    </w:p>
    <w:p w14:paraId="53FF701D">
      <w:pPr>
        <w:pStyle w:val="10"/>
        <w:rPr>
          <w:rFonts w:ascii="Calibri" w:hAnsi="Calibri" w:cs="Calibri"/>
          <w:sz w:val="24"/>
          <w:szCs w:val="24"/>
          <w:lang w:val="en-GB"/>
        </w:rPr>
      </w:pPr>
    </w:p>
    <w:p w14:paraId="2A2BBE5E">
      <w:pPr>
        <w:pStyle w:val="10"/>
        <w:rPr>
          <w:rFonts w:ascii="Calibri" w:hAnsi="Calibri" w:cs="Calibri"/>
          <w:sz w:val="24"/>
          <w:szCs w:val="24"/>
          <w:lang w:val="en-GB"/>
        </w:rPr>
      </w:pPr>
    </w:p>
    <w:p w14:paraId="3BF14D3A">
      <w:pPr>
        <w:pStyle w:val="10"/>
        <w:rPr>
          <w:rFonts w:ascii="Calibri" w:hAnsi="Calibri" w:cs="Calibri"/>
          <w:sz w:val="24"/>
          <w:szCs w:val="24"/>
          <w:lang w:val="en-GB"/>
        </w:rPr>
      </w:pPr>
    </w:p>
    <w:p w14:paraId="15CB13C5">
      <w:pPr>
        <w:pStyle w:val="10"/>
        <w:rPr>
          <w:rFonts w:ascii="Calibri" w:hAnsi="Calibri" w:cs="Calibri"/>
          <w:sz w:val="24"/>
          <w:szCs w:val="24"/>
          <w:lang w:val="en-GB"/>
        </w:rPr>
      </w:pPr>
    </w:p>
    <w:p w14:paraId="546106EC">
      <w:pPr>
        <w:pStyle w:val="10"/>
        <w:rPr>
          <w:rFonts w:ascii="Calibri" w:hAnsi="Calibri" w:cs="Calibri"/>
          <w:sz w:val="24"/>
          <w:szCs w:val="24"/>
          <w:lang w:val="en-GB"/>
        </w:rPr>
      </w:pPr>
    </w:p>
    <w:p w14:paraId="1AA7C14A">
      <w:pPr>
        <w:pStyle w:val="10"/>
        <w:rPr>
          <w:rFonts w:ascii="Calibri" w:hAnsi="Calibri" w:cs="Calibri"/>
          <w:color w:val="FF0000"/>
          <w:sz w:val="24"/>
          <w:szCs w:val="24"/>
          <w:lang w:val="en-GB"/>
        </w:rPr>
      </w:pPr>
    </w:p>
    <w:p w14:paraId="6BB9E253">
      <w:pPr>
        <w:pStyle w:val="10"/>
        <w:rPr>
          <w:rFonts w:ascii="Calibri" w:hAnsi="Calibri" w:eastAsia="Calibri" w:cs="Calibri"/>
          <w:b/>
          <w:bCs/>
          <w:color w:val="004147"/>
          <w:sz w:val="24"/>
          <w:szCs w:val="24"/>
          <w:u w:color="004147"/>
          <w:lang w:val="en-GB"/>
        </w:rPr>
      </w:pPr>
    </w:p>
    <w:p w14:paraId="159C6CBF">
      <w:pPr>
        <w:pStyle w:val="10"/>
        <w:rPr>
          <w:rFonts w:ascii="Calibri" w:hAnsi="Calibri" w:eastAsia="Calibri" w:cs="Calibri"/>
          <w:b/>
          <w:bCs/>
          <w:color w:val="004147"/>
          <w:sz w:val="24"/>
          <w:szCs w:val="24"/>
          <w:u w:color="004147"/>
          <w:lang w:val="en-GB"/>
        </w:rPr>
      </w:pPr>
      <w:r>
        <w:rPr>
          <w:rFonts w:ascii="Calibri" w:hAnsi="Calibri" w:eastAsia="Calibri" w:cs="Calibri"/>
          <w:b/>
          <w:bCs/>
          <w:color w:val="004147"/>
          <w:sz w:val="24"/>
          <w:szCs w:val="24"/>
          <w:u w:color="004147"/>
          <w:lang w:val="en-GB"/>
        </w:rPr>
        <w:t xml:space="preserve">AC 2.1 </w:t>
      </w:r>
    </w:p>
    <w:p w14:paraId="23DE523C">
      <w:pPr>
        <w:pStyle w:val="10"/>
        <w:rPr>
          <w:rFonts w:ascii="Calibri" w:hAnsi="Calibri" w:cs="Calibri"/>
          <w:b/>
          <w:bCs/>
          <w:sz w:val="24"/>
          <w:szCs w:val="24"/>
        </w:rPr>
      </w:pPr>
    </w:p>
    <w:p w14:paraId="0DAB0B89">
      <w:pPr>
        <w:pStyle w:val="10"/>
        <w:rPr>
          <w:rFonts w:ascii="Calibri" w:hAnsi="Calibri" w:cs="Calibri"/>
          <w:b/>
          <w:bCs/>
          <w:sz w:val="24"/>
          <w:szCs w:val="24"/>
          <w:lang w:val="en-GB"/>
        </w:rPr>
      </w:pPr>
      <w:r>
        <w:rPr>
          <w:rFonts w:ascii="Calibri" w:hAnsi="Calibri" w:cs="Calibri"/>
          <w:b/>
          <w:bCs/>
          <w:sz w:val="24"/>
          <w:szCs w:val="24"/>
        </w:rPr>
        <w:t>Distinguish between organisational conflict and misbehaviour</w:t>
      </w:r>
      <w:r>
        <w:rPr>
          <w:rFonts w:ascii="Calibri" w:hAnsi="Calibri" w:cs="Calibri"/>
          <w:b/>
          <w:bCs/>
          <w:sz w:val="24"/>
          <w:szCs w:val="24"/>
          <w:lang w:val="en-GB"/>
        </w:rPr>
        <w:t>.</w:t>
      </w:r>
    </w:p>
    <w:p w14:paraId="52E56223">
      <w:pPr>
        <w:pStyle w:val="10"/>
        <w:rPr>
          <w:rFonts w:ascii="Calibri" w:hAnsi="Calibri" w:cs="Calibri"/>
          <w:b/>
          <w:bCs/>
          <w:sz w:val="24"/>
          <w:szCs w:val="24"/>
          <w:lang w:val="en-GB"/>
        </w:rPr>
      </w:pPr>
    </w:p>
    <w:p w14:paraId="710A6B76">
      <w:pPr>
        <w:pStyle w:val="10"/>
        <w:rPr>
          <w:rFonts w:hint="default" w:ascii="Calibri" w:hAnsi="Calibri" w:cs="Calibri"/>
          <w:sz w:val="24"/>
          <w:szCs w:val="24"/>
          <w:lang w:val="en-GB"/>
        </w:rPr>
      </w:pPr>
      <w:r>
        <w:rPr>
          <w:rFonts w:ascii="Calibri" w:hAnsi="Calibri" w:cs="Calibri"/>
          <w:sz w:val="24"/>
          <w:szCs w:val="24"/>
          <w:lang w:val="en-GB"/>
        </w:rPr>
        <w:t>One of the main aims for any employer is to create a working environment that is harmonious to promote a culture of staf</w:t>
      </w:r>
      <w:r>
        <w:rPr>
          <w:rFonts w:ascii="Calibri" w:hAnsi="Calibri" w:cs="Calibri"/>
          <w:sz w:val="24"/>
          <w:szCs w:val="24"/>
          <w:highlight w:val="none"/>
          <w:lang w:val="en-GB"/>
        </w:rPr>
        <w:t xml:space="preserve">f </w:t>
      </w:r>
      <w:r>
        <w:rPr>
          <w:rFonts w:ascii="Calibri" w:hAnsi="Calibri" w:cs="Calibri"/>
          <w:sz w:val="24"/>
          <w:szCs w:val="24"/>
          <w:highlight w:val="none"/>
          <w:shd w:val="clear" w:fill="FFFFFF" w:themeFill="background1"/>
          <w:lang w:val="en-GB"/>
        </w:rPr>
        <w:t>fulfillment,</w:t>
      </w:r>
      <w:r>
        <w:rPr>
          <w:rFonts w:ascii="Calibri" w:hAnsi="Calibri" w:cs="Calibri"/>
          <w:sz w:val="24"/>
          <w:szCs w:val="24"/>
          <w:lang w:val="en-GB"/>
        </w:rPr>
        <w:t xml:space="preserve"> satisfaction and a feeling of general well being. In most organisations, conflict will occur in some form which may disrupt the status quo whether it is between individuals or within teams/groups. Due to the recent merger and the changes that have taken place, it is very important that manager</w:t>
      </w:r>
      <w:r>
        <w:rPr>
          <w:rFonts w:hint="default" w:ascii="Calibri" w:hAnsi="Calibri" w:cs="Calibri"/>
          <w:sz w:val="24"/>
          <w:szCs w:val="24"/>
          <w:lang w:val="en-GB"/>
        </w:rPr>
        <w:t xml:space="preserve">s </w:t>
      </w:r>
      <w:r>
        <w:rPr>
          <w:rFonts w:ascii="Calibri" w:hAnsi="Calibri" w:cs="Calibri"/>
          <w:sz w:val="24"/>
          <w:szCs w:val="24"/>
          <w:lang w:val="en-GB"/>
        </w:rPr>
        <w:t>identify conflict in it’s early stages to prevent situations escalating and becoming more difficult to manag</w:t>
      </w:r>
      <w:r>
        <w:rPr>
          <w:rFonts w:hint="default" w:ascii="Calibri" w:hAnsi="Calibri" w:cs="Calibri"/>
          <w:sz w:val="24"/>
          <w:szCs w:val="24"/>
          <w:lang w:val="en-GB"/>
        </w:rPr>
        <w:t>e (CIPD, 2020).</w:t>
      </w:r>
    </w:p>
    <w:p w14:paraId="07547A01">
      <w:pPr>
        <w:pStyle w:val="10"/>
        <w:rPr>
          <w:rFonts w:ascii="Calibri" w:hAnsi="Calibri" w:cs="Calibri"/>
          <w:sz w:val="24"/>
          <w:szCs w:val="24"/>
          <w:lang w:val="en-GB"/>
        </w:rPr>
      </w:pPr>
    </w:p>
    <w:p w14:paraId="4495E476">
      <w:pPr>
        <w:pStyle w:val="10"/>
        <w:rPr>
          <w:rFonts w:ascii="Calibri" w:hAnsi="Calibri" w:cs="Calibri"/>
          <w:sz w:val="24"/>
          <w:szCs w:val="24"/>
          <w:lang w:val="en-GB"/>
        </w:rPr>
      </w:pPr>
      <w:r>
        <w:rPr>
          <w:rFonts w:ascii="Calibri" w:hAnsi="Calibri" w:cs="Calibri"/>
          <w:sz w:val="24"/>
          <w:szCs w:val="24"/>
          <w:lang w:val="en-GB"/>
        </w:rPr>
        <w:t xml:space="preserve"> According to the CIPD,  in the</w:t>
      </w:r>
      <w:r>
        <w:rPr>
          <w:rFonts w:hint="default" w:ascii="Calibri" w:hAnsi="Calibri" w:cs="Calibri"/>
          <w:sz w:val="24"/>
          <w:szCs w:val="24"/>
          <w:lang w:val="en-GB"/>
        </w:rPr>
        <w:t xml:space="preserve">ir </w:t>
      </w:r>
      <w:r>
        <w:rPr>
          <w:rFonts w:ascii="Calibri" w:hAnsi="Calibri" w:cs="Calibri"/>
          <w:sz w:val="24"/>
          <w:szCs w:val="24"/>
          <w:lang w:val="en-GB"/>
        </w:rPr>
        <w:t>2020 report</w:t>
      </w:r>
      <w:r>
        <w:rPr>
          <w:rFonts w:hint="default" w:ascii="Calibri" w:hAnsi="Calibri" w:cs="Calibri"/>
          <w:sz w:val="24"/>
          <w:szCs w:val="24"/>
          <w:lang w:val="en-GB"/>
        </w:rPr>
        <w:t>, d</w:t>
      </w:r>
      <w:r>
        <w:rPr>
          <w:rFonts w:ascii="Calibri" w:hAnsi="Calibri" w:cs="Calibri"/>
          <w:sz w:val="24"/>
          <w:szCs w:val="24"/>
          <w:lang w:val="en-GB"/>
        </w:rPr>
        <w:t xml:space="preserve">ifferent types of conflict are cited such as individual conflict </w:t>
      </w:r>
      <w:r>
        <w:rPr>
          <w:rFonts w:hint="default" w:ascii="Calibri" w:hAnsi="Calibri" w:cs="Calibri"/>
          <w:sz w:val="24"/>
          <w:szCs w:val="24"/>
          <w:lang w:val="en-GB"/>
        </w:rPr>
        <w:t>for example,p</w:t>
      </w:r>
      <w:r>
        <w:rPr>
          <w:rFonts w:ascii="Calibri" w:hAnsi="Calibri" w:cs="Calibri"/>
          <w:sz w:val="24"/>
          <w:szCs w:val="24"/>
          <w:lang w:val="en-GB"/>
        </w:rPr>
        <w:t>ersonal disagreement or clash of personalities (experienced by 35% of employees in survey) through to more serious forms such as bullying and harassment. Employees in the public sector are more likely to say that they have experienced bullying (21%) as opposed to those in the private sector (14%).  They also refer to the consequences that negative conflict can have on the workforce including a decrease in staff morale, cause productivity levels to drop and can be a time consuming process to deal with for those involved. It is also worth noting that conflict can be positive and can help to resolve disputes.  According to Armstrong and Taylor, (2020, p.720-722) conflict has its benefits and it is important not to discourage on every occasion. Conflict can be a useful way of bringing forward ideas and sharing different viewpoints to create an environment of innovation.</w:t>
      </w:r>
    </w:p>
    <w:p w14:paraId="5043CB0F">
      <w:pPr>
        <w:pStyle w:val="10"/>
        <w:rPr>
          <w:rFonts w:ascii="Calibri" w:hAnsi="Calibri" w:cs="Calibri"/>
          <w:sz w:val="24"/>
          <w:szCs w:val="24"/>
          <w:lang w:val="en-GB"/>
        </w:rPr>
      </w:pPr>
    </w:p>
    <w:p w14:paraId="1FB4746C">
      <w:pPr>
        <w:pStyle w:val="10"/>
        <w:rPr>
          <w:rFonts w:ascii="Calibri" w:hAnsi="Calibri" w:cs="Calibri"/>
          <w:sz w:val="24"/>
          <w:szCs w:val="24"/>
          <w:lang w:val="en-GB"/>
        </w:rPr>
      </w:pPr>
      <w:r>
        <w:rPr>
          <w:rFonts w:ascii="Calibri" w:hAnsi="Calibri" w:cs="Calibri"/>
          <w:sz w:val="24"/>
          <w:szCs w:val="24"/>
          <w:lang w:val="en-GB"/>
        </w:rPr>
        <w:t>As well as conflict in the workplace, it is also important to recognise misbehaviour amongst employees which can also unsettle the work environment. Misbehaviour is often intentional and will usually result in disciplinary action of some sort. On most occasions, misbehaviour can unsettle the workforce and has very few advantages. According to ACAS, examples of misbehaviour could be:</w:t>
      </w:r>
    </w:p>
    <w:p w14:paraId="4D5BC194">
      <w:pPr>
        <w:pStyle w:val="10"/>
        <w:numPr>
          <w:ilvl w:val="0"/>
          <w:numId w:val="2"/>
        </w:numPr>
        <w:rPr>
          <w:rFonts w:ascii="Calibri" w:hAnsi="Calibri" w:cs="Calibri"/>
          <w:sz w:val="24"/>
          <w:szCs w:val="24"/>
          <w:lang w:val="en-GB"/>
        </w:rPr>
      </w:pPr>
      <w:r>
        <w:rPr>
          <w:rFonts w:ascii="Calibri" w:hAnsi="Calibri" w:cs="Calibri"/>
          <w:sz w:val="24"/>
          <w:szCs w:val="24"/>
          <w:lang w:val="en-GB"/>
        </w:rPr>
        <w:t>Failing to follow instructions from management</w:t>
      </w:r>
    </w:p>
    <w:p w14:paraId="0442172D">
      <w:pPr>
        <w:pStyle w:val="10"/>
        <w:numPr>
          <w:ilvl w:val="0"/>
          <w:numId w:val="2"/>
        </w:numPr>
        <w:rPr>
          <w:rFonts w:ascii="Calibri" w:hAnsi="Calibri" w:cs="Calibri"/>
          <w:sz w:val="24"/>
          <w:szCs w:val="24"/>
          <w:lang w:val="en-GB"/>
        </w:rPr>
      </w:pPr>
      <w:r>
        <w:rPr>
          <w:rFonts w:ascii="Calibri" w:hAnsi="Calibri" w:cs="Calibri"/>
          <w:sz w:val="24"/>
          <w:szCs w:val="24"/>
          <w:lang w:val="en-GB"/>
        </w:rPr>
        <w:t>Violence</w:t>
      </w:r>
    </w:p>
    <w:p w14:paraId="3683E2B2">
      <w:pPr>
        <w:pStyle w:val="10"/>
        <w:numPr>
          <w:ilvl w:val="0"/>
          <w:numId w:val="2"/>
        </w:numPr>
        <w:rPr>
          <w:rFonts w:ascii="Calibri" w:hAnsi="Calibri" w:cs="Calibri"/>
          <w:sz w:val="24"/>
          <w:szCs w:val="24"/>
          <w:lang w:val="en-GB"/>
        </w:rPr>
      </w:pPr>
      <w:r>
        <w:rPr>
          <w:rFonts w:ascii="Calibri" w:hAnsi="Calibri" w:cs="Calibri"/>
          <w:sz w:val="24"/>
          <w:szCs w:val="24"/>
          <w:lang w:val="en-GB"/>
        </w:rPr>
        <w:t>Gross negligence</w:t>
      </w:r>
    </w:p>
    <w:p w14:paraId="121D1DC8">
      <w:pPr>
        <w:pStyle w:val="10"/>
        <w:numPr>
          <w:ilvl w:val="0"/>
          <w:numId w:val="2"/>
        </w:numPr>
        <w:rPr>
          <w:rFonts w:ascii="Calibri" w:hAnsi="Calibri" w:cs="Calibri"/>
          <w:sz w:val="24"/>
          <w:szCs w:val="24"/>
          <w:lang w:val="en-GB"/>
        </w:rPr>
      </w:pPr>
      <w:r>
        <w:rPr>
          <w:rFonts w:ascii="Calibri" w:hAnsi="Calibri" w:cs="Calibri"/>
          <w:sz w:val="24"/>
          <w:szCs w:val="24"/>
          <w:lang w:val="en-GB"/>
        </w:rPr>
        <w:t>Fraud.</w:t>
      </w:r>
    </w:p>
    <w:p w14:paraId="07459315">
      <w:pPr>
        <w:pStyle w:val="10"/>
        <w:rPr>
          <w:rFonts w:ascii="Calibri" w:hAnsi="Calibri" w:cs="Calibri"/>
          <w:sz w:val="24"/>
          <w:szCs w:val="24"/>
          <w:lang w:val="en-GB"/>
        </w:rPr>
      </w:pPr>
    </w:p>
    <w:p w14:paraId="3B15CCE8">
      <w:pPr>
        <w:pStyle w:val="10"/>
        <w:rPr>
          <w:rFonts w:ascii="Calibri" w:hAnsi="Calibri" w:cs="Calibri"/>
          <w:sz w:val="24"/>
          <w:szCs w:val="24"/>
          <w:lang w:val="en-GB"/>
        </w:rPr>
      </w:pPr>
      <w:r>
        <w:rPr>
          <w:rFonts w:ascii="Calibri" w:hAnsi="Calibri" w:cs="Calibri"/>
          <w:sz w:val="24"/>
          <w:szCs w:val="24"/>
          <w:lang w:val="en-GB"/>
        </w:rPr>
        <w:t xml:space="preserve">An example of this can be found in the case of </w:t>
      </w:r>
      <w:r>
        <w:rPr>
          <w:rFonts w:ascii="Calibri" w:hAnsi="Calibri" w:cs="Calibri"/>
          <w:i/>
          <w:iCs/>
          <w:sz w:val="24"/>
          <w:szCs w:val="24"/>
          <w:lang w:val="en-GB"/>
        </w:rPr>
        <w:t xml:space="preserve">Crisp V Apple Retail (2011) ET1500258/11. </w:t>
      </w:r>
      <w:r>
        <w:rPr>
          <w:rFonts w:ascii="Calibri" w:hAnsi="Calibri" w:cs="Calibri"/>
          <w:sz w:val="24"/>
          <w:szCs w:val="24"/>
          <w:lang w:val="en-GB"/>
        </w:rPr>
        <w:t>Crisp posted derogatory comments on his Facebook page about the Apple brand which a friend passed. Crisp was dismissed and the decision upheld by the tribunal as it was proven that he could have potentially damaged the brand.</w:t>
      </w:r>
    </w:p>
    <w:p w14:paraId="6537F28F">
      <w:pPr>
        <w:pStyle w:val="10"/>
        <w:rPr>
          <w:rFonts w:ascii="Calibri" w:hAnsi="Calibri" w:cs="Calibri"/>
          <w:sz w:val="24"/>
          <w:szCs w:val="24"/>
          <w:lang w:val="en-GB"/>
        </w:rPr>
      </w:pPr>
    </w:p>
    <w:p w14:paraId="454FA5AB">
      <w:pPr>
        <w:pStyle w:val="10"/>
        <w:rPr>
          <w:rFonts w:ascii="Calibri" w:hAnsi="Calibri" w:cs="Calibri"/>
          <w:sz w:val="24"/>
          <w:szCs w:val="24"/>
          <w:lang w:val="en-GB"/>
        </w:rPr>
      </w:pPr>
      <w:r>
        <w:rPr>
          <w:rFonts w:ascii="Calibri" w:hAnsi="Calibri" w:cs="Calibri"/>
          <w:sz w:val="24"/>
          <w:szCs w:val="24"/>
          <w:lang w:val="en-GB"/>
        </w:rPr>
        <w:t>In conclusion, it is my recommendation, that all people practitioner and managers have full training to address misbehaviour and conflict in their teams and use effective channels to communicate any concerns identified by staff to address the issues in its early stages.</w:t>
      </w:r>
    </w:p>
    <w:p w14:paraId="7E6C7463">
      <w:pPr>
        <w:pStyle w:val="10"/>
        <w:rPr>
          <w:rFonts w:ascii="Calibri" w:hAnsi="Calibri" w:cs="Calibri"/>
          <w:sz w:val="24"/>
          <w:szCs w:val="24"/>
          <w:lang w:val="en-GB"/>
        </w:rPr>
      </w:pPr>
    </w:p>
    <w:p w14:paraId="223CCB4E">
      <w:pPr>
        <w:pStyle w:val="10"/>
        <w:rPr>
          <w:rFonts w:ascii="Calibri" w:hAnsi="Calibri"/>
          <w:b/>
          <w:bCs/>
          <w:color w:val="004147"/>
          <w:sz w:val="24"/>
          <w:szCs w:val="24"/>
          <w:u w:color="004147"/>
        </w:rPr>
      </w:pPr>
      <w:r>
        <w:rPr>
          <w:rFonts w:ascii="Calibri" w:hAnsi="Calibri"/>
          <w:b/>
          <w:bCs/>
          <w:color w:val="004147"/>
          <w:sz w:val="24"/>
          <w:szCs w:val="24"/>
          <w:u w:color="004147"/>
        </w:rPr>
        <w:t xml:space="preserve">AC </w:t>
      </w:r>
      <w:r>
        <w:rPr>
          <w:rFonts w:ascii="Calibri" w:hAnsi="Calibri"/>
          <w:b/>
          <w:bCs/>
          <w:color w:val="004147"/>
          <w:sz w:val="24"/>
          <w:szCs w:val="24"/>
          <w:u w:color="004147"/>
          <w:lang w:val="en-GB"/>
        </w:rPr>
        <w:t>2</w:t>
      </w:r>
      <w:r>
        <w:rPr>
          <w:rFonts w:ascii="Calibri" w:hAnsi="Calibri"/>
          <w:b/>
          <w:bCs/>
          <w:color w:val="004147"/>
          <w:sz w:val="24"/>
          <w:szCs w:val="24"/>
          <w:u w:color="004147"/>
        </w:rPr>
        <w:t>.2</w:t>
      </w:r>
    </w:p>
    <w:p w14:paraId="70DF9E56">
      <w:pPr>
        <w:pStyle w:val="10"/>
        <w:rPr>
          <w:rFonts w:ascii="Calibri" w:hAnsi="Calibri"/>
          <w:b/>
          <w:bCs/>
          <w:color w:val="004147"/>
          <w:sz w:val="24"/>
          <w:szCs w:val="24"/>
          <w:u w:color="004147"/>
          <w:lang w:val="en-GB"/>
        </w:rPr>
      </w:pPr>
    </w:p>
    <w:p w14:paraId="75C058F5">
      <w:pPr>
        <w:pStyle w:val="10"/>
        <w:rPr>
          <w:rFonts w:ascii="Calibri" w:hAnsi="Calibri" w:cs="Calibri"/>
          <w:b/>
          <w:bCs/>
          <w:sz w:val="24"/>
          <w:szCs w:val="24"/>
          <w:lang w:val="en-GB"/>
        </w:rPr>
      </w:pPr>
      <w:r>
        <w:rPr>
          <w:rFonts w:ascii="Calibri" w:hAnsi="Calibri" w:cs="Calibri"/>
          <w:b/>
          <w:bCs/>
          <w:sz w:val="24"/>
          <w:szCs w:val="24"/>
        </w:rPr>
        <w:t>Assess emerging trends in the types of conflict and industrial sanctions</w:t>
      </w:r>
      <w:r>
        <w:rPr>
          <w:rFonts w:ascii="Calibri" w:hAnsi="Calibri" w:cs="Calibri"/>
          <w:b/>
          <w:bCs/>
          <w:sz w:val="24"/>
          <w:szCs w:val="24"/>
          <w:lang w:val="en-GB"/>
        </w:rPr>
        <w:t>.</w:t>
      </w:r>
    </w:p>
    <w:p w14:paraId="44E871BC">
      <w:pPr>
        <w:pStyle w:val="10"/>
        <w:rPr>
          <w:rFonts w:ascii="Calibri" w:hAnsi="Calibri" w:cs="Calibri"/>
          <w:b/>
          <w:bCs/>
          <w:sz w:val="24"/>
          <w:szCs w:val="24"/>
          <w:lang w:val="en-GB"/>
        </w:rPr>
      </w:pPr>
    </w:p>
    <w:p w14:paraId="501AF54E">
      <w:pPr>
        <w:pStyle w:val="10"/>
        <w:rPr>
          <w:rFonts w:ascii="Calibri" w:hAnsi="Calibri" w:cs="Calibri"/>
          <w:sz w:val="24"/>
          <w:szCs w:val="24"/>
          <w:lang w:val="en-GB"/>
        </w:rPr>
      </w:pPr>
      <w:r>
        <w:rPr>
          <w:rFonts w:ascii="Calibri" w:hAnsi="Calibri" w:cs="Calibri"/>
          <w:sz w:val="24"/>
          <w:szCs w:val="24"/>
          <w:lang w:val="en-GB"/>
        </w:rPr>
        <w:t>Conflict is a regular occurrence in any modern day workplace and can arise due to variety of reasons including personal breakdown in relationships with colleagues, difference in views in teams or on a more larger scale, collective conflict  with a grievance which could relate to terms and conditions, pay and bullying (CIPD, 2020). Where there are instances of collective grievances, there is a high likelihood that this will lead to industrial sanctions if issues are not dealt with correctly using the appropriate parties such as trade union and non-trade union representatives. The CIPD Good Work Index (2024), focuses heavily on workplace conflict and the trends arising from the issues cited by employees. Employees reporting their experiences of conflict in 2019 stood at 30% compared to only 25% in 2024. This is a positive decline, however there are some concerns for those with protected characteristics such as those with a disability to those without (35% v 23%) (CIPD, 2024).</w:t>
      </w:r>
    </w:p>
    <w:p w14:paraId="144A5D23">
      <w:pPr>
        <w:pStyle w:val="10"/>
        <w:rPr>
          <w:rFonts w:ascii="Calibri" w:hAnsi="Calibri" w:cs="Calibri"/>
          <w:sz w:val="24"/>
          <w:szCs w:val="24"/>
          <w:lang w:val="en-GB"/>
        </w:rPr>
      </w:pPr>
    </w:p>
    <w:p w14:paraId="471766AC">
      <w:pPr>
        <w:pStyle w:val="10"/>
        <w:rPr>
          <w:rFonts w:ascii="Calibri" w:hAnsi="Calibri" w:cs="Calibri"/>
          <w:sz w:val="24"/>
          <w:szCs w:val="24"/>
          <w:lang w:val="en-GB"/>
        </w:rPr>
      </w:pPr>
      <w:r>
        <w:rPr>
          <w:rFonts w:ascii="Calibri" w:hAnsi="Calibri" w:cs="Calibri"/>
          <w:sz w:val="24"/>
          <w:szCs w:val="24"/>
          <w:lang w:val="en-GB"/>
        </w:rPr>
        <w:t xml:space="preserve">As a result of conflict in the workplace, industrial sanctions over recent years has been declining since the 1980’s mainly due to the introduction of legislation that prevent removal of labour. Working days lost to strike in the 1970s in some years was more than 8 times more than compared to those lost in 2022/23. However, data shows that in more recent years especially that leading up to May 2023, a total of 3.9 millions days were lost due to strikes. The public sector saw the highest levels of sanctions which consisted of 96% of days lost to strike action. This is mainly due to public sector pay falling especially those in health care professions which saw the average weekly wage fall by 9.8% between 2022 and 2024. There have been several reasons for the increase of sanctions in the public sector including a sharp fall of real terms pay through the cost of living crisis and greater pressure on working conditions (Resolution Foundation, 2024). </w:t>
      </w:r>
    </w:p>
    <w:p w14:paraId="0DFAE634">
      <w:pPr>
        <w:pStyle w:val="10"/>
        <w:rPr>
          <w:rFonts w:ascii="Calibri" w:hAnsi="Calibri" w:cs="Calibri"/>
          <w:sz w:val="24"/>
          <w:szCs w:val="24"/>
          <w:lang w:val="en-GB"/>
        </w:rPr>
      </w:pPr>
      <w:r>
        <w:rPr>
          <w:rFonts w:ascii="Calibri" w:hAnsi="Calibri" w:cs="Calibri"/>
          <w:sz w:val="24"/>
          <w:szCs w:val="24"/>
          <w:lang w:val="en-GB"/>
        </w:rPr>
        <w:t xml:space="preserve">  </w:t>
      </w:r>
    </w:p>
    <w:p w14:paraId="0F349045">
      <w:pPr>
        <w:pStyle w:val="10"/>
        <w:rPr>
          <w:rFonts w:ascii="Calibri" w:hAnsi="Calibri" w:cs="Calibri"/>
          <w:sz w:val="24"/>
          <w:szCs w:val="24"/>
          <w:lang w:val="en-GB"/>
        </w:rPr>
      </w:pPr>
      <w:r>
        <w:rPr>
          <w:rFonts w:ascii="Calibri" w:hAnsi="Calibri" w:cs="Calibri"/>
          <w:sz w:val="24"/>
          <w:szCs w:val="24"/>
          <w:lang w:val="en-GB"/>
        </w:rPr>
        <w:t xml:space="preserve"> According to an ACAS report in 2024, </w:t>
      </w:r>
      <w:r>
        <w:rPr>
          <w:rFonts w:ascii="Calibri" w:hAnsi="Calibri" w:cs="Calibri"/>
          <w:i/>
          <w:iCs/>
          <w:sz w:val="24"/>
          <w:szCs w:val="24"/>
          <w:lang w:val="en-GB"/>
        </w:rPr>
        <w:t xml:space="preserve">Continuity and Change in Collective Workplace Conflict, </w:t>
      </w:r>
      <w:r>
        <w:rPr>
          <w:rFonts w:ascii="Calibri" w:hAnsi="Calibri" w:cs="Calibri"/>
          <w:sz w:val="24"/>
          <w:szCs w:val="24"/>
          <w:lang w:val="en-GB"/>
        </w:rPr>
        <w:t>major external influences such as the Pandemic, Russia/Ukraine war and austerity has seen the longest decline in wages since the 19</w:t>
      </w:r>
      <w:r>
        <w:rPr>
          <w:rFonts w:ascii="Calibri" w:hAnsi="Calibri" w:cs="Calibri"/>
          <w:sz w:val="24"/>
          <w:szCs w:val="24"/>
          <w:vertAlign w:val="superscript"/>
          <w:lang w:val="en-GB"/>
        </w:rPr>
        <w:t>th</w:t>
      </w:r>
      <w:r>
        <w:rPr>
          <w:rFonts w:ascii="Calibri" w:hAnsi="Calibri" w:cs="Calibri"/>
          <w:sz w:val="24"/>
          <w:szCs w:val="24"/>
          <w:lang w:val="en-GB"/>
        </w:rPr>
        <w:t xml:space="preserve"> century which has contributed to the recent increase in industrial sanctions through 2022/23.This is a surprising statistic due to the significant drop in trade union membership which saw 39% of employees as part of a trade union in 1989 as opposed to 22% in 2022. </w:t>
      </w:r>
    </w:p>
    <w:p w14:paraId="738610EB">
      <w:pPr>
        <w:pStyle w:val="10"/>
        <w:rPr>
          <w:rFonts w:ascii="Calibri" w:hAnsi="Calibri" w:cs="Calibri"/>
          <w:sz w:val="24"/>
          <w:szCs w:val="24"/>
          <w:lang w:val="en-GB"/>
        </w:rPr>
      </w:pPr>
    </w:p>
    <w:p w14:paraId="62C7F8F2">
      <w:pPr>
        <w:pStyle w:val="10"/>
        <w:rPr>
          <w:rFonts w:ascii="Calibri" w:hAnsi="Calibri" w:cs="Calibri"/>
          <w:sz w:val="24"/>
          <w:szCs w:val="24"/>
          <w:lang w:val="en-GB"/>
        </w:rPr>
      </w:pPr>
      <w:r>
        <w:rPr>
          <w:rFonts w:ascii="Calibri" w:hAnsi="Calibri" w:cs="Calibri"/>
          <w:sz w:val="24"/>
          <w:szCs w:val="24"/>
          <w:lang w:val="en-GB"/>
        </w:rPr>
        <w:t xml:space="preserve">As a public sector organisation it is essential to keep up with these trends to be able to put strategic plans in place to mitigate any conflict and employee unrest. By ensuring effective channels of communication are established with employee representatives, this will allow for effective negotiations to take place to ensure that industrial action is prevented all costs. </w:t>
      </w:r>
    </w:p>
    <w:p w14:paraId="637805D2">
      <w:pPr>
        <w:pStyle w:val="10"/>
        <w:rPr>
          <w:rFonts w:ascii="Calibri" w:hAnsi="Calibri" w:cs="Calibri"/>
          <w:sz w:val="24"/>
          <w:szCs w:val="24"/>
          <w:lang w:val="en-GB"/>
        </w:rPr>
      </w:pPr>
    </w:p>
    <w:p w14:paraId="463F29E8">
      <w:pPr>
        <w:pStyle w:val="10"/>
        <w:rPr>
          <w:rFonts w:ascii="Calibri" w:hAnsi="Calibri" w:cs="Calibri"/>
          <w:sz w:val="24"/>
          <w:szCs w:val="24"/>
          <w:lang w:val="en-GB"/>
        </w:rPr>
      </w:pPr>
    </w:p>
    <w:p w14:paraId="3B7B4B86">
      <w:pPr>
        <w:pStyle w:val="10"/>
        <w:rPr>
          <w:rFonts w:ascii="Calibri" w:hAnsi="Calibri"/>
          <w:b/>
          <w:bCs/>
          <w:sz w:val="24"/>
          <w:szCs w:val="24"/>
        </w:rPr>
      </w:pPr>
    </w:p>
    <w:p w14:paraId="3A0FF5F2">
      <w:pPr>
        <w:pStyle w:val="10"/>
        <w:rPr>
          <w:rFonts w:ascii="Calibri" w:hAnsi="Calibri"/>
          <w:b/>
          <w:bCs/>
          <w:sz w:val="24"/>
          <w:szCs w:val="24"/>
        </w:rPr>
      </w:pPr>
    </w:p>
    <w:p w14:paraId="035BA25C">
      <w:pPr>
        <w:pStyle w:val="10"/>
        <w:rPr>
          <w:rFonts w:ascii="Calibri" w:hAnsi="Calibri"/>
          <w:b/>
          <w:bCs/>
          <w:sz w:val="24"/>
          <w:szCs w:val="24"/>
        </w:rPr>
      </w:pPr>
      <w:r>
        <w:rPr>
          <w:rFonts w:ascii="Calibri" w:hAnsi="Calibri"/>
          <w:b/>
          <w:bCs/>
          <w:sz w:val="24"/>
          <w:szCs w:val="24"/>
        </w:rPr>
        <w:t xml:space="preserve"> </w:t>
      </w:r>
    </w:p>
    <w:p w14:paraId="38D0B489">
      <w:pPr>
        <w:pStyle w:val="10"/>
        <w:rPr>
          <w:rFonts w:ascii="Calibri" w:hAnsi="Calibri"/>
          <w:b/>
          <w:bCs/>
          <w:color w:val="004147"/>
          <w:sz w:val="24"/>
          <w:szCs w:val="24"/>
          <w:u w:color="004147"/>
        </w:rPr>
      </w:pPr>
      <w:r>
        <w:rPr>
          <w:rFonts w:ascii="Calibri" w:hAnsi="Calibri"/>
          <w:b/>
          <w:bCs/>
          <w:color w:val="004147"/>
          <w:sz w:val="24"/>
          <w:szCs w:val="24"/>
          <w:u w:color="004147"/>
        </w:rPr>
        <w:t xml:space="preserve">AC </w:t>
      </w:r>
      <w:r>
        <w:rPr>
          <w:rFonts w:ascii="Calibri" w:hAnsi="Calibri"/>
          <w:b/>
          <w:bCs/>
          <w:color w:val="004147"/>
          <w:sz w:val="24"/>
          <w:szCs w:val="24"/>
          <w:u w:color="004147"/>
          <w:lang w:val="en-GB"/>
        </w:rPr>
        <w:t>2</w:t>
      </w:r>
      <w:r>
        <w:rPr>
          <w:rFonts w:ascii="Calibri" w:hAnsi="Calibri"/>
          <w:b/>
          <w:bCs/>
          <w:color w:val="004147"/>
          <w:sz w:val="24"/>
          <w:szCs w:val="24"/>
          <w:u w:color="004147"/>
        </w:rPr>
        <w:t>.3</w:t>
      </w:r>
    </w:p>
    <w:p w14:paraId="5630AD66">
      <w:pPr>
        <w:pStyle w:val="10"/>
        <w:rPr>
          <w:rFonts w:ascii="Calibri" w:hAnsi="Calibri" w:cs="Calibri"/>
        </w:rPr>
      </w:pPr>
    </w:p>
    <w:p w14:paraId="58A88BA3">
      <w:pPr>
        <w:pStyle w:val="10"/>
        <w:rPr>
          <w:rFonts w:ascii="Calibri" w:hAnsi="Calibri" w:cs="Calibri"/>
          <w:b/>
          <w:bCs/>
        </w:rPr>
      </w:pPr>
      <w:r>
        <w:rPr>
          <w:rFonts w:ascii="Calibri" w:hAnsi="Calibri" w:cs="Calibri"/>
          <w:b/>
          <w:bCs/>
        </w:rPr>
        <w:t>Distinguish between third-party conciliation, mediation and arbitration.</w:t>
      </w:r>
    </w:p>
    <w:p w14:paraId="61829076">
      <w:pPr>
        <w:pStyle w:val="10"/>
        <w:rPr>
          <w:rFonts w:ascii="Calibri" w:hAnsi="Calibri" w:cs="Calibri"/>
          <w:b/>
          <w:bCs/>
        </w:rPr>
      </w:pPr>
    </w:p>
    <w:p w14:paraId="6C07CF4C">
      <w:pPr>
        <w:pStyle w:val="10"/>
        <w:rPr>
          <w:rFonts w:ascii="Calibri" w:hAnsi="Calibri" w:cs="Calibri"/>
          <w:sz w:val="24"/>
          <w:szCs w:val="24"/>
          <w:lang w:val="en-GB"/>
        </w:rPr>
      </w:pPr>
      <w:r>
        <w:rPr>
          <w:rFonts w:ascii="Calibri" w:hAnsi="Calibri" w:cs="Calibri"/>
          <w:sz w:val="24"/>
          <w:szCs w:val="24"/>
          <w:lang w:val="en-GB"/>
        </w:rPr>
        <w:t>Third-party conciliation is normally used to try and find a solution between an employer and an employee/s. This service can be used before or after you make claim, right up until the day of the employment tribunal. This is a voluntary service which is free and must be agreed  by both parties (GOV.UK, 2025). According to ACAS (2024), conciliation is very useful to consider before raising any formal grievance as this may help you resolve your complaint informally which prevents the long drawn out process of an a claim through the Employment Tribunal. Prior to making a claim to ET you must inform ACAS who will then offer conciliation to resolve the dispute with the respondent. The benefits of third-party conciliation is that it is quicker than going through a tribunal, easing the need for large volume of paperwork being produced in preparation. The service is free to use and terms of agreement can be often discussed that you cannot get in a tribunal e.g job reference.</w:t>
      </w:r>
    </w:p>
    <w:p w14:paraId="2BA226A1">
      <w:pPr>
        <w:pStyle w:val="10"/>
        <w:rPr>
          <w:rFonts w:ascii="Calibri" w:hAnsi="Calibri" w:cs="Calibri"/>
          <w:sz w:val="24"/>
          <w:szCs w:val="24"/>
          <w:lang w:val="en-GB"/>
        </w:rPr>
      </w:pPr>
    </w:p>
    <w:p w14:paraId="6F466E14">
      <w:pPr>
        <w:pStyle w:val="10"/>
        <w:rPr>
          <w:rFonts w:ascii="Calibri" w:hAnsi="Calibri" w:cs="Calibri"/>
          <w:sz w:val="24"/>
          <w:szCs w:val="24"/>
          <w:lang w:val="en-GB"/>
        </w:rPr>
      </w:pPr>
      <w:r>
        <w:rPr>
          <w:rFonts w:ascii="Calibri" w:hAnsi="Calibri" w:cs="Calibri"/>
          <w:sz w:val="24"/>
          <w:szCs w:val="24"/>
          <w:lang w:val="en-GB"/>
        </w:rPr>
        <w:t>Mediation can be used to reach a mutual agreement which involves a third party facilitating a voluntary and confidential discussion which has not yet reached an Employment Tribunal (Daniels, 2025 p.23). it can be quick and easy way to deal with conflict effectively to improve employment relations. The CIPD (2024) state that are are a number of benefits to mediation including providing faster solutions, a win-win approach for both parties and helps to address underlying workplace issues.</w:t>
      </w:r>
    </w:p>
    <w:p w14:paraId="17AD93B2">
      <w:pPr>
        <w:pStyle w:val="10"/>
        <w:rPr>
          <w:rFonts w:ascii="Calibri" w:hAnsi="Calibri" w:cs="Calibri"/>
          <w:sz w:val="24"/>
          <w:szCs w:val="24"/>
          <w:lang w:val="en-GB"/>
        </w:rPr>
      </w:pPr>
    </w:p>
    <w:p w14:paraId="7345E88A">
      <w:pPr>
        <w:pStyle w:val="10"/>
        <w:rPr>
          <w:rFonts w:ascii="Calibri" w:hAnsi="Calibri" w:cs="Calibri"/>
          <w:sz w:val="24"/>
          <w:szCs w:val="24"/>
          <w:lang w:val="en-GB"/>
        </w:rPr>
      </w:pPr>
      <w:r>
        <w:rPr>
          <w:rFonts w:ascii="Calibri" w:hAnsi="Calibri" w:cs="Calibri"/>
          <w:sz w:val="24"/>
          <w:szCs w:val="24"/>
          <w:lang w:val="en-GB"/>
        </w:rPr>
        <w:t>Arbitration is a way of settling a dispute without having to go to court. The arbitrator will listen to both sides including the claimant and the respondent who will consider the case independently based on the evidence produced. A final outcome is agreed which will result in an award which is legally binding (Citizens Advice Bureau, 2025). This service is provided by ACAS which only address unfair dismissal and flexible working cases. This method has several advantages in that it is dealt with considerably quicker and less formal than Employment Tribunals where are no cross examination of witnesses (Daniels, 2025 p.g 32)</w:t>
      </w:r>
    </w:p>
    <w:p w14:paraId="0DE4B5B7">
      <w:pPr>
        <w:pStyle w:val="10"/>
        <w:rPr>
          <w:rFonts w:ascii="Calibri" w:hAnsi="Calibri" w:cs="Calibri"/>
          <w:sz w:val="24"/>
          <w:szCs w:val="24"/>
          <w:lang w:val="en-GB"/>
        </w:rPr>
      </w:pPr>
    </w:p>
    <w:p w14:paraId="66204FF1">
      <w:pPr>
        <w:pStyle w:val="10"/>
        <w:rPr>
          <w:rFonts w:ascii="Calibri" w:hAnsi="Calibri" w:cs="Calibri"/>
          <w:sz w:val="24"/>
          <w:szCs w:val="24"/>
          <w:lang w:val="en-GB"/>
        </w:rPr>
      </w:pPr>
    </w:p>
    <w:p w14:paraId="75422FB2">
      <w:pPr>
        <w:pStyle w:val="10"/>
        <w:rPr>
          <w:rFonts w:hint="default" w:ascii="Calibri" w:hAnsi="Calibri" w:cs="Calibri"/>
          <w:sz w:val="24"/>
          <w:szCs w:val="24"/>
          <w:lang w:val="en-GB"/>
        </w:rPr>
      </w:pPr>
      <w:r>
        <w:rPr>
          <w:rFonts w:ascii="Calibri" w:hAnsi="Calibri" w:cs="Calibri"/>
          <w:sz w:val="24"/>
          <w:szCs w:val="24"/>
          <w:lang w:val="en-GB"/>
        </w:rPr>
        <w:t>Mediation is similar to third-party conciliation in that a third party is involved to act as a go-between to encourage an agreement to resolve the dispute, however the distinct difference is that mediation will usually facilitate a discussion between both parties, whereas conciliators will often present solutions as part of the remedy</w:t>
      </w:r>
      <w:r>
        <w:rPr>
          <w:rFonts w:hint="default" w:ascii="Calibri" w:hAnsi="Calibri" w:cs="Calibri"/>
          <w:sz w:val="24"/>
          <w:szCs w:val="24"/>
          <w:lang w:val="en-GB"/>
        </w:rPr>
        <w:t xml:space="preserve">. </w:t>
      </w:r>
      <w:r>
        <w:rPr>
          <w:rFonts w:ascii="Calibri" w:hAnsi="Calibri" w:cs="Calibri"/>
          <w:sz w:val="24"/>
          <w:szCs w:val="24"/>
          <w:lang w:val="en-GB"/>
        </w:rPr>
        <w:t>Arbitration is used whenever mediation and conciliation has failed and is legally binding with the final decision being enforceable</w:t>
      </w:r>
      <w:r>
        <w:rPr>
          <w:rFonts w:hint="default" w:ascii="Calibri" w:hAnsi="Calibri" w:cs="Calibri"/>
          <w:sz w:val="24"/>
          <w:szCs w:val="24"/>
          <w:lang w:val="en-GB"/>
        </w:rPr>
        <w:t xml:space="preserve"> (GOV.UK, 2025). It is important for the organisation to distinguish between all 3 methods to be able to deal with any disputes accordingly to agree the best possible outcome for both parties.</w:t>
      </w:r>
    </w:p>
    <w:p w14:paraId="2DBF0D7D">
      <w:pPr>
        <w:pStyle w:val="10"/>
        <w:rPr>
          <w:rFonts w:ascii="Calibri" w:hAnsi="Calibri"/>
        </w:rPr>
      </w:pPr>
    </w:p>
    <w:p w14:paraId="6B62F1B3">
      <w:pPr>
        <w:pStyle w:val="10"/>
        <w:rPr>
          <w:rFonts w:ascii="Calibri" w:hAnsi="Calibri"/>
        </w:rPr>
      </w:pPr>
    </w:p>
    <w:p w14:paraId="02F2C34E">
      <w:pPr>
        <w:pStyle w:val="10"/>
        <w:rPr>
          <w:rFonts w:ascii="Calibri" w:hAnsi="Calibri"/>
        </w:rPr>
      </w:pPr>
    </w:p>
    <w:p w14:paraId="680A4E5D">
      <w:pPr>
        <w:pStyle w:val="10"/>
        <w:rPr>
          <w:rFonts w:ascii="Calibri" w:hAnsi="Calibri"/>
        </w:rPr>
      </w:pPr>
    </w:p>
    <w:p w14:paraId="4893B200">
      <w:pPr>
        <w:pStyle w:val="10"/>
        <w:rPr>
          <w:rFonts w:ascii="Calibri" w:hAnsi="Calibri"/>
          <w:b/>
          <w:bCs/>
          <w:color w:val="004147"/>
          <w:sz w:val="24"/>
          <w:szCs w:val="24"/>
          <w:u w:color="004147"/>
        </w:rPr>
      </w:pPr>
    </w:p>
    <w:p w14:paraId="3409C02B">
      <w:pPr>
        <w:pStyle w:val="10"/>
        <w:rPr>
          <w:rFonts w:ascii="Calibri" w:hAnsi="Calibri"/>
          <w:b/>
          <w:bCs/>
          <w:color w:val="004147"/>
          <w:sz w:val="24"/>
          <w:szCs w:val="24"/>
          <w:u w:color="004147"/>
          <w:lang w:val="en-GB"/>
        </w:rPr>
      </w:pPr>
      <w:r>
        <w:rPr>
          <w:rFonts w:ascii="Calibri" w:hAnsi="Calibri"/>
          <w:b/>
          <w:bCs/>
          <w:color w:val="004147"/>
          <w:sz w:val="24"/>
          <w:szCs w:val="24"/>
          <w:u w:color="004147"/>
        </w:rPr>
        <w:t xml:space="preserve">AC </w:t>
      </w:r>
      <w:r>
        <w:rPr>
          <w:rFonts w:ascii="Calibri" w:hAnsi="Calibri"/>
          <w:b/>
          <w:bCs/>
          <w:color w:val="004147"/>
          <w:sz w:val="24"/>
          <w:szCs w:val="24"/>
          <w:u w:color="004147"/>
          <w:lang w:val="en-GB"/>
        </w:rPr>
        <w:t>3.1</w:t>
      </w:r>
    </w:p>
    <w:p w14:paraId="296FEF7D">
      <w:pPr>
        <w:pStyle w:val="10"/>
        <w:rPr>
          <w:rFonts w:ascii="Calibri" w:hAnsi="Calibri"/>
          <w:b/>
          <w:bCs/>
          <w:color w:val="004147"/>
          <w:sz w:val="24"/>
          <w:szCs w:val="24"/>
          <w:u w:color="004147"/>
          <w:lang w:val="en-GB"/>
        </w:rPr>
      </w:pPr>
    </w:p>
    <w:p w14:paraId="4D24A6F8">
      <w:pPr>
        <w:pStyle w:val="10"/>
        <w:rPr>
          <w:rFonts w:ascii="Calibri" w:hAnsi="Calibri" w:cs="Calibri"/>
          <w:b/>
          <w:bCs/>
          <w:sz w:val="24"/>
          <w:szCs w:val="24"/>
          <w:lang w:val="en-GB"/>
        </w:rPr>
      </w:pPr>
      <w:r>
        <w:rPr>
          <w:rFonts w:ascii="Calibri" w:hAnsi="Calibri" w:cs="Calibri"/>
          <w:b/>
          <w:bCs/>
          <w:sz w:val="24"/>
          <w:szCs w:val="24"/>
        </w:rPr>
        <w:t>Explain the principles of legislation relating to unfair dismissal in respect of capability and misconduct issues</w:t>
      </w:r>
      <w:r>
        <w:rPr>
          <w:rFonts w:ascii="Calibri" w:hAnsi="Calibri" w:cs="Calibri"/>
          <w:b/>
          <w:bCs/>
          <w:sz w:val="24"/>
          <w:szCs w:val="24"/>
          <w:lang w:val="en-GB"/>
        </w:rPr>
        <w:t>.</w:t>
      </w:r>
    </w:p>
    <w:p w14:paraId="7194DBDC">
      <w:pPr>
        <w:pStyle w:val="10"/>
        <w:rPr>
          <w:rFonts w:ascii="Calibri" w:hAnsi="Calibri" w:cs="Calibri"/>
          <w:sz w:val="24"/>
          <w:szCs w:val="24"/>
          <w:lang w:val="en-GB"/>
        </w:rPr>
      </w:pPr>
    </w:p>
    <w:p w14:paraId="69A73079">
      <w:pPr>
        <w:pStyle w:val="10"/>
        <w:rPr>
          <w:rFonts w:ascii="Calibri" w:hAnsi="Calibri" w:cs="Calibri"/>
          <w:sz w:val="24"/>
          <w:szCs w:val="24"/>
          <w:lang w:val="en-GB"/>
        </w:rPr>
      </w:pPr>
      <w:r>
        <w:rPr>
          <w:rFonts w:ascii="Calibri" w:hAnsi="Calibri" w:cs="Calibri"/>
          <w:sz w:val="24"/>
          <w:szCs w:val="24"/>
          <w:lang w:val="en-GB"/>
        </w:rPr>
        <w:t>According to ACAS (2024), the</w:t>
      </w:r>
      <w:r>
        <w:rPr>
          <w:rFonts w:hint="default" w:ascii="Calibri" w:hAnsi="Calibri" w:cs="Calibri"/>
          <w:sz w:val="24"/>
          <w:szCs w:val="24"/>
          <w:lang w:val="en-GB"/>
        </w:rPr>
        <w:t>re are certain</w:t>
      </w:r>
      <w:r>
        <w:rPr>
          <w:rFonts w:ascii="Calibri" w:hAnsi="Calibri" w:cs="Calibri"/>
          <w:sz w:val="24"/>
          <w:szCs w:val="24"/>
          <w:lang w:val="en-GB"/>
        </w:rPr>
        <w:t xml:space="preserve"> grounds </w:t>
      </w:r>
      <w:r>
        <w:rPr>
          <w:rFonts w:hint="default" w:ascii="Calibri" w:hAnsi="Calibri" w:cs="Calibri"/>
          <w:sz w:val="24"/>
          <w:szCs w:val="24"/>
          <w:lang w:val="en-GB"/>
        </w:rPr>
        <w:t xml:space="preserve">that could be used </w:t>
      </w:r>
      <w:r>
        <w:rPr>
          <w:rFonts w:ascii="Calibri" w:hAnsi="Calibri" w:cs="Calibri"/>
          <w:sz w:val="24"/>
          <w:szCs w:val="24"/>
          <w:lang w:val="en-GB"/>
        </w:rPr>
        <w:t>to pursue a case of unfair dismissal</w:t>
      </w:r>
      <w:r>
        <w:rPr>
          <w:rFonts w:hint="default" w:ascii="Calibri" w:hAnsi="Calibri" w:cs="Calibri"/>
          <w:sz w:val="24"/>
          <w:szCs w:val="24"/>
          <w:lang w:val="en-GB"/>
        </w:rPr>
        <w:t xml:space="preserve">. These include no fair reason for dismissal, the reason not being justifiable or that a fair procedure was not followed. </w:t>
      </w:r>
      <w:r>
        <w:rPr>
          <w:rFonts w:ascii="Calibri" w:hAnsi="Calibri" w:cs="Calibri"/>
          <w:sz w:val="24"/>
          <w:szCs w:val="24"/>
          <w:lang w:val="en-GB"/>
        </w:rPr>
        <w:t xml:space="preserve">In order to to claim for unfair dismissal the employee needs to be </w:t>
      </w:r>
      <w:r>
        <w:rPr>
          <w:rFonts w:hint="default" w:ascii="Calibri" w:hAnsi="Calibri" w:cs="Calibri"/>
          <w:sz w:val="24"/>
          <w:szCs w:val="24"/>
          <w:lang w:val="en-GB"/>
        </w:rPr>
        <w:t>employed</w:t>
      </w:r>
      <w:r>
        <w:rPr>
          <w:rFonts w:ascii="Calibri" w:hAnsi="Calibri" w:cs="Calibri"/>
          <w:sz w:val="24"/>
          <w:szCs w:val="24"/>
          <w:lang w:val="en-GB"/>
        </w:rPr>
        <w:t xml:space="preserve"> (workers cannot bring a claim for unfair dismissal) and have been employed for at least two years (however this is due to change with the new Employment Rights Bill which will  give employees the same rights from day one) (Daniels, 2025 p.169).</w:t>
      </w:r>
    </w:p>
    <w:p w14:paraId="54CD245A">
      <w:pPr>
        <w:pStyle w:val="10"/>
        <w:rPr>
          <w:rFonts w:ascii="Calibri" w:hAnsi="Calibri" w:cs="Calibri"/>
          <w:sz w:val="24"/>
          <w:szCs w:val="24"/>
          <w:lang w:val="en-GB"/>
        </w:rPr>
      </w:pPr>
    </w:p>
    <w:p w14:paraId="47C21809">
      <w:pPr>
        <w:pStyle w:val="10"/>
        <w:rPr>
          <w:rFonts w:ascii="Calibri" w:hAnsi="Calibri" w:cs="Calibri"/>
          <w:sz w:val="24"/>
          <w:szCs w:val="24"/>
          <w:lang w:val="en-GB"/>
        </w:rPr>
      </w:pPr>
      <w:r>
        <w:rPr>
          <w:rFonts w:ascii="Calibri" w:hAnsi="Calibri" w:cs="Calibri"/>
          <w:sz w:val="24"/>
          <w:szCs w:val="24"/>
          <w:lang w:val="en-GB"/>
        </w:rPr>
        <w:t>Capability: The grounds for dismissal for capability issues can cover both poor performance</w:t>
      </w:r>
      <w:r>
        <w:rPr>
          <w:rFonts w:hint="default" w:ascii="Calibri" w:hAnsi="Calibri" w:cs="Calibri"/>
          <w:sz w:val="24"/>
          <w:szCs w:val="24"/>
          <w:lang w:val="en-GB"/>
        </w:rPr>
        <w:t>,</w:t>
      </w:r>
      <w:r>
        <w:rPr>
          <w:rFonts w:ascii="Calibri" w:hAnsi="Calibri" w:cs="Calibri"/>
          <w:sz w:val="24"/>
          <w:szCs w:val="24"/>
          <w:lang w:val="en-GB"/>
        </w:rPr>
        <w:t xml:space="preserve"> ill health and lack of skills/qualifications.  The same principles will need to be followed for ill health, however in these situations it is even more important to ensure a fair process is followed especially if there is a long term medical condition. It is important to abide by disability discrimination law to avoid unfair dismissal (Taylor and Woodhams, 2022 p. 109-110). If the employee is disabled, </w:t>
      </w:r>
      <w:r>
        <w:rPr>
          <w:rFonts w:hint="default" w:ascii="Calibri" w:hAnsi="Calibri" w:cs="Calibri"/>
          <w:sz w:val="24"/>
          <w:szCs w:val="24"/>
          <w:lang w:val="en-GB"/>
        </w:rPr>
        <w:t>it is essential to follow the guidelines set out in the</w:t>
      </w:r>
      <w:r>
        <w:rPr>
          <w:rFonts w:ascii="Calibri" w:hAnsi="Calibri" w:cs="Calibri"/>
          <w:sz w:val="24"/>
          <w:szCs w:val="24"/>
          <w:lang w:val="en-GB"/>
        </w:rPr>
        <w:t xml:space="preserve"> Equality Act 2010</w:t>
      </w:r>
      <w:r>
        <w:rPr>
          <w:rFonts w:hint="default" w:ascii="Calibri" w:hAnsi="Calibri" w:cs="Calibri"/>
          <w:sz w:val="24"/>
          <w:szCs w:val="24"/>
          <w:lang w:val="en-GB"/>
        </w:rPr>
        <w:t xml:space="preserve"> to provide reasonable adjustments where possible</w:t>
      </w:r>
      <w:r>
        <w:rPr>
          <w:rFonts w:ascii="Calibri" w:hAnsi="Calibri" w:cs="Calibri"/>
          <w:sz w:val="24"/>
          <w:szCs w:val="24"/>
          <w:lang w:val="en-GB"/>
        </w:rPr>
        <w:t xml:space="preserve"> (Daniels, 2025 p.170).</w:t>
      </w:r>
    </w:p>
    <w:p w14:paraId="1231BE67">
      <w:pPr>
        <w:pStyle w:val="10"/>
        <w:rPr>
          <w:rFonts w:ascii="Calibri" w:hAnsi="Calibri" w:cs="Calibri"/>
          <w:sz w:val="24"/>
          <w:szCs w:val="24"/>
          <w:lang w:val="en-GB"/>
        </w:rPr>
      </w:pPr>
    </w:p>
    <w:p w14:paraId="361B6F43">
      <w:pPr>
        <w:pStyle w:val="10"/>
        <w:rPr>
          <w:rFonts w:ascii="Calibri" w:hAnsi="Calibri" w:cs="Calibri"/>
          <w:sz w:val="24"/>
          <w:szCs w:val="24"/>
          <w:lang w:val="en-GB"/>
        </w:rPr>
      </w:pPr>
      <w:r>
        <w:rPr>
          <w:rFonts w:ascii="Calibri" w:hAnsi="Calibri" w:cs="Calibri"/>
          <w:sz w:val="24"/>
          <w:szCs w:val="24"/>
          <w:lang w:val="en-GB"/>
        </w:rPr>
        <w:t xml:space="preserve">Misconduct: There are two different types of misconduct: ordinary and gross. According to Taylor and Woodhams (2022, pg 108-109) ordinary misconduct is a minor breach of contract </w:t>
      </w:r>
      <w:r>
        <w:rPr>
          <w:rFonts w:hint="default" w:ascii="Calibri" w:hAnsi="Calibri" w:cs="Calibri"/>
          <w:sz w:val="24"/>
          <w:szCs w:val="24"/>
          <w:lang w:val="en-GB"/>
        </w:rPr>
        <w:t>and</w:t>
      </w:r>
      <w:r>
        <w:rPr>
          <w:rFonts w:ascii="Calibri" w:hAnsi="Calibri" w:cs="Calibri"/>
          <w:sz w:val="24"/>
          <w:szCs w:val="24"/>
          <w:lang w:val="en-GB"/>
        </w:rPr>
        <w:t xml:space="preserve"> gross misconduct is more serious, where trust and confidence is broken and in this case the employer has the right to dismiss without notice. During the investigation period for gross misconduct, employees are very often suspended pending investigation. </w:t>
      </w:r>
    </w:p>
    <w:p w14:paraId="36FEB5B0">
      <w:pPr>
        <w:pStyle w:val="10"/>
        <w:rPr>
          <w:rFonts w:ascii="Calibri" w:hAnsi="Calibri" w:cs="Calibri"/>
          <w:sz w:val="24"/>
          <w:szCs w:val="24"/>
          <w:lang w:val="en-GB"/>
        </w:rPr>
      </w:pPr>
    </w:p>
    <w:p w14:paraId="702003D5">
      <w:pPr>
        <w:pStyle w:val="10"/>
        <w:rPr>
          <w:rFonts w:hint="default" w:ascii="Calibri" w:hAnsi="Calibri"/>
          <w:sz w:val="24"/>
          <w:szCs w:val="24"/>
          <w:lang w:val="en-GB"/>
        </w:rPr>
      </w:pPr>
      <w:r>
        <w:rPr>
          <w:rFonts w:ascii="Calibri" w:hAnsi="Calibri" w:cs="Calibri"/>
          <w:sz w:val="24"/>
          <w:szCs w:val="24"/>
          <w:lang w:val="en-GB"/>
        </w:rPr>
        <w:t>The principles when dealing with both types of reasons for dismissal are the same</w:t>
      </w:r>
      <w:r>
        <w:rPr>
          <w:rFonts w:hint="default" w:ascii="Calibri" w:hAnsi="Calibri" w:cs="Calibri"/>
          <w:sz w:val="24"/>
          <w:szCs w:val="24"/>
          <w:lang w:val="en-GB"/>
        </w:rPr>
        <w:t>. If</w:t>
      </w:r>
      <w:r>
        <w:rPr>
          <w:rFonts w:ascii="Calibri" w:hAnsi="Calibri"/>
          <w:sz w:val="24"/>
          <w:szCs w:val="24"/>
          <w:lang w:val="en-GB"/>
        </w:rPr>
        <w:t xml:space="preserve"> the ACAS Code of Practice: Disciplinary and Grievance Procedure is not followed it will be very difficult for an employer to defend an unfair dismissal claim. </w:t>
      </w:r>
      <w:r>
        <w:rPr>
          <w:rFonts w:hint="default" w:ascii="Calibri" w:hAnsi="Calibri"/>
          <w:sz w:val="24"/>
          <w:szCs w:val="24"/>
          <w:lang w:val="en-GB"/>
        </w:rPr>
        <w:t>It is important that both parties address any issues promptly, carry out an investigation to establish the facts and ensure that all employees have the right to be accompanied (Daniels, 2025 p.179).</w:t>
      </w:r>
    </w:p>
    <w:p w14:paraId="30D7AA69">
      <w:pPr>
        <w:pStyle w:val="10"/>
        <w:rPr>
          <w:rFonts w:ascii="Calibri" w:hAnsi="Calibri"/>
          <w:sz w:val="24"/>
          <w:szCs w:val="24"/>
          <w:lang w:val="en-GB"/>
        </w:rPr>
      </w:pPr>
    </w:p>
    <w:p w14:paraId="7DBB9D2B">
      <w:pPr>
        <w:pStyle w:val="10"/>
        <w:rPr>
          <w:rFonts w:ascii="Calibri" w:hAnsi="Calibri"/>
          <w:sz w:val="24"/>
          <w:szCs w:val="24"/>
          <w:lang w:val="en-GB"/>
        </w:rPr>
      </w:pPr>
      <w:r>
        <w:rPr>
          <w:rFonts w:ascii="Calibri" w:hAnsi="Calibri"/>
          <w:sz w:val="24"/>
          <w:szCs w:val="24"/>
          <w:lang w:val="en-GB"/>
        </w:rPr>
        <w:t>An example of where a claim for unfair dismissal has been upheld is as follows:</w:t>
      </w:r>
    </w:p>
    <w:p w14:paraId="7196D064">
      <w:pPr>
        <w:pStyle w:val="10"/>
        <w:rPr>
          <w:rFonts w:ascii="Calibri" w:hAnsi="Calibri"/>
          <w:sz w:val="24"/>
          <w:szCs w:val="24"/>
          <w:lang w:val="en-GB"/>
        </w:rPr>
      </w:pPr>
    </w:p>
    <w:p w14:paraId="7CC0647D">
      <w:pPr>
        <w:pStyle w:val="10"/>
        <w:rPr>
          <w:rFonts w:ascii="Calibri" w:hAnsi="Calibri"/>
          <w:sz w:val="24"/>
          <w:szCs w:val="24"/>
          <w:lang w:val="en-GB"/>
        </w:rPr>
      </w:pPr>
      <w:r>
        <w:rPr>
          <w:rFonts w:ascii="Calibri" w:hAnsi="Calibri"/>
          <w:i/>
          <w:iCs/>
          <w:sz w:val="24"/>
          <w:szCs w:val="24"/>
          <w:lang w:val="en-GB"/>
        </w:rPr>
        <w:t>Celebi v Compass Group (2010) UK/EAT/0032/10</w:t>
      </w:r>
      <w:r>
        <w:rPr>
          <w:rFonts w:ascii="Calibri" w:hAnsi="Calibri"/>
          <w:sz w:val="24"/>
          <w:szCs w:val="24"/>
          <w:lang w:val="en-GB"/>
        </w:rPr>
        <w:t>. The EAT upheld the claim of Celebi who was dismissed due to theft of the sum of £3000. The language used by the employer was not clear to outline the allegation as they tried to ‘soften the blow’. This was not acceptable due to the lack of clarity provided by the employer (Daniels, 2025 p.179).</w:t>
      </w:r>
    </w:p>
    <w:p w14:paraId="34FF1C98">
      <w:pPr>
        <w:pStyle w:val="10"/>
        <w:rPr>
          <w:rFonts w:ascii="Calibri" w:hAnsi="Calibri"/>
          <w:sz w:val="24"/>
          <w:szCs w:val="24"/>
          <w:lang w:val="en-GB"/>
        </w:rPr>
      </w:pPr>
    </w:p>
    <w:p w14:paraId="60F81471">
      <w:pPr>
        <w:pStyle w:val="10"/>
        <w:rPr>
          <w:rFonts w:ascii="Calibri" w:hAnsi="Calibri"/>
          <w:sz w:val="24"/>
          <w:szCs w:val="24"/>
          <w:lang w:val="en-GB"/>
        </w:rPr>
      </w:pPr>
      <w:r>
        <w:rPr>
          <w:rFonts w:ascii="Calibri" w:hAnsi="Calibri"/>
          <w:sz w:val="24"/>
          <w:szCs w:val="24"/>
          <w:lang w:val="en-GB"/>
        </w:rPr>
        <w:t xml:space="preserve">As an organisation it is extremely important to follow the principles laid out in both the ACAS Code of Conduct and The Employment Rights Act 1996 to prevent potential claims of unfair dismissal which can be lengthy and damage the reputation of the organisation. </w:t>
      </w:r>
    </w:p>
    <w:p w14:paraId="6D072C0D">
      <w:pPr>
        <w:pStyle w:val="10"/>
        <w:rPr>
          <w:rFonts w:ascii="Calibri" w:hAnsi="Calibri"/>
          <w:sz w:val="24"/>
          <w:szCs w:val="24"/>
          <w:lang w:val="en-GB"/>
        </w:rPr>
      </w:pPr>
    </w:p>
    <w:p w14:paraId="6BCFB1B4">
      <w:pPr>
        <w:pStyle w:val="10"/>
        <w:rPr>
          <w:rFonts w:ascii="Calibri" w:hAnsi="Calibri"/>
          <w:b/>
          <w:bCs/>
          <w:color w:val="004147"/>
          <w:sz w:val="24"/>
          <w:szCs w:val="24"/>
          <w:u w:color="004147"/>
          <w:lang w:val="en-GB"/>
        </w:rPr>
      </w:pPr>
      <w:r>
        <w:rPr>
          <w:rFonts w:ascii="Calibri" w:hAnsi="Calibri"/>
          <w:b/>
          <w:bCs/>
          <w:color w:val="004147"/>
          <w:sz w:val="24"/>
          <w:szCs w:val="24"/>
          <w:u w:color="004147"/>
        </w:rPr>
        <w:t xml:space="preserve">AC </w:t>
      </w:r>
      <w:r>
        <w:rPr>
          <w:rFonts w:ascii="Calibri" w:hAnsi="Calibri"/>
          <w:b/>
          <w:bCs/>
          <w:color w:val="004147"/>
          <w:sz w:val="24"/>
          <w:szCs w:val="24"/>
          <w:u w:color="004147"/>
          <w:lang w:val="en-GB"/>
        </w:rPr>
        <w:t>3.2</w:t>
      </w:r>
    </w:p>
    <w:p w14:paraId="6BD18F9B">
      <w:pPr>
        <w:pStyle w:val="10"/>
        <w:rPr>
          <w:rFonts w:ascii="Calibri" w:hAnsi="Calibri"/>
          <w:b/>
          <w:bCs/>
          <w:color w:val="004147"/>
          <w:sz w:val="24"/>
          <w:szCs w:val="24"/>
          <w:u w:color="004147"/>
          <w:lang w:val="en-GB"/>
        </w:rPr>
      </w:pPr>
    </w:p>
    <w:p w14:paraId="146EE452">
      <w:pPr>
        <w:pStyle w:val="10"/>
        <w:rPr>
          <w:rFonts w:ascii="Calibri" w:hAnsi="Calibri" w:cs="Calibri"/>
          <w:b/>
          <w:bCs/>
          <w:sz w:val="24"/>
          <w:szCs w:val="24"/>
          <w:lang w:val="en-GB"/>
        </w:rPr>
      </w:pPr>
      <w:r>
        <w:rPr>
          <w:rFonts w:ascii="Calibri" w:hAnsi="Calibri" w:cs="Calibri"/>
          <w:b/>
          <w:bCs/>
          <w:sz w:val="24"/>
          <w:szCs w:val="24"/>
        </w:rPr>
        <w:t>Analyse three key causes of employee grievances</w:t>
      </w:r>
      <w:r>
        <w:rPr>
          <w:rFonts w:ascii="Calibri" w:hAnsi="Calibri" w:cs="Calibri"/>
          <w:b/>
          <w:bCs/>
          <w:sz w:val="24"/>
          <w:szCs w:val="24"/>
          <w:lang w:val="en-GB"/>
        </w:rPr>
        <w:t>.</w:t>
      </w:r>
    </w:p>
    <w:p w14:paraId="238601FE">
      <w:pPr>
        <w:pStyle w:val="10"/>
        <w:rPr>
          <w:rFonts w:ascii="Calibri" w:hAnsi="Calibri" w:cs="Calibri"/>
          <w:sz w:val="24"/>
          <w:szCs w:val="24"/>
          <w:lang w:val="en-GB"/>
        </w:rPr>
      </w:pPr>
    </w:p>
    <w:p w14:paraId="17EFC3BD">
      <w:pPr>
        <w:pStyle w:val="10"/>
        <w:rPr>
          <w:rFonts w:ascii="Calibri" w:hAnsi="Calibri" w:cs="Calibri"/>
          <w:sz w:val="24"/>
          <w:szCs w:val="24"/>
          <w:lang w:val="en-GB"/>
        </w:rPr>
      </w:pPr>
      <w:r>
        <w:rPr>
          <w:rFonts w:ascii="Calibri" w:hAnsi="Calibri" w:cs="Calibri"/>
          <w:sz w:val="24"/>
          <w:szCs w:val="24"/>
          <w:lang w:val="en-GB"/>
        </w:rPr>
        <w:t>According to Personnel Today (2023),  2022-23 saw a 30% rise in</w:t>
      </w:r>
      <w:r>
        <w:rPr>
          <w:rFonts w:hint="default" w:ascii="Calibri" w:hAnsi="Calibri" w:cs="Calibri"/>
          <w:sz w:val="24"/>
          <w:szCs w:val="24"/>
          <w:lang w:val="en-GB"/>
        </w:rPr>
        <w:t xml:space="preserve"> workplace grievances.</w:t>
      </w:r>
      <w:r>
        <w:rPr>
          <w:rFonts w:ascii="Calibri" w:hAnsi="Calibri" w:cs="Calibri"/>
          <w:sz w:val="24"/>
          <w:szCs w:val="24"/>
          <w:lang w:val="en-GB"/>
        </w:rPr>
        <w:t xml:space="preserve"> The top three causes were cited as bullying/harassment (67%), breakdown of relationship with manager (54%) and relationships with colleagues (49%). 37% of those surveyed named issues with grading and salary as the main cause of grievance. Grievances can be raised by individuals or collectively as a group of people.</w:t>
      </w:r>
    </w:p>
    <w:p w14:paraId="0F3CABC7">
      <w:pPr>
        <w:pStyle w:val="10"/>
        <w:rPr>
          <w:rFonts w:ascii="Calibri" w:hAnsi="Calibri" w:cs="Calibri"/>
          <w:sz w:val="24"/>
          <w:szCs w:val="24"/>
          <w:lang w:val="en-GB"/>
        </w:rPr>
      </w:pPr>
    </w:p>
    <w:p w14:paraId="00DE36FA">
      <w:pPr>
        <w:pStyle w:val="10"/>
        <w:rPr>
          <w:rFonts w:ascii="Calibri" w:hAnsi="Calibri" w:cs="Calibri"/>
          <w:sz w:val="24"/>
          <w:szCs w:val="24"/>
          <w:lang w:val="en-GB"/>
        </w:rPr>
      </w:pPr>
      <w:r>
        <w:rPr>
          <w:rFonts w:ascii="Calibri" w:hAnsi="Calibri" w:cs="Calibri"/>
          <w:sz w:val="24"/>
          <w:szCs w:val="24"/>
          <w:lang w:val="en-GB"/>
        </w:rPr>
        <w:t>Bullying and Harassment: ACAS (2025), describes bullying as behaviour that is conducted by an individual or group that could be deemed as ‘offensive, intimidating, malicious or insulting’. Some examples of bullying include criticising or putting someone down, spreading rumours about a colleague and posting offensive comments or photos of someone on social media. In some cases, bullying can turn into harassment if it relates to one of the characteristics set out in the Equality Act 2021. In a 2013 report produced by Unison, they outlines the  cost of bullying can have a great impact to the organisation but more so to the individuals themselves. Bullying and harassment can put a heavy psychological strain on an employee and result in loss of confidence and self- esteem and can have a significant impact on mental and physical well being.</w:t>
      </w:r>
    </w:p>
    <w:p w14:paraId="5B08B5D1">
      <w:pPr>
        <w:pStyle w:val="10"/>
        <w:rPr>
          <w:rFonts w:ascii="Calibri" w:hAnsi="Calibri" w:cs="Calibri"/>
          <w:sz w:val="24"/>
          <w:szCs w:val="24"/>
          <w:lang w:val="en-GB"/>
        </w:rPr>
      </w:pPr>
    </w:p>
    <w:p w14:paraId="37DE1BAE">
      <w:pPr>
        <w:pStyle w:val="10"/>
        <w:rPr>
          <w:rFonts w:ascii="Calibri" w:hAnsi="Calibri" w:cs="Calibri"/>
          <w:sz w:val="24"/>
          <w:szCs w:val="24"/>
          <w:lang w:val="en-GB"/>
        </w:rPr>
      </w:pPr>
      <w:r>
        <w:rPr>
          <w:rFonts w:ascii="Calibri" w:hAnsi="Calibri" w:cs="Calibri"/>
          <w:sz w:val="24"/>
          <w:szCs w:val="24"/>
          <w:lang w:val="en-GB"/>
        </w:rPr>
        <w:t xml:space="preserve">Breakdown of relationship with manager/colleagues: In any work environment, conflict will occur whether that is between two individuals or within groups or teams of people. According to the 2020 report produced by the CIPD: Managing conflict in the modern workplace, 26% of 116 respondents agreed that workplace conflict was a common occurrence. 35% of those questioned referred to interpersonal conflict, which could be an isolated case or an ongoing dispute. There could be a number of reasons for the conflict including clash of personalities, differences of opinions and tensions. Conflict can also occur when managing performance issues. This can be attributed to managers dealing with difficult situations head on and not letting things fester. This can be misinterpreted by employees and lead to conflict of some nature. </w:t>
      </w:r>
    </w:p>
    <w:p w14:paraId="4B1F511A">
      <w:pPr>
        <w:pStyle w:val="10"/>
        <w:rPr>
          <w:rFonts w:ascii="Calibri" w:hAnsi="Calibri" w:cs="Calibri"/>
          <w:sz w:val="24"/>
          <w:szCs w:val="24"/>
          <w:lang w:val="en-GB"/>
        </w:rPr>
      </w:pPr>
    </w:p>
    <w:p w14:paraId="258EB138">
      <w:pPr>
        <w:pStyle w:val="10"/>
        <w:rPr>
          <w:rFonts w:ascii="Calibri" w:hAnsi="Calibri" w:cs="Calibri"/>
          <w:sz w:val="24"/>
          <w:szCs w:val="24"/>
          <w:lang w:val="en-GB"/>
        </w:rPr>
      </w:pPr>
      <w:r>
        <w:rPr>
          <w:rFonts w:ascii="Calibri" w:hAnsi="Calibri" w:cs="Calibri"/>
          <w:sz w:val="24"/>
          <w:szCs w:val="24"/>
          <w:lang w:val="en-GB"/>
        </w:rPr>
        <w:t>Terms and conditions including salary:</w:t>
      </w:r>
    </w:p>
    <w:p w14:paraId="02E261EA">
      <w:pPr>
        <w:pStyle w:val="10"/>
        <w:rPr>
          <w:rFonts w:ascii="Calibri" w:hAnsi="Calibri" w:cs="Calibri"/>
          <w:sz w:val="24"/>
          <w:szCs w:val="24"/>
          <w:lang w:val="en-GB"/>
        </w:rPr>
      </w:pPr>
      <w:r>
        <w:rPr>
          <w:rFonts w:ascii="Calibri" w:hAnsi="Calibri" w:cs="Calibri"/>
          <w:sz w:val="24"/>
          <w:szCs w:val="24"/>
          <w:lang w:val="en-GB"/>
        </w:rPr>
        <w:t xml:space="preserve">Employees will often raise a grievance if they feel that the original terms and conditions of employment have been breached including those set out in their employment contract, statutory rights and any policies set out in the staff handbook. Examples of these rights could include deductions in salary, the right to minimum wage and holiday pay. These grievances may be brought by an individual or collectively as a group, very often being represented by a union or non-union representative (TUC, 2021). </w:t>
      </w:r>
    </w:p>
    <w:p w14:paraId="65F9C3DC">
      <w:pPr>
        <w:pStyle w:val="10"/>
        <w:rPr>
          <w:rFonts w:ascii="Calibri" w:hAnsi="Calibri"/>
          <w:sz w:val="24"/>
          <w:szCs w:val="24"/>
        </w:rPr>
      </w:pPr>
    </w:p>
    <w:p w14:paraId="6E1D5050">
      <w:pPr>
        <w:pStyle w:val="10"/>
        <w:rPr>
          <w:rFonts w:hint="default" w:ascii="Calibri" w:hAnsi="Calibri"/>
          <w:sz w:val="24"/>
          <w:szCs w:val="24"/>
          <w:lang w:val="en-GB"/>
        </w:rPr>
      </w:pPr>
    </w:p>
    <w:p w14:paraId="2248CDDA">
      <w:pPr>
        <w:pStyle w:val="10"/>
        <w:rPr>
          <w:rFonts w:hint="default" w:ascii="Calibri" w:hAnsi="Calibri"/>
          <w:sz w:val="24"/>
          <w:szCs w:val="24"/>
          <w:lang w:val="en-GB"/>
        </w:rPr>
      </w:pPr>
    </w:p>
    <w:p w14:paraId="657FF4A0">
      <w:pPr>
        <w:pStyle w:val="10"/>
        <w:rPr>
          <w:rFonts w:ascii="Calibri" w:hAnsi="Calibri"/>
          <w:sz w:val="24"/>
          <w:szCs w:val="24"/>
        </w:rPr>
      </w:pPr>
    </w:p>
    <w:p w14:paraId="5023141B">
      <w:pPr>
        <w:pStyle w:val="10"/>
        <w:rPr>
          <w:rFonts w:ascii="Calibri" w:hAnsi="Calibri"/>
          <w:sz w:val="24"/>
          <w:szCs w:val="24"/>
        </w:rPr>
      </w:pPr>
    </w:p>
    <w:p w14:paraId="2CD1B496">
      <w:pPr>
        <w:pStyle w:val="10"/>
        <w:rPr>
          <w:rFonts w:ascii="Calibri" w:hAnsi="Calibri"/>
          <w:b/>
          <w:bCs/>
          <w:color w:val="004147"/>
          <w:sz w:val="24"/>
          <w:szCs w:val="24"/>
          <w:u w:color="004147"/>
          <w:lang w:val="en-GB"/>
        </w:rPr>
      </w:pPr>
      <w:r>
        <w:rPr>
          <w:rFonts w:ascii="Calibri" w:hAnsi="Calibri"/>
          <w:b/>
          <w:bCs/>
          <w:color w:val="004147"/>
          <w:sz w:val="24"/>
          <w:szCs w:val="24"/>
          <w:u w:color="004147"/>
        </w:rPr>
        <w:t xml:space="preserve">AC </w:t>
      </w:r>
      <w:r>
        <w:rPr>
          <w:rFonts w:ascii="Calibri" w:hAnsi="Calibri"/>
          <w:b/>
          <w:bCs/>
          <w:color w:val="004147"/>
          <w:sz w:val="24"/>
          <w:szCs w:val="24"/>
          <w:u w:color="004147"/>
          <w:lang w:val="en-GB"/>
        </w:rPr>
        <w:t>3.3</w:t>
      </w:r>
    </w:p>
    <w:p w14:paraId="1F3B1409">
      <w:pPr>
        <w:pStyle w:val="10"/>
        <w:rPr>
          <w:rFonts w:ascii="Calibri" w:hAnsi="Calibri"/>
          <w:b/>
          <w:bCs/>
          <w:color w:val="004147"/>
          <w:sz w:val="24"/>
          <w:szCs w:val="24"/>
          <w:u w:color="004147"/>
          <w:lang w:val="en-GB"/>
        </w:rPr>
      </w:pPr>
    </w:p>
    <w:p w14:paraId="342CDE2D">
      <w:pPr>
        <w:pStyle w:val="10"/>
        <w:numPr>
          <w:ilvl w:val="255"/>
          <w:numId w:val="0"/>
        </w:numPr>
        <w:rPr>
          <w:rFonts w:ascii="Calibri" w:hAnsi="Calibri"/>
          <w:b/>
          <w:bCs/>
          <w:color w:val="000000" w:themeColor="text1"/>
          <w:sz w:val="24"/>
          <w:szCs w:val="24"/>
          <w:u w:color="004147"/>
          <w:lang w:val="en-GB"/>
          <w14:textFill>
            <w14:solidFill>
              <w14:schemeClr w14:val="tx1"/>
            </w14:solidFill>
          </w14:textFill>
        </w:rPr>
      </w:pPr>
      <w:r>
        <w:rPr>
          <w:rFonts w:ascii="Calibri" w:hAnsi="Calibri"/>
          <w:b/>
          <w:bCs/>
          <w:color w:val="000000" w:themeColor="text1"/>
          <w:sz w:val="24"/>
          <w:szCs w:val="24"/>
          <w:u w:color="004147"/>
          <w:lang w:val="en-GB"/>
          <w14:textFill>
            <w14:solidFill>
              <w14:schemeClr w14:val="tx1"/>
            </w14:solidFill>
          </w14:textFill>
        </w:rPr>
        <w:t>Advise on the importance of handling grievances effectively.</w:t>
      </w:r>
    </w:p>
    <w:p w14:paraId="562C75D1">
      <w:pPr>
        <w:pStyle w:val="10"/>
        <w:numPr>
          <w:ilvl w:val="255"/>
          <w:numId w:val="0"/>
        </w:numPr>
        <w:rPr>
          <w:rFonts w:ascii="Calibri" w:hAnsi="Calibri"/>
          <w:color w:val="000000" w:themeColor="text1"/>
          <w:sz w:val="24"/>
          <w:szCs w:val="24"/>
          <w:u w:color="004147"/>
          <w:lang w:val="en-GB"/>
          <w14:textFill>
            <w14:solidFill>
              <w14:schemeClr w14:val="tx1"/>
            </w14:solidFill>
          </w14:textFill>
        </w:rPr>
      </w:pPr>
    </w:p>
    <w:p w14:paraId="4B9E07CA">
      <w:pPr>
        <w:pStyle w:val="10"/>
        <w:numPr>
          <w:ilvl w:val="255"/>
          <w:numId w:val="0"/>
        </w:numPr>
        <w:rPr>
          <w:rFonts w:hint="default" w:ascii="Calibri" w:hAnsi="Calibri"/>
          <w:color w:val="000000" w:themeColor="text1"/>
          <w:sz w:val="24"/>
          <w:szCs w:val="24"/>
          <w:u w:color="004147"/>
          <w:lang w:val="en-GB"/>
          <w14:textFill>
            <w14:solidFill>
              <w14:schemeClr w14:val="tx1"/>
            </w14:solidFill>
          </w14:textFill>
        </w:rPr>
      </w:pPr>
      <w:r>
        <w:rPr>
          <w:rFonts w:ascii="Calibri" w:hAnsi="Calibri"/>
          <w:color w:val="000000" w:themeColor="text1"/>
          <w:sz w:val="24"/>
          <w:szCs w:val="24"/>
          <w:u w:color="004147"/>
          <w:lang w:val="en-GB"/>
          <w14:textFill>
            <w14:solidFill>
              <w14:schemeClr w14:val="tx1"/>
            </w14:solidFill>
          </w14:textFill>
        </w:rPr>
        <w:t>In order for organisations to maintain harmony and morale, they need to ensure that they have effective procedures in place to handle any complaints in order to prevent any formal grievances being lodged. According to ACAS, 2020, organisations that have clear lines of communication when dealing with any issues, will effectively handle grievances at an earlier stage, therefore prevent them from escalating into more challenging situations. Employers should promote a culture where employees are happy to come forward to discuss any concerns that they have in order to proactively mitigate any future, formal grievances. If grievances are dealt with in a professional manner, this will promote employees to feel more confident to come forward with their concerns in a less formal way, knowing that they will be listened to and the matter handled with impartiality and careful consideration</w:t>
      </w:r>
      <w:r>
        <w:rPr>
          <w:rFonts w:hint="default" w:ascii="Calibri" w:hAnsi="Calibri"/>
          <w:color w:val="000000" w:themeColor="text1"/>
          <w:sz w:val="24"/>
          <w:szCs w:val="24"/>
          <w:u w:color="004147"/>
          <w:lang w:val="en-GB"/>
          <w14:textFill>
            <w14:solidFill>
              <w14:schemeClr w14:val="tx1"/>
            </w14:solidFill>
          </w14:textFill>
        </w:rPr>
        <w:t xml:space="preserve"> (Personnel Today, 2014).</w:t>
      </w:r>
    </w:p>
    <w:p w14:paraId="664355AD">
      <w:pPr>
        <w:pStyle w:val="10"/>
        <w:numPr>
          <w:ilvl w:val="255"/>
          <w:numId w:val="0"/>
        </w:numPr>
        <w:rPr>
          <w:rFonts w:ascii="Calibri" w:hAnsi="Calibri"/>
          <w:color w:val="000000" w:themeColor="text1"/>
          <w:sz w:val="24"/>
          <w:szCs w:val="24"/>
          <w:u w:color="004147"/>
          <w:lang w:val="en-GB"/>
          <w14:textFill>
            <w14:solidFill>
              <w14:schemeClr w14:val="tx1"/>
            </w14:solidFill>
          </w14:textFill>
        </w:rPr>
      </w:pPr>
    </w:p>
    <w:p w14:paraId="1AD391E8">
      <w:pPr>
        <w:pStyle w:val="10"/>
        <w:numPr>
          <w:ilvl w:val="255"/>
          <w:numId w:val="0"/>
        </w:numPr>
        <w:rPr>
          <w:rFonts w:hint="default" w:ascii="Calibri" w:hAnsi="Calibri" w:cs="Calibri"/>
          <w:sz w:val="24"/>
          <w:szCs w:val="24"/>
          <w:lang w:val="en-GB"/>
        </w:rPr>
      </w:pPr>
      <w:r>
        <w:rPr>
          <w:rFonts w:ascii="Calibri" w:hAnsi="Calibri" w:cs="Calibri"/>
          <w:sz w:val="24"/>
          <w:szCs w:val="24"/>
          <w:lang w:val="en-GB"/>
        </w:rPr>
        <w:t xml:space="preserve"> It is important to ensure that a comprehensive grievance procedure is in place so that employees are familiar with the process for reporting issues.  The ACAS Code of Practice for Disciplinary and Grievance Procedures should be used to as a guideline to produce this policy. This process could include recommendations to discuss the concern with their line manager in the first instance to to try to resolve at an earlier stage. Grievances can cause serious damage to employee relationships and also affect the physical and mental health of those involved. This can be done by informal means such as mediation, by training managers to identify issues at an early stage and settling issues before they become more serious</w:t>
      </w:r>
      <w:r>
        <w:rPr>
          <w:rFonts w:hint="default" w:ascii="Calibri" w:hAnsi="Calibri" w:cs="Calibri"/>
          <w:sz w:val="24"/>
          <w:szCs w:val="24"/>
          <w:lang w:val="en-GB"/>
        </w:rPr>
        <w:t xml:space="preserve"> (ACAS, 2020).</w:t>
      </w:r>
    </w:p>
    <w:p w14:paraId="1A965116">
      <w:pPr>
        <w:pStyle w:val="10"/>
        <w:numPr>
          <w:ilvl w:val="255"/>
          <w:numId w:val="0"/>
        </w:numPr>
        <w:rPr>
          <w:rFonts w:ascii="Calibri" w:hAnsi="Calibri" w:cs="Calibri"/>
          <w:sz w:val="24"/>
          <w:szCs w:val="24"/>
          <w:lang w:val="en-GB"/>
        </w:rPr>
      </w:pPr>
    </w:p>
    <w:p w14:paraId="6C2BEE34">
      <w:pPr>
        <w:pStyle w:val="10"/>
        <w:rPr>
          <w:rFonts w:ascii="Calibri" w:hAnsi="Calibri" w:cs="Calibri"/>
          <w:sz w:val="24"/>
          <w:szCs w:val="24"/>
          <w:lang w:val="en-GB"/>
        </w:rPr>
      </w:pPr>
      <w:r>
        <w:rPr>
          <w:rFonts w:ascii="Calibri" w:hAnsi="Calibri" w:cs="Calibri"/>
          <w:sz w:val="24"/>
          <w:szCs w:val="24"/>
          <w:lang w:val="en-GB"/>
        </w:rPr>
        <w:t xml:space="preserve">Handling grievances can be costly for the organisation. According to the Managing Conflict in the Modern Workplace 2020 report produced by the CIPD, dealing with a single grievance can take up to 5 working days which can be be financially costly, absorb the use of People Practitioners in unnecessary grievance cases and damage the reputation of the organisation. </w:t>
      </w:r>
    </w:p>
    <w:p w14:paraId="7DF4E37C">
      <w:pPr>
        <w:pStyle w:val="10"/>
        <w:rPr>
          <w:rFonts w:ascii="Calibri" w:hAnsi="Calibri" w:cs="Calibri"/>
          <w:sz w:val="24"/>
          <w:szCs w:val="24"/>
          <w:lang w:val="en-GB"/>
        </w:rPr>
      </w:pPr>
    </w:p>
    <w:p w14:paraId="007DCDA8">
      <w:pPr>
        <w:pStyle w:val="10"/>
        <w:rPr>
          <w:rFonts w:hint="default" w:ascii="Calibri" w:hAnsi="Calibri"/>
          <w:color w:val="000000" w:themeColor="text1"/>
          <w:sz w:val="24"/>
          <w:szCs w:val="24"/>
          <w:u w:color="004147"/>
          <w:lang w:val="en-GB"/>
          <w14:textFill>
            <w14:solidFill>
              <w14:schemeClr w14:val="tx1"/>
            </w14:solidFill>
          </w14:textFill>
        </w:rPr>
      </w:pPr>
      <w:r>
        <w:rPr>
          <w:rFonts w:ascii="Calibri" w:hAnsi="Calibri" w:cs="Calibri"/>
          <w:sz w:val="24"/>
          <w:szCs w:val="24"/>
          <w:lang w:val="en-GB"/>
        </w:rPr>
        <w:t xml:space="preserve">My recommendations to ensure that a positive culture is created as part of the departments merging would be </w:t>
      </w:r>
      <w:r>
        <w:rPr>
          <w:rFonts w:hint="default" w:ascii="Calibri" w:hAnsi="Calibri" w:cs="Calibri"/>
          <w:sz w:val="24"/>
          <w:szCs w:val="24"/>
          <w:lang w:val="en-GB"/>
        </w:rPr>
        <w:t>to e</w:t>
      </w:r>
      <w:r>
        <w:rPr>
          <w:rFonts w:ascii="Calibri" w:hAnsi="Calibri" w:cs="Calibri"/>
          <w:sz w:val="24"/>
          <w:szCs w:val="24"/>
          <w:lang w:val="en-GB"/>
        </w:rPr>
        <w:t>nsure that the Grievance procedure fully meets the recommendations within the ACAS Code of Practice</w:t>
      </w:r>
      <w:r>
        <w:rPr>
          <w:rFonts w:hint="default" w:ascii="Calibri" w:hAnsi="Calibri" w:cs="Calibri"/>
          <w:sz w:val="24"/>
          <w:szCs w:val="24"/>
          <w:lang w:val="en-GB"/>
        </w:rPr>
        <w:t xml:space="preserve"> and is distributed and effectively communicated to all employees. I would also recommend that managers have training on the use of the policy to ensure that all issues are dealt with at the informal stages and following this to conduct a reflective exercise to record the lessons learned.</w:t>
      </w:r>
    </w:p>
    <w:p w14:paraId="450EA2D7">
      <w:pPr>
        <w:pStyle w:val="10"/>
        <w:numPr>
          <w:ilvl w:val="255"/>
          <w:numId w:val="0"/>
        </w:numPr>
        <w:rPr>
          <w:rFonts w:ascii="Calibri" w:hAnsi="Calibri"/>
          <w:color w:val="000000" w:themeColor="text1"/>
          <w:sz w:val="24"/>
          <w:szCs w:val="24"/>
          <w:u w:color="004147"/>
          <w:lang w:val="en-GB"/>
          <w14:textFill>
            <w14:solidFill>
              <w14:schemeClr w14:val="tx1"/>
            </w14:solidFill>
          </w14:textFill>
        </w:rPr>
      </w:pPr>
    </w:p>
    <w:p w14:paraId="3DD355C9">
      <w:pPr>
        <w:pStyle w:val="10"/>
        <w:numPr>
          <w:ilvl w:val="255"/>
          <w:numId w:val="0"/>
        </w:numPr>
        <w:rPr>
          <w:rFonts w:ascii="Calibri" w:hAnsi="Calibri"/>
          <w:color w:val="000000" w:themeColor="text1"/>
          <w:sz w:val="24"/>
          <w:szCs w:val="24"/>
          <w:u w:color="004147"/>
          <w:lang w:val="en-GB"/>
          <w14:textFill>
            <w14:solidFill>
              <w14:schemeClr w14:val="tx1"/>
            </w14:solidFill>
          </w14:textFill>
        </w:rPr>
      </w:pPr>
    </w:p>
    <w:p w14:paraId="1A81F0B1">
      <w:pPr>
        <w:pStyle w:val="10"/>
        <w:numPr>
          <w:ilvl w:val="255"/>
          <w:numId w:val="0"/>
        </w:numPr>
        <w:rPr>
          <w:rFonts w:ascii="Calibri" w:hAnsi="Calibri"/>
          <w:color w:val="000000" w:themeColor="text1"/>
          <w:sz w:val="24"/>
          <w:szCs w:val="24"/>
          <w:u w:color="004147"/>
          <w:lang w:val="en-GB"/>
          <w14:textFill>
            <w14:solidFill>
              <w14:schemeClr w14:val="tx1"/>
            </w14:solidFill>
          </w14:textFill>
        </w:rPr>
      </w:pPr>
    </w:p>
    <w:p w14:paraId="5A013FD7">
      <w:pPr>
        <w:pStyle w:val="10"/>
        <w:numPr>
          <w:ilvl w:val="255"/>
          <w:numId w:val="0"/>
        </w:numPr>
        <w:rPr>
          <w:rFonts w:ascii="Calibri" w:hAnsi="Calibri"/>
          <w:color w:val="000000" w:themeColor="text1"/>
          <w:sz w:val="24"/>
          <w:szCs w:val="24"/>
          <w:u w:color="004147"/>
          <w:lang w:val="en-GB"/>
          <w14:textFill>
            <w14:solidFill>
              <w14:schemeClr w14:val="tx1"/>
            </w14:solidFill>
          </w14:textFill>
        </w:rPr>
      </w:pPr>
    </w:p>
    <w:p w14:paraId="7ED4D87A">
      <w:pPr>
        <w:pStyle w:val="10"/>
        <w:numPr>
          <w:ilvl w:val="255"/>
          <w:numId w:val="0"/>
        </w:numPr>
        <w:rPr>
          <w:rFonts w:ascii="Calibri" w:hAnsi="Calibri"/>
          <w:color w:val="000000" w:themeColor="text1"/>
          <w:sz w:val="24"/>
          <w:szCs w:val="24"/>
          <w:u w:color="004147"/>
          <w:lang w:val="en-GB"/>
          <w14:textFill>
            <w14:solidFill>
              <w14:schemeClr w14:val="tx1"/>
            </w14:solidFill>
          </w14:textFill>
        </w:rPr>
      </w:pPr>
    </w:p>
    <w:p w14:paraId="21B1BB96">
      <w:pPr>
        <w:pStyle w:val="10"/>
        <w:numPr>
          <w:ilvl w:val="255"/>
          <w:numId w:val="0"/>
        </w:numPr>
        <w:rPr>
          <w:rFonts w:ascii="Calibri" w:hAnsi="Calibri"/>
          <w:color w:val="000000" w:themeColor="text1"/>
          <w:sz w:val="24"/>
          <w:szCs w:val="24"/>
          <w:u w:color="004147"/>
          <w:lang w:val="en-GB"/>
          <w14:textFill>
            <w14:solidFill>
              <w14:schemeClr w14:val="tx1"/>
            </w14:solidFill>
          </w14:textFill>
        </w:rPr>
      </w:pPr>
      <w:bookmarkStart w:id="0" w:name="_GoBack"/>
      <w:bookmarkEnd w:id="0"/>
    </w:p>
    <w:p w14:paraId="717AAFBA">
      <w:pPr>
        <w:pStyle w:val="10"/>
        <w:numPr>
          <w:ilvl w:val="255"/>
          <w:numId w:val="0"/>
        </w:numPr>
        <w:rPr>
          <w:rFonts w:ascii="Calibri" w:hAnsi="Calibri"/>
          <w:color w:val="000000" w:themeColor="text1"/>
          <w:sz w:val="24"/>
          <w:szCs w:val="24"/>
          <w:u w:color="004147"/>
          <w:lang w:val="en-GB"/>
          <w14:textFill>
            <w14:solidFill>
              <w14:schemeClr w14:val="tx1"/>
            </w14:solidFill>
          </w14:textFill>
        </w:rPr>
      </w:pPr>
    </w:p>
    <w:p w14:paraId="6B9F123D">
      <w:pPr>
        <w:pStyle w:val="10"/>
        <w:numPr>
          <w:ilvl w:val="255"/>
          <w:numId w:val="0"/>
        </w:numPr>
        <w:jc w:val="center"/>
        <w:rPr>
          <w:rFonts w:ascii="Calibri" w:hAnsi="Calibri"/>
          <w:b/>
          <w:bCs/>
          <w:color w:val="000000" w:themeColor="text1"/>
          <w:sz w:val="24"/>
          <w:szCs w:val="24"/>
          <w:u w:color="004147"/>
          <w:lang w:val="en-GB"/>
          <w14:textFill>
            <w14:solidFill>
              <w14:schemeClr w14:val="tx1"/>
            </w14:solidFill>
          </w14:textFill>
        </w:rPr>
      </w:pPr>
      <w:r>
        <w:rPr>
          <w:rFonts w:ascii="Calibri" w:hAnsi="Calibri"/>
          <w:b/>
          <w:bCs/>
          <w:color w:val="000000" w:themeColor="text1"/>
          <w:sz w:val="24"/>
          <w:szCs w:val="24"/>
          <w:u w:color="004147"/>
          <w:lang w:val="en-GB"/>
          <w14:textFill>
            <w14:solidFill>
              <w14:schemeClr w14:val="tx1"/>
            </w14:solidFill>
          </w14:textFill>
        </w:rPr>
        <w:t>Bibliography</w:t>
      </w:r>
    </w:p>
    <w:p w14:paraId="56EE48EE">
      <w:pPr>
        <w:pStyle w:val="10"/>
        <w:numPr>
          <w:ilvl w:val="255"/>
          <w:numId w:val="0"/>
        </w:numPr>
        <w:jc w:val="center"/>
        <w:rPr>
          <w:rFonts w:ascii="Calibri" w:hAnsi="Calibri"/>
          <w:b/>
          <w:bCs/>
          <w:color w:val="000000" w:themeColor="text1"/>
          <w:sz w:val="24"/>
          <w:szCs w:val="24"/>
          <w:u w:color="004147"/>
          <w:lang w:val="en-GB"/>
          <w14:textFill>
            <w14:solidFill>
              <w14:schemeClr w14:val="tx1"/>
            </w14:solidFill>
          </w14:textFill>
        </w:rPr>
      </w:pPr>
    </w:p>
    <w:p w14:paraId="1C547FA9">
      <w:pPr>
        <w:pStyle w:val="10"/>
        <w:numPr>
          <w:ilvl w:val="255"/>
          <w:numId w:val="0"/>
        </w:numPr>
        <w:rPr>
          <w:rFonts w:ascii="Calibri" w:hAnsi="Calibri" w:cs="Calibri"/>
          <w:b/>
          <w:bCs/>
          <w:color w:val="000000" w:themeColor="text1"/>
          <w:sz w:val="24"/>
          <w:szCs w:val="24"/>
          <w:u w:color="004147"/>
          <w:lang w:val="en-GB"/>
          <w14:textFill>
            <w14:solidFill>
              <w14:schemeClr w14:val="tx1"/>
            </w14:solidFill>
          </w14:textFill>
        </w:rPr>
      </w:pPr>
      <w:r>
        <w:rPr>
          <w:rFonts w:ascii="Calibri" w:hAnsi="Calibri" w:eastAsia="avenir-regular-class" w:cs="Calibri"/>
          <w:color w:val="333333"/>
          <w:sz w:val="24"/>
          <w:szCs w:val="24"/>
          <w:shd w:val="clear" w:color="auto" w:fill="FBFBFB"/>
        </w:rPr>
        <w:t>ACAS (2022) </w:t>
      </w:r>
      <w:r>
        <w:rPr>
          <w:rFonts w:ascii="Calibri" w:hAnsi="Calibri" w:eastAsia="avenir-regular-class" w:cs="Calibri"/>
          <w:i/>
          <w:iCs/>
          <w:color w:val="333333"/>
          <w:sz w:val="24"/>
          <w:szCs w:val="24"/>
          <w:shd w:val="clear" w:color="auto" w:fill="FBFBFB"/>
        </w:rPr>
        <w:t>Arbitration</w:t>
      </w:r>
      <w:r>
        <w:rPr>
          <w:rFonts w:ascii="Calibri" w:hAnsi="Calibri" w:eastAsia="avenir-regular-class" w:cs="Calibri"/>
          <w:color w:val="333333"/>
          <w:sz w:val="24"/>
          <w:szCs w:val="24"/>
          <w:shd w:val="clear" w:color="auto" w:fill="FBFBFB"/>
        </w:rPr>
        <w:t>. Available at: https://www.acas.org.uk/arbitration  (Accessed: 7 April 2025).</w:t>
      </w:r>
    </w:p>
    <w:p w14:paraId="2908EB2C">
      <w:pPr>
        <w:pStyle w:val="10"/>
        <w:numPr>
          <w:ilvl w:val="255"/>
          <w:numId w:val="0"/>
        </w:numPr>
        <w:jc w:val="center"/>
        <w:rPr>
          <w:rFonts w:ascii="Calibri" w:hAnsi="Calibri"/>
          <w:b/>
          <w:bCs/>
          <w:color w:val="000000" w:themeColor="text1"/>
          <w:sz w:val="24"/>
          <w:szCs w:val="24"/>
          <w:u w:color="004147"/>
          <w:lang w:val="en-GB"/>
          <w14:textFill>
            <w14:solidFill>
              <w14:schemeClr w14:val="tx1"/>
            </w14:solidFill>
          </w14:textFill>
        </w:rPr>
      </w:pPr>
    </w:p>
    <w:p w14:paraId="472FBE4D">
      <w:pPr>
        <w:pStyle w:val="10"/>
        <w:numPr>
          <w:ilvl w:val="255"/>
          <w:numId w:val="0"/>
        </w:numPr>
        <w:rPr>
          <w:rFonts w:ascii="Calibri" w:hAnsi="Calibri" w:eastAsia="avenir-regular-class" w:cs="Calibri"/>
          <w:color w:val="333333"/>
          <w:sz w:val="24"/>
          <w:szCs w:val="24"/>
          <w:shd w:val="clear" w:color="auto" w:fill="FBFBFB"/>
        </w:rPr>
      </w:pPr>
      <w:r>
        <w:rPr>
          <w:rFonts w:ascii="Calibri" w:hAnsi="Calibri" w:eastAsia="avenir-regular-class" w:cs="Calibri"/>
          <w:color w:val="333333"/>
          <w:sz w:val="24"/>
          <w:szCs w:val="24"/>
          <w:shd w:val="clear" w:color="auto" w:fill="FBFBFB"/>
        </w:rPr>
        <w:t>ACAS (2025) </w:t>
      </w:r>
      <w:r>
        <w:rPr>
          <w:rFonts w:ascii="Calibri" w:hAnsi="Calibri" w:eastAsia="avenir-regular-class" w:cs="Calibri"/>
          <w:i/>
          <w:iCs/>
          <w:color w:val="333333"/>
          <w:sz w:val="24"/>
          <w:szCs w:val="24"/>
          <w:shd w:val="clear" w:color="auto" w:fill="FBFBFB"/>
        </w:rPr>
        <w:t>Bullying at Work: What Bullying is</w:t>
      </w:r>
      <w:r>
        <w:rPr>
          <w:rFonts w:ascii="Calibri" w:hAnsi="Calibri" w:eastAsia="avenir-regular-class" w:cs="Calibri"/>
          <w:color w:val="333333"/>
          <w:sz w:val="24"/>
          <w:szCs w:val="24"/>
          <w:shd w:val="clear" w:color="auto" w:fill="FBFBFB"/>
        </w:rPr>
        <w:t>. Available at:https://www.acas.org.uk/bullying-at-work  (Accessed: 4 April 2025).</w:t>
      </w:r>
    </w:p>
    <w:p w14:paraId="121FD38A">
      <w:pPr>
        <w:pStyle w:val="10"/>
        <w:numPr>
          <w:ilvl w:val="255"/>
          <w:numId w:val="0"/>
        </w:numPr>
        <w:rPr>
          <w:rFonts w:ascii="Calibri" w:hAnsi="Calibri" w:eastAsia="avenir-regular-class" w:cs="Calibri"/>
          <w:color w:val="333333"/>
          <w:sz w:val="24"/>
          <w:szCs w:val="24"/>
          <w:shd w:val="clear" w:color="auto" w:fill="FBFBFB"/>
        </w:rPr>
      </w:pPr>
    </w:p>
    <w:p w14:paraId="2F048F09">
      <w:pPr>
        <w:pStyle w:val="10"/>
        <w:numPr>
          <w:ilvl w:val="255"/>
          <w:numId w:val="0"/>
        </w:numPr>
        <w:rPr>
          <w:rFonts w:ascii="Calibri" w:hAnsi="Calibri" w:eastAsia="avenir-regular-class" w:cs="Calibri"/>
          <w:color w:val="333333"/>
          <w:sz w:val="24"/>
          <w:szCs w:val="24"/>
          <w:shd w:val="clear" w:color="auto" w:fill="FBFBFB"/>
        </w:rPr>
      </w:pPr>
      <w:r>
        <w:rPr>
          <w:rFonts w:ascii="Calibri" w:hAnsi="Calibri" w:eastAsia="avenir-regular-class" w:cs="Calibri"/>
          <w:color w:val="333333"/>
          <w:sz w:val="24"/>
          <w:szCs w:val="24"/>
          <w:shd w:val="clear" w:color="auto" w:fill="FBFBFB"/>
        </w:rPr>
        <w:t>ACAS (2024) </w:t>
      </w:r>
      <w:r>
        <w:rPr>
          <w:rFonts w:ascii="Calibri" w:hAnsi="Calibri" w:eastAsia="avenir-regular-class" w:cs="Calibri"/>
          <w:i/>
          <w:iCs/>
          <w:color w:val="333333"/>
          <w:sz w:val="24"/>
          <w:szCs w:val="24"/>
          <w:shd w:val="clear" w:color="auto" w:fill="FBFBFB"/>
        </w:rPr>
        <w:t>Dismissal: Unfair Dismissals</w:t>
      </w:r>
      <w:r>
        <w:rPr>
          <w:rFonts w:ascii="Calibri" w:hAnsi="Calibri" w:eastAsia="avenir-regular-class" w:cs="Calibri"/>
          <w:color w:val="333333"/>
          <w:sz w:val="24"/>
          <w:szCs w:val="24"/>
          <w:shd w:val="clear" w:color="auto" w:fill="FBFBFB"/>
        </w:rPr>
        <w:t>. Available at: https://www.acas.org.uk/dismissals/unfair-dismissal#:~:text=It%20might%20be%20unfair%20dismissal,not%20follow%20a%20fair%20procedure (Accessed: 4 April 2025).</w:t>
      </w:r>
    </w:p>
    <w:p w14:paraId="1FE2DD96">
      <w:pPr>
        <w:pStyle w:val="10"/>
        <w:numPr>
          <w:ilvl w:val="255"/>
          <w:numId w:val="0"/>
        </w:numPr>
        <w:rPr>
          <w:rFonts w:ascii="Calibri" w:hAnsi="Calibri" w:eastAsia="avenir-regular-class" w:cs="Calibri"/>
          <w:color w:val="333333"/>
          <w:sz w:val="24"/>
          <w:szCs w:val="24"/>
          <w:shd w:val="clear" w:color="auto" w:fill="FBFBFB"/>
        </w:rPr>
      </w:pPr>
    </w:p>
    <w:p w14:paraId="0B247260">
      <w:pPr>
        <w:pStyle w:val="10"/>
        <w:numPr>
          <w:ilvl w:val="255"/>
          <w:numId w:val="0"/>
        </w:numPr>
        <w:rPr>
          <w:rFonts w:ascii="Calibri" w:hAnsi="Calibri" w:eastAsia="avenir-regular-class" w:cs="Calibri"/>
          <w:color w:val="333333"/>
          <w:sz w:val="24"/>
          <w:szCs w:val="24"/>
          <w:shd w:val="clear" w:color="auto" w:fill="FBFBFB"/>
        </w:rPr>
      </w:pPr>
      <w:r>
        <w:rPr>
          <w:rFonts w:ascii="Calibri" w:hAnsi="Calibri" w:eastAsia="avenir-regular-class" w:cs="Calibri"/>
          <w:color w:val="333333"/>
          <w:sz w:val="24"/>
          <w:szCs w:val="24"/>
          <w:shd w:val="clear" w:color="auto" w:fill="FBFBFB"/>
        </w:rPr>
        <w:t>ACAS (2020) </w:t>
      </w:r>
      <w:r>
        <w:rPr>
          <w:rFonts w:ascii="Calibri" w:hAnsi="Calibri" w:eastAsia="avenir-regular-class" w:cs="Calibri"/>
          <w:i/>
          <w:iCs/>
          <w:color w:val="333333"/>
          <w:sz w:val="24"/>
          <w:szCs w:val="24"/>
          <w:shd w:val="clear" w:color="auto" w:fill="FBFBFB"/>
        </w:rPr>
        <w:t>Discipline and Grievances at Work</w:t>
      </w:r>
      <w:r>
        <w:rPr>
          <w:rFonts w:ascii="Calibri" w:hAnsi="Calibri" w:eastAsia="avenir-regular-class" w:cs="Calibri"/>
          <w:color w:val="333333"/>
          <w:sz w:val="24"/>
          <w:szCs w:val="24"/>
          <w:shd w:val="clear" w:color="auto" w:fill="FBFBFB"/>
        </w:rPr>
        <w:t>. Available at: https://www.acas.org.uk/sites/default/files/2024-08/discipline-and-grievances-at-work-the-acas-guide.pdf (Accessed: 7 April 2025).</w:t>
      </w:r>
    </w:p>
    <w:p w14:paraId="27357532">
      <w:pPr>
        <w:pStyle w:val="10"/>
        <w:numPr>
          <w:ilvl w:val="255"/>
          <w:numId w:val="0"/>
        </w:numPr>
        <w:rPr>
          <w:rFonts w:ascii="Calibri" w:hAnsi="Calibri" w:eastAsia="avenir-regular-class" w:cs="Calibri"/>
          <w:color w:val="333333"/>
          <w:sz w:val="24"/>
          <w:szCs w:val="24"/>
          <w:shd w:val="clear" w:color="auto" w:fill="FBFBFB"/>
        </w:rPr>
      </w:pPr>
    </w:p>
    <w:p w14:paraId="1DF14720">
      <w:pPr>
        <w:pStyle w:val="10"/>
        <w:numPr>
          <w:ilvl w:val="255"/>
          <w:numId w:val="0"/>
        </w:numPr>
        <w:rPr>
          <w:rFonts w:ascii="Calibri" w:hAnsi="Calibri" w:eastAsia="avenir-regular-class" w:cs="Calibri"/>
          <w:color w:val="333333"/>
          <w:sz w:val="24"/>
          <w:szCs w:val="24"/>
          <w:shd w:val="clear" w:color="auto" w:fill="FBFBFB"/>
        </w:rPr>
      </w:pPr>
      <w:r>
        <w:rPr>
          <w:rFonts w:ascii="Calibri" w:hAnsi="Calibri" w:eastAsia="avenir-regular-class" w:cs="Calibri"/>
          <w:color w:val="333333"/>
          <w:sz w:val="24"/>
          <w:szCs w:val="24"/>
          <w:shd w:val="clear" w:color="auto" w:fill="FBFBFB"/>
        </w:rPr>
        <w:t>ACAS (2024) </w:t>
      </w:r>
      <w:r>
        <w:rPr>
          <w:rFonts w:ascii="Calibri" w:hAnsi="Calibri" w:eastAsia="avenir-regular-class" w:cs="Calibri"/>
          <w:i/>
          <w:iCs/>
          <w:color w:val="333333"/>
          <w:sz w:val="24"/>
          <w:szCs w:val="24"/>
          <w:shd w:val="clear" w:color="auto" w:fill="FBFBFB"/>
        </w:rPr>
        <w:t>Early Conciliation: If you Want to make a Claim</w:t>
      </w:r>
      <w:r>
        <w:rPr>
          <w:rFonts w:ascii="Calibri" w:hAnsi="Calibri" w:eastAsia="avenir-regular-class" w:cs="Calibri"/>
          <w:color w:val="333333"/>
          <w:sz w:val="24"/>
          <w:szCs w:val="24"/>
          <w:shd w:val="clear" w:color="auto" w:fill="FBFBFB"/>
        </w:rPr>
        <w:t>. Available at:  https://www.acas.org.uk/early-conciliation (Accessed: 7 April 2025).</w:t>
      </w:r>
    </w:p>
    <w:p w14:paraId="07F023C8">
      <w:pPr>
        <w:pStyle w:val="10"/>
        <w:numPr>
          <w:ilvl w:val="255"/>
          <w:numId w:val="0"/>
        </w:numPr>
        <w:rPr>
          <w:rFonts w:ascii="Calibri" w:hAnsi="Calibri" w:eastAsia="avenir-regular-class" w:cs="Calibri"/>
          <w:color w:val="333333"/>
          <w:sz w:val="24"/>
          <w:szCs w:val="24"/>
          <w:shd w:val="clear" w:color="auto" w:fill="FBFBFB"/>
        </w:rPr>
      </w:pPr>
    </w:p>
    <w:p w14:paraId="0CB2DE54">
      <w:pPr>
        <w:pStyle w:val="10"/>
        <w:numPr>
          <w:ilvl w:val="255"/>
          <w:numId w:val="0"/>
        </w:numPr>
        <w:rPr>
          <w:rFonts w:ascii="Calibri" w:hAnsi="Calibri" w:eastAsia="avenir-regular-class" w:cs="Calibri"/>
          <w:color w:val="333333"/>
          <w:sz w:val="24"/>
          <w:szCs w:val="24"/>
          <w:shd w:val="clear" w:color="auto" w:fill="FBFBFB"/>
        </w:rPr>
      </w:pPr>
      <w:r>
        <w:rPr>
          <w:rFonts w:ascii="Calibri" w:hAnsi="Calibri" w:eastAsia="avenir-regular-class" w:cs="Calibri"/>
          <w:color w:val="333333"/>
          <w:sz w:val="24"/>
          <w:szCs w:val="24"/>
          <w:shd w:val="clear" w:color="auto" w:fill="FBFBFB"/>
        </w:rPr>
        <w:t>ACAS (2014) </w:t>
      </w:r>
      <w:r>
        <w:rPr>
          <w:rFonts w:ascii="Calibri" w:hAnsi="Calibri" w:eastAsia="avenir-regular-class" w:cs="Calibri"/>
          <w:i/>
          <w:iCs/>
          <w:color w:val="333333"/>
          <w:sz w:val="24"/>
          <w:szCs w:val="24"/>
          <w:shd w:val="clear" w:color="auto" w:fill="FBFBFB"/>
        </w:rPr>
        <w:t> Non-Union Representation in the Workplace</w:t>
      </w:r>
      <w:r>
        <w:rPr>
          <w:rFonts w:ascii="Calibri" w:hAnsi="Calibri" w:eastAsia="avenir-regular-class" w:cs="Calibri"/>
          <w:color w:val="333333"/>
          <w:sz w:val="24"/>
          <w:szCs w:val="24"/>
          <w:shd w:val="clear" w:color="auto" w:fill="FBFBFB"/>
        </w:rPr>
        <w:t>. Available at:https://www.acas.org.uk/sites/default/files/2021-03/non-union-representation-in-the-workplace.pdf  (Accessed: 28 March 2025).</w:t>
      </w:r>
    </w:p>
    <w:p w14:paraId="65E21E97">
      <w:pPr>
        <w:pStyle w:val="10"/>
        <w:numPr>
          <w:ilvl w:val="255"/>
          <w:numId w:val="0"/>
        </w:numPr>
        <w:rPr>
          <w:rFonts w:ascii="Calibri" w:hAnsi="Calibri" w:eastAsia="avenir-regular-class" w:cs="Calibri"/>
          <w:color w:val="333333"/>
          <w:sz w:val="24"/>
          <w:szCs w:val="24"/>
          <w:shd w:val="clear" w:color="auto" w:fill="FBFBFB"/>
        </w:rPr>
      </w:pPr>
    </w:p>
    <w:p w14:paraId="69A8A211">
      <w:pPr>
        <w:pStyle w:val="10"/>
        <w:numPr>
          <w:ilvl w:val="255"/>
          <w:numId w:val="0"/>
        </w:numPr>
        <w:rPr>
          <w:rFonts w:hint="default" w:ascii="Calibri" w:hAnsi="Calibri" w:eastAsia="avenir-regular-class" w:cs="Calibri"/>
          <w:color w:val="333333"/>
          <w:sz w:val="24"/>
          <w:szCs w:val="24"/>
          <w:shd w:val="clear" w:color="auto" w:fill="FBFBFB"/>
        </w:rPr>
      </w:pPr>
      <w:r>
        <w:rPr>
          <w:rFonts w:hint="default" w:ascii="Calibri" w:hAnsi="Calibri" w:eastAsia="avenir-regular-class" w:cs="Calibri"/>
          <w:i w:val="0"/>
          <w:iCs w:val="0"/>
          <w:caps w:val="0"/>
          <w:color w:val="333333"/>
          <w:spacing w:val="0"/>
          <w:sz w:val="24"/>
          <w:szCs w:val="24"/>
          <w:shd w:val="clear" w:fill="FBFBFB"/>
        </w:rPr>
        <w:t>ACAS (2014) </w:t>
      </w:r>
      <w:r>
        <w:rPr>
          <w:rFonts w:hint="default" w:ascii="Calibri" w:hAnsi="Calibri" w:eastAsia="avenir-regular-class" w:cs="Calibri"/>
          <w:i/>
          <w:iCs/>
          <w:caps w:val="0"/>
          <w:color w:val="333333"/>
          <w:spacing w:val="0"/>
          <w:sz w:val="24"/>
          <w:szCs w:val="24"/>
          <w:bdr w:val="none" w:color="auto" w:sz="0" w:space="0"/>
          <w:shd w:val="clear" w:fill="FBFBFB"/>
        </w:rPr>
        <w:t>Trade Union Representation in the Workplace</w:t>
      </w:r>
      <w:r>
        <w:rPr>
          <w:rFonts w:hint="default" w:ascii="Calibri" w:hAnsi="Calibri" w:eastAsia="avenir-regular-class" w:cs="Calibri"/>
          <w:i w:val="0"/>
          <w:iCs w:val="0"/>
          <w:caps w:val="0"/>
          <w:color w:val="333333"/>
          <w:spacing w:val="0"/>
          <w:sz w:val="24"/>
          <w:szCs w:val="24"/>
          <w:shd w:val="clear" w:fill="FBFBFB"/>
        </w:rPr>
        <w:t>. Available at: https://www.acas.org.uk/sites/default/files/2021-03/trade-union-representation-in-the-workplace.pdf (Accessed: 13 May 2025).</w:t>
      </w:r>
    </w:p>
    <w:p w14:paraId="4BDB5498">
      <w:pPr>
        <w:pStyle w:val="10"/>
        <w:numPr>
          <w:ilvl w:val="255"/>
          <w:numId w:val="0"/>
        </w:numPr>
        <w:jc w:val="both"/>
        <w:rPr>
          <w:rFonts w:ascii="Calibri" w:hAnsi="Calibri"/>
          <w:b/>
          <w:bCs/>
          <w:color w:val="000000" w:themeColor="text1"/>
          <w:sz w:val="24"/>
          <w:szCs w:val="24"/>
          <w:u w:color="004147"/>
          <w:lang w:val="en-GB"/>
          <w14:textFill>
            <w14:solidFill>
              <w14:schemeClr w14:val="tx1"/>
            </w14:solidFill>
          </w14:textFill>
        </w:rPr>
      </w:pPr>
    </w:p>
    <w:p w14:paraId="5178CA86">
      <w:pPr>
        <w:pStyle w:val="10"/>
        <w:numPr>
          <w:ilvl w:val="255"/>
          <w:numId w:val="0"/>
        </w:numPr>
        <w:rPr>
          <w:rFonts w:ascii="Calibri" w:hAnsi="Calibri" w:eastAsia="avenir-regular-class" w:cs="Calibri"/>
          <w:color w:val="333333"/>
          <w:sz w:val="24"/>
          <w:szCs w:val="24"/>
          <w:shd w:val="clear" w:color="auto" w:fill="FBFBFB"/>
        </w:rPr>
      </w:pPr>
      <w:r>
        <w:rPr>
          <w:rFonts w:ascii="Calibri" w:hAnsi="Calibri" w:eastAsia="avenir-regular-class" w:cs="Calibri"/>
          <w:color w:val="333333"/>
          <w:sz w:val="24"/>
          <w:szCs w:val="24"/>
          <w:shd w:val="clear" w:color="auto" w:fill="FBFBFB"/>
        </w:rPr>
        <w:t>Armstrong, M. (2021) </w:t>
      </w:r>
      <w:r>
        <w:rPr>
          <w:rFonts w:ascii="Calibri" w:hAnsi="Calibri" w:eastAsia="avenir-regular-class" w:cs="Calibri"/>
          <w:i/>
          <w:iCs/>
          <w:color w:val="333333"/>
          <w:sz w:val="24"/>
          <w:szCs w:val="24"/>
          <w:shd w:val="clear" w:color="auto" w:fill="FBFBFB"/>
        </w:rPr>
        <w:t>Armstrong's Handbook of Strategic Human Resource Management</w:t>
      </w:r>
      <w:r>
        <w:rPr>
          <w:rFonts w:ascii="Calibri" w:hAnsi="Calibri" w:eastAsia="avenir-regular-class" w:cs="Calibri"/>
          <w:color w:val="333333"/>
          <w:sz w:val="24"/>
          <w:szCs w:val="24"/>
          <w:shd w:val="clear" w:color="auto" w:fill="FBFBFB"/>
        </w:rPr>
        <w:t>. 7th Edition. London: Kogan Page. </w:t>
      </w:r>
    </w:p>
    <w:p w14:paraId="2916C19D">
      <w:pPr>
        <w:pStyle w:val="10"/>
        <w:numPr>
          <w:ilvl w:val="255"/>
          <w:numId w:val="0"/>
        </w:numPr>
        <w:rPr>
          <w:rFonts w:ascii="Calibri" w:hAnsi="Calibri" w:eastAsia="avenir-regular-class" w:cs="Calibri"/>
          <w:color w:val="333333"/>
          <w:sz w:val="24"/>
          <w:szCs w:val="24"/>
          <w:shd w:val="clear" w:color="auto" w:fill="FBFBFB"/>
        </w:rPr>
      </w:pPr>
    </w:p>
    <w:p w14:paraId="58806DF8">
      <w:pPr>
        <w:pStyle w:val="10"/>
        <w:numPr>
          <w:ilvl w:val="255"/>
          <w:numId w:val="0"/>
        </w:numPr>
        <w:rPr>
          <w:rFonts w:ascii="Calibri" w:hAnsi="Calibri" w:eastAsia="avenir-regular-class" w:cs="Calibri"/>
          <w:color w:val="333333"/>
          <w:sz w:val="24"/>
          <w:szCs w:val="24"/>
          <w:shd w:val="clear" w:color="auto" w:fill="FBFBFB"/>
        </w:rPr>
      </w:pPr>
      <w:r>
        <w:rPr>
          <w:rFonts w:ascii="Calibri" w:hAnsi="Calibri" w:eastAsia="avenir-regular-class" w:cs="Calibri"/>
          <w:color w:val="333333"/>
          <w:sz w:val="24"/>
          <w:szCs w:val="24"/>
          <w:shd w:val="clear" w:color="auto" w:fill="FBFBFB"/>
        </w:rPr>
        <w:t>Armstrong, M. and Taylor, S. (2020) </w:t>
      </w:r>
      <w:r>
        <w:rPr>
          <w:rFonts w:ascii="Calibri" w:hAnsi="Calibri" w:eastAsia="avenir-regular-class" w:cs="Calibri"/>
          <w:i/>
          <w:iCs/>
          <w:color w:val="333333"/>
          <w:sz w:val="24"/>
          <w:szCs w:val="24"/>
          <w:shd w:val="clear" w:color="auto" w:fill="FBFBFB"/>
        </w:rPr>
        <w:t>Armstrong's Handbook of Human Resource Management Practice</w:t>
      </w:r>
      <w:r>
        <w:rPr>
          <w:rFonts w:ascii="Calibri" w:hAnsi="Calibri" w:eastAsia="avenir-regular-class" w:cs="Calibri"/>
          <w:color w:val="333333"/>
          <w:sz w:val="24"/>
          <w:szCs w:val="24"/>
          <w:shd w:val="clear" w:color="auto" w:fill="FBFBFB"/>
        </w:rPr>
        <w:t>. 15th Edition. London: Publisher Kogan Page.</w:t>
      </w:r>
    </w:p>
    <w:p w14:paraId="74869460">
      <w:pPr>
        <w:pStyle w:val="10"/>
        <w:numPr>
          <w:ilvl w:val="255"/>
          <w:numId w:val="0"/>
        </w:numPr>
        <w:rPr>
          <w:rFonts w:ascii="Calibri" w:hAnsi="Calibri" w:eastAsia="avenir-regular-class" w:cs="Calibri"/>
          <w:color w:val="333333"/>
          <w:sz w:val="24"/>
          <w:szCs w:val="24"/>
          <w:shd w:val="clear" w:color="auto" w:fill="FBFBFB"/>
        </w:rPr>
      </w:pPr>
    </w:p>
    <w:p w14:paraId="45F2157C">
      <w:pPr>
        <w:pStyle w:val="10"/>
        <w:numPr>
          <w:ilvl w:val="255"/>
          <w:numId w:val="0"/>
        </w:numPr>
        <w:rPr>
          <w:rFonts w:ascii="Calibri" w:hAnsi="Calibri" w:eastAsia="avenir-regular-class" w:cs="Calibri"/>
          <w:color w:val="333333"/>
          <w:sz w:val="24"/>
          <w:szCs w:val="24"/>
          <w:shd w:val="clear" w:color="auto" w:fill="FBFBFB"/>
        </w:rPr>
      </w:pPr>
      <w:r>
        <w:rPr>
          <w:rFonts w:ascii="Calibri" w:hAnsi="Calibri" w:eastAsia="avenir-regular-class" w:cs="Calibri"/>
          <w:color w:val="333333"/>
          <w:sz w:val="24"/>
          <w:szCs w:val="24"/>
          <w:shd w:val="clear" w:color="auto" w:fill="FBFBFB"/>
        </w:rPr>
        <w:t>BBC (2013) </w:t>
      </w:r>
      <w:r>
        <w:rPr>
          <w:rFonts w:ascii="Calibri" w:hAnsi="Calibri" w:eastAsia="avenir-regular-class" w:cs="Calibri"/>
          <w:i/>
          <w:iCs/>
          <w:color w:val="333333"/>
          <w:sz w:val="24"/>
          <w:szCs w:val="24"/>
          <w:shd w:val="clear" w:color="auto" w:fill="FBFBFB"/>
        </w:rPr>
        <w:t>The Hawthorne Effect</w:t>
      </w:r>
      <w:r>
        <w:rPr>
          <w:rFonts w:ascii="Calibri" w:hAnsi="Calibri" w:eastAsia="avenir-regular-class" w:cs="Calibri"/>
          <w:color w:val="333333"/>
          <w:sz w:val="24"/>
          <w:szCs w:val="24"/>
          <w:shd w:val="clear" w:color="auto" w:fill="FBFBFB"/>
        </w:rPr>
        <w:t>.  Available at: https://www.bbc.co.uk/sounds/play/p01j5xb1 (Accessed: 31 March 2025).</w:t>
      </w:r>
    </w:p>
    <w:p w14:paraId="12178B05">
      <w:pPr>
        <w:pStyle w:val="10"/>
        <w:numPr>
          <w:ilvl w:val="255"/>
          <w:numId w:val="0"/>
        </w:numPr>
        <w:rPr>
          <w:rFonts w:ascii="Calibri" w:hAnsi="Calibri" w:eastAsia="avenir-regular-class" w:cs="Calibri"/>
          <w:color w:val="333333"/>
          <w:sz w:val="24"/>
          <w:szCs w:val="24"/>
          <w:shd w:val="clear" w:color="auto" w:fill="FBFBFB"/>
        </w:rPr>
      </w:pPr>
    </w:p>
    <w:p w14:paraId="411CAE2B">
      <w:pPr>
        <w:pStyle w:val="10"/>
        <w:numPr>
          <w:ilvl w:val="255"/>
          <w:numId w:val="0"/>
        </w:numPr>
        <w:rPr>
          <w:rFonts w:hint="default" w:ascii="Calibri" w:hAnsi="Calibri" w:eastAsia="avenir-regular-class" w:cs="Calibri"/>
          <w:color w:val="333333"/>
          <w:sz w:val="24"/>
          <w:szCs w:val="24"/>
          <w:shd w:val="clear" w:color="auto" w:fill="FBFBFB"/>
        </w:rPr>
      </w:pPr>
      <w:r>
        <w:rPr>
          <w:rFonts w:hint="default" w:ascii="Calibri" w:hAnsi="Calibri" w:eastAsia="avenir-regular-class" w:cs="Calibri"/>
          <w:i w:val="0"/>
          <w:iCs w:val="0"/>
          <w:caps w:val="0"/>
          <w:color w:val="333333"/>
          <w:spacing w:val="0"/>
          <w:sz w:val="24"/>
          <w:szCs w:val="24"/>
          <w:shd w:val="clear" w:fill="FBFBFB"/>
        </w:rPr>
        <w:t>CIPD (2022) </w:t>
      </w:r>
      <w:r>
        <w:rPr>
          <w:rFonts w:hint="default" w:ascii="Calibri" w:hAnsi="Calibri" w:eastAsia="avenir-regular-class" w:cs="Calibri"/>
          <w:i/>
          <w:iCs/>
          <w:caps w:val="0"/>
          <w:color w:val="333333"/>
          <w:spacing w:val="0"/>
          <w:sz w:val="24"/>
          <w:szCs w:val="24"/>
          <w:bdr w:val="none" w:color="auto" w:sz="0" w:space="0"/>
          <w:shd w:val="clear" w:fill="FBFBFB"/>
        </w:rPr>
        <w:t>Collective Employee Voice</w:t>
      </w:r>
      <w:r>
        <w:rPr>
          <w:rFonts w:hint="default" w:ascii="Calibri" w:hAnsi="Calibri" w:eastAsia="avenir-regular-class" w:cs="Calibri"/>
          <w:i w:val="0"/>
          <w:iCs w:val="0"/>
          <w:caps w:val="0"/>
          <w:color w:val="333333"/>
          <w:spacing w:val="0"/>
          <w:sz w:val="24"/>
          <w:szCs w:val="24"/>
          <w:shd w:val="clear" w:fill="FBFBFB"/>
        </w:rPr>
        <w:t>. Available at: https://www.cipd.org/globalassets/media/knowledge/knowledge-hub/reports/collective-employee-voice-report-july-2022_tcm18-110238.pdf (Accessed: 13 May 2025).</w:t>
      </w:r>
    </w:p>
    <w:p w14:paraId="187F57B8">
      <w:pPr>
        <w:pStyle w:val="10"/>
        <w:numPr>
          <w:ilvl w:val="255"/>
          <w:numId w:val="0"/>
        </w:numPr>
        <w:rPr>
          <w:rFonts w:ascii="Calibri" w:hAnsi="Calibri" w:eastAsia="avenir-regular-class" w:cs="Calibri"/>
          <w:color w:val="333333"/>
          <w:sz w:val="24"/>
          <w:szCs w:val="24"/>
          <w:shd w:val="clear" w:color="auto" w:fill="FBFBFB"/>
        </w:rPr>
      </w:pPr>
    </w:p>
    <w:p w14:paraId="09304192">
      <w:pPr>
        <w:pStyle w:val="10"/>
        <w:numPr>
          <w:ilvl w:val="255"/>
          <w:numId w:val="0"/>
        </w:numPr>
        <w:rPr>
          <w:rFonts w:ascii="Calibri" w:hAnsi="Calibri" w:eastAsia="avenir-regular-class" w:cs="Calibri"/>
          <w:color w:val="333333"/>
          <w:sz w:val="24"/>
          <w:szCs w:val="24"/>
          <w:shd w:val="clear" w:color="auto" w:fill="FBFBFB"/>
        </w:rPr>
      </w:pPr>
      <w:r>
        <w:rPr>
          <w:rFonts w:ascii="Calibri" w:hAnsi="Calibri" w:eastAsia="avenir-regular-class" w:cs="Calibri"/>
          <w:color w:val="333333"/>
          <w:sz w:val="24"/>
          <w:szCs w:val="24"/>
          <w:shd w:val="clear" w:color="auto" w:fill="FBFBFB"/>
        </w:rPr>
        <w:t>CIPD (2022) </w:t>
      </w:r>
      <w:r>
        <w:rPr>
          <w:rFonts w:ascii="Calibri" w:hAnsi="Calibri" w:eastAsia="avenir-regular-class" w:cs="Calibri"/>
          <w:i/>
          <w:iCs/>
          <w:color w:val="333333"/>
          <w:sz w:val="24"/>
          <w:szCs w:val="24"/>
          <w:shd w:val="clear" w:color="auto" w:fill="FBFBFB"/>
        </w:rPr>
        <w:t>CIPD Good Work Index 2022: Survey Report</w:t>
      </w:r>
      <w:r>
        <w:rPr>
          <w:rFonts w:ascii="Calibri" w:hAnsi="Calibri" w:eastAsia="avenir-regular-class" w:cs="Calibri"/>
          <w:color w:val="333333"/>
          <w:sz w:val="24"/>
          <w:szCs w:val="24"/>
          <w:shd w:val="clear" w:color="auto" w:fill="FBFBFB"/>
        </w:rPr>
        <w:t>. Available at: https://www.cipd.org/globalassets/media/knowledge/knowledge-hub/reports/good-work-index-survey-report-2022_tcm18-109896.pdf(Accessed: 31 March 2025).</w:t>
      </w:r>
    </w:p>
    <w:p w14:paraId="54738AF4">
      <w:pPr>
        <w:pStyle w:val="10"/>
        <w:numPr>
          <w:ilvl w:val="255"/>
          <w:numId w:val="0"/>
        </w:numPr>
        <w:rPr>
          <w:rFonts w:ascii="Calibri" w:hAnsi="Calibri" w:eastAsia="avenir-regular-class" w:cs="Calibri"/>
          <w:color w:val="333333"/>
          <w:sz w:val="24"/>
          <w:szCs w:val="24"/>
          <w:shd w:val="clear" w:color="auto" w:fill="FBFBFB"/>
        </w:rPr>
      </w:pPr>
    </w:p>
    <w:p w14:paraId="31731D59">
      <w:pPr>
        <w:pStyle w:val="10"/>
        <w:numPr>
          <w:ilvl w:val="255"/>
          <w:numId w:val="0"/>
        </w:numPr>
        <w:rPr>
          <w:rFonts w:ascii="Calibri" w:hAnsi="Calibri" w:eastAsia="avenir-regular-class" w:cs="Calibri"/>
          <w:color w:val="333333"/>
          <w:sz w:val="24"/>
          <w:szCs w:val="24"/>
          <w:shd w:val="clear" w:color="auto" w:fill="FBFBFB"/>
        </w:rPr>
      </w:pPr>
      <w:r>
        <w:rPr>
          <w:rFonts w:ascii="Calibri" w:hAnsi="Calibri" w:eastAsia="avenir-regular-class" w:cs="Calibri"/>
          <w:color w:val="333333"/>
          <w:sz w:val="24"/>
          <w:szCs w:val="24"/>
          <w:shd w:val="clear" w:color="auto" w:fill="FBFBFB"/>
        </w:rPr>
        <w:t>CIPD (2024)</w:t>
      </w:r>
      <w:r>
        <w:rPr>
          <w:rFonts w:ascii="Calibri" w:hAnsi="Calibri" w:eastAsia="avenir-regular-class" w:cs="Calibri"/>
          <w:i/>
          <w:iCs/>
          <w:color w:val="333333"/>
          <w:sz w:val="24"/>
          <w:szCs w:val="24"/>
          <w:shd w:val="clear" w:color="auto" w:fill="FBFBFB"/>
        </w:rPr>
        <w:t> CIPD Good Work Index 2024: Survey Report.</w:t>
      </w:r>
      <w:r>
        <w:rPr>
          <w:rFonts w:ascii="Calibri" w:hAnsi="Calibri" w:eastAsia="avenir-regular-class" w:cs="Calibri"/>
          <w:color w:val="333333"/>
          <w:sz w:val="24"/>
          <w:szCs w:val="24"/>
          <w:shd w:val="clear" w:color="auto" w:fill="FBFBFB"/>
        </w:rPr>
        <w:t> Available at: https://www.cipd.org/globalassets/media/knowledge/knowledge-hub/reports/2024-pdfs/8625-good-work-index-2024-survey-report-1-web.pdf Accessed: 31 March 2025).</w:t>
      </w:r>
    </w:p>
    <w:p w14:paraId="46ABBD8F">
      <w:pPr>
        <w:pStyle w:val="10"/>
        <w:numPr>
          <w:ilvl w:val="255"/>
          <w:numId w:val="0"/>
        </w:numPr>
        <w:rPr>
          <w:rFonts w:ascii="Calibri" w:hAnsi="Calibri" w:eastAsia="avenir-regular-class" w:cs="Calibri"/>
          <w:color w:val="333333"/>
          <w:sz w:val="24"/>
          <w:szCs w:val="24"/>
          <w:shd w:val="clear" w:color="auto" w:fill="FBFBFB"/>
        </w:rPr>
      </w:pPr>
    </w:p>
    <w:p w14:paraId="1CB3954E">
      <w:pPr>
        <w:pStyle w:val="10"/>
        <w:numPr>
          <w:ilvl w:val="255"/>
          <w:numId w:val="0"/>
        </w:numPr>
        <w:rPr>
          <w:rFonts w:ascii="Calibri" w:hAnsi="Calibri" w:eastAsia="avenir-regular-class" w:cs="Calibri"/>
          <w:color w:val="333333"/>
          <w:sz w:val="24"/>
          <w:szCs w:val="24"/>
          <w:shd w:val="clear" w:color="auto" w:fill="FBFBFB"/>
        </w:rPr>
      </w:pPr>
      <w:r>
        <w:rPr>
          <w:rFonts w:ascii="Calibri" w:hAnsi="Calibri" w:eastAsia="avenir-regular-class" w:cs="Calibri"/>
          <w:color w:val="333333"/>
          <w:sz w:val="24"/>
          <w:szCs w:val="24"/>
          <w:shd w:val="clear" w:color="auto" w:fill="FBFBFB"/>
        </w:rPr>
        <w:t>CIPD  (2024) </w:t>
      </w:r>
      <w:r>
        <w:rPr>
          <w:rFonts w:ascii="Calibri" w:hAnsi="Calibri" w:eastAsia="avenir-regular-class" w:cs="Calibri"/>
          <w:i/>
          <w:iCs/>
          <w:color w:val="333333"/>
          <w:sz w:val="24"/>
          <w:szCs w:val="24"/>
          <w:shd w:val="clear" w:color="auto" w:fill="FBFBFB"/>
        </w:rPr>
        <w:t>Discipline and Grievance at Work</w:t>
      </w:r>
      <w:r>
        <w:rPr>
          <w:rFonts w:ascii="Calibri" w:hAnsi="Calibri" w:eastAsia="avenir-regular-class" w:cs="Calibri"/>
          <w:color w:val="333333"/>
          <w:sz w:val="24"/>
          <w:szCs w:val="24"/>
          <w:shd w:val="clear" w:color="auto" w:fill="FBFBFB"/>
        </w:rPr>
        <w:t>. Available at: https://www.cipd.org/uk/knowledge/factsheets/discipline-factsheet/  (Accessed: 4 April 2025).</w:t>
      </w:r>
    </w:p>
    <w:p w14:paraId="06BBA33E">
      <w:pPr>
        <w:pStyle w:val="10"/>
        <w:numPr>
          <w:ilvl w:val="255"/>
          <w:numId w:val="0"/>
        </w:numPr>
        <w:rPr>
          <w:rFonts w:ascii="Calibri" w:hAnsi="Calibri" w:eastAsia="avenir-regular-class" w:cs="Calibri"/>
          <w:color w:val="333333"/>
          <w:sz w:val="24"/>
          <w:szCs w:val="24"/>
          <w:shd w:val="clear" w:color="auto" w:fill="FBFBFB"/>
        </w:rPr>
      </w:pPr>
    </w:p>
    <w:p w14:paraId="60B8D08C">
      <w:pPr>
        <w:pStyle w:val="10"/>
        <w:numPr>
          <w:ilvl w:val="255"/>
          <w:numId w:val="0"/>
        </w:numPr>
        <w:rPr>
          <w:rFonts w:ascii="Calibri" w:hAnsi="Calibri" w:eastAsia="avenir-regular-class" w:cs="Calibri"/>
          <w:color w:val="333333"/>
          <w:sz w:val="24"/>
          <w:szCs w:val="24"/>
          <w:shd w:val="clear" w:color="auto" w:fill="FBFBFB"/>
        </w:rPr>
      </w:pPr>
      <w:r>
        <w:rPr>
          <w:rFonts w:ascii="Calibri" w:hAnsi="Calibri" w:eastAsia="avenir-regular-class" w:cs="Calibri"/>
          <w:color w:val="333333"/>
          <w:sz w:val="24"/>
          <w:szCs w:val="24"/>
          <w:shd w:val="clear" w:color="auto" w:fill="FBFBFB"/>
        </w:rPr>
        <w:t>CIPD (2024) Discipline and Grievance at Work. Available</w:t>
      </w:r>
      <w:r>
        <w:rPr>
          <w:rFonts w:ascii="Calibri" w:hAnsi="Calibri" w:eastAsia="avenir-regular-class" w:cs="Calibri"/>
          <w:color w:val="333333"/>
          <w:sz w:val="24"/>
          <w:szCs w:val="24"/>
          <w:shd w:val="clear" w:color="auto" w:fill="FBFBFB"/>
          <w:lang w:val="en-GB"/>
        </w:rPr>
        <w:t xml:space="preserve"> </w:t>
      </w:r>
      <w:r>
        <w:rPr>
          <w:rFonts w:ascii="Calibri" w:hAnsi="Calibri" w:eastAsia="avenir-regular-class" w:cs="Calibri"/>
          <w:color w:val="333333"/>
          <w:sz w:val="24"/>
          <w:szCs w:val="24"/>
          <w:shd w:val="clear" w:color="auto" w:fill="FBFBFB"/>
        </w:rPr>
        <w:t xml:space="preserve">at:  </w:t>
      </w:r>
      <w:r>
        <w:fldChar w:fldCharType="begin"/>
      </w:r>
      <w:r>
        <w:instrText xml:space="preserve"> HYPERLINK "https://www.cipd.org/uk/knowledge/factsheets/discipline-factsheet/#Grievancepolicypractice" </w:instrText>
      </w:r>
      <w:r>
        <w:fldChar w:fldCharType="separate"/>
      </w:r>
      <w:r>
        <w:rPr>
          <w:rStyle w:val="5"/>
          <w:rFonts w:ascii="Calibri" w:hAnsi="Calibri" w:eastAsia="avenir-regular-class" w:cs="Calibri"/>
          <w:sz w:val="24"/>
          <w:szCs w:val="24"/>
          <w:shd w:val="clear" w:color="auto" w:fill="FBFBFB"/>
        </w:rPr>
        <w:t>https://www.cipd.org/uk/knowledge/factsheets/discipline-factsheet/#Grievancepolicypractice</w:t>
      </w:r>
      <w:r>
        <w:rPr>
          <w:rStyle w:val="5"/>
          <w:rFonts w:ascii="Calibri" w:hAnsi="Calibri" w:eastAsia="avenir-regular-class" w:cs="Calibri"/>
          <w:sz w:val="24"/>
          <w:szCs w:val="24"/>
          <w:shd w:val="clear" w:color="auto" w:fill="FBFBFB"/>
        </w:rPr>
        <w:fldChar w:fldCharType="end"/>
      </w:r>
      <w:r>
        <w:rPr>
          <w:rFonts w:ascii="Calibri" w:hAnsi="Calibri" w:eastAsia="avenir-regular-class" w:cs="Calibri"/>
          <w:color w:val="333333"/>
          <w:sz w:val="24"/>
          <w:szCs w:val="24"/>
          <w:shd w:val="clear" w:color="auto" w:fill="FBFBFB"/>
          <w:lang w:val="en-GB"/>
        </w:rPr>
        <w:t xml:space="preserve">  </w:t>
      </w:r>
      <w:r>
        <w:rPr>
          <w:rFonts w:ascii="Calibri" w:hAnsi="Calibri" w:eastAsia="avenir-regular-class" w:cs="Calibri"/>
          <w:color w:val="333333"/>
          <w:sz w:val="24"/>
          <w:szCs w:val="24"/>
          <w:shd w:val="clear" w:color="auto" w:fill="FBFBFB"/>
        </w:rPr>
        <w:t>(Accessed: 7 April 2025).</w:t>
      </w:r>
    </w:p>
    <w:p w14:paraId="464FCBC1">
      <w:pPr>
        <w:pStyle w:val="10"/>
        <w:numPr>
          <w:ilvl w:val="255"/>
          <w:numId w:val="0"/>
        </w:numPr>
        <w:jc w:val="both"/>
        <w:rPr>
          <w:rFonts w:ascii="Calibri" w:hAnsi="Calibri" w:cs="Calibri"/>
          <w:b/>
          <w:bCs/>
          <w:color w:val="000000" w:themeColor="text1"/>
          <w:sz w:val="24"/>
          <w:szCs w:val="24"/>
          <w:u w:color="004147"/>
          <w:lang w:val="en-GB"/>
          <w14:textFill>
            <w14:solidFill>
              <w14:schemeClr w14:val="tx1"/>
            </w14:solidFill>
          </w14:textFill>
        </w:rPr>
      </w:pPr>
    </w:p>
    <w:p w14:paraId="028155F9">
      <w:pPr>
        <w:pStyle w:val="10"/>
        <w:numPr>
          <w:ilvl w:val="255"/>
          <w:numId w:val="0"/>
        </w:numPr>
        <w:rPr>
          <w:rFonts w:ascii="Calibri" w:hAnsi="Calibri" w:eastAsia="avenir-regular-class" w:cs="Calibri"/>
          <w:color w:val="333333"/>
          <w:sz w:val="24"/>
          <w:szCs w:val="24"/>
          <w:shd w:val="clear" w:color="auto" w:fill="FBFBFB"/>
        </w:rPr>
      </w:pPr>
      <w:r>
        <w:rPr>
          <w:rFonts w:ascii="Calibri" w:hAnsi="Calibri" w:eastAsia="avenir-regular-class" w:cs="Calibri"/>
          <w:color w:val="333333"/>
          <w:sz w:val="24"/>
          <w:szCs w:val="24"/>
          <w:shd w:val="clear" w:color="auto" w:fill="FBFBFB"/>
        </w:rPr>
        <w:t>CIPD  (2024) </w:t>
      </w:r>
      <w:r>
        <w:rPr>
          <w:rFonts w:ascii="Calibri" w:hAnsi="Calibri" w:eastAsia="avenir-regular-class" w:cs="Calibri"/>
          <w:i/>
          <w:iCs/>
          <w:color w:val="333333"/>
          <w:sz w:val="24"/>
          <w:szCs w:val="24"/>
          <w:shd w:val="clear" w:color="auto" w:fill="FBFBFB"/>
        </w:rPr>
        <w:t>Employee Engagement and Motivation</w:t>
      </w:r>
      <w:r>
        <w:rPr>
          <w:rFonts w:ascii="Calibri" w:hAnsi="Calibri" w:eastAsia="avenir-regular-class" w:cs="Calibri"/>
          <w:color w:val="333333"/>
          <w:sz w:val="24"/>
          <w:szCs w:val="24"/>
          <w:shd w:val="clear" w:color="auto" w:fill="FBFBFB"/>
        </w:rPr>
        <w:t>. Available at: https://www.cipd.org/uk/knowledge/factsheets/engagement-factsheet/#what-are-the-benefits-of-employee-engagement (Accessed: 28 March 2025).</w:t>
      </w:r>
    </w:p>
    <w:p w14:paraId="5C8C6B09">
      <w:pPr>
        <w:pStyle w:val="10"/>
        <w:numPr>
          <w:ilvl w:val="255"/>
          <w:numId w:val="0"/>
        </w:numPr>
        <w:rPr>
          <w:rFonts w:ascii="Calibri" w:hAnsi="Calibri" w:eastAsia="avenir-regular-class" w:cs="Calibri"/>
          <w:color w:val="333333"/>
          <w:sz w:val="24"/>
          <w:szCs w:val="24"/>
          <w:shd w:val="clear" w:color="auto" w:fill="FBFBFB"/>
        </w:rPr>
      </w:pPr>
    </w:p>
    <w:p w14:paraId="5952D088">
      <w:pPr>
        <w:pStyle w:val="10"/>
        <w:numPr>
          <w:ilvl w:val="255"/>
          <w:numId w:val="0"/>
        </w:numPr>
        <w:rPr>
          <w:rFonts w:ascii="Calibri" w:hAnsi="Calibri" w:eastAsia="avenir-regular-class" w:cs="Calibri"/>
          <w:color w:val="333333"/>
          <w:sz w:val="24"/>
          <w:szCs w:val="24"/>
          <w:shd w:val="clear" w:color="auto" w:fill="FBFBFB"/>
        </w:rPr>
      </w:pPr>
      <w:r>
        <w:rPr>
          <w:rFonts w:ascii="Calibri" w:hAnsi="Calibri" w:eastAsia="avenir-regular-class" w:cs="Calibri"/>
          <w:color w:val="333333"/>
          <w:sz w:val="24"/>
          <w:szCs w:val="24"/>
          <w:shd w:val="clear" w:color="auto" w:fill="FBFBFB"/>
        </w:rPr>
        <w:t>CIPD (2025) </w:t>
      </w:r>
      <w:r>
        <w:rPr>
          <w:rFonts w:ascii="Calibri" w:hAnsi="Calibri" w:eastAsia="avenir-regular-class" w:cs="Calibri"/>
          <w:i/>
          <w:iCs/>
          <w:color w:val="333333"/>
          <w:sz w:val="24"/>
          <w:szCs w:val="24"/>
          <w:shd w:val="clear" w:color="auto" w:fill="FBFBFB"/>
        </w:rPr>
        <w:t>Employee Voice. </w:t>
      </w:r>
      <w:r>
        <w:rPr>
          <w:rFonts w:ascii="Calibri" w:hAnsi="Calibri" w:eastAsia="avenir-regular-class" w:cs="Calibri"/>
          <w:color w:val="333333"/>
          <w:sz w:val="24"/>
          <w:szCs w:val="24"/>
          <w:shd w:val="clear" w:color="auto" w:fill="FBFBFB"/>
        </w:rPr>
        <w:t> Available at: https://www.cipd.org/uk/views-and-insights/cipd-viewpoint/employee-voice/ (Accessed: 31 March 2025).</w:t>
      </w:r>
    </w:p>
    <w:p w14:paraId="3382A365">
      <w:pPr>
        <w:pStyle w:val="10"/>
        <w:numPr>
          <w:ilvl w:val="255"/>
          <w:numId w:val="0"/>
        </w:numPr>
        <w:rPr>
          <w:rFonts w:ascii="Calibri" w:hAnsi="Calibri" w:eastAsia="avenir-regular-class" w:cs="Calibri"/>
          <w:color w:val="333333"/>
          <w:sz w:val="24"/>
          <w:szCs w:val="24"/>
          <w:shd w:val="clear" w:color="auto" w:fill="FBFBFB"/>
        </w:rPr>
      </w:pPr>
    </w:p>
    <w:p w14:paraId="78EC9422">
      <w:pPr>
        <w:pStyle w:val="10"/>
        <w:numPr>
          <w:ilvl w:val="255"/>
          <w:numId w:val="0"/>
        </w:numPr>
        <w:rPr>
          <w:rFonts w:ascii="Calibri" w:hAnsi="Calibri" w:eastAsia="avenir-regular-class" w:cs="Calibri"/>
          <w:color w:val="333333"/>
          <w:sz w:val="24"/>
          <w:szCs w:val="24"/>
          <w:shd w:val="clear" w:color="auto" w:fill="FBFBFB"/>
        </w:rPr>
      </w:pPr>
      <w:r>
        <w:rPr>
          <w:rFonts w:ascii="Calibri" w:hAnsi="Calibri" w:eastAsia="avenir-regular-class" w:cs="Calibri"/>
          <w:color w:val="333333"/>
          <w:sz w:val="24"/>
          <w:szCs w:val="24"/>
          <w:shd w:val="clear" w:color="auto" w:fill="FBFBFB"/>
        </w:rPr>
        <w:t>CIPD (2024) Job Design. Available at: https://www.cipd.org/uk/knowledge/factsheets/job-design-factsheet/#principles-of-effective-job-design Accessed: 31 March 2025).</w:t>
      </w:r>
    </w:p>
    <w:p w14:paraId="5C71F136">
      <w:pPr>
        <w:pStyle w:val="10"/>
        <w:numPr>
          <w:ilvl w:val="255"/>
          <w:numId w:val="0"/>
        </w:numPr>
        <w:rPr>
          <w:rFonts w:ascii="Calibri" w:hAnsi="Calibri" w:eastAsia="avenir-regular-class" w:cs="Calibri"/>
          <w:color w:val="333333"/>
          <w:sz w:val="24"/>
          <w:szCs w:val="24"/>
          <w:shd w:val="clear" w:color="auto" w:fill="FBFBFB"/>
        </w:rPr>
      </w:pPr>
    </w:p>
    <w:p w14:paraId="48A6015C">
      <w:pPr>
        <w:pStyle w:val="10"/>
        <w:numPr>
          <w:ilvl w:val="255"/>
          <w:numId w:val="0"/>
        </w:numPr>
        <w:rPr>
          <w:rFonts w:ascii="Calibri" w:hAnsi="Calibri" w:eastAsia="avenir-regular-class" w:cs="Calibri"/>
          <w:color w:val="333333"/>
          <w:sz w:val="24"/>
          <w:szCs w:val="24"/>
          <w:shd w:val="clear" w:color="auto" w:fill="FBFBFB"/>
        </w:rPr>
      </w:pPr>
      <w:r>
        <w:rPr>
          <w:rFonts w:ascii="Calibri" w:hAnsi="Calibri" w:eastAsia="avenir-regular-class" w:cs="Calibri"/>
          <w:color w:val="333333"/>
          <w:sz w:val="24"/>
          <w:szCs w:val="24"/>
          <w:shd w:val="clear" w:color="auto" w:fill="FBFBFB"/>
        </w:rPr>
        <w:t>CIPD (2020) </w:t>
      </w:r>
      <w:r>
        <w:rPr>
          <w:rFonts w:ascii="Calibri" w:hAnsi="Calibri" w:eastAsia="avenir-regular-class" w:cs="Calibri"/>
          <w:i/>
          <w:iCs/>
          <w:color w:val="333333"/>
          <w:sz w:val="24"/>
          <w:szCs w:val="24"/>
          <w:shd w:val="clear" w:color="auto" w:fill="FBFBFB"/>
        </w:rPr>
        <w:t>Managing Conflict in the Modern Workplace</w:t>
      </w:r>
      <w:r>
        <w:rPr>
          <w:rFonts w:ascii="Calibri" w:hAnsi="Calibri" w:eastAsia="avenir-regular-class" w:cs="Calibri"/>
          <w:color w:val="333333"/>
          <w:sz w:val="24"/>
          <w:szCs w:val="24"/>
          <w:shd w:val="clear" w:color="auto" w:fill="FBFBFB"/>
        </w:rPr>
        <w:t>. Available at: https://www.cipd.org/globalassets/media/knowledge/knowledge-hub/reports/managing-conflict-in-the-workplace-2_tcm18-70655.pdf (Accessed: 2 April 2025).</w:t>
      </w:r>
    </w:p>
    <w:p w14:paraId="62199465">
      <w:pPr>
        <w:pStyle w:val="10"/>
        <w:numPr>
          <w:ilvl w:val="255"/>
          <w:numId w:val="0"/>
        </w:numPr>
        <w:rPr>
          <w:rFonts w:ascii="Calibri" w:hAnsi="Calibri" w:eastAsia="avenir-regular-class" w:cs="Calibri"/>
          <w:color w:val="333333"/>
          <w:sz w:val="24"/>
          <w:szCs w:val="24"/>
          <w:shd w:val="clear" w:color="auto" w:fill="FBFBFB"/>
        </w:rPr>
      </w:pPr>
    </w:p>
    <w:p w14:paraId="5737D913">
      <w:pPr>
        <w:pStyle w:val="10"/>
        <w:numPr>
          <w:ilvl w:val="255"/>
          <w:numId w:val="0"/>
        </w:numPr>
        <w:rPr>
          <w:rFonts w:ascii="Calibri" w:hAnsi="Calibri" w:eastAsia="avenir-regular-class" w:cs="Calibri"/>
          <w:color w:val="333333"/>
          <w:sz w:val="24"/>
          <w:szCs w:val="24"/>
          <w:shd w:val="clear" w:color="auto" w:fill="FBFBFB"/>
        </w:rPr>
      </w:pPr>
      <w:r>
        <w:rPr>
          <w:rFonts w:ascii="Calibri" w:hAnsi="Calibri" w:eastAsia="avenir-regular-class" w:cs="Calibri"/>
          <w:color w:val="333333"/>
          <w:sz w:val="24"/>
          <w:szCs w:val="24"/>
          <w:shd w:val="clear" w:color="auto" w:fill="FBFBFB"/>
        </w:rPr>
        <w:t>CIPD (2024) </w:t>
      </w:r>
      <w:r>
        <w:rPr>
          <w:rFonts w:ascii="Calibri" w:hAnsi="Calibri" w:eastAsia="avenir-regular-class" w:cs="Calibri"/>
          <w:i/>
          <w:iCs/>
          <w:color w:val="333333"/>
          <w:sz w:val="24"/>
          <w:szCs w:val="24"/>
          <w:shd w:val="clear" w:color="auto" w:fill="FBFBFB"/>
        </w:rPr>
        <w:t>Mediation at Work</w:t>
      </w:r>
      <w:r>
        <w:rPr>
          <w:rFonts w:ascii="Calibri" w:hAnsi="Calibri" w:eastAsia="avenir-regular-class" w:cs="Calibri"/>
          <w:color w:val="333333"/>
          <w:sz w:val="24"/>
          <w:szCs w:val="24"/>
          <w:shd w:val="clear" w:color="auto" w:fill="FBFBFB"/>
        </w:rPr>
        <w:t>. Available at:  https://www.cipd.org/uk/knowledge/factsheets/mediation-factsheet/#Benefits (Accessed: 7 April 2025).</w:t>
      </w:r>
    </w:p>
    <w:p w14:paraId="0DA123B1">
      <w:pPr>
        <w:pStyle w:val="10"/>
        <w:numPr>
          <w:ilvl w:val="255"/>
          <w:numId w:val="0"/>
        </w:numPr>
        <w:rPr>
          <w:rFonts w:ascii="avenir-regular-class" w:hAnsi="avenir-regular-class" w:eastAsia="avenir-regular-class" w:cs="avenir-regular-class"/>
          <w:color w:val="333333"/>
          <w:sz w:val="18"/>
          <w:szCs w:val="18"/>
          <w:shd w:val="clear" w:color="auto" w:fill="FBFBFB"/>
        </w:rPr>
      </w:pPr>
    </w:p>
    <w:p w14:paraId="799510B2">
      <w:pPr>
        <w:pStyle w:val="10"/>
        <w:numPr>
          <w:ilvl w:val="255"/>
          <w:numId w:val="0"/>
        </w:numPr>
        <w:rPr>
          <w:rFonts w:ascii="Calibri" w:hAnsi="Calibri" w:eastAsia="avenir-regular-class" w:cs="Calibri"/>
          <w:color w:val="333333"/>
          <w:sz w:val="24"/>
          <w:szCs w:val="24"/>
          <w:shd w:val="clear" w:color="auto" w:fill="FBFBFB"/>
        </w:rPr>
      </w:pPr>
      <w:r>
        <w:rPr>
          <w:rFonts w:ascii="Calibri" w:hAnsi="Calibri" w:eastAsia="avenir-regular-class" w:cs="Calibri"/>
          <w:color w:val="333333"/>
          <w:sz w:val="24"/>
          <w:szCs w:val="24"/>
          <w:shd w:val="clear" w:color="auto" w:fill="FBFBFB"/>
        </w:rPr>
        <w:t>CIPD (2025)</w:t>
      </w:r>
      <w:r>
        <w:rPr>
          <w:rFonts w:ascii="Calibri" w:hAnsi="Calibri" w:eastAsia="avenir-regular-class" w:cs="Calibri"/>
          <w:color w:val="333333"/>
          <w:sz w:val="24"/>
          <w:szCs w:val="24"/>
          <w:shd w:val="clear" w:color="auto" w:fill="FBFBFB"/>
          <w:lang w:val="en-GB"/>
        </w:rPr>
        <w:t xml:space="preserve"> </w:t>
      </w:r>
      <w:r>
        <w:rPr>
          <w:rFonts w:ascii="Calibri" w:hAnsi="Calibri" w:eastAsia="avenir-regular-class" w:cs="Calibri"/>
          <w:i/>
          <w:iCs/>
          <w:color w:val="333333"/>
          <w:sz w:val="24"/>
          <w:szCs w:val="24"/>
          <w:shd w:val="clear" w:color="auto" w:fill="FBFBFB"/>
        </w:rPr>
        <w:t>Trade Unions: An Introduction</w:t>
      </w:r>
      <w:r>
        <w:rPr>
          <w:rFonts w:ascii="Calibri" w:hAnsi="Calibri" w:eastAsia="avenir-regular-class" w:cs="Calibri"/>
          <w:color w:val="333333"/>
          <w:sz w:val="24"/>
          <w:szCs w:val="24"/>
          <w:shd w:val="clear" w:color="auto" w:fill="FBFBFB"/>
        </w:rPr>
        <w:t>. Available at: https://www.cipd.org/uk/knowledge/factsheets/trade-unions-factsheet/  (Accessed: 28 March 2025).</w:t>
      </w:r>
    </w:p>
    <w:p w14:paraId="4C4CEA3D">
      <w:pPr>
        <w:pStyle w:val="10"/>
        <w:numPr>
          <w:ilvl w:val="255"/>
          <w:numId w:val="0"/>
        </w:numPr>
        <w:rPr>
          <w:rFonts w:ascii="Calibri" w:hAnsi="Calibri" w:eastAsia="avenir-regular-class" w:cs="Calibri"/>
          <w:color w:val="333333"/>
          <w:sz w:val="24"/>
          <w:szCs w:val="24"/>
          <w:shd w:val="clear" w:color="auto" w:fill="FBFBFB"/>
        </w:rPr>
      </w:pPr>
    </w:p>
    <w:p w14:paraId="28EC0DDB">
      <w:pPr>
        <w:pStyle w:val="10"/>
        <w:numPr>
          <w:ilvl w:val="255"/>
          <w:numId w:val="0"/>
        </w:numPr>
        <w:rPr>
          <w:rFonts w:ascii="Calibri" w:hAnsi="Calibri" w:eastAsia="avenir-regular-class" w:cs="Calibri"/>
          <w:color w:val="333333"/>
          <w:sz w:val="24"/>
          <w:szCs w:val="24"/>
          <w:shd w:val="clear" w:color="auto" w:fill="FBFBFB"/>
        </w:rPr>
      </w:pPr>
      <w:r>
        <w:rPr>
          <w:rFonts w:ascii="Calibri" w:hAnsi="Calibri" w:eastAsia="avenir-regular-class" w:cs="Calibri"/>
          <w:color w:val="333333"/>
          <w:sz w:val="24"/>
          <w:szCs w:val="24"/>
          <w:shd w:val="clear" w:color="auto" w:fill="FBFBFB"/>
        </w:rPr>
        <w:t>CIPD (2025). </w:t>
      </w:r>
      <w:r>
        <w:rPr>
          <w:rFonts w:ascii="Calibri" w:hAnsi="Calibri" w:eastAsia="avenir-regular-class" w:cs="Calibri"/>
          <w:i/>
          <w:iCs/>
          <w:color w:val="333333"/>
          <w:sz w:val="24"/>
          <w:szCs w:val="24"/>
          <w:shd w:val="clear" w:color="auto" w:fill="FBFBFB"/>
        </w:rPr>
        <w:t>Working with Trade Unions</w:t>
      </w:r>
      <w:r>
        <w:rPr>
          <w:rFonts w:ascii="Calibri" w:hAnsi="Calibri" w:eastAsia="avenir-regular-class" w:cs="Calibri"/>
          <w:color w:val="333333"/>
          <w:sz w:val="24"/>
          <w:szCs w:val="24"/>
          <w:shd w:val="clear" w:color="auto" w:fill="FBFBFB"/>
        </w:rPr>
        <w:t>. Available at: https://www.cipd.org/uk/knowledge/guides/working-trade-unions/#why-do-hr (Accessed: 28 March 2025).</w:t>
      </w:r>
    </w:p>
    <w:p w14:paraId="50895670">
      <w:pPr>
        <w:pStyle w:val="10"/>
        <w:numPr>
          <w:ilvl w:val="255"/>
          <w:numId w:val="0"/>
        </w:numPr>
        <w:rPr>
          <w:rFonts w:ascii="Calibri" w:hAnsi="Calibri" w:eastAsia="avenir-regular-class" w:cs="Calibri"/>
          <w:color w:val="333333"/>
          <w:sz w:val="24"/>
          <w:szCs w:val="24"/>
          <w:shd w:val="clear" w:color="auto" w:fill="FBFBFB"/>
        </w:rPr>
      </w:pPr>
    </w:p>
    <w:p w14:paraId="27FCE58C">
      <w:pPr>
        <w:pStyle w:val="10"/>
        <w:numPr>
          <w:ilvl w:val="255"/>
          <w:numId w:val="0"/>
        </w:numPr>
        <w:rPr>
          <w:rFonts w:ascii="Calibri" w:hAnsi="Calibri" w:eastAsia="avenir-regular-class" w:cs="Calibri"/>
          <w:color w:val="333333"/>
          <w:sz w:val="24"/>
          <w:szCs w:val="24"/>
          <w:shd w:val="clear" w:color="auto" w:fill="FBFBFB"/>
        </w:rPr>
      </w:pPr>
      <w:r>
        <w:rPr>
          <w:rFonts w:ascii="Calibri" w:hAnsi="Calibri" w:eastAsia="avenir-regular-class" w:cs="Calibri"/>
          <w:color w:val="333333"/>
          <w:sz w:val="24"/>
          <w:szCs w:val="24"/>
          <w:shd w:val="clear" w:color="auto" w:fill="FBFBFB"/>
        </w:rPr>
        <w:t>Daniels, K. (2025) </w:t>
      </w:r>
      <w:r>
        <w:rPr>
          <w:rFonts w:ascii="Calibri" w:hAnsi="Calibri" w:eastAsia="avenir-regular-class" w:cs="Calibri"/>
          <w:i/>
          <w:iCs/>
          <w:color w:val="333333"/>
          <w:sz w:val="24"/>
          <w:szCs w:val="24"/>
          <w:shd w:val="clear" w:color="auto" w:fill="FBFBFB"/>
        </w:rPr>
        <w:t>Introduction to Employment Law</w:t>
      </w:r>
      <w:r>
        <w:rPr>
          <w:rFonts w:ascii="Calibri" w:hAnsi="Calibri" w:eastAsia="avenir-regular-class" w:cs="Calibri"/>
          <w:color w:val="333333"/>
          <w:sz w:val="24"/>
          <w:szCs w:val="24"/>
          <w:shd w:val="clear" w:color="auto" w:fill="FBFBFB"/>
        </w:rPr>
        <w:t>. 7th Edition. London: Kogan Page. </w:t>
      </w:r>
    </w:p>
    <w:p w14:paraId="38C1F859">
      <w:pPr>
        <w:pStyle w:val="10"/>
        <w:numPr>
          <w:ilvl w:val="255"/>
          <w:numId w:val="0"/>
        </w:numPr>
        <w:rPr>
          <w:rFonts w:ascii="Calibri" w:hAnsi="Calibri" w:eastAsia="avenir-regular-class" w:cs="Calibri"/>
          <w:color w:val="333333"/>
          <w:sz w:val="24"/>
          <w:szCs w:val="24"/>
          <w:shd w:val="clear" w:color="auto" w:fill="FBFBFB"/>
        </w:rPr>
      </w:pPr>
    </w:p>
    <w:p w14:paraId="568AFE47">
      <w:pPr>
        <w:pStyle w:val="10"/>
        <w:numPr>
          <w:ilvl w:val="255"/>
          <w:numId w:val="0"/>
        </w:numPr>
        <w:rPr>
          <w:rFonts w:ascii="Calibri" w:hAnsi="Calibri" w:eastAsia="avenir-regular-class" w:cs="Calibri"/>
          <w:color w:val="333333"/>
          <w:sz w:val="24"/>
          <w:szCs w:val="24"/>
          <w:shd w:val="clear" w:color="auto" w:fill="FBFBFB"/>
        </w:rPr>
      </w:pPr>
      <w:r>
        <w:rPr>
          <w:rFonts w:ascii="Calibri" w:hAnsi="Calibri" w:eastAsia="avenir-regular-class" w:cs="Calibri"/>
          <w:color w:val="333333"/>
          <w:sz w:val="24"/>
          <w:szCs w:val="24"/>
          <w:shd w:val="clear" w:color="auto" w:fill="FBFBFB"/>
        </w:rPr>
        <w:t>GOV.UK (2025) </w:t>
      </w:r>
      <w:r>
        <w:rPr>
          <w:rFonts w:ascii="Calibri" w:hAnsi="Calibri" w:eastAsia="avenir-regular-class" w:cs="Calibri"/>
          <w:i/>
          <w:iCs/>
          <w:color w:val="333333"/>
          <w:sz w:val="24"/>
          <w:szCs w:val="24"/>
          <w:shd w:val="clear" w:color="auto" w:fill="FBFBFB"/>
        </w:rPr>
        <w:t>Solve a Workplace Dispute</w:t>
      </w:r>
      <w:r>
        <w:rPr>
          <w:rFonts w:ascii="Calibri" w:hAnsi="Calibri" w:eastAsia="avenir-regular-class" w:cs="Calibri"/>
          <w:color w:val="333333"/>
          <w:sz w:val="24"/>
          <w:szCs w:val="24"/>
          <w:shd w:val="clear" w:color="auto" w:fill="FBFBFB"/>
        </w:rPr>
        <w:t>. Available at:  https://www.gov.uk/solve-workplace-dispute/mediation-conciliation-and-arbitration (Accessed: 7 April 2025).</w:t>
      </w:r>
    </w:p>
    <w:p w14:paraId="0C8FE7CE">
      <w:pPr>
        <w:pStyle w:val="10"/>
        <w:numPr>
          <w:ilvl w:val="255"/>
          <w:numId w:val="0"/>
        </w:numPr>
        <w:rPr>
          <w:rFonts w:ascii="Calibri" w:hAnsi="Calibri" w:eastAsia="avenir-regular-class" w:cs="Calibri"/>
          <w:color w:val="333333"/>
          <w:sz w:val="24"/>
          <w:szCs w:val="24"/>
          <w:shd w:val="clear" w:color="auto" w:fill="FBFBFB"/>
        </w:rPr>
      </w:pPr>
    </w:p>
    <w:p w14:paraId="1AB1049F">
      <w:pPr>
        <w:pStyle w:val="10"/>
        <w:numPr>
          <w:ilvl w:val="255"/>
          <w:numId w:val="0"/>
        </w:numPr>
        <w:rPr>
          <w:rFonts w:ascii="Calibri" w:hAnsi="Calibri" w:eastAsia="avenir-regular-class" w:cs="Calibri"/>
          <w:color w:val="333333"/>
          <w:sz w:val="24"/>
          <w:szCs w:val="24"/>
          <w:shd w:val="clear" w:color="auto" w:fill="FBFBFB"/>
        </w:rPr>
      </w:pPr>
      <w:r>
        <w:rPr>
          <w:rFonts w:ascii="Calibri" w:hAnsi="Calibri" w:eastAsia="avenir-regular-class" w:cs="Calibri"/>
          <w:color w:val="333333"/>
          <w:sz w:val="24"/>
          <w:szCs w:val="24"/>
          <w:shd w:val="clear" w:color="auto" w:fill="FBFBFB"/>
        </w:rPr>
        <w:t>HR Magazine (2022) How Employees Strike a  Healthy Balance with Tech Use. Available at: https://www.hrmagazine.co.uk/content/features/case-studies-how-employers-strike-a-healthy-balance-with-tech-use/ Accessed: 31 March 2025).</w:t>
      </w:r>
    </w:p>
    <w:p w14:paraId="41004F19">
      <w:pPr>
        <w:pStyle w:val="10"/>
        <w:numPr>
          <w:ilvl w:val="255"/>
          <w:numId w:val="0"/>
        </w:numPr>
        <w:rPr>
          <w:rFonts w:ascii="Calibri" w:hAnsi="Calibri" w:eastAsia="avenir-regular-class" w:cs="Calibri"/>
          <w:color w:val="333333"/>
          <w:sz w:val="24"/>
          <w:szCs w:val="24"/>
          <w:shd w:val="clear" w:color="auto" w:fill="FBFBFB"/>
        </w:rPr>
      </w:pPr>
    </w:p>
    <w:p w14:paraId="0FE97872">
      <w:pPr>
        <w:pStyle w:val="10"/>
        <w:numPr>
          <w:ilvl w:val="255"/>
          <w:numId w:val="0"/>
        </w:numPr>
        <w:rPr>
          <w:rFonts w:ascii="Calibri" w:hAnsi="Calibri" w:eastAsia="avenir-regular-class" w:cs="Calibri"/>
          <w:color w:val="333333"/>
          <w:sz w:val="24"/>
          <w:szCs w:val="24"/>
          <w:shd w:val="clear" w:color="auto" w:fill="FBFBFB"/>
        </w:rPr>
      </w:pPr>
      <w:r>
        <w:rPr>
          <w:rFonts w:ascii="Calibri" w:hAnsi="Calibri" w:eastAsia="avenir-regular-class" w:cs="Calibri"/>
          <w:color w:val="333333"/>
          <w:sz w:val="24"/>
          <w:szCs w:val="24"/>
          <w:shd w:val="clear" w:color="auto" w:fill="FBFBFB"/>
        </w:rPr>
        <w:t>Investors in People  (2019) . Employee Voice: Why is is it Important to Sustainable Success.  Available at: https://www.investorsinpeople.com/knowledge/employee-voice/ (Accessed: 31 March 2025).</w:t>
      </w:r>
    </w:p>
    <w:p w14:paraId="67C0C651">
      <w:pPr>
        <w:pStyle w:val="10"/>
        <w:numPr>
          <w:ilvl w:val="255"/>
          <w:numId w:val="0"/>
        </w:numPr>
        <w:rPr>
          <w:rFonts w:ascii="Calibri" w:hAnsi="Calibri" w:eastAsia="avenir-regular-class" w:cs="Calibri"/>
          <w:color w:val="333333"/>
          <w:sz w:val="24"/>
          <w:szCs w:val="24"/>
          <w:shd w:val="clear" w:color="auto" w:fill="FBFBFB"/>
        </w:rPr>
      </w:pPr>
    </w:p>
    <w:p w14:paraId="52814E6A">
      <w:pPr>
        <w:pStyle w:val="10"/>
        <w:numPr>
          <w:ilvl w:val="255"/>
          <w:numId w:val="0"/>
        </w:numPr>
        <w:rPr>
          <w:rFonts w:ascii="Calibri" w:hAnsi="Calibri" w:eastAsia="avenir-regular-class" w:cs="Calibri"/>
          <w:color w:val="333333"/>
          <w:sz w:val="24"/>
          <w:szCs w:val="24"/>
          <w:shd w:val="clear" w:color="auto" w:fill="FBFBFB"/>
        </w:rPr>
      </w:pPr>
      <w:r>
        <w:rPr>
          <w:rFonts w:ascii="Calibri" w:hAnsi="Calibri" w:eastAsia="avenir-regular-class" w:cs="Calibri"/>
          <w:color w:val="333333"/>
          <w:sz w:val="24"/>
          <w:szCs w:val="24"/>
          <w:shd w:val="clear" w:color="auto" w:fill="FBFBFB"/>
        </w:rPr>
        <w:t>People Management (2019). </w:t>
      </w:r>
      <w:r>
        <w:rPr>
          <w:rFonts w:ascii="Calibri" w:hAnsi="Calibri" w:eastAsia="avenir-regular-class" w:cs="Calibri"/>
          <w:i/>
          <w:iCs/>
          <w:color w:val="333333"/>
          <w:sz w:val="24"/>
          <w:szCs w:val="24"/>
          <w:shd w:val="clear" w:color="auto" w:fill="FBFBFB"/>
        </w:rPr>
        <w:t>How Can you Ensure Employees Have a Voice</w:t>
      </w:r>
      <w:r>
        <w:rPr>
          <w:rFonts w:ascii="Calibri" w:hAnsi="Calibri" w:eastAsia="avenir-regular-class" w:cs="Calibri"/>
          <w:color w:val="333333"/>
          <w:sz w:val="24"/>
          <w:szCs w:val="24"/>
          <w:shd w:val="clear" w:color="auto" w:fill="FBFBFB"/>
        </w:rPr>
        <w:t> . Available at: https://www.peoplemanagement.co.uk/article/1741296/how-can-you-ensure-employees-have-a-voice  (Accessed: 28 March 2025).</w:t>
      </w:r>
    </w:p>
    <w:p w14:paraId="308D56CC">
      <w:pPr>
        <w:pStyle w:val="10"/>
        <w:numPr>
          <w:ilvl w:val="255"/>
          <w:numId w:val="0"/>
        </w:numPr>
        <w:rPr>
          <w:rFonts w:ascii="Calibri" w:hAnsi="Calibri" w:eastAsia="avenir-regular-class" w:cs="Calibri"/>
          <w:color w:val="333333"/>
          <w:sz w:val="24"/>
          <w:szCs w:val="24"/>
          <w:shd w:val="clear" w:color="auto" w:fill="FBFBFB"/>
        </w:rPr>
      </w:pPr>
    </w:p>
    <w:p w14:paraId="457F64C7">
      <w:pPr>
        <w:pStyle w:val="10"/>
        <w:numPr>
          <w:ilvl w:val="255"/>
          <w:numId w:val="0"/>
        </w:numPr>
        <w:rPr>
          <w:rFonts w:ascii="Calibri" w:hAnsi="Calibri" w:eastAsia="avenir-regular-class" w:cs="Calibri"/>
          <w:color w:val="333333"/>
          <w:sz w:val="24"/>
          <w:szCs w:val="24"/>
          <w:shd w:val="clear" w:color="auto" w:fill="FBFBFB"/>
        </w:rPr>
      </w:pPr>
      <w:r>
        <w:rPr>
          <w:rFonts w:ascii="Calibri" w:hAnsi="Calibri" w:eastAsia="avenir-regular-class" w:cs="Calibri"/>
          <w:color w:val="333333"/>
          <w:sz w:val="24"/>
          <w:szCs w:val="24"/>
          <w:shd w:val="clear" w:color="auto" w:fill="FBFBFB"/>
        </w:rPr>
        <w:t>People Management (2024) </w:t>
      </w:r>
      <w:r>
        <w:rPr>
          <w:rFonts w:ascii="Calibri" w:hAnsi="Calibri" w:eastAsia="avenir-regular-class" w:cs="Calibri"/>
          <w:i/>
          <w:iCs/>
          <w:color w:val="333333"/>
          <w:sz w:val="24"/>
          <w:szCs w:val="24"/>
          <w:shd w:val="clear" w:color="auto" w:fill="FBFBFB"/>
        </w:rPr>
        <w:t>Quarter of UK Employees have Experienced Conflict in the Last Year</w:t>
      </w:r>
      <w:r>
        <w:rPr>
          <w:rFonts w:ascii="Calibri" w:hAnsi="Calibri" w:eastAsia="avenir-regular-class" w:cs="Calibri"/>
          <w:color w:val="333333"/>
          <w:sz w:val="24"/>
          <w:szCs w:val="24"/>
          <w:shd w:val="clear" w:color="auto" w:fill="FBFBFB"/>
        </w:rPr>
        <w:t>. Available at: https://www.peoplemanagement.co.uk/article/1876477/quarter-uk-employees-experienced-workplace-conflict-past-year-cipd-study-shows#:~:text=The%20CIPD%20Good%20Work%20Index,and%20discriminatory%20behaviour%20(20%20per (Accessed: 8 April 2025).</w:t>
      </w:r>
    </w:p>
    <w:p w14:paraId="367DA3D7">
      <w:pPr>
        <w:pStyle w:val="10"/>
        <w:numPr>
          <w:ilvl w:val="255"/>
          <w:numId w:val="0"/>
        </w:numPr>
        <w:rPr>
          <w:rFonts w:ascii="Calibri" w:hAnsi="Calibri" w:eastAsia="avenir-regular-class" w:cs="Calibri"/>
          <w:color w:val="333333"/>
          <w:sz w:val="24"/>
          <w:szCs w:val="24"/>
          <w:shd w:val="clear" w:color="auto" w:fill="FBFBFB"/>
        </w:rPr>
      </w:pPr>
    </w:p>
    <w:p w14:paraId="211C5D85">
      <w:pPr>
        <w:pStyle w:val="10"/>
        <w:numPr>
          <w:ilvl w:val="255"/>
          <w:numId w:val="0"/>
        </w:numPr>
        <w:rPr>
          <w:rFonts w:hint="default" w:ascii="Calibri" w:hAnsi="Calibri" w:eastAsia="avenir-regular-class" w:cs="Calibri"/>
          <w:color w:val="333333"/>
          <w:sz w:val="24"/>
          <w:szCs w:val="24"/>
          <w:shd w:val="clear" w:color="auto" w:fill="FBFBFB"/>
        </w:rPr>
      </w:pPr>
      <w:r>
        <w:rPr>
          <w:rFonts w:hint="default" w:ascii="Calibri" w:hAnsi="Calibri" w:eastAsia="avenir-regular-class" w:cs="Calibri"/>
          <w:i w:val="0"/>
          <w:iCs w:val="0"/>
          <w:caps w:val="0"/>
          <w:color w:val="333333"/>
          <w:spacing w:val="0"/>
          <w:sz w:val="24"/>
          <w:szCs w:val="24"/>
          <w:shd w:val="clear" w:fill="FBFBFB"/>
        </w:rPr>
        <w:t>Personnel Today (2014) </w:t>
      </w:r>
      <w:r>
        <w:rPr>
          <w:rFonts w:hint="default" w:ascii="Calibri" w:hAnsi="Calibri" w:eastAsia="avenir-regular-class" w:cs="Calibri"/>
          <w:i/>
          <w:iCs/>
          <w:caps w:val="0"/>
          <w:color w:val="333333"/>
          <w:spacing w:val="0"/>
          <w:sz w:val="24"/>
          <w:szCs w:val="24"/>
          <w:bdr w:val="none" w:color="auto" w:sz="0" w:space="0"/>
          <w:shd w:val="clear" w:fill="FBFBFB"/>
        </w:rPr>
        <w:t>The Importance of Handling Grievances Properly</w:t>
      </w:r>
      <w:r>
        <w:rPr>
          <w:rFonts w:hint="default" w:ascii="Calibri" w:hAnsi="Calibri" w:eastAsia="avenir-regular-class" w:cs="Calibri"/>
          <w:i w:val="0"/>
          <w:iCs w:val="0"/>
          <w:caps w:val="0"/>
          <w:color w:val="333333"/>
          <w:spacing w:val="0"/>
          <w:sz w:val="24"/>
          <w:szCs w:val="24"/>
          <w:shd w:val="clear" w:fill="FBFBFB"/>
        </w:rPr>
        <w:t>. Available at: https://www.personneltoday.com/hr/importance-handling-grievances-properly/ (Accessed: 13 May 2025).</w:t>
      </w:r>
    </w:p>
    <w:p w14:paraId="797E50C6">
      <w:pPr>
        <w:pStyle w:val="10"/>
        <w:numPr>
          <w:ilvl w:val="255"/>
          <w:numId w:val="0"/>
        </w:numPr>
        <w:rPr>
          <w:rFonts w:ascii="Calibri" w:hAnsi="Calibri" w:eastAsia="avenir-regular-class" w:cs="Calibri"/>
          <w:color w:val="333333"/>
          <w:sz w:val="24"/>
          <w:szCs w:val="24"/>
          <w:shd w:val="clear" w:color="auto" w:fill="FBFBFB"/>
        </w:rPr>
      </w:pPr>
    </w:p>
    <w:p w14:paraId="125D7441">
      <w:pPr>
        <w:pStyle w:val="10"/>
        <w:numPr>
          <w:ilvl w:val="255"/>
          <w:numId w:val="0"/>
        </w:numPr>
        <w:rPr>
          <w:rFonts w:ascii="Calibri" w:hAnsi="Calibri" w:eastAsia="avenir-regular-class" w:cs="Calibri"/>
          <w:color w:val="333333"/>
          <w:sz w:val="24"/>
          <w:szCs w:val="24"/>
          <w:shd w:val="clear" w:color="auto" w:fill="FBFBFB"/>
        </w:rPr>
      </w:pPr>
      <w:r>
        <w:rPr>
          <w:rFonts w:ascii="Calibri" w:hAnsi="Calibri" w:eastAsia="avenir-regular-class" w:cs="Calibri"/>
          <w:color w:val="333333"/>
          <w:sz w:val="24"/>
          <w:szCs w:val="24"/>
          <w:shd w:val="clear" w:color="auto" w:fill="FBFBFB"/>
        </w:rPr>
        <w:t>Personnel Today (2023) Third of Employers Seeing More Employee Grievances. Available at: https://www.personneltoday.com/hr/employee-grievances-rise-xperthr/ (Accessed: 4 April 2025).</w:t>
      </w:r>
    </w:p>
    <w:p w14:paraId="7B04FA47">
      <w:pPr>
        <w:pStyle w:val="10"/>
        <w:numPr>
          <w:ilvl w:val="255"/>
          <w:numId w:val="0"/>
        </w:numPr>
        <w:rPr>
          <w:rFonts w:ascii="Calibri" w:hAnsi="Calibri" w:eastAsia="avenir-regular-class" w:cs="Calibri"/>
          <w:color w:val="333333"/>
          <w:sz w:val="24"/>
          <w:szCs w:val="24"/>
          <w:shd w:val="clear" w:color="auto" w:fill="FBFBFB"/>
        </w:rPr>
      </w:pPr>
    </w:p>
    <w:p w14:paraId="1572C857">
      <w:pPr>
        <w:pStyle w:val="10"/>
        <w:numPr>
          <w:ilvl w:val="255"/>
          <w:numId w:val="0"/>
        </w:numPr>
        <w:rPr>
          <w:rFonts w:ascii="Calibri" w:hAnsi="Calibri" w:eastAsia="avenir-regular-class" w:cs="Calibri"/>
          <w:color w:val="333333"/>
          <w:sz w:val="24"/>
          <w:szCs w:val="24"/>
          <w:shd w:val="clear" w:color="auto" w:fill="FBFBFB"/>
        </w:rPr>
      </w:pPr>
      <w:r>
        <w:rPr>
          <w:rFonts w:ascii="Calibri" w:hAnsi="Calibri" w:eastAsia="avenir-regular-class" w:cs="Calibri"/>
          <w:color w:val="333333"/>
          <w:sz w:val="24"/>
          <w:szCs w:val="24"/>
          <w:shd w:val="clear" w:color="auto" w:fill="FBFBFB"/>
        </w:rPr>
        <w:t>Resolution Foundation (2024) </w:t>
      </w:r>
      <w:r>
        <w:rPr>
          <w:rFonts w:ascii="Calibri" w:hAnsi="Calibri" w:eastAsia="avenir-regular-class" w:cs="Calibri"/>
          <w:i/>
          <w:iCs/>
          <w:color w:val="333333"/>
          <w:sz w:val="24"/>
          <w:szCs w:val="24"/>
          <w:shd w:val="clear" w:color="auto" w:fill="FBFBFB"/>
        </w:rPr>
        <w:t> Labour Market Outlook Q2 2023</w:t>
      </w:r>
      <w:r>
        <w:rPr>
          <w:rFonts w:ascii="Calibri" w:hAnsi="Calibri" w:eastAsia="avenir-regular-class" w:cs="Calibri"/>
          <w:color w:val="333333"/>
          <w:sz w:val="24"/>
          <w:szCs w:val="24"/>
          <w:shd w:val="clear" w:color="auto" w:fill="FBFBFB"/>
        </w:rPr>
        <w:t>. Available at: https://www.resolutionfoundation.org/publications/labour-market-outlook-q2-2023/ (Accessed: 8 April 2025).</w:t>
      </w:r>
    </w:p>
    <w:p w14:paraId="568C698B">
      <w:pPr>
        <w:pStyle w:val="10"/>
        <w:numPr>
          <w:ilvl w:val="255"/>
          <w:numId w:val="0"/>
        </w:numPr>
        <w:rPr>
          <w:rFonts w:ascii="Calibri" w:hAnsi="Calibri" w:eastAsia="avenir-regular-class" w:cs="Calibri"/>
          <w:color w:val="333333"/>
          <w:sz w:val="24"/>
          <w:szCs w:val="24"/>
          <w:shd w:val="clear" w:color="auto" w:fill="FBFBFB"/>
        </w:rPr>
      </w:pPr>
    </w:p>
    <w:p w14:paraId="2371CF37">
      <w:pPr>
        <w:pStyle w:val="10"/>
        <w:numPr>
          <w:ilvl w:val="255"/>
          <w:numId w:val="0"/>
        </w:numPr>
        <w:rPr>
          <w:rFonts w:ascii="Calibri" w:hAnsi="Calibri" w:eastAsia="avenir-regular-class" w:cs="Calibri"/>
          <w:color w:val="333333"/>
          <w:sz w:val="24"/>
          <w:szCs w:val="24"/>
          <w:shd w:val="clear" w:color="auto" w:fill="FBFBFB"/>
        </w:rPr>
      </w:pPr>
      <w:r>
        <w:rPr>
          <w:rFonts w:ascii="Calibri" w:hAnsi="Calibri" w:eastAsia="avenir-regular-class" w:cs="Calibri"/>
          <w:color w:val="333333"/>
          <w:sz w:val="24"/>
          <w:szCs w:val="24"/>
          <w:shd w:val="clear" w:color="auto" w:fill="FBFBFB"/>
        </w:rPr>
        <w:t>Taylor, M et al. (2017) Good Work: The Taylor Review of Modern Working Practices. Available at: https://assets.publishing.service.gov.uk/media/5a82dcdce5274a2e87dc35a4/good-work-taylor-review-modern-working-practices-rg.pdf (Accessed: 31 March 2025).</w:t>
      </w:r>
    </w:p>
    <w:p w14:paraId="1A939487">
      <w:pPr>
        <w:pStyle w:val="10"/>
        <w:numPr>
          <w:ilvl w:val="255"/>
          <w:numId w:val="0"/>
        </w:numPr>
        <w:rPr>
          <w:rFonts w:ascii="Calibri" w:hAnsi="Calibri" w:eastAsia="avenir-regular-class" w:cs="Calibri"/>
          <w:color w:val="333333"/>
          <w:sz w:val="24"/>
          <w:szCs w:val="24"/>
          <w:shd w:val="clear" w:color="auto" w:fill="FBFBFB"/>
        </w:rPr>
      </w:pPr>
    </w:p>
    <w:p w14:paraId="3C7AA5AA">
      <w:pPr>
        <w:pStyle w:val="10"/>
        <w:numPr>
          <w:ilvl w:val="255"/>
          <w:numId w:val="0"/>
        </w:numPr>
        <w:rPr>
          <w:rFonts w:ascii="Calibri" w:hAnsi="Calibri" w:eastAsia="avenir-regular-class" w:cs="Calibri"/>
          <w:color w:val="333333"/>
          <w:sz w:val="24"/>
          <w:szCs w:val="24"/>
          <w:shd w:val="clear" w:color="auto" w:fill="FBFBFB"/>
        </w:rPr>
      </w:pPr>
      <w:r>
        <w:rPr>
          <w:rFonts w:ascii="Calibri" w:hAnsi="Calibri" w:eastAsia="avenir-regular-class" w:cs="Calibri"/>
          <w:color w:val="333333"/>
          <w:sz w:val="24"/>
          <w:szCs w:val="24"/>
          <w:shd w:val="clear" w:color="auto" w:fill="FBFBFB"/>
        </w:rPr>
        <w:t>Taylor, S. and Woodhams, C. (2022) </w:t>
      </w:r>
      <w:r>
        <w:rPr>
          <w:rFonts w:ascii="Calibri" w:hAnsi="Calibri" w:eastAsia="avenir-regular-class" w:cs="Calibri"/>
          <w:i/>
          <w:iCs/>
          <w:color w:val="333333"/>
          <w:sz w:val="24"/>
          <w:szCs w:val="24"/>
          <w:shd w:val="clear" w:color="auto" w:fill="FBFBFB"/>
        </w:rPr>
        <w:t>Human Resource Management: People and Organisations</w:t>
      </w:r>
      <w:r>
        <w:rPr>
          <w:rFonts w:ascii="Calibri" w:hAnsi="Calibri" w:eastAsia="avenir-regular-class" w:cs="Calibri"/>
          <w:color w:val="333333"/>
          <w:sz w:val="24"/>
          <w:szCs w:val="24"/>
          <w:shd w:val="clear" w:color="auto" w:fill="FBFBFB"/>
        </w:rPr>
        <w:t>. 3rd Edition. London: Kogan Page. </w:t>
      </w:r>
    </w:p>
    <w:p w14:paraId="6AA258D8">
      <w:pPr>
        <w:pStyle w:val="10"/>
        <w:numPr>
          <w:ilvl w:val="255"/>
          <w:numId w:val="0"/>
        </w:numPr>
        <w:rPr>
          <w:rFonts w:ascii="Calibri" w:hAnsi="Calibri" w:eastAsia="avenir-regular-class" w:cs="Calibri"/>
          <w:color w:val="333333"/>
          <w:sz w:val="24"/>
          <w:szCs w:val="24"/>
          <w:shd w:val="clear" w:color="auto" w:fill="FBFBFB"/>
        </w:rPr>
      </w:pPr>
    </w:p>
    <w:p w14:paraId="52FB2E14">
      <w:pPr>
        <w:pStyle w:val="10"/>
        <w:numPr>
          <w:ilvl w:val="255"/>
          <w:numId w:val="0"/>
        </w:numPr>
        <w:rPr>
          <w:rFonts w:ascii="Calibri" w:hAnsi="Calibri" w:eastAsia="avenir-regular-class" w:cs="Calibri"/>
          <w:color w:val="333333"/>
          <w:sz w:val="24"/>
          <w:szCs w:val="24"/>
          <w:shd w:val="clear" w:color="auto" w:fill="FBFBFB"/>
        </w:rPr>
      </w:pPr>
      <w:r>
        <w:rPr>
          <w:rFonts w:ascii="Calibri" w:hAnsi="Calibri" w:eastAsia="avenir-regular-class" w:cs="Calibri"/>
          <w:color w:val="333333"/>
          <w:sz w:val="24"/>
          <w:szCs w:val="24"/>
          <w:shd w:val="clear" w:color="auto" w:fill="FBFBFB"/>
        </w:rPr>
        <w:t>TUC  (2021) </w:t>
      </w:r>
      <w:r>
        <w:rPr>
          <w:rFonts w:ascii="Calibri" w:hAnsi="Calibri" w:eastAsia="avenir-regular-class" w:cs="Calibri"/>
          <w:i/>
          <w:iCs/>
          <w:color w:val="333333"/>
          <w:sz w:val="24"/>
          <w:szCs w:val="24"/>
          <w:shd w:val="clear" w:color="auto" w:fill="FBFBFB"/>
        </w:rPr>
        <w:t>Grievances</w:t>
      </w:r>
      <w:r>
        <w:rPr>
          <w:rFonts w:ascii="Calibri" w:hAnsi="Calibri" w:eastAsia="avenir-regular-class" w:cs="Calibri"/>
          <w:color w:val="333333"/>
          <w:sz w:val="24"/>
          <w:szCs w:val="24"/>
          <w:shd w:val="clear" w:color="auto" w:fill="FBFBFB"/>
        </w:rPr>
        <w:t>. Available at: https://www.tuc.org.uk/resource/grievances  (Accessed: 4 April 2025).</w:t>
      </w:r>
    </w:p>
    <w:p w14:paraId="6FFBD3EC">
      <w:pPr>
        <w:pStyle w:val="10"/>
        <w:numPr>
          <w:ilvl w:val="255"/>
          <w:numId w:val="0"/>
        </w:numPr>
        <w:rPr>
          <w:rFonts w:ascii="Calibri" w:hAnsi="Calibri" w:eastAsia="avenir-regular-class" w:cs="Calibri"/>
          <w:color w:val="333333"/>
          <w:sz w:val="24"/>
          <w:szCs w:val="24"/>
          <w:shd w:val="clear" w:color="auto" w:fill="FBFBFB"/>
        </w:rPr>
      </w:pPr>
    </w:p>
    <w:p w14:paraId="40FD9727">
      <w:pPr>
        <w:pStyle w:val="10"/>
        <w:numPr>
          <w:ilvl w:val="255"/>
          <w:numId w:val="0"/>
        </w:numPr>
        <w:rPr>
          <w:rFonts w:ascii="Calibri" w:hAnsi="Calibri" w:eastAsia="avenir-regular-class" w:cs="Calibri"/>
          <w:color w:val="333333"/>
          <w:sz w:val="24"/>
          <w:szCs w:val="24"/>
          <w:shd w:val="clear" w:color="auto" w:fill="FBFBFB"/>
        </w:rPr>
      </w:pPr>
      <w:r>
        <w:rPr>
          <w:rFonts w:ascii="Calibri" w:hAnsi="Calibri" w:eastAsia="avenir-regular-class" w:cs="Calibri"/>
          <w:color w:val="333333"/>
          <w:sz w:val="24"/>
          <w:szCs w:val="24"/>
          <w:shd w:val="clear" w:color="auto" w:fill="FBFBFB"/>
        </w:rPr>
        <w:t>TUC (2010) </w:t>
      </w:r>
      <w:r>
        <w:rPr>
          <w:rFonts w:ascii="Calibri" w:hAnsi="Calibri" w:eastAsia="avenir-regular-class" w:cs="Calibri"/>
          <w:i/>
          <w:iCs/>
          <w:color w:val="333333"/>
          <w:sz w:val="24"/>
          <w:szCs w:val="24"/>
          <w:shd w:val="clear" w:color="auto" w:fill="FBFBFB"/>
        </w:rPr>
        <w:t>In Sickness and in Health?</w:t>
      </w:r>
      <w:r>
        <w:rPr>
          <w:rFonts w:ascii="Calibri" w:hAnsi="Calibri" w:eastAsia="avenir-regular-class" w:cs="Calibri"/>
          <w:i/>
          <w:iCs/>
          <w:color w:val="333333"/>
          <w:sz w:val="24"/>
          <w:szCs w:val="24"/>
          <w:shd w:val="clear" w:color="auto" w:fill="FBFBFB"/>
          <w:lang w:val="en-GB"/>
        </w:rPr>
        <w:t>:</w:t>
      </w:r>
      <w:r>
        <w:rPr>
          <w:rFonts w:ascii="Calibri" w:hAnsi="Calibri" w:eastAsia="avenir-regular-class" w:cs="Calibri"/>
          <w:i/>
          <w:iCs/>
          <w:color w:val="333333"/>
          <w:sz w:val="24"/>
          <w:szCs w:val="24"/>
          <w:shd w:val="clear" w:color="auto" w:fill="FBFBFB"/>
        </w:rPr>
        <w:t xml:space="preserve"> Good Work and How to Achieve it.</w:t>
      </w:r>
      <w:r>
        <w:rPr>
          <w:rFonts w:ascii="Calibri" w:hAnsi="Calibri" w:eastAsia="avenir-regular-class" w:cs="Calibri"/>
          <w:color w:val="333333"/>
          <w:sz w:val="24"/>
          <w:szCs w:val="24"/>
          <w:shd w:val="clear" w:color="auto" w:fill="FBFBFB"/>
        </w:rPr>
        <w:t>. Available at: https://www.tuc.org.uk/sites/default/files/extras/goodwork.pdf Accessed: 31 March 2025).</w:t>
      </w:r>
    </w:p>
    <w:p w14:paraId="30DCCCAD">
      <w:pPr>
        <w:pStyle w:val="10"/>
        <w:numPr>
          <w:ilvl w:val="255"/>
          <w:numId w:val="0"/>
        </w:numPr>
        <w:rPr>
          <w:rFonts w:ascii="Calibri" w:hAnsi="Calibri" w:eastAsia="avenir-regular-class" w:cs="Calibri"/>
          <w:color w:val="333333"/>
          <w:sz w:val="24"/>
          <w:szCs w:val="24"/>
          <w:shd w:val="clear" w:color="auto" w:fill="FBFBFB"/>
        </w:rPr>
      </w:pPr>
    </w:p>
    <w:p w14:paraId="36C727B0">
      <w:pPr>
        <w:pStyle w:val="10"/>
        <w:numPr>
          <w:ilvl w:val="255"/>
          <w:numId w:val="0"/>
        </w:numPr>
        <w:rPr>
          <w:rFonts w:ascii="Calibri" w:hAnsi="Calibri" w:eastAsia="avenir-regular-class" w:cs="Calibri"/>
          <w:color w:val="333333"/>
          <w:sz w:val="24"/>
          <w:szCs w:val="24"/>
          <w:shd w:val="clear" w:color="auto" w:fill="FBFBFB"/>
        </w:rPr>
      </w:pPr>
      <w:r>
        <w:rPr>
          <w:rFonts w:ascii="Calibri" w:hAnsi="Calibri" w:eastAsia="avenir-regular-class" w:cs="Calibri"/>
          <w:color w:val="333333"/>
          <w:sz w:val="24"/>
          <w:szCs w:val="24"/>
          <w:shd w:val="clear" w:color="auto" w:fill="FBFBFB"/>
        </w:rPr>
        <w:t>TUC (2025) </w:t>
      </w:r>
      <w:r>
        <w:rPr>
          <w:rFonts w:ascii="Calibri" w:hAnsi="Calibri" w:eastAsia="avenir-regular-class" w:cs="Calibri"/>
          <w:i/>
          <w:iCs/>
          <w:color w:val="333333"/>
          <w:sz w:val="24"/>
          <w:szCs w:val="24"/>
          <w:shd w:val="clear" w:color="auto" w:fill="FBFBFB"/>
        </w:rPr>
        <w:t>Rep Guidance: Union Representation</w:t>
      </w:r>
      <w:r>
        <w:rPr>
          <w:rFonts w:ascii="Calibri" w:hAnsi="Calibri" w:eastAsia="avenir-regular-class" w:cs="Calibri"/>
          <w:color w:val="333333"/>
          <w:sz w:val="24"/>
          <w:szCs w:val="24"/>
          <w:shd w:val="clear" w:color="auto" w:fill="FBFBFB"/>
        </w:rPr>
        <w:t>. Available at: https://www.tuc.org.uk/union-reps/organising-and-bargaining/union-representation  (Accessed: 28 March 2025).</w:t>
      </w:r>
    </w:p>
    <w:p w14:paraId="36AF6883">
      <w:pPr>
        <w:pStyle w:val="10"/>
        <w:numPr>
          <w:ilvl w:val="255"/>
          <w:numId w:val="0"/>
        </w:numPr>
        <w:rPr>
          <w:rFonts w:ascii="Calibri" w:hAnsi="Calibri" w:eastAsia="avenir-regular-class" w:cs="Calibri"/>
          <w:color w:val="333333"/>
          <w:sz w:val="24"/>
          <w:szCs w:val="24"/>
          <w:shd w:val="clear" w:color="auto" w:fill="FBFBFB"/>
        </w:rPr>
      </w:pPr>
    </w:p>
    <w:p w14:paraId="050DF2BD">
      <w:pPr>
        <w:pStyle w:val="10"/>
        <w:numPr>
          <w:ilvl w:val="255"/>
          <w:numId w:val="0"/>
        </w:numPr>
        <w:rPr>
          <w:rFonts w:ascii="Calibri" w:hAnsi="Calibri" w:eastAsia="avenir-regular-class" w:cs="Calibri"/>
          <w:color w:val="333333"/>
          <w:sz w:val="24"/>
          <w:szCs w:val="24"/>
          <w:shd w:val="clear" w:color="auto" w:fill="FBFBFB"/>
        </w:rPr>
      </w:pPr>
      <w:r>
        <w:rPr>
          <w:rFonts w:ascii="Calibri" w:hAnsi="Calibri" w:eastAsia="avenir-regular-class" w:cs="Calibri"/>
          <w:color w:val="333333"/>
          <w:sz w:val="24"/>
          <w:szCs w:val="24"/>
          <w:shd w:val="clear" w:color="auto" w:fill="FBFBFB"/>
        </w:rPr>
        <w:t>Unison (2013) </w:t>
      </w:r>
      <w:r>
        <w:rPr>
          <w:rFonts w:ascii="Calibri" w:hAnsi="Calibri" w:eastAsia="avenir-regular-class" w:cs="Calibri"/>
          <w:i/>
          <w:iCs/>
          <w:color w:val="333333"/>
          <w:sz w:val="24"/>
          <w:szCs w:val="24"/>
          <w:shd w:val="clear" w:color="auto" w:fill="FBFBFB"/>
        </w:rPr>
        <w:t>Tackling </w:t>
      </w:r>
      <w:r>
        <w:rPr>
          <w:rFonts w:ascii="Calibri" w:hAnsi="Calibri" w:eastAsia="avenir-regular-class" w:cs="Calibri"/>
          <w:color w:val="333333"/>
          <w:sz w:val="24"/>
          <w:szCs w:val="24"/>
          <w:shd w:val="clear" w:color="auto" w:fill="FBFBFB"/>
        </w:rPr>
        <w:t>Bullying at Work: A Unison Guide for Safety Reps. Available at: https://www.unison.org.uk/content/uploads/2013/07/On-line-Catalogue216953.pdf  (Accessed: 4 April 2025).</w:t>
      </w:r>
    </w:p>
    <w:p w14:paraId="54C529ED">
      <w:pPr>
        <w:pStyle w:val="10"/>
        <w:numPr>
          <w:ilvl w:val="255"/>
          <w:numId w:val="0"/>
        </w:numPr>
        <w:rPr>
          <w:rFonts w:ascii="Calibri" w:hAnsi="Calibri" w:eastAsia="avenir-regular-class" w:cs="Calibri"/>
          <w:color w:val="333333"/>
          <w:sz w:val="24"/>
          <w:szCs w:val="24"/>
          <w:shd w:val="clear" w:color="auto" w:fill="FBFBFB"/>
        </w:rPr>
      </w:pPr>
    </w:p>
    <w:p w14:paraId="1C0157D6">
      <w:pPr>
        <w:pStyle w:val="10"/>
        <w:numPr>
          <w:ilvl w:val="255"/>
          <w:numId w:val="0"/>
        </w:numPr>
        <w:jc w:val="center"/>
        <w:rPr>
          <w:rFonts w:ascii="Calibri" w:hAnsi="Calibri" w:eastAsia="avenir-regular-class" w:cs="Calibri"/>
          <w:color w:val="333333"/>
          <w:sz w:val="24"/>
          <w:szCs w:val="24"/>
          <w:shd w:val="clear" w:color="auto" w:fill="FBFBFB"/>
          <w:lang w:val="en-GB"/>
        </w:rPr>
      </w:pPr>
    </w:p>
    <w:p w14:paraId="3691E7B2">
      <w:pPr>
        <w:pStyle w:val="10"/>
        <w:numPr>
          <w:ilvl w:val="255"/>
          <w:numId w:val="0"/>
        </w:numPr>
        <w:jc w:val="center"/>
        <w:rPr>
          <w:rFonts w:ascii="Calibri" w:hAnsi="Calibri" w:eastAsia="avenir-regular-class" w:cs="Calibri"/>
          <w:color w:val="333333"/>
          <w:sz w:val="24"/>
          <w:szCs w:val="24"/>
          <w:shd w:val="clear" w:color="auto" w:fill="FBFBFB"/>
          <w:lang w:val="en-GB"/>
        </w:rPr>
      </w:pPr>
    </w:p>
    <w:p w14:paraId="526770CE">
      <w:pPr>
        <w:pStyle w:val="10"/>
        <w:numPr>
          <w:ilvl w:val="255"/>
          <w:numId w:val="0"/>
        </w:numPr>
        <w:jc w:val="center"/>
        <w:rPr>
          <w:rFonts w:ascii="Calibri" w:hAnsi="Calibri" w:eastAsia="avenir-regular-class" w:cs="Calibri"/>
          <w:color w:val="333333"/>
          <w:sz w:val="24"/>
          <w:szCs w:val="24"/>
          <w:shd w:val="clear" w:color="auto" w:fill="FBFBFB"/>
          <w:lang w:val="en-GB"/>
        </w:rPr>
      </w:pPr>
    </w:p>
    <w:p w14:paraId="7C072299">
      <w:pPr>
        <w:pStyle w:val="10"/>
        <w:numPr>
          <w:ilvl w:val="255"/>
          <w:numId w:val="0"/>
        </w:numPr>
        <w:jc w:val="center"/>
        <w:rPr>
          <w:rFonts w:ascii="Calibri" w:hAnsi="Calibri" w:eastAsia="avenir-regular-class" w:cs="Calibri"/>
          <w:b/>
          <w:bCs/>
          <w:color w:val="333333"/>
          <w:sz w:val="24"/>
          <w:szCs w:val="24"/>
          <w:shd w:val="clear" w:color="auto" w:fill="FBFBFB"/>
          <w:lang w:val="en-GB"/>
        </w:rPr>
      </w:pPr>
      <w:r>
        <w:rPr>
          <w:rFonts w:ascii="Calibri" w:hAnsi="Calibri" w:eastAsia="avenir-regular-class" w:cs="Calibri"/>
          <w:b/>
          <w:bCs/>
          <w:color w:val="333333"/>
          <w:sz w:val="24"/>
          <w:szCs w:val="24"/>
          <w:shd w:val="clear" w:color="auto" w:fill="FBFBFB"/>
          <w:lang w:val="en-GB"/>
        </w:rPr>
        <w:t>Case Law</w:t>
      </w:r>
    </w:p>
    <w:p w14:paraId="7CBEED82">
      <w:pPr>
        <w:pStyle w:val="10"/>
        <w:numPr>
          <w:ilvl w:val="255"/>
          <w:numId w:val="0"/>
        </w:numPr>
        <w:jc w:val="center"/>
        <w:rPr>
          <w:rFonts w:ascii="Calibri" w:hAnsi="Calibri" w:eastAsia="avenir-regular-class" w:cs="Calibri"/>
          <w:b/>
          <w:bCs/>
          <w:color w:val="333333"/>
          <w:sz w:val="24"/>
          <w:szCs w:val="24"/>
          <w:shd w:val="clear" w:color="auto" w:fill="FBFBFB"/>
          <w:lang w:val="en-GB"/>
        </w:rPr>
      </w:pPr>
    </w:p>
    <w:p w14:paraId="2FE744F1">
      <w:pPr>
        <w:pStyle w:val="10"/>
        <w:numPr>
          <w:ilvl w:val="255"/>
          <w:numId w:val="0"/>
        </w:numPr>
        <w:rPr>
          <w:rFonts w:ascii="Calibri" w:hAnsi="Calibri" w:cs="Calibri"/>
          <w:i/>
          <w:iCs/>
          <w:sz w:val="24"/>
          <w:szCs w:val="24"/>
          <w:lang w:val="en-GB"/>
        </w:rPr>
      </w:pPr>
      <w:r>
        <w:rPr>
          <w:rFonts w:ascii="Calibri" w:hAnsi="Calibri"/>
          <w:i/>
          <w:iCs/>
          <w:sz w:val="24"/>
          <w:szCs w:val="24"/>
          <w:lang w:val="en-GB"/>
        </w:rPr>
        <w:t>Celebi v Compass Group (2010) UK/EAT/0032/10</w:t>
      </w:r>
    </w:p>
    <w:p w14:paraId="6E36661F">
      <w:pPr>
        <w:pStyle w:val="10"/>
        <w:numPr>
          <w:ilvl w:val="255"/>
          <w:numId w:val="0"/>
        </w:numPr>
        <w:rPr>
          <w:rFonts w:ascii="Calibri" w:hAnsi="Calibri" w:cs="Calibri"/>
          <w:i/>
          <w:iCs/>
          <w:sz w:val="24"/>
          <w:szCs w:val="24"/>
          <w:lang w:val="en-GB"/>
        </w:rPr>
      </w:pPr>
    </w:p>
    <w:p w14:paraId="6B6DDA9D">
      <w:pPr>
        <w:pStyle w:val="10"/>
        <w:numPr>
          <w:ilvl w:val="255"/>
          <w:numId w:val="0"/>
        </w:numPr>
        <w:rPr>
          <w:rFonts w:ascii="Calibri" w:hAnsi="Calibri" w:cs="Calibri"/>
          <w:i/>
          <w:iCs/>
          <w:sz w:val="24"/>
          <w:szCs w:val="24"/>
          <w:lang w:val="en-GB"/>
        </w:rPr>
      </w:pPr>
      <w:r>
        <w:rPr>
          <w:rFonts w:ascii="Calibri" w:hAnsi="Calibri" w:cs="Calibri"/>
          <w:i/>
          <w:iCs/>
          <w:sz w:val="24"/>
          <w:szCs w:val="24"/>
          <w:lang w:val="en-GB"/>
        </w:rPr>
        <w:t>Crisp V Apple Retail (2011) ET1500258/11</w:t>
      </w:r>
    </w:p>
    <w:p w14:paraId="38645DC7">
      <w:pPr>
        <w:pStyle w:val="10"/>
        <w:numPr>
          <w:ilvl w:val="255"/>
          <w:numId w:val="0"/>
        </w:numPr>
        <w:rPr>
          <w:rFonts w:ascii="Calibri" w:hAnsi="Calibri" w:cs="Calibri"/>
          <w:i/>
          <w:iCs/>
          <w:sz w:val="24"/>
          <w:szCs w:val="24"/>
          <w:lang w:val="en-GB"/>
        </w:rPr>
      </w:pPr>
    </w:p>
    <w:p w14:paraId="135E58C4">
      <w:pPr>
        <w:pStyle w:val="10"/>
        <w:numPr>
          <w:ilvl w:val="255"/>
          <w:numId w:val="0"/>
        </w:numPr>
        <w:rPr>
          <w:rFonts w:ascii="Calibri" w:hAnsi="Calibri" w:cs="Calibri"/>
          <w:i/>
          <w:iCs/>
          <w:sz w:val="24"/>
          <w:szCs w:val="24"/>
          <w:lang w:val="en-GB"/>
        </w:rPr>
      </w:pPr>
    </w:p>
    <w:sectPr>
      <w:headerReference r:id="rId3" w:type="default"/>
      <w:footerReference r:id="rId4" w:type="default"/>
      <w:pgSz w:w="11900" w:h="16840"/>
      <w:pgMar w:top="1440" w:right="1440" w:bottom="1440" w:left="1440" w:header="708" w:footer="708"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0000000000000000000"/>
    <w:charset w:val="00"/>
    <w:family w:val="roman"/>
    <w:pitch w:val="default"/>
    <w:sig w:usb0="00000000" w:usb1="00000000" w:usb2="00000000" w:usb3="00000000" w:csb0="00000000" w:csb1="00000000"/>
  </w:font>
  <w:font w:name="Aptos">
    <w:altName w:val="Segoe Print"/>
    <w:panose1 w:val="020B0004020202020204"/>
    <w:charset w:val="00"/>
    <w:family w:val="swiss"/>
    <w:pitch w:val="default"/>
    <w:sig w:usb0="00000000" w:usb1="00000000" w:usb2="00000000" w:usb3="00000000" w:csb0="0000019F" w:csb1="00000000"/>
  </w:font>
  <w:font w:name="Georgia">
    <w:panose1 w:val="02040502050405020303"/>
    <w:charset w:val="00"/>
    <w:family w:val="roman"/>
    <w:pitch w:val="default"/>
    <w:sig w:usb0="00000287" w:usb1="00000000" w:usb2="00000000" w:usb3="00000000" w:csb0="2000009F" w:csb1="00000000"/>
  </w:font>
  <w:font w:name="Trebuchet MS">
    <w:panose1 w:val="020B0603020202020204"/>
    <w:charset w:val="00"/>
    <w:family w:val="swiss"/>
    <w:pitch w:val="default"/>
    <w:sig w:usb0="00000687" w:usb1="00000000" w:usb2="00000000" w:usb3="00000000" w:csb0="2000009F" w:csb1="00000000"/>
  </w:font>
  <w:font w:name="avenir-regular-clas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8863E">
    <w:pPr>
      <w:pStyle w:val="8"/>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EBF9A1">
    <w:pPr>
      <w:pStyle w:val="8"/>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1EEE1C"/>
    <w:multiLevelType w:val="singleLevel"/>
    <w:tmpl w:val="041EEE1C"/>
    <w:lvl w:ilvl="0" w:tentative="0">
      <w:start w:val="1"/>
      <w:numFmt w:val="bullet"/>
      <w:lvlText w:val=""/>
      <w:lvlJc w:val="left"/>
      <w:pPr>
        <w:tabs>
          <w:tab w:val="left" w:pos="420"/>
        </w:tabs>
        <w:ind w:left="420" w:hanging="420"/>
      </w:pPr>
      <w:rPr>
        <w:rFonts w:hint="default" w:ascii="Wingdings" w:hAnsi="Wingdings"/>
      </w:rPr>
    </w:lvl>
  </w:abstractNum>
  <w:abstractNum w:abstractNumId="1">
    <w:nsid w:val="2AD3AE29"/>
    <w:multiLevelType w:val="singleLevel"/>
    <w:tmpl w:val="2AD3AE29"/>
    <w:lvl w:ilvl="0" w:tentative="0">
      <w:start w:val="1"/>
      <w:numFmt w:val="bullet"/>
      <w:lvlText w:val=""/>
      <w:lvlJc w:val="left"/>
      <w:pPr>
        <w:tabs>
          <w:tab w:val="left" w:pos="420"/>
        </w:tabs>
        <w:ind w:left="420" w:hanging="42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noLineBreaksAfter w:lang="zh-CN" w:val="‘“(〔[{〈《「『【⦅〘〖«〝︵︷︹︻︽︿﹁﹃﹇﹙﹛﹝｢"/>
  <w:noLineBreaksBefore w:lang="zh-CN" w:val="’”)〕]}〉"/>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7FE"/>
    <w:rsid w:val="00A06C97"/>
    <w:rsid w:val="00CB07FE"/>
    <w:rsid w:val="00E07E0A"/>
    <w:rsid w:val="00FC5FAE"/>
    <w:rsid w:val="01D73E25"/>
    <w:rsid w:val="04616D4B"/>
    <w:rsid w:val="04BA750E"/>
    <w:rsid w:val="04D27D3C"/>
    <w:rsid w:val="06AD0181"/>
    <w:rsid w:val="06FB5AE1"/>
    <w:rsid w:val="082F0A74"/>
    <w:rsid w:val="09E18D94"/>
    <w:rsid w:val="0A503B7A"/>
    <w:rsid w:val="0B9B562E"/>
    <w:rsid w:val="0E0A7659"/>
    <w:rsid w:val="102E0AD3"/>
    <w:rsid w:val="115A0E16"/>
    <w:rsid w:val="11CE79E9"/>
    <w:rsid w:val="1238091E"/>
    <w:rsid w:val="12CC2A49"/>
    <w:rsid w:val="13403655"/>
    <w:rsid w:val="13F2672C"/>
    <w:rsid w:val="145E4D9F"/>
    <w:rsid w:val="157E428B"/>
    <w:rsid w:val="17C206D4"/>
    <w:rsid w:val="18C07FBF"/>
    <w:rsid w:val="18D26FF0"/>
    <w:rsid w:val="1B6E13F2"/>
    <w:rsid w:val="1BD74BD8"/>
    <w:rsid w:val="1D3A85DA"/>
    <w:rsid w:val="1D831B40"/>
    <w:rsid w:val="1E040EBA"/>
    <w:rsid w:val="1EA0715A"/>
    <w:rsid w:val="1F5F678E"/>
    <w:rsid w:val="20B378F7"/>
    <w:rsid w:val="22265F42"/>
    <w:rsid w:val="2356DEE5"/>
    <w:rsid w:val="23E427C1"/>
    <w:rsid w:val="25CA5F96"/>
    <w:rsid w:val="27B55939"/>
    <w:rsid w:val="281A017F"/>
    <w:rsid w:val="289406A2"/>
    <w:rsid w:val="29466031"/>
    <w:rsid w:val="2AED6F0A"/>
    <w:rsid w:val="2C481F3A"/>
    <w:rsid w:val="2DA92C79"/>
    <w:rsid w:val="2F9A4761"/>
    <w:rsid w:val="30F14B09"/>
    <w:rsid w:val="315E7B1E"/>
    <w:rsid w:val="33E0B41D"/>
    <w:rsid w:val="33EE058A"/>
    <w:rsid w:val="344F470B"/>
    <w:rsid w:val="346E1392"/>
    <w:rsid w:val="34CBDC1B"/>
    <w:rsid w:val="34DA2928"/>
    <w:rsid w:val="35353641"/>
    <w:rsid w:val="35B12D3D"/>
    <w:rsid w:val="38AC0FD0"/>
    <w:rsid w:val="3A812FB6"/>
    <w:rsid w:val="3C5553C9"/>
    <w:rsid w:val="3CDC01E8"/>
    <w:rsid w:val="3E612AEF"/>
    <w:rsid w:val="4008B1B4"/>
    <w:rsid w:val="4B026AB9"/>
    <w:rsid w:val="4D4A4BE3"/>
    <w:rsid w:val="4DF992FF"/>
    <w:rsid w:val="4E0651E8"/>
    <w:rsid w:val="4F213E73"/>
    <w:rsid w:val="4FBE52E9"/>
    <w:rsid w:val="51DEAE23"/>
    <w:rsid w:val="52B2016E"/>
    <w:rsid w:val="541240CA"/>
    <w:rsid w:val="555E3F91"/>
    <w:rsid w:val="55A41A91"/>
    <w:rsid w:val="56CD32C1"/>
    <w:rsid w:val="58D37421"/>
    <w:rsid w:val="59A8085C"/>
    <w:rsid w:val="5A591444"/>
    <w:rsid w:val="5AA20F1F"/>
    <w:rsid w:val="5CCB1752"/>
    <w:rsid w:val="60E208D2"/>
    <w:rsid w:val="611C6055"/>
    <w:rsid w:val="615758E1"/>
    <w:rsid w:val="61787D03"/>
    <w:rsid w:val="638D3374"/>
    <w:rsid w:val="64A93306"/>
    <w:rsid w:val="672E45B2"/>
    <w:rsid w:val="67E532EF"/>
    <w:rsid w:val="699763FB"/>
    <w:rsid w:val="69AB1EBA"/>
    <w:rsid w:val="6CCB618B"/>
    <w:rsid w:val="6EBD2BDA"/>
    <w:rsid w:val="6FC06DB2"/>
    <w:rsid w:val="70906E6A"/>
    <w:rsid w:val="70F864EF"/>
    <w:rsid w:val="72663EBE"/>
    <w:rsid w:val="72DC6E5B"/>
    <w:rsid w:val="730C6636"/>
    <w:rsid w:val="73E869DE"/>
    <w:rsid w:val="772A7005"/>
    <w:rsid w:val="782E2768"/>
    <w:rsid w:val="7B0F1164"/>
    <w:rsid w:val="7C39DD52"/>
    <w:rsid w:val="7C971A1B"/>
    <w:rsid w:val="7F4732F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Arial Unicode MS" w:cs="Times New Roman"/>
      <w:sz w:val="24"/>
      <w:szCs w:val="24"/>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FollowedHyperlink"/>
    <w:basedOn w:val="2"/>
    <w:qFormat/>
    <w:uiPriority w:val="0"/>
    <w:rPr>
      <w:color w:val="800080"/>
      <w:u w:val="single"/>
    </w:rPr>
  </w:style>
  <w:style w:type="character" w:styleId="5">
    <w:name w:val="Hyperlink"/>
    <w:qFormat/>
    <w:uiPriority w:val="0"/>
    <w:rPr>
      <w:u w:val="single"/>
    </w:rPr>
  </w:style>
  <w:style w:type="paragraph" w:styleId="6">
    <w:name w:val="Normal (Web)"/>
    <w:qFormat/>
    <w:uiPriority w:val="0"/>
    <w:pPr>
      <w:spacing w:before="100" w:after="100"/>
    </w:pPr>
    <w:rPr>
      <w:rFonts w:ascii="Times New Roman" w:hAnsi="Times New Roman" w:eastAsia="Arial Unicode MS" w:cs="Arial Unicode MS"/>
      <w:color w:val="000000"/>
      <w:sz w:val="24"/>
      <w:szCs w:val="24"/>
      <w:u w:color="000000"/>
      <w:lang w:val="en-US" w:eastAsia="ja-JP" w:bidi="ar-SA"/>
    </w:rPr>
  </w:style>
  <w:style w:type="table" w:customStyle="1" w:styleId="7">
    <w:name w:val="Table Normal1"/>
    <w:qFormat/>
    <w:uiPriority w:val="0"/>
    <w:tblPr>
      <w:tblCellMar>
        <w:top w:w="0" w:type="dxa"/>
        <w:left w:w="0" w:type="dxa"/>
        <w:bottom w:w="0" w:type="dxa"/>
        <w:right w:w="0" w:type="dxa"/>
      </w:tblCellMar>
    </w:tblPr>
  </w:style>
  <w:style w:type="paragraph" w:customStyle="1" w:styleId="8">
    <w:name w:val="Header &amp; Footer"/>
    <w:qFormat/>
    <w:uiPriority w:val="0"/>
    <w:pPr>
      <w:tabs>
        <w:tab w:val="right" w:pos="9020"/>
      </w:tabs>
    </w:pPr>
    <w:rPr>
      <w:rFonts w:ascii="Helvetica Neue" w:hAnsi="Helvetica Neue" w:eastAsia="Arial Unicode MS" w:cs="Arial Unicode MS"/>
      <w:color w:val="000000"/>
      <w:sz w:val="24"/>
      <w:szCs w:val="24"/>
      <w:lang w:val="en-US" w:eastAsia="ja-JP" w:bidi="ar-SA"/>
    </w:rPr>
  </w:style>
  <w:style w:type="paragraph" w:customStyle="1" w:styleId="9">
    <w:name w:val="Body"/>
    <w:qFormat/>
    <w:uiPriority w:val="0"/>
    <w:rPr>
      <w:rFonts w:ascii="Aptos" w:hAnsi="Aptos" w:eastAsia="Aptos" w:cs="Aptos"/>
      <w:color w:val="000000"/>
      <w:kern w:val="2"/>
      <w:sz w:val="24"/>
      <w:szCs w:val="24"/>
      <w:u w:color="000000"/>
      <w:lang w:val="en-US" w:eastAsia="ja-JP" w:bidi="ar-SA"/>
    </w:rPr>
  </w:style>
  <w:style w:type="paragraph" w:customStyle="1" w:styleId="10">
    <w:name w:val="Body A"/>
    <w:qFormat/>
    <w:uiPriority w:val="0"/>
    <w:pPr>
      <w:spacing w:line="256" w:lineRule="auto"/>
    </w:pPr>
    <w:rPr>
      <w:rFonts w:ascii="Arial" w:hAnsi="Arial" w:eastAsia="Arial Unicode MS" w:cs="Arial Unicode MS"/>
      <w:color w:val="000000"/>
      <w:sz w:val="22"/>
      <w:szCs w:val="22"/>
      <w:u w:color="000000"/>
      <w:lang w:val="en-US" w:eastAsia="ja-JP" w:bidi="ar-SA"/>
    </w:rPr>
  </w:style>
  <w:style w:type="paragraph" w:customStyle="1" w:styleId="11">
    <w:name w:val="List parag"/>
    <w:qFormat/>
    <w:uiPriority w:val="0"/>
    <w:pPr>
      <w:spacing w:before="100" w:after="120" w:line="264" w:lineRule="auto"/>
    </w:pPr>
    <w:rPr>
      <w:rFonts w:ascii="Arial" w:hAnsi="Arial" w:eastAsia="Arial Unicode MS" w:cs="Arial Unicode MS"/>
      <w:color w:val="000000"/>
      <w:sz w:val="22"/>
      <w:szCs w:val="22"/>
      <w:u w:color="000000"/>
      <w:lang w:val="en-US" w:eastAsia="ja-JP" w:bidi="ar-SA"/>
    </w:rPr>
  </w:style>
  <w:style w:type="paragraph" w:customStyle="1" w:styleId="12">
    <w:name w:val="Heading"/>
    <w:next w:val="9"/>
    <w:qFormat/>
    <w:uiPriority w:val="0"/>
    <w:pPr>
      <w:spacing w:before="120" w:after="360" w:line="264" w:lineRule="auto"/>
      <w:outlineLvl w:val="0"/>
    </w:pPr>
    <w:rPr>
      <w:rFonts w:ascii="Georgia" w:hAnsi="Georgia" w:eastAsia="Arial Unicode MS" w:cs="Arial Unicode MS"/>
      <w:i/>
      <w:iCs/>
      <w:color w:val="004147"/>
      <w:sz w:val="48"/>
      <w:szCs w:val="48"/>
      <w:u w:color="004147"/>
      <w:lang w:val="it-IT" w:eastAsia="ja-JP" w:bidi="ar-SA"/>
    </w:rPr>
  </w:style>
  <w:style w:type="paragraph" w:customStyle="1" w:styleId="13">
    <w:name w:val="Nornal"/>
    <w:qFormat/>
    <w:uiPriority w:val="0"/>
    <w:pPr>
      <w:spacing w:after="160" w:line="264" w:lineRule="auto"/>
    </w:pPr>
    <w:rPr>
      <w:rFonts w:ascii="Arial" w:hAnsi="Arial" w:eastAsia="Arial" w:cs="Arial"/>
      <w:color w:val="000000"/>
      <w:sz w:val="22"/>
      <w:szCs w:val="22"/>
      <w:u w:color="000000"/>
      <w:lang w:val="en-US" w:eastAsia="ja-JP"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156082"/>
      </a:accent1>
      <a:accent2>
        <a:srgbClr val="E97132"/>
      </a:accent2>
      <a:accent3>
        <a:srgbClr val="196B24"/>
      </a:accent3>
      <a:accent4>
        <a:srgbClr val="0F9ED5"/>
      </a:accent4>
      <a:accent5>
        <a:srgbClr val="A02B93"/>
      </a:accent5>
      <a:accent6>
        <a:srgbClr val="4EA72E"/>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a:spAutoFit/>
      </a:bodyPr>
      <a:lstStyle/>
      <a:style>
        <a:lnRef idx="0">
          <a:srgbClr val="FFFFFF"/>
        </a:lnRef>
        <a:fillRef idx="0">
          <a:srgbClr val="FFFFFF"/>
        </a:fillRef>
        <a:effectRef idx="0">
          <a:srgbClr val="FFFFFF"/>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a:noAutofit/>
      </a:bodyPr>
      <a:lstStyle/>
      <a:style>
        <a:lnRef idx="0">
          <a:srgbClr val="FFFFFF"/>
        </a:lnRef>
        <a:fillRef idx="0">
          <a:srgbClr val="FFFFFF"/>
        </a:fillRef>
        <a:effectRef idx="0">
          <a:srgbClr val="FFFFFF"/>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rgbClr val="FFFFFF"/>
        </a:lnRef>
        <a:fillRef idx="0">
          <a:srgbClr val="FFFFFF"/>
        </a:fillRef>
        <a:effectRef idx="0">
          <a:srgbClr val="FFFFFF"/>
        </a:effectRef>
        <a:fontRef idx="none"/>
      </a:style>
    </a:txDef>
  </a:objectDefaults>
</a:theme>
</file>

<file path=docProps/app.xml><?xml version="1.0" encoding="utf-8"?>
<Properties xmlns="http://schemas.openxmlformats.org/officeDocument/2006/extended-properties" xmlns:vt="http://schemas.openxmlformats.org/officeDocument/2006/docPropsVTypes">
  <Template>Normal.dotm</Template>
  <Pages>15</Pages>
  <TotalTime>8</TotalTime>
  <ScaleCrop>false</ScaleCrop>
  <LinksUpToDate>false</LinksUpToDate>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2025-05-12T10:47:00Z</dcterms:created>
  <dc:creator>andrea.matthews</dc:creator>
  <cp:lastModifiedBy>WPS_1727684645</cp:lastModifiedBy>
  <dcterms:modified xsi:type="dcterms:W3CDTF">2025-05-13T12:58:18Z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1033-12.2.0.20795</vt:lpwstr>
  </property>
  <property fmtid="{D5CDD505-2E9C-101B-9397-08002B2CF9AE}" pid="3" name="ICV">
    <vt:lpwstr>DB2B5F4FA08C41C498AAA3DB0E410151_13</vt:lpwstr>
  </property>
</Properties>
</file>