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DB262" w14:textId="1EB945EA" w:rsidR="080A0537" w:rsidRDefault="080A0537" w:rsidP="57AD6AC4">
      <w:pPr>
        <w:rPr>
          <w:rFonts w:ascii="Arial Nova" w:eastAsia="Arial Nova" w:hAnsi="Arial Nova" w:cs="Arial Nova"/>
          <w:color w:val="000000" w:themeColor="text1"/>
        </w:rPr>
      </w:pPr>
      <w:r w:rsidRPr="57AD6AC4">
        <w:rPr>
          <w:rFonts w:ascii="Arial Nova" w:eastAsia="Arial Nova" w:hAnsi="Arial Nova" w:cs="Arial Nova"/>
          <w:b/>
          <w:bCs/>
          <w:color w:val="000000" w:themeColor="text1"/>
        </w:rPr>
        <w:t xml:space="preserve">                                                NEELAM ASHRAF: 2126021        </w:t>
      </w:r>
    </w:p>
    <w:p w14:paraId="5D4B7F30" w14:textId="5F6691B8"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 xml:space="preserve"> </w:t>
      </w:r>
    </w:p>
    <w:p w14:paraId="122B059A" w14:textId="49C8EE37"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Module Code: - LCHS4004</w:t>
      </w:r>
    </w:p>
    <w:p w14:paraId="4D3C6F06" w14:textId="40C46083"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 xml:space="preserve"> </w:t>
      </w:r>
    </w:p>
    <w:p w14:paraId="1386B9C2" w14:textId="5026C9A0"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 xml:space="preserve">Module Name: - Introduction to Public Health </w:t>
      </w:r>
    </w:p>
    <w:p w14:paraId="54BF3F08" w14:textId="75CC090D"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 xml:space="preserve"> </w:t>
      </w:r>
    </w:p>
    <w:p w14:paraId="5D6FCE9A" w14:textId="7030E521"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Assignment Title: - Component 1- Incidence of disease in communities</w:t>
      </w:r>
    </w:p>
    <w:p w14:paraId="20021D5C" w14:textId="4E4C3DEC" w:rsidR="080A0537" w:rsidRDefault="080A0537" w:rsidP="57AD6AC4">
      <w:pPr>
        <w:jc w:val="center"/>
        <w:rPr>
          <w:rFonts w:ascii="Arial" w:eastAsia="Arial" w:hAnsi="Arial" w:cs="Arial"/>
          <w:color w:val="000000" w:themeColor="text1"/>
          <w:sz w:val="28"/>
          <w:szCs w:val="28"/>
        </w:rPr>
      </w:pPr>
      <w:r w:rsidRPr="57AD6AC4">
        <w:rPr>
          <w:rFonts w:ascii="Arial" w:eastAsia="Arial" w:hAnsi="Arial" w:cs="Arial"/>
          <w:b/>
          <w:bCs/>
          <w:color w:val="000000" w:themeColor="text1"/>
          <w:sz w:val="28"/>
          <w:szCs w:val="28"/>
        </w:rPr>
        <w:t xml:space="preserve"> </w:t>
      </w:r>
    </w:p>
    <w:p w14:paraId="679722C3" w14:textId="64AAFA42" w:rsidR="080A0537" w:rsidRDefault="080A0537" w:rsidP="57AD6AC4">
      <w:pPr>
        <w:jc w:val="center"/>
        <w:rPr>
          <w:rFonts w:ascii="Arial Nova" w:eastAsia="Arial Nova" w:hAnsi="Arial Nova" w:cs="Arial Nova"/>
          <w:color w:val="000000" w:themeColor="text1"/>
        </w:rPr>
      </w:pPr>
      <w:r w:rsidRPr="57AD6AC4">
        <w:rPr>
          <w:rFonts w:ascii="Arial" w:eastAsia="Arial" w:hAnsi="Arial" w:cs="Arial"/>
          <w:b/>
          <w:bCs/>
          <w:color w:val="000000" w:themeColor="text1"/>
          <w:sz w:val="28"/>
          <w:szCs w:val="28"/>
        </w:rPr>
        <w:t>Lecturer: - Dr Aishat Bakr</w:t>
      </w:r>
      <w:r w:rsidR="00400881">
        <w:rPr>
          <w:rFonts w:ascii="Arial" w:eastAsia="Arial" w:hAnsi="Arial" w:cs="Arial"/>
          <w:b/>
          <w:bCs/>
          <w:color w:val="000000" w:themeColor="text1"/>
          <w:sz w:val="28"/>
          <w:szCs w:val="28"/>
        </w:rPr>
        <w:t>e</w:t>
      </w:r>
      <w:r>
        <w:br/>
      </w:r>
    </w:p>
    <w:p w14:paraId="476D581F" w14:textId="639420DB" w:rsidR="57AD6AC4" w:rsidRDefault="57AD6AC4" w:rsidP="57AD6AC4">
      <w:pPr>
        <w:jc w:val="center"/>
      </w:pPr>
    </w:p>
    <w:p w14:paraId="1E7F2A73" w14:textId="5F555520" w:rsidR="6A6B487D" w:rsidRDefault="6A6B487D" w:rsidP="57AD6AC4">
      <w:pPr>
        <w:spacing w:line="360" w:lineRule="auto"/>
      </w:pPr>
      <w:r w:rsidRPr="57AD6AC4">
        <w:rPr>
          <w:rFonts w:ascii="Arial" w:eastAsia="Arial" w:hAnsi="Arial" w:cs="Arial"/>
        </w:rPr>
        <w:t xml:space="preserve">                                      </w:t>
      </w:r>
      <w:r>
        <w:rPr>
          <w:noProof/>
        </w:rPr>
        <w:drawing>
          <wp:inline distT="0" distB="0" distL="0" distR="0" wp14:anchorId="1F0FB6C0" wp14:editId="1F882022">
            <wp:extent cx="3648075" cy="3038475"/>
            <wp:effectExtent l="26237" t="31602" r="26237" b="31602"/>
            <wp:docPr id="838069740" name="Picture 83806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rot="21540000">
                      <a:off x="0" y="0"/>
                      <a:ext cx="3648075" cy="3038475"/>
                    </a:xfrm>
                    <a:prstGeom prst="rect">
                      <a:avLst/>
                    </a:prstGeom>
                  </pic:spPr>
                </pic:pic>
              </a:graphicData>
            </a:graphic>
          </wp:inline>
        </w:drawing>
      </w:r>
      <w:r w:rsidRPr="57AD6AC4">
        <w:rPr>
          <w:rFonts w:ascii="Arial" w:eastAsia="Arial" w:hAnsi="Arial" w:cs="Arial"/>
        </w:rPr>
        <w:t xml:space="preserve">  </w:t>
      </w:r>
    </w:p>
    <w:p w14:paraId="65F651F1" w14:textId="0DFE1FFD" w:rsidR="7F1283AA" w:rsidRDefault="7F1283AA" w:rsidP="57AD6AC4">
      <w:pPr>
        <w:spacing w:line="360" w:lineRule="auto"/>
        <w:rPr>
          <w:rFonts w:ascii="Calibri" w:eastAsia="Calibri" w:hAnsi="Calibri" w:cs="Calibri"/>
        </w:rPr>
      </w:pPr>
      <w:r w:rsidRPr="57AD6AC4">
        <w:rPr>
          <w:rFonts w:ascii="Arial Nova" w:eastAsia="Arial Nova" w:hAnsi="Arial Nova" w:cs="Arial Nova"/>
          <w:color w:val="000000" w:themeColor="text1"/>
        </w:rPr>
        <w:t>Gadgetsng.com (available 2022</w:t>
      </w:r>
      <w:r w:rsidR="6A6B487D" w:rsidRPr="57AD6AC4">
        <w:rPr>
          <w:rFonts w:ascii="Arial" w:eastAsia="Arial" w:hAnsi="Arial" w:cs="Arial"/>
        </w:rPr>
        <w:t xml:space="preserve">                </w:t>
      </w:r>
      <w:r>
        <w:br/>
      </w:r>
      <w:r w:rsidR="6A6B487D" w:rsidRPr="57AD6AC4">
        <w:rPr>
          <w:rFonts w:ascii="Arial" w:eastAsia="Arial" w:hAnsi="Arial" w:cs="Arial"/>
        </w:rPr>
        <w:t xml:space="preserve">    </w:t>
      </w:r>
    </w:p>
    <w:p w14:paraId="42A2D413" w14:textId="7D4C3D3A" w:rsidR="57AD6AC4" w:rsidRDefault="57AD6AC4" w:rsidP="57AD6AC4">
      <w:pPr>
        <w:spacing w:line="360" w:lineRule="auto"/>
        <w:rPr>
          <w:rFonts w:ascii="Arial" w:eastAsia="Arial" w:hAnsi="Arial" w:cs="Arial"/>
        </w:rPr>
      </w:pPr>
    </w:p>
    <w:p w14:paraId="52A3338A" w14:textId="15965782" w:rsidR="57AD6AC4" w:rsidRDefault="57AD6AC4" w:rsidP="57AD6AC4">
      <w:pPr>
        <w:spacing w:line="360" w:lineRule="auto"/>
        <w:rPr>
          <w:rFonts w:ascii="Arial" w:eastAsia="Arial" w:hAnsi="Arial" w:cs="Arial"/>
        </w:rPr>
      </w:pPr>
    </w:p>
    <w:p w14:paraId="49A5E96F" w14:textId="043DD93D" w:rsidR="57AD6AC4" w:rsidRDefault="57AD6AC4" w:rsidP="57AD6AC4">
      <w:pPr>
        <w:spacing w:line="360" w:lineRule="auto"/>
        <w:rPr>
          <w:rFonts w:ascii="Arial" w:eastAsia="Arial" w:hAnsi="Arial" w:cs="Arial"/>
        </w:rPr>
      </w:pPr>
    </w:p>
    <w:p w14:paraId="43BD0DFF" w14:textId="22631AA9" w:rsidR="39725745" w:rsidRDefault="39725745" w:rsidP="323C7889">
      <w:pPr>
        <w:spacing w:line="360" w:lineRule="auto"/>
      </w:pPr>
      <w:r w:rsidRPr="323C7889">
        <w:rPr>
          <w:rFonts w:ascii="Arial" w:eastAsia="Arial" w:hAnsi="Arial" w:cs="Arial"/>
        </w:rPr>
        <w:t>Introduction ……………………………………………………………………….3</w:t>
      </w:r>
    </w:p>
    <w:p w14:paraId="1291271A" w14:textId="1A968966" w:rsidR="39725745" w:rsidRDefault="39725745" w:rsidP="323C7889">
      <w:pPr>
        <w:spacing w:line="360" w:lineRule="auto"/>
      </w:pPr>
      <w:r w:rsidRPr="323C7889">
        <w:rPr>
          <w:rFonts w:ascii="Arial" w:eastAsia="Arial" w:hAnsi="Arial" w:cs="Arial"/>
        </w:rPr>
        <w:lastRenderedPageBreak/>
        <w:t xml:space="preserve"> </w:t>
      </w:r>
    </w:p>
    <w:p w14:paraId="06F42E77" w14:textId="745732F1" w:rsidR="39725745" w:rsidRDefault="39725745" w:rsidP="323C7889">
      <w:pPr>
        <w:spacing w:line="360" w:lineRule="auto"/>
      </w:pPr>
      <w:r w:rsidRPr="323C7889">
        <w:rPr>
          <w:rFonts w:ascii="Arial" w:eastAsia="Arial" w:hAnsi="Arial" w:cs="Arial"/>
        </w:rPr>
        <w:t>Strategies to measure, monitor and control incidence of Mumps………….3-5</w:t>
      </w:r>
    </w:p>
    <w:p w14:paraId="52A61DFD" w14:textId="6E3904BB" w:rsidR="39725745" w:rsidRDefault="39725745" w:rsidP="323C7889">
      <w:pPr>
        <w:spacing w:line="360" w:lineRule="auto"/>
      </w:pPr>
      <w:r w:rsidRPr="323C7889">
        <w:rPr>
          <w:rFonts w:ascii="Arial" w:eastAsia="Arial" w:hAnsi="Arial" w:cs="Arial"/>
        </w:rPr>
        <w:t xml:space="preserve"> </w:t>
      </w:r>
    </w:p>
    <w:p w14:paraId="78EA3ACA" w14:textId="03453C1E" w:rsidR="39725745" w:rsidRDefault="39725745" w:rsidP="323C7889">
      <w:pPr>
        <w:spacing w:line="360" w:lineRule="auto"/>
      </w:pPr>
      <w:r w:rsidRPr="323C7889">
        <w:rPr>
          <w:rFonts w:ascii="Arial" w:eastAsia="Arial" w:hAnsi="Arial" w:cs="Arial"/>
        </w:rPr>
        <w:t>Conclusion…………………………………………………………………………5</w:t>
      </w:r>
    </w:p>
    <w:p w14:paraId="6EF52533" w14:textId="4D782EA8" w:rsidR="39725745" w:rsidRDefault="39725745" w:rsidP="323C7889">
      <w:pPr>
        <w:spacing w:line="360" w:lineRule="auto"/>
      </w:pPr>
      <w:r w:rsidRPr="323C7889">
        <w:rPr>
          <w:rFonts w:ascii="Arial" w:eastAsia="Arial" w:hAnsi="Arial" w:cs="Arial"/>
        </w:rPr>
        <w:t xml:space="preserve"> </w:t>
      </w:r>
    </w:p>
    <w:p w14:paraId="195C32C8" w14:textId="34FCCE7D" w:rsidR="39725745" w:rsidRDefault="39725745" w:rsidP="323C7889">
      <w:pPr>
        <w:spacing w:line="360" w:lineRule="auto"/>
      </w:pPr>
      <w:r w:rsidRPr="323C7889">
        <w:rPr>
          <w:rFonts w:ascii="Arial" w:eastAsia="Arial" w:hAnsi="Arial" w:cs="Arial"/>
        </w:rPr>
        <w:t>References…………………………………………………………………………6</w:t>
      </w:r>
    </w:p>
    <w:p w14:paraId="0D3FC4B3" w14:textId="6B176594" w:rsidR="323C7889" w:rsidRDefault="323C7889" w:rsidP="323C7889">
      <w:pPr>
        <w:spacing w:line="360" w:lineRule="auto"/>
        <w:rPr>
          <w:rFonts w:ascii="Arial" w:eastAsia="Arial" w:hAnsi="Arial" w:cs="Arial"/>
        </w:rPr>
      </w:pPr>
    </w:p>
    <w:p w14:paraId="2A9D9DFF" w14:textId="7FACC278" w:rsidR="323C7889" w:rsidRDefault="323C7889" w:rsidP="323C7889"/>
    <w:p w14:paraId="25F18E54" w14:textId="0AD919CB" w:rsidR="323C7889" w:rsidRDefault="323C7889"/>
    <w:p w14:paraId="5B182940" w14:textId="2C3F38C2" w:rsidR="323C7889" w:rsidRDefault="323C7889"/>
    <w:p w14:paraId="197A52E2" w14:textId="7275F0B6" w:rsidR="323C7889" w:rsidRDefault="323C7889"/>
    <w:p w14:paraId="78EA8A79" w14:textId="1196CCF2" w:rsidR="0A588392" w:rsidRDefault="20BB0B2A" w:rsidP="57AD6AC4">
      <w:pPr>
        <w:spacing w:line="360" w:lineRule="auto"/>
      </w:pPr>
      <w:r>
        <w:t>Introduction    b</w:t>
      </w:r>
      <w:r w:rsidR="69A33224">
        <w:t>ook</w:t>
      </w:r>
    </w:p>
    <w:p w14:paraId="7611B0D4" w14:textId="19CFCBEC" w:rsidR="0A588392" w:rsidRDefault="3CABDD3C" w:rsidP="57AD6AC4">
      <w:pPr>
        <w:rPr>
          <w:rFonts w:ascii="Arial Nova" w:eastAsia="Arial Nova" w:hAnsi="Arial Nova" w:cs="Arial Nova"/>
          <w:color w:val="000000" w:themeColor="text1"/>
        </w:rPr>
      </w:pPr>
      <w:r w:rsidRPr="57AD6AC4">
        <w:rPr>
          <w:rFonts w:ascii="Arial Nova" w:eastAsia="Arial Nova" w:hAnsi="Arial Nova" w:cs="Arial Nova"/>
          <w:color w:val="000000" w:themeColor="text1"/>
        </w:rPr>
        <w:t>A sickness is an unusual condition that harmed the capability or construction of all or part of a Creature and isn't brought about by a prompt injury from an external perspective (L'OPEZ _</w:t>
      </w:r>
      <w:proofErr w:type="spellStart"/>
      <w:r w:rsidRPr="57AD6AC4">
        <w:rPr>
          <w:rFonts w:ascii="Arial Nova" w:eastAsia="Arial Nova" w:hAnsi="Arial Nova" w:cs="Arial Nova"/>
          <w:color w:val="000000" w:themeColor="text1"/>
        </w:rPr>
        <w:t>Otin</w:t>
      </w:r>
      <w:proofErr w:type="spellEnd"/>
      <w:r w:rsidRPr="57AD6AC4">
        <w:rPr>
          <w:rFonts w:ascii="Arial Nova" w:eastAsia="Arial Nova" w:hAnsi="Arial Nova" w:cs="Arial Nova"/>
          <w:color w:val="000000" w:themeColor="text1"/>
        </w:rPr>
        <w:t xml:space="preserve"> and Kroemer, 2021). there are two kinds of illnesses for example. Irresistible and non. Irresistible illness.</w:t>
      </w:r>
    </w:p>
    <w:p w14:paraId="050910D8" w14:textId="44C47A6C" w:rsidR="0A588392" w:rsidRDefault="3CABDD3C" w:rsidP="57AD6AC4">
      <w:pPr>
        <w:rPr>
          <w:rFonts w:ascii="Arial Nova" w:eastAsia="Arial Nova" w:hAnsi="Arial Nova" w:cs="Arial Nova"/>
          <w:color w:val="000000" w:themeColor="text1"/>
        </w:rPr>
      </w:pPr>
      <w:r w:rsidRPr="57AD6AC4">
        <w:rPr>
          <w:rFonts w:ascii="Arial Nova" w:eastAsia="Arial Nova" w:hAnsi="Arial Nova" w:cs="Arial Nova"/>
          <w:color w:val="000000" w:themeColor="text1"/>
        </w:rPr>
        <w:t>An irresistible sickness called tuberculosis (TB) ordinarily influences individuals' lungs. A possibly risky problem can stretch out to the stomach (midsection), organs, bones, and sensory system. A constant hack that endures longer than three weeks and much of the time produces mucus that might be horrendous, weight reduction, night-time sweats, a high internal heat level, weariness and weakness, a deficiency of hunger, and neck swellings are commonplace side effects of TB. over three weeks of hacking. chest torment TB is a bacterial contamination that is shrunk by breathing tiny beads from a tainted individual's hack or wheeze. (NHS,2022)</w:t>
      </w:r>
    </w:p>
    <w:p w14:paraId="7898F218" w14:textId="11A48ECA" w:rsidR="0A588392" w:rsidRDefault="0C1EB31B" w:rsidP="57AD6AC4">
      <w:pPr>
        <w:spacing w:line="360" w:lineRule="auto"/>
      </w:pPr>
      <w:r w:rsidRPr="57AD6AC4">
        <w:rPr>
          <w:rFonts w:ascii="Arial" w:eastAsia="Arial" w:hAnsi="Arial" w:cs="Arial"/>
        </w:rPr>
        <w:t>The aim of this report is to explain the strategies used to measure, monitor and control mumps in the UK.</w:t>
      </w:r>
    </w:p>
    <w:p w14:paraId="31511298" w14:textId="7DBEC6E5" w:rsidR="15F71346" w:rsidRDefault="15F71346" w:rsidP="323C7889">
      <w:pPr>
        <w:spacing w:line="360" w:lineRule="auto"/>
        <w:jc w:val="both"/>
        <w:rPr>
          <w:rFonts w:ascii="Arial" w:eastAsia="Arial" w:hAnsi="Arial" w:cs="Arial"/>
        </w:rPr>
      </w:pPr>
      <w:r w:rsidRPr="323C7889">
        <w:rPr>
          <w:rFonts w:ascii="Arial" w:eastAsia="Arial" w:hAnsi="Arial" w:cs="Arial"/>
          <w:b/>
          <w:bCs/>
        </w:rPr>
        <w:t>MEASURE</w:t>
      </w:r>
    </w:p>
    <w:p w14:paraId="590A0847" w14:textId="2C331B14" w:rsidR="323C7889" w:rsidRDefault="2AE934AD" w:rsidP="323C7889">
      <w:pPr>
        <w:spacing w:line="360" w:lineRule="auto"/>
        <w:jc w:val="both"/>
        <w:rPr>
          <w:rFonts w:ascii="Arial" w:eastAsia="Arial" w:hAnsi="Arial" w:cs="Arial"/>
        </w:rPr>
      </w:pPr>
      <w:r w:rsidRPr="57AD6AC4">
        <w:rPr>
          <w:rFonts w:ascii="Arial" w:eastAsia="Arial" w:hAnsi="Arial" w:cs="Arial"/>
          <w:b/>
          <w:bCs/>
        </w:rPr>
        <w:t xml:space="preserve"> The</w:t>
      </w:r>
      <w:r w:rsidR="3DF39F7D" w:rsidRPr="57AD6AC4">
        <w:rPr>
          <w:rFonts w:ascii="Arial" w:eastAsia="Arial" w:hAnsi="Arial" w:cs="Arial"/>
        </w:rPr>
        <w:t xml:space="preserve"> strategies for measuring tuberculosis incidence in </w:t>
      </w:r>
      <w:r w:rsidR="641B553E" w:rsidRPr="57AD6AC4">
        <w:rPr>
          <w:rFonts w:ascii="Arial" w:eastAsia="Arial" w:hAnsi="Arial" w:cs="Arial"/>
        </w:rPr>
        <w:t>the U</w:t>
      </w:r>
      <w:r w:rsidR="3DF39F7D" w:rsidRPr="57AD6AC4">
        <w:rPr>
          <w:rFonts w:ascii="Arial" w:eastAsia="Arial" w:hAnsi="Arial" w:cs="Arial"/>
        </w:rPr>
        <w:t xml:space="preserve"> K refer to the number of new cases occurring in a population at a given time. Tuberculosis is a dangerous disease, and it is a legal requirement that health professionals inform their local health protection team of all new suspected cases (Health Protection Report, 2017).</w:t>
      </w:r>
      <w:r w:rsidR="350CFE0C" w:rsidRPr="57AD6AC4">
        <w:rPr>
          <w:rFonts w:ascii="Arial" w:eastAsia="Arial" w:hAnsi="Arial" w:cs="Arial"/>
        </w:rPr>
        <w:t>.</w:t>
      </w:r>
    </w:p>
    <w:p w14:paraId="4222D3B8" w14:textId="4DD1F80A" w:rsidR="3591C34A" w:rsidRDefault="3591C34A" w:rsidP="323C7889">
      <w:pPr>
        <w:spacing w:line="360" w:lineRule="auto"/>
        <w:jc w:val="both"/>
      </w:pPr>
      <w:r w:rsidRPr="323C7889">
        <w:rPr>
          <w:rFonts w:ascii="Arial" w:eastAsia="Arial" w:hAnsi="Arial" w:cs="Arial"/>
        </w:rPr>
        <w:t xml:space="preserve">The most common ways to measure the incidence of tuberculosis are mortality, which is the number of deaths due to the disease, and morbidity, which is being infected or in an unhealthy </w:t>
      </w:r>
      <w:r w:rsidRPr="323C7889">
        <w:rPr>
          <w:rFonts w:ascii="Arial" w:eastAsia="Arial" w:hAnsi="Arial" w:cs="Arial"/>
        </w:rPr>
        <w:lastRenderedPageBreak/>
        <w:t xml:space="preserve">state (morbidity vs. mortality - no date). The other way of measuring is incidence, which gives information about new cases, and prevalence, which gives the number of new and old cases. To measure the incidence of </w:t>
      </w:r>
      <w:r w:rsidR="212D3089" w:rsidRPr="323C7889">
        <w:rPr>
          <w:rFonts w:ascii="Arial" w:eastAsia="Arial" w:hAnsi="Arial" w:cs="Arial"/>
        </w:rPr>
        <w:t>tuberculosis</w:t>
      </w:r>
      <w:r w:rsidRPr="323C7889">
        <w:rPr>
          <w:rFonts w:ascii="Arial" w:eastAsia="Arial" w:hAnsi="Arial" w:cs="Arial"/>
        </w:rPr>
        <w:t>, it is essential to conduct an epidemiological survey. These measures are linked to understand the impact of mumps in the community and how to manage the burden (Health Knowledge, 2022</w:t>
      </w:r>
    </w:p>
    <w:p w14:paraId="5F0238B2" w14:textId="2C37D89D" w:rsidR="679631E0" w:rsidRDefault="6B00CFAC"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Predominance: new and old paces of sickness: how more extensive spread illness </w:t>
      </w:r>
      <w:proofErr w:type="spellStart"/>
      <w:r w:rsidRPr="57AD6AC4">
        <w:rPr>
          <w:rFonts w:ascii="Arial Nova" w:eastAsia="Arial Nova" w:hAnsi="Arial Nova" w:cs="Arial Nova"/>
          <w:color w:val="000000" w:themeColor="text1"/>
        </w:rPr>
        <w:t>is.General</w:t>
      </w:r>
      <w:proofErr w:type="spellEnd"/>
      <w:r w:rsidRPr="57AD6AC4">
        <w:rPr>
          <w:rFonts w:ascii="Arial Nova" w:eastAsia="Arial Nova" w:hAnsi="Arial Nova" w:cs="Arial Nova"/>
          <w:color w:val="000000" w:themeColor="text1"/>
        </w:rPr>
        <w:t xml:space="preserve"> wellbeing sign's notices have constantly diminished, until 2019, when a 2.4% increment was accounted for at a pace of 7.3 per 100,000 individuals. 2022 imprints the fourth back-to-back year that the rate is beneath this level. Who characterizes a low occurrence country as. As in past reports, TB rates are as yet higher among people who were brought into the world beyond the UK, in the people who have social gamble factors, and in the people who come from our less prosperous country. (Tuberculosis in </w:t>
      </w:r>
      <w:proofErr w:type="spellStart"/>
      <w:r w:rsidR="6EE53C09" w:rsidRPr="57AD6AC4">
        <w:rPr>
          <w:rFonts w:ascii="Arial Nova" w:eastAsia="Arial Nova" w:hAnsi="Arial Nova" w:cs="Arial Nova"/>
          <w:color w:val="000000" w:themeColor="text1"/>
        </w:rPr>
        <w:t>Uk</w:t>
      </w:r>
      <w:proofErr w:type="spellEnd"/>
      <w:r w:rsidRPr="57AD6AC4">
        <w:rPr>
          <w:rFonts w:ascii="Arial Nova" w:eastAsia="Arial Nova" w:hAnsi="Arial Nova" w:cs="Arial Nova"/>
          <w:color w:val="000000" w:themeColor="text1"/>
        </w:rPr>
        <w:t xml:space="preserve"> :2021 report)</w:t>
      </w:r>
    </w:p>
    <w:p w14:paraId="54A8BCEB" w14:textId="61796165" w:rsidR="6AF635BD" w:rsidRDefault="5A07E3FF" w:rsidP="57AD6AC4">
      <w:pPr>
        <w:spacing w:line="360" w:lineRule="auto"/>
        <w:rPr>
          <w:rFonts w:ascii="Arial Nova" w:eastAsia="Arial Nova" w:hAnsi="Arial Nova" w:cs="Arial Nova"/>
        </w:rPr>
      </w:pPr>
      <w:r w:rsidRPr="57AD6AC4">
        <w:rPr>
          <w:rFonts w:ascii="Arial Nova" w:eastAsia="Arial Nova" w:hAnsi="Arial Nova" w:cs="Arial Nova"/>
        </w:rPr>
        <w:t>Public Health England also works with partners across the health system to ensure that the public receives the right information at the right time and that decisions and actions are taken to protect, promote and prevent mumps (Public Health England 2022)</w:t>
      </w:r>
    </w:p>
    <w:p w14:paraId="1CD3C2F6" w14:textId="196811DF" w:rsidR="323C7889" w:rsidRDefault="6D363ADA" w:rsidP="57AD6AC4">
      <w:pPr>
        <w:rPr>
          <w:rFonts w:ascii="Arial Nova" w:eastAsia="Arial Nova" w:hAnsi="Arial Nova" w:cs="Arial Nova"/>
          <w:b/>
          <w:bCs/>
          <w:color w:val="000000" w:themeColor="text1"/>
        </w:rPr>
      </w:pPr>
      <w:r w:rsidRPr="57AD6AC4">
        <w:rPr>
          <w:rFonts w:ascii="Arial Nova" w:eastAsia="Arial Nova" w:hAnsi="Arial Nova" w:cs="Arial Nova"/>
          <w:b/>
          <w:bCs/>
          <w:color w:val="000000" w:themeColor="text1"/>
        </w:rPr>
        <w:t>MONITOR</w:t>
      </w:r>
    </w:p>
    <w:p w14:paraId="64AC0693" w14:textId="6721BBF0" w:rsidR="323C7889" w:rsidRDefault="5E8A9776" w:rsidP="57AD6AC4">
      <w:pPr>
        <w:spacing w:line="360" w:lineRule="auto"/>
        <w:rPr>
          <w:rFonts w:ascii="Arial Nova" w:eastAsia="Arial Nova" w:hAnsi="Arial Nova" w:cs="Arial Nova"/>
        </w:rPr>
      </w:pPr>
      <w:r w:rsidRPr="57AD6AC4">
        <w:rPr>
          <w:rFonts w:ascii="Arial Nova" w:eastAsia="Arial Nova" w:hAnsi="Arial Nova" w:cs="Arial Nova"/>
          <w:color w:val="000000" w:themeColor="text1"/>
        </w:rPr>
        <w:t>Screen: Infections can be checked with the assistance of general wellbeing reconnaissance frameworks. General wellbeing reconnaissance is the "General wellbeing independent direction and activity are helped by the continuous assortment, examination, understanding, and spread of wellbeing information. Observing and keep the recurrence of disease in the area is significant "identical t. (CDC, 2012).</w:t>
      </w:r>
    </w:p>
    <w:p w14:paraId="4209E490" w14:textId="55EBF2D1"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the dispersal of these information to chiefs in illness anticipation and general wellbeing, as well as their understanding (CDC2012). To follow the illness, for this situation the tuber cluses from the beginning and to distinguish any likely solutions for stop further transmission, General Wellbeing Britain (PHE) utilizes a global positioning framework. This approach supports following the pervasiveness of mumps in the area (General Wellbeing Britain, 2022) </w:t>
      </w:r>
    </w:p>
    <w:p w14:paraId="18285E33" w14:textId="79EF89D8"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Lab checking and a chest radiograph. Inside the initial fourteen days, the run of the mill TB side effects — hack, sputum result, fever, and weight reduction — generally improve</w:t>
      </w:r>
    </w:p>
    <w:p w14:paraId="61AA4805" w14:textId="512847AF" w:rsidR="323C7889" w:rsidRDefault="26C7BF29" w:rsidP="57AD6AC4">
      <w:pPr>
        <w:spacing w:line="360" w:lineRule="auto"/>
        <w:jc w:val="both"/>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The data on the surveillance system is available to the following: </w:t>
      </w:r>
    </w:p>
    <w:p w14:paraId="17FFD761" w14:textId="399A3DAE"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Directors of public health, local authorities, health and wellbeing boards</w:t>
      </w:r>
    </w:p>
    <w:p w14:paraId="2ED58E1B" w14:textId="3D9B9755"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Public health England staff </w:t>
      </w:r>
    </w:p>
    <w:p w14:paraId="346D3DB2" w14:textId="45B00B38"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Commissioning bodies</w:t>
      </w:r>
    </w:p>
    <w:p w14:paraId="145DD7EC" w14:textId="2EDA6C51"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lastRenderedPageBreak/>
        <w:t>notifications and a rate of 15.6 per 100,000 reported). Since 2011, the number and rate of</w:t>
      </w:r>
    </w:p>
    <w:p w14:paraId="290D8AF8" w14:textId="76F32513"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Clinicians and NHS managers</w:t>
      </w:r>
    </w:p>
    <w:p w14:paraId="129FCA72" w14:textId="13D57DCB"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Government departments</w:t>
      </w:r>
    </w:p>
    <w:p w14:paraId="2AF9025B" w14:textId="3FF91E12"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Academic bodies</w:t>
      </w:r>
    </w:p>
    <w:p w14:paraId="65A896FC" w14:textId="440DC168"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International organisations e.g., WHO, ECDC</w:t>
      </w:r>
    </w:p>
    <w:p w14:paraId="01765798" w14:textId="7805E6BC"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Industry, pharmaceutical companies</w:t>
      </w:r>
    </w:p>
    <w:p w14:paraId="271890CC" w14:textId="4F0EAADD" w:rsidR="323C7889" w:rsidRDefault="26C7BF29" w:rsidP="57AD6AC4">
      <w:pPr>
        <w:pStyle w:val="ListParagraph"/>
        <w:numPr>
          <w:ilvl w:val="0"/>
          <w:numId w:val="3"/>
        </w:num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Local public</w:t>
      </w:r>
    </w:p>
    <w:p w14:paraId="4EC48583" w14:textId="1BCBAA13" w:rsidR="323C7889" w:rsidRDefault="26C7BF29" w:rsidP="57AD6AC4">
      <w:pPr>
        <w:spacing w:line="360" w:lineRule="auto"/>
        <w:jc w:val="both"/>
        <w:rPr>
          <w:rFonts w:ascii="Arial Nova" w:eastAsia="Arial Nova" w:hAnsi="Arial Nova" w:cs="Arial Nova"/>
          <w:color w:val="000000" w:themeColor="text1"/>
        </w:rPr>
      </w:pPr>
      <w:r w:rsidRPr="57AD6AC4">
        <w:rPr>
          <w:rFonts w:ascii="Arial Nova" w:eastAsia="Arial Nova" w:hAnsi="Arial Nova" w:cs="Arial Nova"/>
          <w:color w:val="000000" w:themeColor="text1"/>
          <w:lang w:val="en-US"/>
        </w:rPr>
        <w:t>(Public Health Surveillance, 2022)</w:t>
      </w:r>
    </w:p>
    <w:p w14:paraId="6EF70884" w14:textId="385A55B0" w:rsidR="323C7889" w:rsidRDefault="26C7BF29" w:rsidP="57AD6AC4">
      <w:pPr>
        <w:spacing w:line="360" w:lineRule="auto"/>
        <w:jc w:val="both"/>
        <w:rPr>
          <w:rFonts w:ascii="Arial Nova" w:eastAsia="Arial Nova" w:hAnsi="Arial Nova" w:cs="Arial Nova"/>
          <w:color w:val="000000" w:themeColor="text1"/>
        </w:rPr>
      </w:pPr>
      <w:r w:rsidRPr="57AD6AC4">
        <w:rPr>
          <w:rFonts w:ascii="Arial Nova" w:eastAsia="Arial Nova" w:hAnsi="Arial Nova" w:cs="Arial Nova"/>
          <w:color w:val="000000" w:themeColor="text1"/>
          <w:lang w:val="en-US"/>
        </w:rPr>
        <w:t>If leadership and management do not use the surveillance plan, the public's health in the UK will be at risk.</w:t>
      </w:r>
    </w:p>
    <w:p w14:paraId="3AA7BB58" w14:textId="7AECCECA" w:rsidR="323C7889" w:rsidRDefault="26C7BF29" w:rsidP="57AD6AC4">
      <w:pPr>
        <w:spacing w:line="360" w:lineRule="auto"/>
        <w:jc w:val="both"/>
        <w:rPr>
          <w:rFonts w:ascii="Arial Nova" w:eastAsia="Arial Nova" w:hAnsi="Arial Nova" w:cs="Arial Nova"/>
          <w:color w:val="000000" w:themeColor="text1"/>
          <w:sz w:val="24"/>
          <w:szCs w:val="24"/>
        </w:rPr>
      </w:pPr>
      <w:r w:rsidRPr="57AD6AC4">
        <w:rPr>
          <w:rFonts w:ascii="Arial Nova" w:eastAsia="Arial Nova" w:hAnsi="Arial Nova" w:cs="Arial Nova"/>
          <w:b/>
          <w:bCs/>
          <w:i/>
          <w:iCs/>
          <w:color w:val="000000" w:themeColor="text1"/>
          <w:sz w:val="24"/>
          <w:szCs w:val="24"/>
          <w:lang w:val="en-US"/>
        </w:rPr>
        <w:t>Control the incidence of tuberculosis:</w:t>
      </w:r>
    </w:p>
    <w:p w14:paraId="091E9A30" w14:textId="17B30FD4"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But tuberculises can be cured if it is treated with the right antibiotics. You must take medication for at least 6 to 9 months.  increasing communal immunity also protects others The cornerstone of limiting infectious illnesses has been herd immunity. Antimicrobial drugs can occasionally also be used to stop infections before or after exposure to a disease (pre and post exposure prophylaxis). These drugs either destroy the germs or prevent them from multiplying. In the fight against pathogens, antimicrobial resistance, which can happen when bacteria acquire </w:t>
      </w:r>
      <w:r w:rsidRPr="57AD6AC4">
        <w:rPr>
          <w:rFonts w:ascii="Arial Nova" w:eastAsia="Arial Nova" w:hAnsi="Arial Nova" w:cs="Arial Nova"/>
          <w:b/>
          <w:bCs/>
          <w:color w:val="000000" w:themeColor="text1"/>
        </w:rPr>
        <w:t>resistance</w:t>
      </w:r>
      <w:r w:rsidRPr="57AD6AC4">
        <w:rPr>
          <w:rFonts w:ascii="Arial Nova" w:eastAsia="Arial Nova" w:hAnsi="Arial Nova" w:cs="Arial Nova"/>
          <w:color w:val="000000" w:themeColor="text1"/>
        </w:rPr>
        <w:t xml:space="preserve"> to drugs that were earlier successful against them, is a major issue. The technological advancements have exacerbated antimicrobial resistance.</w:t>
      </w:r>
    </w:p>
    <w:p w14:paraId="03700421" w14:textId="6D6BC5CF"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England's cooperative tuberculosis approach (2019)</w:t>
      </w:r>
    </w:p>
    <w:p w14:paraId="0A96C907" w14:textId="71057065"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1: expanding service accessibility and ensuring early diagnosis.</w:t>
      </w:r>
    </w:p>
    <w:p w14:paraId="3FC9201A" w14:textId="31C45182"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2: enhance care and treatment offerings.</w:t>
      </w:r>
    </w:p>
    <w:p w14:paraId="3101D5F0" w14:textId="2D27DE90"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3: making sure that contact tracking is thorough.</w:t>
      </w:r>
    </w:p>
    <w:p w14:paraId="583AAE48" w14:textId="357662C8"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4. Giving everyone access to quantity diagnostics is step four.</w:t>
      </w:r>
    </w:p>
    <w:p w14:paraId="26D4DC90" w14:textId="6A936A5C"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5: enhancing BCG </w:t>
      </w:r>
    </w:p>
    <w:p w14:paraId="5FB39986" w14:textId="41C33BD5" w:rsidR="323C7889" w:rsidRDefault="26C7BF29" w:rsidP="57AD6AC4">
      <w:pPr>
        <w:spacing w:line="360" w:lineRule="auto"/>
        <w:jc w:val="both"/>
        <w:rPr>
          <w:rFonts w:ascii="Arial Nova" w:eastAsia="Arial Nova" w:hAnsi="Arial Nova" w:cs="Arial Nova"/>
          <w:color w:val="000000" w:themeColor="text1"/>
          <w:sz w:val="24"/>
          <w:szCs w:val="24"/>
        </w:rPr>
      </w:pPr>
      <w:r w:rsidRPr="57AD6AC4">
        <w:rPr>
          <w:rFonts w:ascii="Arial Nova" w:eastAsia="Arial Nova" w:hAnsi="Arial Nova" w:cs="Arial Nova"/>
          <w:i/>
          <w:iCs/>
          <w:color w:val="000000" w:themeColor="text1"/>
          <w:sz w:val="24"/>
          <w:szCs w:val="24"/>
          <w:lang w:val="en-US"/>
        </w:rPr>
        <w:t xml:space="preserve">In order to </w:t>
      </w:r>
      <w:r w:rsidRPr="57AD6AC4">
        <w:rPr>
          <w:rFonts w:ascii="Arial Nova" w:eastAsia="Arial Nova" w:hAnsi="Arial Nova" w:cs="Arial Nova"/>
          <w:i/>
          <w:iCs/>
          <w:color w:val="000000" w:themeColor="text1"/>
          <w:sz w:val="24"/>
          <w:szCs w:val="24"/>
        </w:rPr>
        <w:t xml:space="preserve">eliminate </w:t>
      </w:r>
      <w:r w:rsidRPr="57AD6AC4">
        <w:rPr>
          <w:rFonts w:ascii="Arial Nova" w:eastAsia="Arial Nova" w:hAnsi="Arial Nova" w:cs="Arial Nova"/>
          <w:i/>
          <w:iCs/>
          <w:color w:val="000000" w:themeColor="text1"/>
          <w:sz w:val="24"/>
          <w:szCs w:val="24"/>
          <w:lang w:val="en-US"/>
        </w:rPr>
        <w:t>TB, the World Health Organization (who) established the</w:t>
      </w:r>
    </w:p>
    <w:p w14:paraId="22F1B30C" w14:textId="3B000C9F" w:rsidR="323C7889" w:rsidRDefault="26C7BF29" w:rsidP="57AD6AC4">
      <w:pPr>
        <w:spacing w:line="360" w:lineRule="auto"/>
        <w:rPr>
          <w:rFonts w:ascii="Arial Nova" w:eastAsia="Arial Nova" w:hAnsi="Arial Nova" w:cs="Arial Nova"/>
          <w:color w:val="000000" w:themeColor="text1"/>
        </w:rPr>
      </w:pPr>
      <w:r w:rsidRPr="57AD6AC4">
        <w:rPr>
          <w:rFonts w:ascii="Arial Nova" w:eastAsia="Arial Nova" w:hAnsi="Arial Nova" w:cs="Arial Nova"/>
          <w:color w:val="000000" w:themeColor="text1"/>
        </w:rPr>
        <w:t xml:space="preserve">the dispersal of these information to chiefs in illness anticipation and general wellbeing, as well as their understanding (CDC2012). To follow the illness, for this situation the tuber cluses from the beginning and to distinguish any likely solutions for stop further transmission, </w:t>
      </w:r>
      <w:r w:rsidRPr="57AD6AC4">
        <w:rPr>
          <w:rFonts w:ascii="Arial Nova" w:eastAsia="Arial Nova" w:hAnsi="Arial Nova" w:cs="Arial Nova"/>
          <w:color w:val="000000" w:themeColor="text1"/>
        </w:rPr>
        <w:lastRenderedPageBreak/>
        <w:t>General Wellbeing Britain (PHE) utilizes a global positioning framework. This approach supports following the pervasiveness of mumps in the area (General Wellbeing Britain, 2022)</w:t>
      </w:r>
    </w:p>
    <w:p w14:paraId="4AC6BC21" w14:textId="312AA661" w:rsidR="323C7889" w:rsidRDefault="33A2103D" w:rsidP="235C9D93">
      <w:pPr>
        <w:rPr>
          <w:rFonts w:ascii="Arial Nova" w:eastAsia="Arial Nova" w:hAnsi="Arial Nova" w:cs="Arial Nova"/>
          <w:color w:val="000000" w:themeColor="text1"/>
        </w:rPr>
      </w:pPr>
      <w:r w:rsidRPr="235C9D93">
        <w:rPr>
          <w:rFonts w:ascii="Arial Nova" w:eastAsia="Arial Nova" w:hAnsi="Arial Nova" w:cs="Arial Nova"/>
          <w:color w:val="000000" w:themeColor="text1"/>
        </w:rPr>
        <w:t>Lab checking and a chest radiograph. Inside the initial fourteen days, the run of the mill TB side effects — hack, sputum result, fever, and weight reduction — generally improve</w:t>
      </w:r>
    </w:p>
    <w:p w14:paraId="34E5147D" w14:textId="7409C85D" w:rsidR="323C7889" w:rsidRDefault="33A2103D" w:rsidP="235C9D93">
      <w:pPr>
        <w:spacing w:line="360" w:lineRule="auto"/>
        <w:jc w:val="both"/>
        <w:rPr>
          <w:rFonts w:ascii="Arial Nova" w:eastAsia="Arial Nova" w:hAnsi="Arial Nova" w:cs="Arial Nova"/>
          <w:color w:val="000000" w:themeColor="text1"/>
        </w:rPr>
      </w:pPr>
      <w:r w:rsidRPr="235C9D93">
        <w:rPr>
          <w:rFonts w:ascii="Arial Nova" w:eastAsia="Arial Nova" w:hAnsi="Arial Nova" w:cs="Arial Nova"/>
          <w:color w:val="000000" w:themeColor="text1"/>
        </w:rPr>
        <w:t xml:space="preserve">The data on the surveillance system is available to the following: </w:t>
      </w:r>
    </w:p>
    <w:p w14:paraId="24E04BFA" w14:textId="6AD461E1"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Directors of public health, local authorities, health and wellbeing boards</w:t>
      </w:r>
    </w:p>
    <w:p w14:paraId="06EE6CA1" w14:textId="1B21075C"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 xml:space="preserve">Public health England staff </w:t>
      </w:r>
    </w:p>
    <w:p w14:paraId="51B8BF33" w14:textId="27E6604D"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Commissioning bodies</w:t>
      </w:r>
    </w:p>
    <w:p w14:paraId="751A27FC" w14:textId="042945E0" w:rsidR="323C7889" w:rsidRDefault="33A2103D" w:rsidP="235C9D93">
      <w:pPr>
        <w:pStyle w:val="ListParagraph"/>
        <w:numPr>
          <w:ilvl w:val="0"/>
          <w:numId w:val="2"/>
        </w:numPr>
        <w:rPr>
          <w:rFonts w:ascii="Arial Nova" w:eastAsia="Arial Nova" w:hAnsi="Arial Nova" w:cs="Arial Nova"/>
          <w:color w:val="000000" w:themeColor="text1"/>
        </w:rPr>
      </w:pPr>
      <w:r w:rsidRPr="235C9D93">
        <w:rPr>
          <w:rFonts w:ascii="Arial Nova" w:eastAsia="Arial Nova" w:hAnsi="Arial Nova" w:cs="Arial Nova"/>
          <w:color w:val="000000" w:themeColor="text1"/>
        </w:rPr>
        <w:t>notifications and a rate of 15.6 per 100,000 reported). Since 2011, the number and rate of</w:t>
      </w:r>
    </w:p>
    <w:p w14:paraId="6762935A" w14:textId="48723B5B"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Clinicians and NHS managers</w:t>
      </w:r>
    </w:p>
    <w:p w14:paraId="6A50FC16" w14:textId="65F832A5"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Government departments</w:t>
      </w:r>
    </w:p>
    <w:p w14:paraId="5F2D7C85" w14:textId="241E05D3"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Academic bodies</w:t>
      </w:r>
    </w:p>
    <w:p w14:paraId="35770E2A" w14:textId="1AECA1F3"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International organisations e.g., WHO, ECDC</w:t>
      </w:r>
    </w:p>
    <w:p w14:paraId="3FD93991" w14:textId="6AEBFB0F"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Industry, pharmaceutical companies</w:t>
      </w:r>
    </w:p>
    <w:p w14:paraId="6DE1B943" w14:textId="339924EC" w:rsidR="323C7889" w:rsidRDefault="33A2103D" w:rsidP="235C9D93">
      <w:pPr>
        <w:pStyle w:val="ListParagraph"/>
        <w:numPr>
          <w:ilvl w:val="0"/>
          <w:numId w:val="2"/>
        </w:numPr>
        <w:spacing w:line="360" w:lineRule="auto"/>
        <w:rPr>
          <w:rFonts w:ascii="Arial Nova" w:eastAsia="Arial Nova" w:hAnsi="Arial Nova" w:cs="Arial Nova"/>
          <w:color w:val="000000" w:themeColor="text1"/>
        </w:rPr>
      </w:pPr>
      <w:r w:rsidRPr="235C9D93">
        <w:rPr>
          <w:rFonts w:ascii="Arial Nova" w:eastAsia="Arial Nova" w:hAnsi="Arial Nova" w:cs="Arial Nova"/>
          <w:color w:val="000000" w:themeColor="text1"/>
        </w:rPr>
        <w:t>Local public</w:t>
      </w:r>
    </w:p>
    <w:p w14:paraId="5D40D4CB" w14:textId="0F59D238" w:rsidR="323C7889" w:rsidRDefault="33A2103D" w:rsidP="235C9D93">
      <w:pPr>
        <w:spacing w:line="360" w:lineRule="auto"/>
        <w:jc w:val="both"/>
        <w:rPr>
          <w:rFonts w:ascii="Arial Nova" w:eastAsia="Arial Nova" w:hAnsi="Arial Nova" w:cs="Arial Nova"/>
          <w:color w:val="000000" w:themeColor="text1"/>
        </w:rPr>
      </w:pPr>
      <w:r w:rsidRPr="235C9D93">
        <w:rPr>
          <w:rFonts w:ascii="Arial Nova" w:eastAsia="Arial Nova" w:hAnsi="Arial Nova" w:cs="Arial Nova"/>
          <w:color w:val="000000" w:themeColor="text1"/>
          <w:lang w:val="en-US"/>
        </w:rPr>
        <w:t>(Public Health Surveillance, 2022)</w:t>
      </w:r>
    </w:p>
    <w:p w14:paraId="137227AE" w14:textId="52B2D87B" w:rsidR="323C7889" w:rsidRDefault="26C7BF29" w:rsidP="57AD6AC4">
      <w:pPr>
        <w:spacing w:line="360" w:lineRule="auto"/>
        <w:jc w:val="both"/>
        <w:rPr>
          <w:rFonts w:ascii="Arial Nova" w:eastAsia="Arial Nova" w:hAnsi="Arial Nova" w:cs="Arial Nova"/>
          <w:color w:val="000000" w:themeColor="text1"/>
        </w:rPr>
      </w:pPr>
      <w:r w:rsidRPr="57AD6AC4">
        <w:rPr>
          <w:rFonts w:ascii="Arial Nova" w:eastAsia="Arial Nova" w:hAnsi="Arial Nova" w:cs="Arial Nova"/>
          <w:color w:val="000000" w:themeColor="text1"/>
          <w:lang w:val="en-US"/>
        </w:rPr>
        <w:t>If leadership and management do not use the surveillance plan, the public's health in the UK will be at risk.</w:t>
      </w:r>
    </w:p>
    <w:p w14:paraId="22AE2D7A" w14:textId="3D590177" w:rsidR="323C7889" w:rsidRDefault="66ACD42D" w:rsidP="235C9D93">
      <w:pPr>
        <w:spacing w:line="360" w:lineRule="auto"/>
        <w:jc w:val="both"/>
        <w:rPr>
          <w:rFonts w:ascii="Arial Nova" w:eastAsia="Arial Nova" w:hAnsi="Arial Nova" w:cs="Arial Nova"/>
          <w:lang w:val="en-US"/>
        </w:rPr>
      </w:pPr>
      <w:r w:rsidRPr="57AD6AC4">
        <w:rPr>
          <w:rFonts w:ascii="Arial Nova" w:eastAsia="Arial Nova" w:hAnsi="Arial Nova" w:cs="Arial Nova"/>
          <w:b/>
          <w:bCs/>
          <w:color w:val="000000" w:themeColor="text1"/>
          <w:lang w:val="en-US"/>
        </w:rPr>
        <w:t>Conclusio</w:t>
      </w:r>
      <w:r w:rsidR="7501A391" w:rsidRPr="57AD6AC4">
        <w:rPr>
          <w:rFonts w:ascii="Arial Nova" w:eastAsia="Arial Nova" w:hAnsi="Arial Nova" w:cs="Arial Nova"/>
          <w:b/>
          <w:bCs/>
          <w:color w:val="000000" w:themeColor="text1"/>
          <w:lang w:val="en-US"/>
        </w:rPr>
        <w:t>n</w:t>
      </w:r>
      <w:r w:rsidR="7501A391" w:rsidRPr="57AD6AC4">
        <w:rPr>
          <w:rFonts w:ascii="Arial Nova" w:eastAsia="Arial Nova" w:hAnsi="Arial Nova" w:cs="Arial Nova"/>
          <w:lang w:val="en-US"/>
        </w:rPr>
        <w:t>.</w:t>
      </w:r>
    </w:p>
    <w:p w14:paraId="1CF90859" w14:textId="27D9148F" w:rsidR="58C6CDDE" w:rsidRDefault="58C6CDDE" w:rsidP="57AD6AC4">
      <w:pPr>
        <w:spacing w:line="360" w:lineRule="auto"/>
        <w:jc w:val="both"/>
        <w:rPr>
          <w:rFonts w:ascii="Arial Nova" w:eastAsia="Arial Nova" w:hAnsi="Arial Nova" w:cs="Arial Nova"/>
          <w:lang w:val="en-US"/>
        </w:rPr>
      </w:pPr>
      <w:r w:rsidRPr="57AD6AC4">
        <w:rPr>
          <w:rFonts w:ascii="Arial Nova" w:eastAsia="Arial Nova" w:hAnsi="Arial Nova" w:cs="Arial Nova"/>
          <w:lang w:val="en-US"/>
        </w:rPr>
        <w:t>TB is complicated and difficult to manage in people and animals over the last century research has shed light on the illness and its management, and future research will help England control and eradicate TB flexible mechanism</w:t>
      </w:r>
      <w:r w:rsidR="4C6E27EB" w:rsidRPr="57AD6AC4">
        <w:rPr>
          <w:rFonts w:ascii="Arial Nova" w:eastAsia="Arial Nova" w:hAnsi="Arial Nova" w:cs="Arial Nova"/>
          <w:lang w:val="en-US"/>
        </w:rPr>
        <w:t>s</w:t>
      </w:r>
      <w:r w:rsidRPr="57AD6AC4">
        <w:rPr>
          <w:rFonts w:ascii="Arial Nova" w:eastAsia="Arial Nova" w:hAnsi="Arial Nova" w:cs="Arial Nova"/>
          <w:lang w:val="en-US"/>
        </w:rPr>
        <w:t xml:space="preserve"> and needed to effectively integrate surveillance and research f</w:t>
      </w:r>
      <w:r w:rsidR="57AD6AC4" w:rsidRPr="57AD6AC4">
        <w:rPr>
          <w:rFonts w:ascii="Arial Nova" w:eastAsia="Arial Nova" w:hAnsi="Arial Nova" w:cs="Arial Nova"/>
          <w:lang w:val="en-US"/>
        </w:rPr>
        <w:t>inding</w:t>
      </w:r>
      <w:r w:rsidRPr="57AD6AC4">
        <w:rPr>
          <w:rFonts w:ascii="Arial Nova" w:eastAsia="Arial Nova" w:hAnsi="Arial Nova" w:cs="Arial Nova"/>
          <w:lang w:val="en-US"/>
        </w:rPr>
        <w:t>s into policy and implementation.</w:t>
      </w:r>
    </w:p>
    <w:p w14:paraId="67785B47" w14:textId="6E946077" w:rsidR="38030B3B" w:rsidRDefault="38030B3B" w:rsidP="57AD6AC4">
      <w:pPr>
        <w:spacing w:line="360" w:lineRule="auto"/>
        <w:jc w:val="both"/>
        <w:rPr>
          <w:rFonts w:ascii="Arial Nova" w:eastAsia="Arial Nova" w:hAnsi="Arial Nova" w:cs="Arial Nova"/>
          <w:lang w:val="en-US"/>
        </w:rPr>
      </w:pPr>
      <w:r w:rsidRPr="57AD6AC4">
        <w:rPr>
          <w:rFonts w:ascii="Arial Nova" w:eastAsia="Arial Nova" w:hAnsi="Arial Nova" w:cs="Arial Nova"/>
          <w:lang w:val="en-US"/>
        </w:rPr>
        <w:t>Unfortunately,</w:t>
      </w:r>
      <w:r w:rsidR="646D1027" w:rsidRPr="57AD6AC4">
        <w:rPr>
          <w:rFonts w:ascii="Arial Nova" w:eastAsia="Arial Nova" w:hAnsi="Arial Nova" w:cs="Arial Nova"/>
          <w:lang w:val="en-US"/>
        </w:rPr>
        <w:t xml:space="preserve"> Disease Control demands sacrifice</w:t>
      </w:r>
      <w:r w:rsidR="396B3978" w:rsidRPr="57AD6AC4">
        <w:rPr>
          <w:rFonts w:ascii="Arial Nova" w:eastAsia="Arial Nova" w:hAnsi="Arial Nova" w:cs="Arial Nova"/>
          <w:lang w:val="en-US"/>
        </w:rPr>
        <w:t>. that</w:t>
      </w:r>
      <w:r w:rsidR="646D1027" w:rsidRPr="57AD6AC4">
        <w:rPr>
          <w:rFonts w:ascii="Arial Nova" w:eastAsia="Arial Nova" w:hAnsi="Arial Nova" w:cs="Arial Nova"/>
          <w:lang w:val="en-US"/>
        </w:rPr>
        <w:t xml:space="preserve"> the </w:t>
      </w:r>
      <w:r w:rsidR="346C542C" w:rsidRPr="57AD6AC4">
        <w:rPr>
          <w:rFonts w:ascii="Arial Nova" w:eastAsia="Arial Nova" w:hAnsi="Arial Nova" w:cs="Arial Nova"/>
          <w:lang w:val="en-US"/>
        </w:rPr>
        <w:t>disease's</w:t>
      </w:r>
      <w:r w:rsidR="646D1027" w:rsidRPr="57AD6AC4">
        <w:rPr>
          <w:rFonts w:ascii="Arial Nova" w:eastAsia="Arial Nova" w:hAnsi="Arial Nova" w:cs="Arial Nova"/>
          <w:lang w:val="en-US"/>
        </w:rPr>
        <w:t xml:space="preserve"> in</w:t>
      </w:r>
      <w:r w:rsidR="54995828" w:rsidRPr="57AD6AC4">
        <w:rPr>
          <w:rFonts w:ascii="Arial Nova" w:eastAsia="Arial Nova" w:hAnsi="Arial Nova" w:cs="Arial Nova"/>
          <w:lang w:val="en-US"/>
        </w:rPr>
        <w:t>tricacy</w:t>
      </w:r>
      <w:r w:rsidR="646D1027" w:rsidRPr="57AD6AC4">
        <w:rPr>
          <w:rFonts w:ascii="Arial Nova" w:eastAsia="Arial Nova" w:hAnsi="Arial Nova" w:cs="Arial Nova"/>
          <w:lang w:val="en-US"/>
        </w:rPr>
        <w:t xml:space="preserve"> and numerous </w:t>
      </w:r>
      <w:r w:rsidR="5F6C4233" w:rsidRPr="57AD6AC4">
        <w:rPr>
          <w:rFonts w:ascii="Arial Nova" w:eastAsia="Arial Nova" w:hAnsi="Arial Nova" w:cs="Arial Nova"/>
          <w:lang w:val="en-US"/>
        </w:rPr>
        <w:t>epidemiological, economic</w:t>
      </w:r>
      <w:r w:rsidR="426F753D" w:rsidRPr="57AD6AC4">
        <w:rPr>
          <w:rFonts w:ascii="Arial Nova" w:eastAsia="Arial Nova" w:hAnsi="Arial Nova" w:cs="Arial Nova"/>
          <w:lang w:val="en-US"/>
        </w:rPr>
        <w:t>,</w:t>
      </w:r>
      <w:r w:rsidR="646D1027" w:rsidRPr="57AD6AC4">
        <w:rPr>
          <w:rFonts w:ascii="Arial Nova" w:eastAsia="Arial Nova" w:hAnsi="Arial Nova" w:cs="Arial Nova"/>
          <w:lang w:val="en-US"/>
        </w:rPr>
        <w:t xml:space="preserve"> and social </w:t>
      </w:r>
      <w:r w:rsidR="7BCD9037" w:rsidRPr="57AD6AC4">
        <w:rPr>
          <w:rFonts w:ascii="Arial Nova" w:eastAsia="Arial Nova" w:hAnsi="Arial Nova" w:cs="Arial Nova"/>
          <w:lang w:val="en-US"/>
        </w:rPr>
        <w:t>effects</w:t>
      </w:r>
      <w:r w:rsidR="646D1027" w:rsidRPr="57AD6AC4">
        <w:rPr>
          <w:rFonts w:ascii="Arial Nova" w:eastAsia="Arial Nova" w:hAnsi="Arial Nova" w:cs="Arial Nova"/>
          <w:lang w:val="en-US"/>
        </w:rPr>
        <w:t xml:space="preserve"> necessitated a full set of laws and regulations</w:t>
      </w:r>
      <w:r w:rsidR="3F104E97" w:rsidRPr="57AD6AC4">
        <w:rPr>
          <w:rFonts w:ascii="Arial Nova" w:eastAsia="Arial Nova" w:hAnsi="Arial Nova" w:cs="Arial Nova"/>
          <w:lang w:val="en-US"/>
        </w:rPr>
        <w:t>.</w:t>
      </w:r>
      <w:r w:rsidR="646D1027" w:rsidRPr="57AD6AC4">
        <w:rPr>
          <w:rFonts w:ascii="Arial Nova" w:eastAsia="Arial Nova" w:hAnsi="Arial Nova" w:cs="Arial Nova"/>
          <w:lang w:val="en-US"/>
        </w:rPr>
        <w:t xml:space="preserve"> </w:t>
      </w:r>
      <w:r w:rsidR="79EA2D4D" w:rsidRPr="57AD6AC4">
        <w:rPr>
          <w:rFonts w:ascii="Arial Nova" w:eastAsia="Arial Nova" w:hAnsi="Arial Nova" w:cs="Arial Nova"/>
          <w:lang w:val="en-US"/>
        </w:rPr>
        <w:t>This</w:t>
      </w:r>
      <w:r w:rsidR="646D1027" w:rsidRPr="57AD6AC4">
        <w:rPr>
          <w:rFonts w:ascii="Arial Nova" w:eastAsia="Arial Nova" w:hAnsi="Arial Nova" w:cs="Arial Nova"/>
          <w:lang w:val="en-US"/>
        </w:rPr>
        <w:t xml:space="preserve"> promotes living with the condition and regulation rather than Disease Control</w:t>
      </w:r>
      <w:r w:rsidR="18B011BF" w:rsidRPr="57AD6AC4">
        <w:rPr>
          <w:rFonts w:ascii="Arial Nova" w:eastAsia="Arial Nova" w:hAnsi="Arial Nova" w:cs="Arial Nova"/>
          <w:lang w:val="en-US"/>
        </w:rPr>
        <w:t>.</w:t>
      </w:r>
      <w:r w:rsidR="646D1027" w:rsidRPr="57AD6AC4">
        <w:rPr>
          <w:rFonts w:ascii="Arial Nova" w:eastAsia="Arial Nova" w:hAnsi="Arial Nova" w:cs="Arial Nova"/>
          <w:lang w:val="en-US"/>
        </w:rPr>
        <w:t xml:space="preserve"> </w:t>
      </w:r>
      <w:r w:rsidR="35B0D1EE" w:rsidRPr="57AD6AC4">
        <w:rPr>
          <w:rFonts w:ascii="Arial Nova" w:eastAsia="Arial Nova" w:hAnsi="Arial Nova" w:cs="Arial Nova"/>
          <w:lang w:val="en-US"/>
        </w:rPr>
        <w:t>England's</w:t>
      </w:r>
      <w:r w:rsidR="646D1027" w:rsidRPr="57AD6AC4">
        <w:rPr>
          <w:rFonts w:ascii="Arial Nova" w:eastAsia="Arial Nova" w:hAnsi="Arial Nova" w:cs="Arial Nova"/>
          <w:lang w:val="en-US"/>
        </w:rPr>
        <w:t xml:space="preserve"> </w:t>
      </w:r>
      <w:r w:rsidR="35CCB4D4" w:rsidRPr="57AD6AC4">
        <w:rPr>
          <w:rFonts w:ascii="Arial Nova" w:eastAsia="Arial Nova" w:hAnsi="Arial Nova" w:cs="Arial Nova"/>
          <w:lang w:val="en-US"/>
        </w:rPr>
        <w:t xml:space="preserve">livestock </w:t>
      </w:r>
      <w:r w:rsidR="646D1027" w:rsidRPr="57AD6AC4">
        <w:rPr>
          <w:rFonts w:ascii="Arial Nova" w:eastAsia="Arial Nova" w:hAnsi="Arial Nova" w:cs="Arial Nova"/>
          <w:lang w:val="en-US"/>
        </w:rPr>
        <w:t xml:space="preserve">TB rates in cattle and probably beggars remain </w:t>
      </w:r>
      <w:proofErr w:type="spellStart"/>
      <w:r w:rsidR="36768E87" w:rsidRPr="57AD6AC4">
        <w:rPr>
          <w:rFonts w:ascii="Arial Nova" w:eastAsia="Arial Nova" w:hAnsi="Arial Nova" w:cs="Arial Nova"/>
          <w:lang w:val="en-US"/>
        </w:rPr>
        <w:t>Contants</w:t>
      </w:r>
      <w:proofErr w:type="spellEnd"/>
      <w:r w:rsidR="36768E87" w:rsidRPr="57AD6AC4">
        <w:rPr>
          <w:rFonts w:ascii="Arial Nova" w:eastAsia="Arial Nova" w:hAnsi="Arial Nova" w:cs="Arial Nova"/>
          <w:lang w:val="en-US"/>
        </w:rPr>
        <w:t>, but</w:t>
      </w:r>
      <w:r w:rsidR="7E4236C8" w:rsidRPr="57AD6AC4">
        <w:rPr>
          <w:rFonts w:ascii="Arial Nova" w:eastAsia="Arial Nova" w:hAnsi="Arial Nova" w:cs="Arial Nova"/>
          <w:lang w:val="en-US"/>
        </w:rPr>
        <w:t xml:space="preserve"> this cannot continue.</w:t>
      </w:r>
      <w:r w:rsidR="49975125" w:rsidRPr="57AD6AC4">
        <w:rPr>
          <w:rFonts w:ascii="Arial Nova" w:eastAsia="Arial Nova" w:hAnsi="Arial Nova" w:cs="Arial Nova"/>
          <w:lang w:val="en-US"/>
        </w:rPr>
        <w:t xml:space="preserve"> epidemic</w:t>
      </w:r>
      <w:r w:rsidR="646D1027" w:rsidRPr="57AD6AC4">
        <w:rPr>
          <w:rFonts w:ascii="Arial Nova" w:eastAsia="Arial Nova" w:hAnsi="Arial Nova" w:cs="Arial Nova"/>
          <w:lang w:val="en-US"/>
        </w:rPr>
        <w:t xml:space="preserve"> control </w:t>
      </w:r>
      <w:r w:rsidR="3220A6F7" w:rsidRPr="57AD6AC4">
        <w:rPr>
          <w:rFonts w:ascii="Arial Nova" w:eastAsia="Arial Nova" w:hAnsi="Arial Nova" w:cs="Arial Nova"/>
          <w:lang w:val="en-US"/>
        </w:rPr>
        <w:t>is</w:t>
      </w:r>
      <w:r w:rsidR="646D1027" w:rsidRPr="57AD6AC4">
        <w:rPr>
          <w:rFonts w:ascii="Arial Nova" w:eastAsia="Arial Nova" w:hAnsi="Arial Nova" w:cs="Arial Nova"/>
          <w:lang w:val="en-US"/>
        </w:rPr>
        <w:t xml:space="preserve"> </w:t>
      </w:r>
      <w:r w:rsidR="45CA0C90" w:rsidRPr="57AD6AC4">
        <w:rPr>
          <w:rFonts w:ascii="Arial Nova" w:eastAsia="Arial Nova" w:hAnsi="Arial Nova" w:cs="Arial Nova"/>
          <w:lang w:val="en-US"/>
        </w:rPr>
        <w:t>D</w:t>
      </w:r>
      <w:r w:rsidR="646D1027" w:rsidRPr="57AD6AC4">
        <w:rPr>
          <w:rFonts w:ascii="Arial Nova" w:eastAsia="Arial Nova" w:hAnsi="Arial Nova" w:cs="Arial Nova"/>
          <w:lang w:val="en-US"/>
        </w:rPr>
        <w:t>ifficult</w:t>
      </w:r>
      <w:r w:rsidR="45CA0C90" w:rsidRPr="57AD6AC4">
        <w:rPr>
          <w:rFonts w:ascii="Arial Nova" w:eastAsia="Arial Nova" w:hAnsi="Arial Nova" w:cs="Arial Nova"/>
          <w:lang w:val="en-US"/>
        </w:rPr>
        <w:t>.</w:t>
      </w:r>
      <w:r w:rsidR="646D1027" w:rsidRPr="57AD6AC4">
        <w:rPr>
          <w:rFonts w:ascii="Arial Nova" w:eastAsia="Arial Nova" w:hAnsi="Arial Nova" w:cs="Arial Nova"/>
          <w:lang w:val="en-US"/>
        </w:rPr>
        <w:t xml:space="preserve"> </w:t>
      </w:r>
      <w:r w:rsidR="2A978A67" w:rsidRPr="57AD6AC4">
        <w:rPr>
          <w:rFonts w:ascii="Arial Nova" w:eastAsia="Arial Nova" w:hAnsi="Arial Nova" w:cs="Arial Nova"/>
          <w:lang w:val="en-US"/>
        </w:rPr>
        <w:t>A</w:t>
      </w:r>
      <w:r w:rsidR="646D1027" w:rsidRPr="57AD6AC4">
        <w:rPr>
          <w:rFonts w:ascii="Arial Nova" w:eastAsia="Arial Nova" w:hAnsi="Arial Nova" w:cs="Arial Nova"/>
          <w:lang w:val="en-US"/>
        </w:rPr>
        <w:t xml:space="preserve">ll </w:t>
      </w:r>
      <w:r w:rsidR="20F59851" w:rsidRPr="57AD6AC4">
        <w:rPr>
          <w:rFonts w:ascii="Arial Nova" w:eastAsia="Arial Nova" w:hAnsi="Arial Nova" w:cs="Arial Nova"/>
          <w:lang w:val="en-US"/>
        </w:rPr>
        <w:t>sectors</w:t>
      </w:r>
      <w:r w:rsidR="646D1027" w:rsidRPr="57AD6AC4">
        <w:rPr>
          <w:rFonts w:ascii="Arial Nova" w:eastAsia="Arial Nova" w:hAnsi="Arial Nova" w:cs="Arial Nova"/>
          <w:lang w:val="en-US"/>
        </w:rPr>
        <w:t xml:space="preserve"> must  redo</w:t>
      </w:r>
      <w:r w:rsidR="7DF8A659" w:rsidRPr="57AD6AC4">
        <w:rPr>
          <w:rFonts w:ascii="Arial Nova" w:eastAsia="Arial Nova" w:hAnsi="Arial Nova" w:cs="Arial Nova"/>
          <w:lang w:val="en-US"/>
        </w:rPr>
        <w:t>uble</w:t>
      </w:r>
      <w:r w:rsidR="646D1027" w:rsidRPr="57AD6AC4">
        <w:rPr>
          <w:rFonts w:ascii="Arial Nova" w:eastAsia="Arial Nova" w:hAnsi="Arial Nova" w:cs="Arial Nova"/>
          <w:lang w:val="en-US"/>
        </w:rPr>
        <w:t xml:space="preserve"> </w:t>
      </w:r>
      <w:r w:rsidR="135FB910" w:rsidRPr="57AD6AC4">
        <w:rPr>
          <w:rFonts w:ascii="Arial Nova" w:eastAsia="Arial Nova" w:hAnsi="Arial Nova" w:cs="Arial Nova"/>
          <w:lang w:val="en-US"/>
        </w:rPr>
        <w:t>their</w:t>
      </w:r>
      <w:r w:rsidR="646D1027" w:rsidRPr="57AD6AC4">
        <w:rPr>
          <w:rFonts w:ascii="Arial Nova" w:eastAsia="Arial Nova" w:hAnsi="Arial Nova" w:cs="Arial Nova"/>
          <w:lang w:val="en-US"/>
        </w:rPr>
        <w:t xml:space="preserve"> efforts</w:t>
      </w:r>
      <w:r w:rsidR="135C3A63" w:rsidRPr="57AD6AC4">
        <w:rPr>
          <w:rFonts w:ascii="Arial Nova" w:eastAsia="Arial Nova" w:hAnsi="Arial Nova" w:cs="Arial Nova"/>
          <w:lang w:val="en-US"/>
        </w:rPr>
        <w:t>.</w:t>
      </w:r>
    </w:p>
    <w:p w14:paraId="60DF1DAE" w14:textId="0DC166CF" w:rsidR="13883FFC" w:rsidRDefault="13883FFC" w:rsidP="57AD6AC4">
      <w:pPr>
        <w:spacing w:line="360" w:lineRule="auto"/>
        <w:jc w:val="both"/>
        <w:rPr>
          <w:rFonts w:ascii="Arial Nova" w:eastAsia="Arial Nova" w:hAnsi="Arial Nova" w:cs="Arial Nova"/>
          <w:b/>
          <w:bCs/>
          <w:lang w:val="en-US"/>
        </w:rPr>
      </w:pPr>
      <w:r w:rsidRPr="57AD6AC4">
        <w:rPr>
          <w:rFonts w:ascii="Arial Nova" w:eastAsia="Arial Nova" w:hAnsi="Arial Nova" w:cs="Arial Nova"/>
          <w:b/>
          <w:bCs/>
          <w:lang w:val="en-US"/>
        </w:rPr>
        <w:t>References</w:t>
      </w:r>
    </w:p>
    <w:p w14:paraId="2395C5C7" w14:textId="236001A3" w:rsidR="231B5E49" w:rsidRDefault="231B5E49" w:rsidP="57AD6AC4">
      <w:pPr>
        <w:pStyle w:val="ListParagraph"/>
        <w:numPr>
          <w:ilvl w:val="0"/>
          <w:numId w:val="1"/>
        </w:numPr>
        <w:spacing w:line="360" w:lineRule="auto"/>
        <w:jc w:val="both"/>
        <w:rPr>
          <w:rFonts w:ascii="Arial Nova" w:eastAsia="Arial Nova" w:hAnsi="Arial Nova" w:cs="Arial Nova"/>
          <w:color w:val="333333"/>
          <w:sz w:val="18"/>
          <w:szCs w:val="18"/>
        </w:rPr>
      </w:pPr>
      <w:r w:rsidRPr="57AD6AC4">
        <w:rPr>
          <w:rFonts w:ascii="Arial Nova" w:eastAsia="Arial Nova" w:hAnsi="Arial Nova" w:cs="Arial Nova"/>
          <w:color w:val="333333"/>
          <w:sz w:val="18"/>
          <w:szCs w:val="18"/>
        </w:rPr>
        <w:t>1.WP-Content: A Beginner's Guide To WordPress' Most Important Directory (November 26, 2022)</w:t>
      </w:r>
    </w:p>
    <w:p w14:paraId="59913326" w14:textId="60DD709E" w:rsidR="231B5E49" w:rsidRDefault="231B5E49" w:rsidP="57AD6AC4">
      <w:pPr>
        <w:spacing w:line="360" w:lineRule="auto"/>
        <w:jc w:val="both"/>
        <w:rPr>
          <w:rFonts w:ascii="Arial Nova" w:eastAsia="Arial Nova" w:hAnsi="Arial Nova" w:cs="Arial Nova"/>
          <w:color w:val="333333"/>
          <w:sz w:val="18"/>
          <w:szCs w:val="18"/>
        </w:rPr>
      </w:pPr>
      <w:r w:rsidRPr="57AD6AC4">
        <w:rPr>
          <w:rFonts w:ascii="Arial Nova" w:eastAsia="Arial Nova" w:hAnsi="Arial Nova" w:cs="Arial Nova"/>
          <w:sz w:val="18"/>
          <w:szCs w:val="18"/>
        </w:rPr>
        <w:t xml:space="preserve">           </w:t>
      </w:r>
      <w:hyperlink r:id="rId6">
        <w:r w:rsidRPr="57AD6AC4">
          <w:rPr>
            <w:rStyle w:val="Hyperlink"/>
            <w:rFonts w:ascii="Arial Nova" w:eastAsia="Arial Nova" w:hAnsi="Arial Nova" w:cs="Arial Nova"/>
            <w:sz w:val="18"/>
            <w:szCs w:val="18"/>
          </w:rPr>
          <w:t>https://www.malcare.com/blog/wp-content-uploads/(Accessed</w:t>
        </w:r>
      </w:hyperlink>
      <w:r w:rsidRPr="57AD6AC4">
        <w:rPr>
          <w:rFonts w:ascii="Arial Nova" w:eastAsia="Arial Nova" w:hAnsi="Arial Nova" w:cs="Arial Nova"/>
          <w:color w:val="333333"/>
          <w:sz w:val="18"/>
          <w:szCs w:val="18"/>
        </w:rPr>
        <w:t xml:space="preserve"> 2022).</w:t>
      </w:r>
    </w:p>
    <w:p w14:paraId="4154E8BA" w14:textId="794B92AB" w:rsidR="3D47D85E" w:rsidRDefault="3D47D85E" w:rsidP="57AD6AC4">
      <w:pPr>
        <w:pStyle w:val="ListParagraph"/>
        <w:numPr>
          <w:ilvl w:val="0"/>
          <w:numId w:val="1"/>
        </w:numPr>
        <w:spacing w:line="360" w:lineRule="auto"/>
        <w:jc w:val="both"/>
        <w:rPr>
          <w:rFonts w:ascii="Arial Nova" w:eastAsia="Arial Nova" w:hAnsi="Arial Nova" w:cs="Arial Nova"/>
        </w:rPr>
      </w:pPr>
      <w:r w:rsidRPr="57AD6AC4">
        <w:rPr>
          <w:rFonts w:ascii="Arial Nova" w:eastAsia="Arial Nova" w:hAnsi="Arial Nova" w:cs="Arial Nova"/>
          <w:color w:val="000000" w:themeColor="text1"/>
          <w:sz w:val="19"/>
          <w:szCs w:val="19"/>
        </w:rPr>
        <w:lastRenderedPageBreak/>
        <w:t xml:space="preserve">(Beers, Mark H., MD, and Robert </w:t>
      </w:r>
      <w:proofErr w:type="spellStart"/>
      <w:r w:rsidRPr="57AD6AC4">
        <w:rPr>
          <w:rFonts w:ascii="Arial Nova" w:eastAsia="Arial Nova" w:hAnsi="Arial Nova" w:cs="Arial Nova"/>
          <w:color w:val="000000" w:themeColor="text1"/>
          <w:sz w:val="19"/>
          <w:szCs w:val="19"/>
        </w:rPr>
        <w:t>Berkow</w:t>
      </w:r>
      <w:proofErr w:type="spellEnd"/>
      <w:r w:rsidRPr="57AD6AC4">
        <w:rPr>
          <w:rFonts w:ascii="Arial Nova" w:eastAsia="Arial Nova" w:hAnsi="Arial Nova" w:cs="Arial Nova"/>
          <w:color w:val="000000" w:themeColor="text1"/>
          <w:sz w:val="19"/>
          <w:szCs w:val="19"/>
        </w:rPr>
        <w:t xml:space="preserve">, MD., editors. "Infectious Diseases Caused by Mycobacteria." In </w:t>
      </w:r>
      <w:r w:rsidRPr="57AD6AC4">
        <w:rPr>
          <w:rFonts w:ascii="Arial Nova" w:eastAsia="Arial Nova" w:hAnsi="Arial Nova" w:cs="Arial Nova"/>
          <w:i/>
          <w:iCs/>
          <w:color w:val="000000" w:themeColor="text1"/>
          <w:sz w:val="19"/>
          <w:szCs w:val="19"/>
        </w:rPr>
        <w:t>The Merck Manual of Diagnosis and Therapy</w:t>
      </w:r>
      <w:r w:rsidRPr="57AD6AC4">
        <w:rPr>
          <w:rFonts w:ascii="Arial Nova" w:eastAsia="Arial Nova" w:hAnsi="Arial Nova" w:cs="Arial Nova"/>
          <w:color w:val="000000" w:themeColor="text1"/>
          <w:sz w:val="19"/>
          <w:szCs w:val="19"/>
        </w:rPr>
        <w:t xml:space="preserve">. Whitehouse Station, NJ: Merck Research Laboratories, </w:t>
      </w:r>
      <w:r w:rsidRPr="57AD6AC4">
        <w:rPr>
          <w:rFonts w:ascii="Arial Nova" w:eastAsia="Arial Nova" w:hAnsi="Arial Nova" w:cs="Arial Nova"/>
          <w:color w:val="1D4994"/>
          <w:sz w:val="19"/>
          <w:szCs w:val="19"/>
          <w:u w:val="single"/>
        </w:rPr>
        <w:t>2004</w:t>
      </w:r>
    </w:p>
    <w:p w14:paraId="000AC1C4" w14:textId="7CAB6817" w:rsidR="7858C1C6" w:rsidRDefault="7858C1C6" w:rsidP="57AD6AC4">
      <w:pPr>
        <w:pStyle w:val="ListParagraph"/>
        <w:numPr>
          <w:ilvl w:val="0"/>
          <w:numId w:val="1"/>
        </w:numPr>
        <w:spacing w:line="360" w:lineRule="auto"/>
        <w:jc w:val="both"/>
        <w:rPr>
          <w:rFonts w:ascii="Arial Nova" w:eastAsia="Arial Nova" w:hAnsi="Arial Nova" w:cs="Arial Nova"/>
          <w:b/>
          <w:bCs/>
          <w:lang w:val="en-US"/>
        </w:rPr>
      </w:pPr>
      <w:r w:rsidRPr="57AD6AC4">
        <w:rPr>
          <w:rFonts w:ascii="Arial Nova" w:eastAsia="Arial Nova" w:hAnsi="Arial Nova" w:cs="Arial Nova"/>
          <w:b/>
          <w:bCs/>
          <w:lang w:val="en-US"/>
        </w:rPr>
        <w:t xml:space="preserve">LOPEZ_OTIN, </w:t>
      </w:r>
      <w:r w:rsidR="623A14C3" w:rsidRPr="57AD6AC4">
        <w:rPr>
          <w:rFonts w:ascii="Arial Nova" w:eastAsia="Arial Nova" w:hAnsi="Arial Nova" w:cs="Arial Nova"/>
          <w:b/>
          <w:bCs/>
          <w:lang w:val="en-US"/>
        </w:rPr>
        <w:t>c. Kroemer., 2021.Hallmarks</w:t>
      </w:r>
      <w:r w:rsidR="3C477B49" w:rsidRPr="57AD6AC4">
        <w:rPr>
          <w:rFonts w:ascii="Arial Nova" w:eastAsia="Arial Nova" w:hAnsi="Arial Nova" w:cs="Arial Nova"/>
          <w:b/>
          <w:bCs/>
          <w:lang w:val="en-US"/>
        </w:rPr>
        <w:t xml:space="preserve"> of health .cell</w:t>
      </w:r>
      <w:r w:rsidR="3663AAEB" w:rsidRPr="57AD6AC4">
        <w:rPr>
          <w:rFonts w:ascii="Arial Nova" w:eastAsia="Arial Nova" w:hAnsi="Arial Nova" w:cs="Arial Nova"/>
          <w:b/>
          <w:bCs/>
          <w:lang w:val="en-US"/>
        </w:rPr>
        <w:t>,184(1) pp.33_63.</w:t>
      </w:r>
    </w:p>
    <w:p w14:paraId="60560E79" w14:textId="49AF68DD" w:rsidR="512A8C65" w:rsidRDefault="512A8C65" w:rsidP="57AD6AC4">
      <w:pPr>
        <w:pStyle w:val="ListParagraph"/>
        <w:numPr>
          <w:ilvl w:val="0"/>
          <w:numId w:val="1"/>
        </w:numPr>
        <w:spacing w:line="360" w:lineRule="auto"/>
        <w:jc w:val="both"/>
        <w:rPr>
          <w:rFonts w:ascii="Arial Nova" w:eastAsia="Arial Nova" w:hAnsi="Arial Nova" w:cs="Arial Nova"/>
          <w:b/>
          <w:bCs/>
          <w:lang w:val="en-US"/>
        </w:rPr>
      </w:pPr>
      <w:r w:rsidRPr="57AD6AC4">
        <w:rPr>
          <w:rFonts w:ascii="Arial Nova" w:eastAsia="Arial Nova" w:hAnsi="Arial Nova" w:cs="Arial Nova"/>
          <w:lang w:val="en-US"/>
        </w:rPr>
        <w:t>‘Health Protection Report’ (2017), 11(42), p. 8.</w:t>
      </w:r>
    </w:p>
    <w:p w14:paraId="70B2EF59" w14:textId="58ED620D" w:rsidR="05C67768" w:rsidRDefault="05C67768" w:rsidP="57AD6AC4">
      <w:pPr>
        <w:pStyle w:val="ListParagraph"/>
        <w:numPr>
          <w:ilvl w:val="0"/>
          <w:numId w:val="1"/>
        </w:numPr>
        <w:spacing w:line="360" w:lineRule="auto"/>
        <w:jc w:val="both"/>
        <w:rPr>
          <w:rFonts w:ascii="Arial Nova" w:eastAsia="Arial Nova" w:hAnsi="Arial Nova" w:cs="Arial Nova"/>
          <w:lang w:val="en-US"/>
        </w:rPr>
      </w:pPr>
      <w:r w:rsidRPr="57AD6AC4">
        <w:rPr>
          <w:rFonts w:ascii="Arial Nova" w:eastAsia="Arial Nova" w:hAnsi="Arial Nova" w:cs="Arial Nova"/>
          <w:color w:val="000000" w:themeColor="text1"/>
          <w:lang w:val="en-US"/>
        </w:rPr>
        <w:t>2.lic Health Surveillance: Towards a Public Health Surveillance Strategy for England’ (no date), p. 64</w:t>
      </w:r>
      <w:r w:rsidRPr="57AD6AC4">
        <w:rPr>
          <w:rFonts w:ascii="Arial Nova" w:eastAsia="Arial Nova" w:hAnsi="Arial Nova" w:cs="Arial Nova"/>
          <w:color w:val="000000" w:themeColor="text1"/>
        </w:rPr>
        <w:t xml:space="preserve"> 1: Gadgetsng.com (available 2022)2: Lopez-Orinocan Kroemer, G., (2021). Hallmarks of health. Cell, 184(1), pp.33-63.</w:t>
      </w:r>
    </w:p>
    <w:p w14:paraId="5A93471A" w14:textId="40CA08D7" w:rsidR="05C67768" w:rsidRDefault="05C67768" w:rsidP="57AD6AC4">
      <w:pPr>
        <w:pStyle w:val="ListParagraph"/>
        <w:numPr>
          <w:ilvl w:val="0"/>
          <w:numId w:val="1"/>
        </w:numPr>
        <w:spacing w:line="360" w:lineRule="auto"/>
        <w:jc w:val="both"/>
        <w:rPr>
          <w:rFonts w:ascii="Arial Nova" w:eastAsia="Arial Nova" w:hAnsi="Arial Nova" w:cs="Arial Nova"/>
          <w:lang w:val="en-US"/>
        </w:rPr>
      </w:pPr>
      <w:r w:rsidRPr="57AD6AC4">
        <w:rPr>
          <w:rFonts w:ascii="Arial Nova" w:eastAsia="Arial Nova" w:hAnsi="Arial Nova" w:cs="Arial Nova"/>
          <w:i/>
          <w:iCs/>
          <w:lang w:val="en-US"/>
        </w:rPr>
        <w:t xml:space="preserve">Morbidity vs Mortality - Difference and Comparison </w:t>
      </w:r>
      <w:r w:rsidRPr="57AD6AC4">
        <w:rPr>
          <w:rFonts w:ascii="Arial Nova" w:eastAsia="Arial Nova" w:hAnsi="Arial Nova" w:cs="Arial Nova"/>
          <w:lang w:val="en-US"/>
        </w:rPr>
        <w:t>(no date). Available at: https://www.diffen.com/difference/Morbidity_vs_Mortality (Accessed: 29 October 2022)</w:t>
      </w:r>
    </w:p>
    <w:p w14:paraId="1799AC30" w14:textId="4AD32325" w:rsidR="05C67768" w:rsidRDefault="05C67768" w:rsidP="57AD6AC4">
      <w:pPr>
        <w:pStyle w:val="ListParagraph"/>
        <w:numPr>
          <w:ilvl w:val="0"/>
          <w:numId w:val="1"/>
        </w:numPr>
        <w:spacing w:line="360" w:lineRule="auto"/>
        <w:jc w:val="both"/>
        <w:rPr>
          <w:rFonts w:ascii="Arial Nova" w:eastAsia="Arial Nova" w:hAnsi="Arial Nova" w:cs="Arial Nova"/>
          <w:lang w:val="en-US"/>
        </w:rPr>
      </w:pPr>
      <w:r w:rsidRPr="57AD6AC4">
        <w:rPr>
          <w:rFonts w:ascii="Arial Nova" w:eastAsia="Arial Nova" w:hAnsi="Arial Nova" w:cs="Arial Nova"/>
          <w:lang w:val="en-US"/>
        </w:rPr>
        <w:t>public Health Surveillance: Towards a Public Health Surveillance Strategy for England’ (no date), p. 64.</w:t>
      </w:r>
    </w:p>
    <w:p w14:paraId="069641C4" w14:textId="40747A80" w:rsidR="05C67768" w:rsidRDefault="05C67768" w:rsidP="57AD6AC4">
      <w:pPr>
        <w:pStyle w:val="ListParagraph"/>
        <w:numPr>
          <w:ilvl w:val="0"/>
          <w:numId w:val="1"/>
        </w:numPr>
        <w:spacing w:line="360" w:lineRule="auto"/>
        <w:jc w:val="both"/>
        <w:rPr>
          <w:rFonts w:ascii="Arial Nova" w:eastAsia="Arial Nova" w:hAnsi="Arial Nova" w:cs="Arial Nova"/>
          <w:lang w:val="en-US"/>
        </w:rPr>
      </w:pPr>
      <w:r w:rsidRPr="57AD6AC4">
        <w:rPr>
          <w:rFonts w:ascii="Arial Nova" w:eastAsia="Arial Nova" w:hAnsi="Arial Nova" w:cs="Arial Nova"/>
          <w:i/>
          <w:iCs/>
          <w:lang w:val="en-US"/>
        </w:rPr>
        <w:t>Public Health England: approach to surveillance</w:t>
      </w:r>
      <w:r w:rsidRPr="57AD6AC4">
        <w:rPr>
          <w:rFonts w:ascii="Arial Nova" w:eastAsia="Arial Nova" w:hAnsi="Arial Nova" w:cs="Arial Nova"/>
          <w:lang w:val="en-US"/>
        </w:rPr>
        <w:t xml:space="preserve"> (no date) </w:t>
      </w:r>
      <w:r w:rsidRPr="57AD6AC4">
        <w:rPr>
          <w:rFonts w:ascii="Arial Nova" w:eastAsia="Arial Nova" w:hAnsi="Arial Nova" w:cs="Arial Nova"/>
          <w:i/>
          <w:iCs/>
          <w:lang w:val="en-US"/>
        </w:rPr>
        <w:t>GOV.UK</w:t>
      </w:r>
      <w:r w:rsidRPr="57AD6AC4">
        <w:rPr>
          <w:rFonts w:ascii="Arial Nova" w:eastAsia="Arial Nova" w:hAnsi="Arial Nova" w:cs="Arial Nova"/>
          <w:lang w:val="en-US"/>
        </w:rPr>
        <w:t xml:space="preserve">. Available at: </w:t>
      </w:r>
      <w:hyperlink r:id="rId7">
        <w:r w:rsidRPr="57AD6AC4">
          <w:rPr>
            <w:rStyle w:val="Hyperlink"/>
            <w:rFonts w:ascii="Arial Nova" w:eastAsia="Arial Nova" w:hAnsi="Arial Nova" w:cs="Arial Nova"/>
            <w:lang w:val="en-US"/>
          </w:rPr>
          <w:t>https://www.gov.uk/government/publications/public-health-england-approach-to-surveillance/public-health-england-approach-to-surveillance</w:t>
        </w:r>
      </w:hyperlink>
      <w:r w:rsidRPr="57AD6AC4">
        <w:rPr>
          <w:rFonts w:ascii="Arial Nova" w:eastAsia="Arial Nova" w:hAnsi="Arial Nova" w:cs="Arial Nova"/>
          <w:lang w:val="en-US"/>
        </w:rPr>
        <w:t xml:space="preserve"> (Accessed: 25 October 2022).</w:t>
      </w:r>
    </w:p>
    <w:p w14:paraId="783FD243" w14:textId="641630B3" w:rsidR="57AD6AC4" w:rsidRDefault="57AD6AC4" w:rsidP="57AD6AC4">
      <w:pPr>
        <w:pStyle w:val="ListParagraph"/>
        <w:numPr>
          <w:ilvl w:val="0"/>
          <w:numId w:val="1"/>
        </w:numPr>
        <w:spacing w:line="360" w:lineRule="auto"/>
        <w:jc w:val="both"/>
        <w:rPr>
          <w:rFonts w:ascii="Arial Nova" w:eastAsia="Arial Nova" w:hAnsi="Arial Nova" w:cs="Arial Nova"/>
          <w:lang w:val="en-US"/>
        </w:rPr>
      </w:pPr>
    </w:p>
    <w:p w14:paraId="1AE489E1" w14:textId="6CAEF3D3" w:rsidR="323C7889" w:rsidRDefault="323C7889" w:rsidP="57AD6AC4">
      <w:pPr>
        <w:spacing w:line="360" w:lineRule="auto"/>
        <w:rPr>
          <w:rFonts w:ascii="Arial Nova" w:eastAsia="Arial Nova" w:hAnsi="Arial Nova" w:cs="Arial Nova"/>
          <w:color w:val="000000" w:themeColor="text1"/>
        </w:rPr>
      </w:pPr>
    </w:p>
    <w:p w14:paraId="3ECC6DC2" w14:textId="74B7B1B8" w:rsidR="323C7889" w:rsidRDefault="323C7889" w:rsidP="57AD6AC4">
      <w:pPr>
        <w:spacing w:line="360" w:lineRule="auto"/>
        <w:jc w:val="both"/>
        <w:rPr>
          <w:rFonts w:ascii="Arial Nova" w:eastAsia="Arial Nova" w:hAnsi="Arial Nova" w:cs="Arial Nova"/>
        </w:rPr>
      </w:pPr>
    </w:p>
    <w:p w14:paraId="28221546" w14:textId="099A5468" w:rsidR="323C7889" w:rsidRDefault="323C7889" w:rsidP="57AD6AC4">
      <w:pPr>
        <w:spacing w:line="360" w:lineRule="auto"/>
        <w:jc w:val="both"/>
        <w:rPr>
          <w:rFonts w:ascii="Arial Nova" w:eastAsia="Arial Nova" w:hAnsi="Arial Nova" w:cs="Arial Nova"/>
        </w:rPr>
      </w:pPr>
    </w:p>
    <w:p w14:paraId="3BAD4E63" w14:textId="24985192" w:rsidR="323C7889" w:rsidRDefault="323C7889" w:rsidP="323C7889">
      <w:pPr>
        <w:spacing w:line="360" w:lineRule="auto"/>
        <w:jc w:val="both"/>
        <w:rPr>
          <w:rFonts w:ascii="Arial" w:eastAsia="Arial" w:hAnsi="Arial" w:cs="Arial"/>
        </w:rPr>
      </w:pPr>
    </w:p>
    <w:p w14:paraId="123EA47C" w14:textId="1899D541" w:rsidR="323C7889" w:rsidRDefault="323C7889" w:rsidP="323C7889">
      <w:pPr>
        <w:spacing w:line="360" w:lineRule="auto"/>
        <w:jc w:val="both"/>
        <w:rPr>
          <w:rFonts w:ascii="Arial" w:eastAsia="Arial" w:hAnsi="Arial" w:cs="Arial"/>
        </w:rPr>
      </w:pPr>
    </w:p>
    <w:p w14:paraId="384FFD77" w14:textId="569EC265" w:rsidR="323C7889" w:rsidRDefault="323C7889" w:rsidP="323C7889">
      <w:pPr>
        <w:rPr>
          <w:rFonts w:ascii="Arial" w:eastAsia="Arial" w:hAnsi="Arial" w:cs="Arial"/>
          <w:color w:val="1D4994"/>
          <w:sz w:val="19"/>
          <w:szCs w:val="19"/>
          <w:u w:val="single"/>
        </w:rPr>
      </w:pPr>
    </w:p>
    <w:sectPr w:rsidR="323C788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054A7"/>
    <w:multiLevelType w:val="hybridMultilevel"/>
    <w:tmpl w:val="A16C3DAE"/>
    <w:lvl w:ilvl="0" w:tplc="C4989504">
      <w:start w:val="1"/>
      <w:numFmt w:val="decimal"/>
      <w:lvlText w:val="%1."/>
      <w:lvlJc w:val="left"/>
      <w:pPr>
        <w:ind w:left="720" w:hanging="360"/>
      </w:pPr>
    </w:lvl>
    <w:lvl w:ilvl="1" w:tplc="4BA68FE4">
      <w:start w:val="1"/>
      <w:numFmt w:val="lowerLetter"/>
      <w:lvlText w:val="%2."/>
      <w:lvlJc w:val="left"/>
      <w:pPr>
        <w:ind w:left="1440" w:hanging="360"/>
      </w:pPr>
    </w:lvl>
    <w:lvl w:ilvl="2" w:tplc="9C2CF1E4">
      <w:start w:val="1"/>
      <w:numFmt w:val="lowerRoman"/>
      <w:lvlText w:val="%3."/>
      <w:lvlJc w:val="right"/>
      <w:pPr>
        <w:ind w:left="2160" w:hanging="180"/>
      </w:pPr>
    </w:lvl>
    <w:lvl w:ilvl="3" w:tplc="455074CC">
      <w:start w:val="1"/>
      <w:numFmt w:val="decimal"/>
      <w:lvlText w:val="%4."/>
      <w:lvlJc w:val="left"/>
      <w:pPr>
        <w:ind w:left="2880" w:hanging="360"/>
      </w:pPr>
    </w:lvl>
    <w:lvl w:ilvl="4" w:tplc="13748B74">
      <w:start w:val="1"/>
      <w:numFmt w:val="lowerLetter"/>
      <w:lvlText w:val="%5."/>
      <w:lvlJc w:val="left"/>
      <w:pPr>
        <w:ind w:left="3600" w:hanging="360"/>
      </w:pPr>
    </w:lvl>
    <w:lvl w:ilvl="5" w:tplc="66ECCF12">
      <w:start w:val="1"/>
      <w:numFmt w:val="lowerRoman"/>
      <w:lvlText w:val="%6."/>
      <w:lvlJc w:val="right"/>
      <w:pPr>
        <w:ind w:left="4320" w:hanging="180"/>
      </w:pPr>
    </w:lvl>
    <w:lvl w:ilvl="6" w:tplc="7EE81610">
      <w:start w:val="1"/>
      <w:numFmt w:val="decimal"/>
      <w:lvlText w:val="%7."/>
      <w:lvlJc w:val="left"/>
      <w:pPr>
        <w:ind w:left="5040" w:hanging="360"/>
      </w:pPr>
    </w:lvl>
    <w:lvl w:ilvl="7" w:tplc="EB8632D2">
      <w:start w:val="1"/>
      <w:numFmt w:val="lowerLetter"/>
      <w:lvlText w:val="%8."/>
      <w:lvlJc w:val="left"/>
      <w:pPr>
        <w:ind w:left="5760" w:hanging="360"/>
      </w:pPr>
    </w:lvl>
    <w:lvl w:ilvl="8" w:tplc="F7B09BDA">
      <w:start w:val="1"/>
      <w:numFmt w:val="lowerRoman"/>
      <w:lvlText w:val="%9."/>
      <w:lvlJc w:val="right"/>
      <w:pPr>
        <w:ind w:left="6480" w:hanging="180"/>
      </w:pPr>
    </w:lvl>
  </w:abstractNum>
  <w:abstractNum w:abstractNumId="1" w15:restartNumberingAfterBreak="0">
    <w:nsid w:val="267A4ABD"/>
    <w:multiLevelType w:val="hybridMultilevel"/>
    <w:tmpl w:val="FE8A9954"/>
    <w:lvl w:ilvl="0" w:tplc="A6EE6A08">
      <w:start w:val="1"/>
      <w:numFmt w:val="bullet"/>
      <w:lvlText w:val="·"/>
      <w:lvlJc w:val="left"/>
      <w:pPr>
        <w:ind w:left="720" w:hanging="360"/>
      </w:pPr>
      <w:rPr>
        <w:rFonts w:ascii="Symbol" w:hAnsi="Symbol" w:hint="default"/>
      </w:rPr>
    </w:lvl>
    <w:lvl w:ilvl="1" w:tplc="24226FFC">
      <w:start w:val="1"/>
      <w:numFmt w:val="bullet"/>
      <w:lvlText w:val="o"/>
      <w:lvlJc w:val="left"/>
      <w:pPr>
        <w:ind w:left="1440" w:hanging="360"/>
      </w:pPr>
      <w:rPr>
        <w:rFonts w:ascii="Courier New" w:hAnsi="Courier New" w:hint="default"/>
      </w:rPr>
    </w:lvl>
    <w:lvl w:ilvl="2" w:tplc="9F8C4FF2">
      <w:start w:val="1"/>
      <w:numFmt w:val="bullet"/>
      <w:lvlText w:val=""/>
      <w:lvlJc w:val="left"/>
      <w:pPr>
        <w:ind w:left="2160" w:hanging="360"/>
      </w:pPr>
      <w:rPr>
        <w:rFonts w:ascii="Wingdings" w:hAnsi="Wingdings" w:hint="default"/>
      </w:rPr>
    </w:lvl>
    <w:lvl w:ilvl="3" w:tplc="7A4ACF5C">
      <w:start w:val="1"/>
      <w:numFmt w:val="bullet"/>
      <w:lvlText w:val=""/>
      <w:lvlJc w:val="left"/>
      <w:pPr>
        <w:ind w:left="2880" w:hanging="360"/>
      </w:pPr>
      <w:rPr>
        <w:rFonts w:ascii="Symbol" w:hAnsi="Symbol" w:hint="default"/>
      </w:rPr>
    </w:lvl>
    <w:lvl w:ilvl="4" w:tplc="A2227DEC">
      <w:start w:val="1"/>
      <w:numFmt w:val="bullet"/>
      <w:lvlText w:val="o"/>
      <w:lvlJc w:val="left"/>
      <w:pPr>
        <w:ind w:left="3600" w:hanging="360"/>
      </w:pPr>
      <w:rPr>
        <w:rFonts w:ascii="Courier New" w:hAnsi="Courier New" w:hint="default"/>
      </w:rPr>
    </w:lvl>
    <w:lvl w:ilvl="5" w:tplc="2C7CDC68">
      <w:start w:val="1"/>
      <w:numFmt w:val="bullet"/>
      <w:lvlText w:val=""/>
      <w:lvlJc w:val="left"/>
      <w:pPr>
        <w:ind w:left="4320" w:hanging="360"/>
      </w:pPr>
      <w:rPr>
        <w:rFonts w:ascii="Wingdings" w:hAnsi="Wingdings" w:hint="default"/>
      </w:rPr>
    </w:lvl>
    <w:lvl w:ilvl="6" w:tplc="2DF68B06">
      <w:start w:val="1"/>
      <w:numFmt w:val="bullet"/>
      <w:lvlText w:val=""/>
      <w:lvlJc w:val="left"/>
      <w:pPr>
        <w:ind w:left="5040" w:hanging="360"/>
      </w:pPr>
      <w:rPr>
        <w:rFonts w:ascii="Symbol" w:hAnsi="Symbol" w:hint="default"/>
      </w:rPr>
    </w:lvl>
    <w:lvl w:ilvl="7" w:tplc="F9D4EC42">
      <w:start w:val="1"/>
      <w:numFmt w:val="bullet"/>
      <w:lvlText w:val="o"/>
      <w:lvlJc w:val="left"/>
      <w:pPr>
        <w:ind w:left="5760" w:hanging="360"/>
      </w:pPr>
      <w:rPr>
        <w:rFonts w:ascii="Courier New" w:hAnsi="Courier New" w:hint="default"/>
      </w:rPr>
    </w:lvl>
    <w:lvl w:ilvl="8" w:tplc="1EF4B8E0">
      <w:start w:val="1"/>
      <w:numFmt w:val="bullet"/>
      <w:lvlText w:val=""/>
      <w:lvlJc w:val="left"/>
      <w:pPr>
        <w:ind w:left="6480" w:hanging="360"/>
      </w:pPr>
      <w:rPr>
        <w:rFonts w:ascii="Wingdings" w:hAnsi="Wingdings" w:hint="default"/>
      </w:rPr>
    </w:lvl>
  </w:abstractNum>
  <w:abstractNum w:abstractNumId="2" w15:restartNumberingAfterBreak="0">
    <w:nsid w:val="758C1EE1"/>
    <w:multiLevelType w:val="hybridMultilevel"/>
    <w:tmpl w:val="29F2B2CA"/>
    <w:lvl w:ilvl="0" w:tplc="8E4EF1F6">
      <w:start w:val="1"/>
      <w:numFmt w:val="bullet"/>
      <w:lvlText w:val="·"/>
      <w:lvlJc w:val="left"/>
      <w:pPr>
        <w:ind w:left="720" w:hanging="360"/>
      </w:pPr>
      <w:rPr>
        <w:rFonts w:ascii="Symbol" w:hAnsi="Symbol" w:hint="default"/>
      </w:rPr>
    </w:lvl>
    <w:lvl w:ilvl="1" w:tplc="169A7C6E">
      <w:start w:val="1"/>
      <w:numFmt w:val="bullet"/>
      <w:lvlText w:val="o"/>
      <w:lvlJc w:val="left"/>
      <w:pPr>
        <w:ind w:left="1440" w:hanging="360"/>
      </w:pPr>
      <w:rPr>
        <w:rFonts w:ascii="Courier New" w:hAnsi="Courier New" w:hint="default"/>
      </w:rPr>
    </w:lvl>
    <w:lvl w:ilvl="2" w:tplc="F0A8ED5A">
      <w:start w:val="1"/>
      <w:numFmt w:val="bullet"/>
      <w:lvlText w:val=""/>
      <w:lvlJc w:val="left"/>
      <w:pPr>
        <w:ind w:left="2160" w:hanging="360"/>
      </w:pPr>
      <w:rPr>
        <w:rFonts w:ascii="Wingdings" w:hAnsi="Wingdings" w:hint="default"/>
      </w:rPr>
    </w:lvl>
    <w:lvl w:ilvl="3" w:tplc="24FC5F30">
      <w:start w:val="1"/>
      <w:numFmt w:val="bullet"/>
      <w:lvlText w:val=""/>
      <w:lvlJc w:val="left"/>
      <w:pPr>
        <w:ind w:left="2880" w:hanging="360"/>
      </w:pPr>
      <w:rPr>
        <w:rFonts w:ascii="Symbol" w:hAnsi="Symbol" w:hint="default"/>
      </w:rPr>
    </w:lvl>
    <w:lvl w:ilvl="4" w:tplc="15FCCE3A">
      <w:start w:val="1"/>
      <w:numFmt w:val="bullet"/>
      <w:lvlText w:val="o"/>
      <w:lvlJc w:val="left"/>
      <w:pPr>
        <w:ind w:left="3600" w:hanging="360"/>
      </w:pPr>
      <w:rPr>
        <w:rFonts w:ascii="Courier New" w:hAnsi="Courier New" w:hint="default"/>
      </w:rPr>
    </w:lvl>
    <w:lvl w:ilvl="5" w:tplc="0F129520">
      <w:start w:val="1"/>
      <w:numFmt w:val="bullet"/>
      <w:lvlText w:val=""/>
      <w:lvlJc w:val="left"/>
      <w:pPr>
        <w:ind w:left="4320" w:hanging="360"/>
      </w:pPr>
      <w:rPr>
        <w:rFonts w:ascii="Wingdings" w:hAnsi="Wingdings" w:hint="default"/>
      </w:rPr>
    </w:lvl>
    <w:lvl w:ilvl="6" w:tplc="8932D41A">
      <w:start w:val="1"/>
      <w:numFmt w:val="bullet"/>
      <w:lvlText w:val=""/>
      <w:lvlJc w:val="left"/>
      <w:pPr>
        <w:ind w:left="5040" w:hanging="360"/>
      </w:pPr>
      <w:rPr>
        <w:rFonts w:ascii="Symbol" w:hAnsi="Symbol" w:hint="default"/>
      </w:rPr>
    </w:lvl>
    <w:lvl w:ilvl="7" w:tplc="A8DA2C8A">
      <w:start w:val="1"/>
      <w:numFmt w:val="bullet"/>
      <w:lvlText w:val="o"/>
      <w:lvlJc w:val="left"/>
      <w:pPr>
        <w:ind w:left="5760" w:hanging="360"/>
      </w:pPr>
      <w:rPr>
        <w:rFonts w:ascii="Courier New" w:hAnsi="Courier New" w:hint="default"/>
      </w:rPr>
    </w:lvl>
    <w:lvl w:ilvl="8" w:tplc="2204626C">
      <w:start w:val="1"/>
      <w:numFmt w:val="bullet"/>
      <w:lvlText w:val=""/>
      <w:lvlJc w:val="left"/>
      <w:pPr>
        <w:ind w:left="6480" w:hanging="360"/>
      </w:pPr>
      <w:rPr>
        <w:rFonts w:ascii="Wingdings" w:hAnsi="Wingdings" w:hint="default"/>
      </w:rPr>
    </w:lvl>
  </w:abstractNum>
  <w:num w:numId="1" w16cid:durableId="352652531">
    <w:abstractNumId w:val="0"/>
  </w:num>
  <w:num w:numId="2" w16cid:durableId="1220821679">
    <w:abstractNumId w:val="1"/>
  </w:num>
  <w:num w:numId="3" w16cid:durableId="843319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EB823B"/>
    <w:rsid w:val="00400881"/>
    <w:rsid w:val="00597056"/>
    <w:rsid w:val="00945BED"/>
    <w:rsid w:val="00B95FA7"/>
    <w:rsid w:val="021A95C5"/>
    <w:rsid w:val="031AE1E0"/>
    <w:rsid w:val="03F10069"/>
    <w:rsid w:val="04ED804C"/>
    <w:rsid w:val="05C67768"/>
    <w:rsid w:val="06DEB20E"/>
    <w:rsid w:val="0765E47C"/>
    <w:rsid w:val="080A0537"/>
    <w:rsid w:val="0864823B"/>
    <w:rsid w:val="087A826F"/>
    <w:rsid w:val="097CC6CB"/>
    <w:rsid w:val="0A1652D0"/>
    <w:rsid w:val="0A588392"/>
    <w:rsid w:val="0B9AA1F7"/>
    <w:rsid w:val="0BBDD9F5"/>
    <w:rsid w:val="0C1EB31B"/>
    <w:rsid w:val="0C91B476"/>
    <w:rsid w:val="0CA9E94A"/>
    <w:rsid w:val="0E2AB07F"/>
    <w:rsid w:val="0F12D5C3"/>
    <w:rsid w:val="10859454"/>
    <w:rsid w:val="10B87D22"/>
    <w:rsid w:val="10BCE7D4"/>
    <w:rsid w:val="11C1E324"/>
    <w:rsid w:val="122AB301"/>
    <w:rsid w:val="13455E07"/>
    <w:rsid w:val="135C3A63"/>
    <w:rsid w:val="135FB910"/>
    <w:rsid w:val="13883FFC"/>
    <w:rsid w:val="14F8EEAE"/>
    <w:rsid w:val="15F71346"/>
    <w:rsid w:val="1899F485"/>
    <w:rsid w:val="18B011BF"/>
    <w:rsid w:val="199B6276"/>
    <w:rsid w:val="19E3280E"/>
    <w:rsid w:val="1A0ABCD4"/>
    <w:rsid w:val="1A346420"/>
    <w:rsid w:val="1BD19547"/>
    <w:rsid w:val="1DB5F185"/>
    <w:rsid w:val="1E8BD156"/>
    <w:rsid w:val="1EB69931"/>
    <w:rsid w:val="1FC4821F"/>
    <w:rsid w:val="1FE63917"/>
    <w:rsid w:val="1FED2116"/>
    <w:rsid w:val="200A199F"/>
    <w:rsid w:val="20BB0B2A"/>
    <w:rsid w:val="20F59851"/>
    <w:rsid w:val="212D3089"/>
    <w:rsid w:val="21820978"/>
    <w:rsid w:val="21C79EF6"/>
    <w:rsid w:val="21EE39F3"/>
    <w:rsid w:val="223F7605"/>
    <w:rsid w:val="231B5E49"/>
    <w:rsid w:val="235C9D93"/>
    <w:rsid w:val="238A0A54"/>
    <w:rsid w:val="240183D3"/>
    <w:rsid w:val="24ADF376"/>
    <w:rsid w:val="26557A9B"/>
    <w:rsid w:val="26C1AB16"/>
    <w:rsid w:val="26C7BF29"/>
    <w:rsid w:val="2712E728"/>
    <w:rsid w:val="27751700"/>
    <w:rsid w:val="29752071"/>
    <w:rsid w:val="2A978A67"/>
    <w:rsid w:val="2AE934AD"/>
    <w:rsid w:val="2B6A852D"/>
    <w:rsid w:val="2CB9055B"/>
    <w:rsid w:val="2CBB2653"/>
    <w:rsid w:val="2CC253A7"/>
    <w:rsid w:val="2D0AE1FE"/>
    <w:rsid w:val="2DDCFEAD"/>
    <w:rsid w:val="2E0761E1"/>
    <w:rsid w:val="2E489194"/>
    <w:rsid w:val="2E58A665"/>
    <w:rsid w:val="2F111DD2"/>
    <w:rsid w:val="2FF9F469"/>
    <w:rsid w:val="300ED140"/>
    <w:rsid w:val="30707AE2"/>
    <w:rsid w:val="31803256"/>
    <w:rsid w:val="31AAA1A1"/>
    <w:rsid w:val="31C45BEE"/>
    <w:rsid w:val="31EB823B"/>
    <w:rsid w:val="320C4B43"/>
    <w:rsid w:val="3220A6F7"/>
    <w:rsid w:val="323C7889"/>
    <w:rsid w:val="32B7BD48"/>
    <w:rsid w:val="3304CCC8"/>
    <w:rsid w:val="33A2103D"/>
    <w:rsid w:val="346C542C"/>
    <w:rsid w:val="350CFE0C"/>
    <w:rsid w:val="3543EC05"/>
    <w:rsid w:val="354AAC1A"/>
    <w:rsid w:val="3591C34A"/>
    <w:rsid w:val="35AA689A"/>
    <w:rsid w:val="35B0D1EE"/>
    <w:rsid w:val="35CCB4D4"/>
    <w:rsid w:val="3663AAEB"/>
    <w:rsid w:val="36768E87"/>
    <w:rsid w:val="38030B3B"/>
    <w:rsid w:val="396B3978"/>
    <w:rsid w:val="39725745"/>
    <w:rsid w:val="3979328E"/>
    <w:rsid w:val="3A3145A1"/>
    <w:rsid w:val="3B6183B7"/>
    <w:rsid w:val="3B9D7622"/>
    <w:rsid w:val="3C477B49"/>
    <w:rsid w:val="3CABDD3C"/>
    <w:rsid w:val="3CD716AB"/>
    <w:rsid w:val="3D47D85E"/>
    <w:rsid w:val="3D4EFDEA"/>
    <w:rsid w:val="3DF39F7D"/>
    <w:rsid w:val="3E13657B"/>
    <w:rsid w:val="3F104E97"/>
    <w:rsid w:val="41040DF7"/>
    <w:rsid w:val="41462506"/>
    <w:rsid w:val="420D69FD"/>
    <w:rsid w:val="420DA9E0"/>
    <w:rsid w:val="426F753D"/>
    <w:rsid w:val="44B49217"/>
    <w:rsid w:val="456E6CBB"/>
    <w:rsid w:val="45CA0C90"/>
    <w:rsid w:val="47512490"/>
    <w:rsid w:val="47EC32D9"/>
    <w:rsid w:val="4823179E"/>
    <w:rsid w:val="485A1609"/>
    <w:rsid w:val="4863C307"/>
    <w:rsid w:val="489F0287"/>
    <w:rsid w:val="4988033A"/>
    <w:rsid w:val="49975125"/>
    <w:rsid w:val="4B9B63C9"/>
    <w:rsid w:val="4BEC38BB"/>
    <w:rsid w:val="4C6E27EB"/>
    <w:rsid w:val="4CB1074D"/>
    <w:rsid w:val="4E76D3E0"/>
    <w:rsid w:val="50458F12"/>
    <w:rsid w:val="50BADF6C"/>
    <w:rsid w:val="51154B42"/>
    <w:rsid w:val="512A8C65"/>
    <w:rsid w:val="52AF9B53"/>
    <w:rsid w:val="539DD3DF"/>
    <w:rsid w:val="5467DD4F"/>
    <w:rsid w:val="54995828"/>
    <w:rsid w:val="56421BB9"/>
    <w:rsid w:val="574C0D53"/>
    <w:rsid w:val="57AD6AC4"/>
    <w:rsid w:val="57DCC162"/>
    <w:rsid w:val="5892B0A3"/>
    <w:rsid w:val="58C6CDDE"/>
    <w:rsid w:val="58E7DDB4"/>
    <w:rsid w:val="58F45F45"/>
    <w:rsid w:val="58FE438A"/>
    <w:rsid w:val="59398905"/>
    <w:rsid w:val="5A07E3FF"/>
    <w:rsid w:val="5BFED28A"/>
    <w:rsid w:val="5CBBD61B"/>
    <w:rsid w:val="5D06C2D6"/>
    <w:rsid w:val="5D6621C6"/>
    <w:rsid w:val="5DBD1DD5"/>
    <w:rsid w:val="5DD1B4AD"/>
    <w:rsid w:val="5E8A9776"/>
    <w:rsid w:val="5EF023A1"/>
    <w:rsid w:val="5F4C32BD"/>
    <w:rsid w:val="5F6C4233"/>
    <w:rsid w:val="5FE27874"/>
    <w:rsid w:val="600A1921"/>
    <w:rsid w:val="6133C4BA"/>
    <w:rsid w:val="623A14C3"/>
    <w:rsid w:val="631121EB"/>
    <w:rsid w:val="641B553E"/>
    <w:rsid w:val="6463A282"/>
    <w:rsid w:val="646B657C"/>
    <w:rsid w:val="646D002A"/>
    <w:rsid w:val="646D1027"/>
    <w:rsid w:val="64C12589"/>
    <w:rsid w:val="6511D4BB"/>
    <w:rsid w:val="66947CBF"/>
    <w:rsid w:val="66ACD42D"/>
    <w:rsid w:val="6775010A"/>
    <w:rsid w:val="679631E0"/>
    <w:rsid w:val="69A33224"/>
    <w:rsid w:val="6A06FCD6"/>
    <w:rsid w:val="6A1E0B99"/>
    <w:rsid w:val="6A6B487D"/>
    <w:rsid w:val="6AF635BD"/>
    <w:rsid w:val="6B00CFAC"/>
    <w:rsid w:val="6C0EFDB2"/>
    <w:rsid w:val="6C770951"/>
    <w:rsid w:val="6C867731"/>
    <w:rsid w:val="6D03BE43"/>
    <w:rsid w:val="6D363ADA"/>
    <w:rsid w:val="6E9F8EA4"/>
    <w:rsid w:val="6EA8F080"/>
    <w:rsid w:val="6EE53C09"/>
    <w:rsid w:val="705D15FD"/>
    <w:rsid w:val="709988E9"/>
    <w:rsid w:val="73D129AB"/>
    <w:rsid w:val="7501A391"/>
    <w:rsid w:val="750ED028"/>
    <w:rsid w:val="756CFA0C"/>
    <w:rsid w:val="75761C9E"/>
    <w:rsid w:val="76DEC85F"/>
    <w:rsid w:val="7711ECFF"/>
    <w:rsid w:val="77ECE620"/>
    <w:rsid w:val="782825A0"/>
    <w:rsid w:val="7858C1C6"/>
    <w:rsid w:val="799E74BF"/>
    <w:rsid w:val="79EA2D4D"/>
    <w:rsid w:val="79EA2ED1"/>
    <w:rsid w:val="7A22AEC7"/>
    <w:rsid w:val="7A7121CF"/>
    <w:rsid w:val="7BCD9037"/>
    <w:rsid w:val="7CC01760"/>
    <w:rsid w:val="7D81BEE4"/>
    <w:rsid w:val="7DF8A659"/>
    <w:rsid w:val="7E4236C8"/>
    <w:rsid w:val="7EBD9FF4"/>
    <w:rsid w:val="7F1283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B823B"/>
  <w15:chartTrackingRefBased/>
  <w15:docId w15:val="{6E1BD8F7-5C58-4E4E-A25D-66DCBA937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public-health-england-approach-to-surveillance/public-health-england-approach-to-surveill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lcare.com/blog/wp-content-uploads/(Accessed"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1448</Words>
  <Characters>8254</Characters>
  <Application>Microsoft Office Word</Application>
  <DocSecurity>0</DocSecurity>
  <Lines>68</Lines>
  <Paragraphs>19</Paragraphs>
  <ScaleCrop>false</ScaleCrop>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Neelam Ashraf (2126021)</dc:creator>
  <cp:keywords/>
  <dc:description/>
  <cp:lastModifiedBy>Aishat Bakre</cp:lastModifiedBy>
  <cp:revision>2</cp:revision>
  <dcterms:created xsi:type="dcterms:W3CDTF">2022-11-28T11:20:00Z</dcterms:created>
  <dcterms:modified xsi:type="dcterms:W3CDTF">2022-11-28T11:20:00Z</dcterms:modified>
</cp:coreProperties>
</file>