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B39B8" w14:textId="3C9E4685" w:rsidR="00A37A64" w:rsidRDefault="00A37A64" w:rsidP="00A37A64">
      <w:pPr>
        <w:pStyle w:val="NormalWeb"/>
        <w:spacing w:before="0" w:beforeAutospacing="0" w:after="0" w:afterAutospacing="0"/>
        <w:ind w:right="-334"/>
      </w:pPr>
      <w:r>
        <w:rPr>
          <w:noProof/>
        </w:rPr>
        <w:drawing>
          <wp:inline distT="0" distB="0" distL="0" distR="0" wp14:anchorId="7F166A5C" wp14:editId="0ECF2A81">
            <wp:extent cx="1905000" cy="632460"/>
            <wp:effectExtent l="19050" t="19050" r="19050" b="15240"/>
            <wp:docPr id="87490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55E209B4" w14:textId="77777777" w:rsidR="00A37A64" w:rsidRDefault="00A37A64" w:rsidP="00A37A64">
      <w:pPr>
        <w:pStyle w:val="NormalWeb"/>
        <w:spacing w:before="0" w:beforeAutospacing="0" w:after="0" w:afterAutospacing="0"/>
        <w:ind w:left="-180" w:right="-334"/>
      </w:pPr>
    </w:p>
    <w:p w14:paraId="5B9B31A1" w14:textId="77777777" w:rsidR="00A37A64" w:rsidRDefault="00A37A64" w:rsidP="00A37A64">
      <w:pPr>
        <w:pStyle w:val="NormalWeb"/>
        <w:spacing w:before="0" w:beforeAutospacing="0" w:after="0" w:afterAutospacing="0"/>
        <w:ind w:left="-180" w:right="-334"/>
      </w:pPr>
    </w:p>
    <w:p w14:paraId="6BCBD543" w14:textId="77777777" w:rsidR="00A37A64" w:rsidRDefault="00A37A64" w:rsidP="00A37A6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5C15B23" w14:textId="77777777" w:rsidR="00A37A64" w:rsidRPr="00230F35" w:rsidRDefault="00A37A64" w:rsidP="00A37A6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5D2017D" w14:textId="77777777" w:rsidR="00A37A64" w:rsidRPr="00230F35" w:rsidRDefault="00A37A64" w:rsidP="00A37A64">
      <w:pPr>
        <w:rPr>
          <w:rFonts w:ascii="Arial" w:hAnsi="Arial" w:cs="Arial"/>
          <w:sz w:val="28"/>
          <w:szCs w:val="28"/>
          <w:lang w:val="cy-GB"/>
        </w:rPr>
      </w:pPr>
    </w:p>
    <w:p w14:paraId="449005F5" w14:textId="77777777" w:rsidR="00A37A64" w:rsidRDefault="00A37A64" w:rsidP="00A37A64">
      <w:pPr>
        <w:pStyle w:val="Heading3"/>
        <w:jc w:val="center"/>
        <w:rPr>
          <w:lang w:val="cy-GB"/>
        </w:rPr>
      </w:pPr>
      <w:r>
        <w:rPr>
          <w:lang w:val="cy-GB"/>
        </w:rPr>
        <w:t>THIS SHEET MUST BE THE FIRST PAGE OF THE ASSIGNMENT YOU ARE SUBMITTING  (DO NOT SEND AS A SEPARATE FILE)</w:t>
      </w:r>
    </w:p>
    <w:p w14:paraId="644150E8" w14:textId="77777777" w:rsidR="00A37A64" w:rsidRDefault="00A37A64" w:rsidP="00A37A6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37A64" w:rsidRPr="00230F35" w14:paraId="30655C2E" w14:textId="77777777" w:rsidTr="004D3135">
        <w:trPr>
          <w:trHeight w:val="614"/>
        </w:trPr>
        <w:tc>
          <w:tcPr>
            <w:tcW w:w="8856" w:type="dxa"/>
            <w:gridSpan w:val="5"/>
          </w:tcPr>
          <w:p w14:paraId="38C9CA5E"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37A64" w:rsidRPr="00230F35" w14:paraId="629B736E" w14:textId="77777777" w:rsidTr="004D3135">
        <w:trPr>
          <w:trHeight w:val="718"/>
        </w:trPr>
        <w:tc>
          <w:tcPr>
            <w:tcW w:w="8856" w:type="dxa"/>
            <w:gridSpan w:val="5"/>
          </w:tcPr>
          <w:p w14:paraId="3B8E16FF" w14:textId="77777777" w:rsidR="00A37A64"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Jefferson Collins</w:t>
            </w:r>
          </w:p>
          <w:p w14:paraId="5514F6A6" w14:textId="77777777" w:rsidR="00A37A64" w:rsidRPr="00230F35" w:rsidRDefault="00A37A64" w:rsidP="004D3135">
            <w:pPr>
              <w:pStyle w:val="NormalWeb"/>
              <w:spacing w:before="0" w:beforeAutospacing="0" w:after="0" w:afterAutospacing="0"/>
              <w:ind w:right="34"/>
              <w:rPr>
                <w:rFonts w:ascii="Arial" w:hAnsi="Arial" w:cs="Arial"/>
                <w:sz w:val="22"/>
                <w:szCs w:val="22"/>
              </w:rPr>
            </w:pPr>
          </w:p>
          <w:p w14:paraId="2047191F"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p>
        </w:tc>
      </w:tr>
      <w:tr w:rsidR="00A37A64" w:rsidRPr="00230F35" w14:paraId="24B522FB" w14:textId="77777777" w:rsidTr="004D3135">
        <w:trPr>
          <w:trHeight w:val="849"/>
        </w:trPr>
        <w:tc>
          <w:tcPr>
            <w:tcW w:w="4788" w:type="dxa"/>
          </w:tcPr>
          <w:p w14:paraId="00A83382"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FCCAEF5" w14:textId="77777777" w:rsidR="00A37A64" w:rsidRPr="00230F35" w:rsidRDefault="00A37A64" w:rsidP="004D3135">
            <w:pPr>
              <w:pStyle w:val="NormalWeb"/>
              <w:spacing w:before="0" w:beforeAutospacing="0" w:after="0" w:afterAutospacing="0"/>
              <w:ind w:right="34"/>
              <w:rPr>
                <w:rFonts w:ascii="Arial" w:hAnsi="Arial" w:cs="Arial"/>
                <w:sz w:val="22"/>
                <w:szCs w:val="22"/>
              </w:rPr>
            </w:pPr>
            <w:r>
              <w:rPr>
                <w:rFonts w:ascii="Arial" w:hAnsi="Arial" w:cs="Arial"/>
                <w:sz w:val="22"/>
                <w:szCs w:val="22"/>
              </w:rPr>
              <w:t>HPCA7015</w:t>
            </w:r>
          </w:p>
          <w:p w14:paraId="7A60D7B3" w14:textId="77777777" w:rsidR="00A37A64"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703FEC81" w14:textId="77777777" w:rsidR="00A37A64" w:rsidRDefault="00A37A64" w:rsidP="004D3135">
            <w:pPr>
              <w:pStyle w:val="NormalWeb"/>
              <w:spacing w:before="0" w:beforeAutospacing="0" w:after="0" w:afterAutospacing="0"/>
              <w:ind w:right="34"/>
              <w:rPr>
                <w:rFonts w:ascii="Arial" w:hAnsi="Arial" w:cs="Arial"/>
                <w:sz w:val="22"/>
                <w:szCs w:val="22"/>
              </w:rPr>
            </w:pPr>
            <w:r>
              <w:rPr>
                <w:rFonts w:ascii="Arial" w:hAnsi="Arial" w:cs="Arial"/>
                <w:sz w:val="22"/>
                <w:szCs w:val="22"/>
              </w:rPr>
              <w:t>FOUNDATIONS</w:t>
            </w:r>
          </w:p>
          <w:p w14:paraId="5F610214" w14:textId="77777777" w:rsidR="00A37A64" w:rsidRPr="00230F35" w:rsidRDefault="00A37A64" w:rsidP="004D3135">
            <w:pPr>
              <w:pStyle w:val="NormalWeb"/>
              <w:spacing w:before="0" w:beforeAutospacing="0" w:after="0" w:afterAutospacing="0"/>
              <w:ind w:right="34"/>
              <w:rPr>
                <w:rFonts w:ascii="Arial" w:hAnsi="Arial" w:cs="Arial"/>
                <w:sz w:val="22"/>
                <w:szCs w:val="22"/>
              </w:rPr>
            </w:pPr>
          </w:p>
        </w:tc>
        <w:tc>
          <w:tcPr>
            <w:tcW w:w="2266" w:type="dxa"/>
            <w:gridSpan w:val="3"/>
          </w:tcPr>
          <w:p w14:paraId="2799A4CA"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2328334</w:t>
            </w:r>
          </w:p>
        </w:tc>
        <w:tc>
          <w:tcPr>
            <w:tcW w:w="1802" w:type="dxa"/>
          </w:tcPr>
          <w:p w14:paraId="4C53A5F6"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0129A45"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p>
        </w:tc>
      </w:tr>
      <w:tr w:rsidR="00A37A64" w:rsidRPr="00230F35" w14:paraId="48C5E8B1" w14:textId="77777777" w:rsidTr="004D3135">
        <w:trPr>
          <w:trHeight w:val="1139"/>
        </w:trPr>
        <w:tc>
          <w:tcPr>
            <w:tcW w:w="8856" w:type="dxa"/>
            <w:gridSpan w:val="5"/>
          </w:tcPr>
          <w:p w14:paraId="540BCFD3"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p>
          <w:p w14:paraId="6430A6EB" w14:textId="77777777" w:rsidR="00A37A64" w:rsidRPr="00230F35" w:rsidRDefault="00A37A64" w:rsidP="004D3135">
            <w:pPr>
              <w:pStyle w:val="NormalWeb"/>
              <w:spacing w:before="0" w:beforeAutospacing="0" w:after="0" w:afterAutospacing="0"/>
              <w:ind w:right="34"/>
              <w:rPr>
                <w:rFonts w:ascii="Arial" w:hAnsi="Arial" w:cs="Arial"/>
                <w:sz w:val="22"/>
                <w:szCs w:val="22"/>
              </w:rPr>
            </w:pPr>
            <w:r>
              <w:rPr>
                <w:rFonts w:ascii="Arial" w:hAnsi="Arial" w:cs="Arial"/>
                <w:sz w:val="22"/>
                <w:szCs w:val="22"/>
              </w:rPr>
              <w:t>CRITICAL COMPARISON OF TWO SECONDARY SOURCES</w:t>
            </w:r>
          </w:p>
          <w:p w14:paraId="39807A56" w14:textId="77777777" w:rsidR="00A37A64" w:rsidRDefault="00A37A64" w:rsidP="004D3135">
            <w:pPr>
              <w:pStyle w:val="NormalWeb"/>
              <w:spacing w:before="0" w:beforeAutospacing="0" w:after="0" w:afterAutospacing="0"/>
              <w:ind w:right="34"/>
              <w:rPr>
                <w:rFonts w:ascii="Arial" w:hAnsi="Arial" w:cs="Arial"/>
                <w:sz w:val="22"/>
                <w:szCs w:val="22"/>
              </w:rPr>
            </w:pPr>
          </w:p>
          <w:p w14:paraId="10E1FD7A"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4/11/24</w:t>
            </w:r>
          </w:p>
        </w:tc>
      </w:tr>
      <w:tr w:rsidR="00A37A64" w:rsidRPr="00230F35" w14:paraId="29A14F5D" w14:textId="77777777" w:rsidTr="004D3135">
        <w:trPr>
          <w:trHeight w:val="978"/>
        </w:trPr>
        <w:tc>
          <w:tcPr>
            <w:tcW w:w="8856" w:type="dxa"/>
            <w:gridSpan w:val="5"/>
            <w:tcBorders>
              <w:bottom w:val="single" w:sz="4" w:space="0" w:color="000000"/>
            </w:tcBorders>
          </w:tcPr>
          <w:p w14:paraId="6B7CB10E" w14:textId="77777777" w:rsidR="00A37A64" w:rsidRPr="00230F35" w:rsidRDefault="00A37A64" w:rsidP="004D313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37A64" w:rsidRPr="00230F35" w14:paraId="3B96DD83" w14:textId="77777777" w:rsidTr="004D3135">
        <w:trPr>
          <w:trHeight w:val="978"/>
        </w:trPr>
        <w:tc>
          <w:tcPr>
            <w:tcW w:w="8856" w:type="dxa"/>
            <w:gridSpan w:val="5"/>
            <w:shd w:val="clear" w:color="auto" w:fill="D9D9D9"/>
          </w:tcPr>
          <w:p w14:paraId="2C6E5E34" w14:textId="77777777" w:rsidR="00A37A64" w:rsidRPr="00230F35"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w:t>
            </w:r>
            <w:r>
              <w:rPr>
                <w:rFonts w:ascii="Arial" w:hAnsi="Arial" w:cs="Arial"/>
                <w:sz w:val="22"/>
                <w:szCs w:val="22"/>
              </w:rPr>
              <w:t xml:space="preserve">n </w:t>
            </w:r>
            <w:r w:rsidRPr="00230F35">
              <w:rPr>
                <w:rFonts w:ascii="Arial" w:hAnsi="Arial" w:cs="Arial"/>
                <w:sz w:val="22"/>
                <w:szCs w:val="22"/>
              </w:rPr>
              <w:t>plagiarism.</w:t>
            </w:r>
            <w:r>
              <w:rPr>
                <w:rFonts w:ascii="Arial" w:hAnsi="Arial" w:cs="Arial"/>
                <w:sz w:val="22"/>
                <w:szCs w:val="22"/>
              </w:rPr>
              <w:t xml:space="preserve"> </w:t>
            </w:r>
          </w:p>
          <w:p w14:paraId="2120CC4E" w14:textId="77777777" w:rsidR="00A37A64" w:rsidRDefault="00A37A64" w:rsidP="004D313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 xml:space="preserve">Jefferson Collins </w:t>
            </w:r>
            <w:r w:rsidRPr="00230F35">
              <w:rPr>
                <w:rFonts w:ascii="Arial" w:hAnsi="Arial" w:cs="Arial"/>
                <w:sz w:val="22"/>
                <w:szCs w:val="22"/>
              </w:rPr>
              <w:t>………………………………………………</w:t>
            </w:r>
          </w:p>
          <w:p w14:paraId="024A96E5" w14:textId="77777777" w:rsidR="00A37A64" w:rsidRDefault="00A37A64" w:rsidP="004D313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proofErr w:type="spellStart"/>
            <w:r>
              <w:rPr>
                <w:rFonts w:ascii="Calibri" w:hAnsi="Calibri" w:cs="Tahoma"/>
                <w:b/>
                <w:sz w:val="24"/>
                <w:szCs w:val="24"/>
              </w:rPr>
              <w:t>x</w:t>
            </w:r>
            <w:r w:rsidRPr="005979EE">
              <w:rPr>
                <w:rFonts w:ascii="Calibri" w:hAnsi="Calibri" w:cs="Calibri"/>
                <w:b/>
                <w:sz w:val="44"/>
                <w:szCs w:val="44"/>
              </w:rPr>
              <w:t>□</w:t>
            </w:r>
            <w:r>
              <w:rPr>
                <w:rFonts w:ascii="Calibri" w:hAnsi="Calibri" w:cs="Calibri"/>
                <w:b/>
                <w:sz w:val="44"/>
                <w:szCs w:val="44"/>
              </w:rPr>
              <w:t>x</w:t>
            </w:r>
            <w:proofErr w:type="spellEnd"/>
          </w:p>
          <w:p w14:paraId="028B7868" w14:textId="77777777" w:rsidR="00A37A64" w:rsidRPr="00230F35" w:rsidRDefault="00A37A64" w:rsidP="004D3135">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37A64" w:rsidRPr="00230F35" w14:paraId="06CC7FF7" w14:textId="77777777" w:rsidTr="004D3135">
        <w:trPr>
          <w:trHeight w:val="3972"/>
        </w:trPr>
        <w:tc>
          <w:tcPr>
            <w:tcW w:w="8856" w:type="dxa"/>
            <w:gridSpan w:val="5"/>
          </w:tcPr>
          <w:p w14:paraId="25BCD01D" w14:textId="77777777" w:rsidR="00A37A64" w:rsidRDefault="00A37A64" w:rsidP="004D3135">
            <w:pPr>
              <w:rPr>
                <w:rFonts w:ascii="Arial" w:hAnsi="Arial"/>
                <w:b/>
              </w:rPr>
            </w:pPr>
          </w:p>
          <w:p w14:paraId="5788BF73" w14:textId="77777777" w:rsidR="00A37A64" w:rsidRPr="00116CE6" w:rsidRDefault="00A37A64" w:rsidP="004D313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37A64" w:rsidRPr="00116CE6" w14:paraId="16AECFAF" w14:textId="77777777" w:rsidTr="004D3135">
              <w:tc>
                <w:tcPr>
                  <w:tcW w:w="6970" w:type="dxa"/>
                </w:tcPr>
                <w:p w14:paraId="34259397" w14:textId="77777777" w:rsidR="00A37A64" w:rsidRPr="00116CE6" w:rsidRDefault="00A37A64" w:rsidP="004D3135">
                  <w:pPr>
                    <w:rPr>
                      <w:rFonts w:ascii="Arial" w:hAnsi="Arial"/>
                      <w:sz w:val="20"/>
                      <w:szCs w:val="20"/>
                    </w:rPr>
                  </w:pPr>
                </w:p>
                <w:p w14:paraId="209BE884" w14:textId="77777777" w:rsidR="00A37A64" w:rsidRPr="00116CE6" w:rsidRDefault="00A37A64" w:rsidP="004D313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833CF92" w14:textId="77777777" w:rsidR="00A37A64" w:rsidRPr="00116CE6" w:rsidRDefault="00A37A64" w:rsidP="004D3135">
                  <w:pPr>
                    <w:rPr>
                      <w:rFonts w:ascii="Arial" w:hAnsi="Arial"/>
                      <w:sz w:val="20"/>
                      <w:szCs w:val="20"/>
                    </w:rPr>
                  </w:pPr>
                </w:p>
              </w:tc>
            </w:tr>
            <w:tr w:rsidR="00A37A64" w:rsidRPr="00116CE6" w14:paraId="5C4700AF" w14:textId="77777777" w:rsidTr="004D3135">
              <w:tc>
                <w:tcPr>
                  <w:tcW w:w="6970" w:type="dxa"/>
                </w:tcPr>
                <w:p w14:paraId="4B623687" w14:textId="77777777" w:rsidR="00A37A64" w:rsidRPr="00116CE6" w:rsidRDefault="00A37A64" w:rsidP="004D3135">
                  <w:pPr>
                    <w:rPr>
                      <w:rFonts w:ascii="Arial" w:hAnsi="Arial"/>
                      <w:sz w:val="20"/>
                      <w:szCs w:val="20"/>
                    </w:rPr>
                  </w:pPr>
                </w:p>
                <w:p w14:paraId="11D2BD9A" w14:textId="77777777" w:rsidR="00A37A64" w:rsidRPr="00116CE6" w:rsidRDefault="00A37A64" w:rsidP="004D313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CC06747" w14:textId="77777777" w:rsidR="00A37A64" w:rsidRPr="00116CE6" w:rsidRDefault="00A37A64" w:rsidP="004D3135">
                  <w:pPr>
                    <w:rPr>
                      <w:rFonts w:ascii="Arial" w:hAnsi="Arial"/>
                      <w:sz w:val="20"/>
                      <w:szCs w:val="20"/>
                    </w:rPr>
                  </w:pPr>
                </w:p>
              </w:tc>
            </w:tr>
            <w:tr w:rsidR="00A37A64" w:rsidRPr="00116CE6" w14:paraId="62BF7667" w14:textId="77777777" w:rsidTr="004D3135">
              <w:tc>
                <w:tcPr>
                  <w:tcW w:w="6970" w:type="dxa"/>
                </w:tcPr>
                <w:p w14:paraId="2AF21703" w14:textId="77777777" w:rsidR="00A37A64" w:rsidRPr="00116CE6" w:rsidRDefault="00A37A64" w:rsidP="004D3135">
                  <w:pPr>
                    <w:rPr>
                      <w:rFonts w:ascii="Arial" w:hAnsi="Arial"/>
                      <w:sz w:val="20"/>
                      <w:szCs w:val="20"/>
                    </w:rPr>
                  </w:pPr>
                </w:p>
                <w:p w14:paraId="246994F9" w14:textId="77777777" w:rsidR="00A37A64" w:rsidRPr="00116CE6" w:rsidRDefault="00A37A64" w:rsidP="004D313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184E7DB" w14:textId="77777777" w:rsidR="00A37A64" w:rsidRPr="00116CE6" w:rsidRDefault="00A37A64" w:rsidP="004D3135">
                  <w:pPr>
                    <w:rPr>
                      <w:rFonts w:ascii="Arial" w:hAnsi="Arial"/>
                      <w:sz w:val="20"/>
                      <w:szCs w:val="20"/>
                    </w:rPr>
                  </w:pPr>
                </w:p>
              </w:tc>
            </w:tr>
            <w:tr w:rsidR="00A37A64" w:rsidRPr="00116CE6" w14:paraId="508B6F68" w14:textId="77777777" w:rsidTr="004D3135">
              <w:tc>
                <w:tcPr>
                  <w:tcW w:w="6970" w:type="dxa"/>
                </w:tcPr>
                <w:p w14:paraId="662E2FF3" w14:textId="77777777" w:rsidR="00A37A64" w:rsidRDefault="00A37A64" w:rsidP="004D3135">
                  <w:pPr>
                    <w:rPr>
                      <w:rFonts w:ascii="Arial" w:hAnsi="Arial"/>
                      <w:sz w:val="20"/>
                      <w:szCs w:val="20"/>
                    </w:rPr>
                  </w:pPr>
                </w:p>
                <w:p w14:paraId="14F25D1D" w14:textId="77777777" w:rsidR="00A37A64" w:rsidRPr="00022345" w:rsidRDefault="00A37A64" w:rsidP="004D3135">
                  <w:pPr>
                    <w:rPr>
                      <w:rFonts w:ascii="Arial" w:hAnsi="Arial"/>
                      <w:b/>
                      <w:sz w:val="20"/>
                      <w:szCs w:val="20"/>
                    </w:rPr>
                  </w:pPr>
                  <w:r w:rsidRPr="00022345">
                    <w:rPr>
                      <w:rFonts w:ascii="Arial" w:hAnsi="Arial"/>
                      <w:b/>
                      <w:sz w:val="20"/>
                      <w:szCs w:val="20"/>
                    </w:rPr>
                    <w:t>Final Mark</w:t>
                  </w:r>
                </w:p>
                <w:p w14:paraId="30EAE13A" w14:textId="77777777" w:rsidR="00A37A64" w:rsidRPr="00116CE6" w:rsidRDefault="00A37A64" w:rsidP="004D3135">
                  <w:pPr>
                    <w:rPr>
                      <w:rFonts w:ascii="Arial" w:hAnsi="Arial"/>
                      <w:sz w:val="20"/>
                      <w:szCs w:val="20"/>
                    </w:rPr>
                  </w:pPr>
                </w:p>
              </w:tc>
              <w:tc>
                <w:tcPr>
                  <w:tcW w:w="1660" w:type="dxa"/>
                </w:tcPr>
                <w:p w14:paraId="3DCF30AF" w14:textId="77777777" w:rsidR="00A37A64" w:rsidRPr="00116CE6" w:rsidRDefault="00A37A64" w:rsidP="004D3135">
                  <w:pPr>
                    <w:rPr>
                      <w:rFonts w:ascii="Arial" w:hAnsi="Arial"/>
                      <w:sz w:val="20"/>
                      <w:szCs w:val="20"/>
                    </w:rPr>
                  </w:pPr>
                </w:p>
              </w:tc>
            </w:tr>
          </w:tbl>
          <w:p w14:paraId="103DCDB7" w14:textId="77777777" w:rsidR="00A37A64" w:rsidRDefault="00A37A64" w:rsidP="004D3135">
            <w:pPr>
              <w:pStyle w:val="NormalWeb"/>
              <w:spacing w:before="0" w:beforeAutospacing="0" w:after="0" w:afterAutospacing="0"/>
              <w:ind w:left="142" w:right="34"/>
              <w:rPr>
                <w:rFonts w:ascii="Arial" w:hAnsi="Arial" w:cs="Arial"/>
                <w:b/>
                <w:sz w:val="22"/>
                <w:szCs w:val="22"/>
              </w:rPr>
            </w:pPr>
          </w:p>
          <w:p w14:paraId="2E098C4B" w14:textId="77777777" w:rsidR="00A37A64" w:rsidRPr="00230F35" w:rsidRDefault="00A37A64" w:rsidP="004D313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F57F688" w14:textId="77777777" w:rsidR="00A37A64" w:rsidRDefault="00A37A64" w:rsidP="004D3135">
            <w:pPr>
              <w:pStyle w:val="NormalWeb"/>
              <w:spacing w:before="0" w:beforeAutospacing="0" w:after="0" w:afterAutospacing="0"/>
              <w:rPr>
                <w:rFonts w:ascii="Arial" w:hAnsi="Arial" w:cs="Arial"/>
                <w:b/>
                <w:sz w:val="22"/>
                <w:szCs w:val="22"/>
              </w:rPr>
            </w:pPr>
          </w:p>
          <w:p w14:paraId="2C999EB7" w14:textId="77777777" w:rsidR="00A37A64" w:rsidRDefault="00A37A64" w:rsidP="004D3135">
            <w:pPr>
              <w:pStyle w:val="NormalWeb"/>
              <w:spacing w:before="0" w:beforeAutospacing="0" w:after="0" w:afterAutospacing="0"/>
              <w:rPr>
                <w:rFonts w:ascii="Arial" w:hAnsi="Arial" w:cs="Arial"/>
                <w:b/>
                <w:sz w:val="22"/>
                <w:szCs w:val="22"/>
              </w:rPr>
            </w:pPr>
          </w:p>
          <w:p w14:paraId="1C6AAE1F" w14:textId="77777777" w:rsidR="00A37A64" w:rsidRDefault="00A37A64" w:rsidP="004D3135">
            <w:pPr>
              <w:pStyle w:val="NormalWeb"/>
              <w:spacing w:before="0" w:beforeAutospacing="0" w:after="0" w:afterAutospacing="0"/>
              <w:rPr>
                <w:rFonts w:ascii="Arial" w:hAnsi="Arial" w:cs="Arial"/>
                <w:b/>
                <w:sz w:val="22"/>
                <w:szCs w:val="22"/>
              </w:rPr>
            </w:pPr>
          </w:p>
          <w:p w14:paraId="43A6945B" w14:textId="77777777" w:rsidR="00A37A64" w:rsidRDefault="00A37A64" w:rsidP="004D3135">
            <w:pPr>
              <w:pStyle w:val="NormalWeb"/>
              <w:spacing w:before="0" w:beforeAutospacing="0" w:after="0" w:afterAutospacing="0"/>
              <w:rPr>
                <w:rFonts w:ascii="Arial" w:hAnsi="Arial" w:cs="Arial"/>
                <w:b/>
                <w:sz w:val="22"/>
                <w:szCs w:val="22"/>
              </w:rPr>
            </w:pPr>
          </w:p>
          <w:p w14:paraId="689650A1" w14:textId="77777777" w:rsidR="00A37A64" w:rsidRDefault="00A37A64" w:rsidP="004D3135">
            <w:pPr>
              <w:pStyle w:val="NormalWeb"/>
              <w:spacing w:before="0" w:beforeAutospacing="0" w:after="0" w:afterAutospacing="0"/>
              <w:rPr>
                <w:rFonts w:ascii="Arial" w:hAnsi="Arial" w:cs="Arial"/>
                <w:b/>
                <w:sz w:val="22"/>
                <w:szCs w:val="22"/>
              </w:rPr>
            </w:pPr>
          </w:p>
          <w:p w14:paraId="69A02E11" w14:textId="77777777" w:rsidR="00A37A64" w:rsidRPr="00230F35" w:rsidRDefault="00A37A64" w:rsidP="004D313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1142C80" w14:textId="77777777" w:rsidR="00A37A64" w:rsidRDefault="00A37A64" w:rsidP="004D313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DFBFAAC" w14:textId="77777777" w:rsidR="00A37A64" w:rsidRPr="00001C3B" w:rsidRDefault="00A37A64" w:rsidP="004D3135">
            <w:pPr>
              <w:pStyle w:val="NormalWeb"/>
              <w:rPr>
                <w:rFonts w:ascii="Arial" w:hAnsi="Arial" w:cs="Arial"/>
                <w:sz w:val="22"/>
                <w:szCs w:val="22"/>
              </w:rPr>
            </w:pPr>
          </w:p>
        </w:tc>
      </w:tr>
      <w:tr w:rsidR="00A37A64" w:rsidRPr="00230F35" w14:paraId="28265434" w14:textId="77777777" w:rsidTr="004D3135">
        <w:trPr>
          <w:trHeight w:val="492"/>
        </w:trPr>
        <w:tc>
          <w:tcPr>
            <w:tcW w:w="6768" w:type="dxa"/>
            <w:gridSpan w:val="3"/>
          </w:tcPr>
          <w:p w14:paraId="6E55D449" w14:textId="77777777" w:rsidR="00A37A64" w:rsidRPr="00230F35" w:rsidRDefault="00A37A64" w:rsidP="004D31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DBDDF24" w14:textId="77777777" w:rsidR="00A37A64" w:rsidRPr="00230F35" w:rsidRDefault="00A37A64" w:rsidP="004D3135">
            <w:pPr>
              <w:pStyle w:val="NormalWeb"/>
              <w:spacing w:after="0"/>
              <w:ind w:left="142" w:right="34"/>
              <w:rPr>
                <w:rFonts w:ascii="Arial" w:hAnsi="Arial" w:cs="Arial"/>
                <w:sz w:val="22"/>
                <w:szCs w:val="22"/>
              </w:rPr>
            </w:pPr>
            <w:r w:rsidRPr="00230F35">
              <w:rPr>
                <w:rFonts w:ascii="Arial" w:hAnsi="Arial" w:cs="Arial"/>
                <w:sz w:val="22"/>
                <w:szCs w:val="22"/>
              </w:rPr>
              <w:t>Date:</w:t>
            </w:r>
          </w:p>
        </w:tc>
      </w:tr>
      <w:tr w:rsidR="00A37A64" w:rsidRPr="002F467C" w14:paraId="291D39D6" w14:textId="77777777" w:rsidTr="004D3135">
        <w:tc>
          <w:tcPr>
            <w:tcW w:w="8856" w:type="dxa"/>
            <w:gridSpan w:val="5"/>
          </w:tcPr>
          <w:p w14:paraId="61790690" w14:textId="77777777" w:rsidR="00A37A64" w:rsidRPr="00230F35" w:rsidRDefault="00A37A64" w:rsidP="004D3135">
            <w:pPr>
              <w:pStyle w:val="NormalWeb"/>
              <w:spacing w:before="0" w:beforeAutospacing="0" w:after="0" w:afterAutospacing="0"/>
              <w:ind w:right="-334"/>
              <w:rPr>
                <w:rFonts w:ascii="Arial" w:hAnsi="Arial" w:cs="Arial"/>
                <w:bCs/>
                <w:i/>
                <w:sz w:val="22"/>
                <w:szCs w:val="22"/>
              </w:rPr>
            </w:pPr>
          </w:p>
          <w:p w14:paraId="7AFD9A93" w14:textId="77777777" w:rsidR="00A37A64" w:rsidRPr="00230F35" w:rsidRDefault="00A37A64" w:rsidP="004D313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E1FF88E" w14:textId="77777777" w:rsidR="00A37A64" w:rsidRPr="00230F35" w:rsidRDefault="00A37A64" w:rsidP="004D3135">
            <w:pPr>
              <w:pStyle w:val="NormalWeb"/>
              <w:spacing w:before="0" w:beforeAutospacing="0" w:after="0" w:afterAutospacing="0"/>
              <w:ind w:right="-334"/>
              <w:rPr>
                <w:rFonts w:ascii="Arial" w:hAnsi="Arial" w:cs="Arial"/>
                <w:b/>
                <w:bCs/>
                <w:sz w:val="22"/>
                <w:szCs w:val="22"/>
              </w:rPr>
            </w:pPr>
          </w:p>
          <w:p w14:paraId="5B8F42DD"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2050C0D"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36AC1A8D"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0383662C"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62F35C61"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2D2BF07F"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09B60A43"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27B462D1"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4E3FA16D"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7A20A098" w14:textId="77777777" w:rsidR="00A37A64" w:rsidRDefault="00A37A64" w:rsidP="004D3135">
            <w:pPr>
              <w:pStyle w:val="NormalWeb"/>
              <w:spacing w:before="0" w:beforeAutospacing="0" w:after="0" w:afterAutospacing="0"/>
              <w:ind w:right="-334"/>
              <w:rPr>
                <w:rFonts w:ascii="Arial" w:hAnsi="Arial" w:cs="Arial"/>
                <w:bCs/>
                <w:sz w:val="22"/>
                <w:szCs w:val="22"/>
              </w:rPr>
            </w:pPr>
          </w:p>
          <w:p w14:paraId="50BDEACB"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20E54617"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16BE99C1"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tc>
      </w:tr>
      <w:tr w:rsidR="00A37A64" w:rsidRPr="002F467C" w14:paraId="482828BE" w14:textId="77777777" w:rsidTr="004D3135">
        <w:trPr>
          <w:trHeight w:val="720"/>
        </w:trPr>
        <w:tc>
          <w:tcPr>
            <w:tcW w:w="5211" w:type="dxa"/>
            <w:gridSpan w:val="2"/>
          </w:tcPr>
          <w:p w14:paraId="61408D79"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48046C8"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37A64" w:rsidRPr="002F467C" w14:paraId="5A143904" w14:textId="77777777" w:rsidTr="004D3135">
        <w:trPr>
          <w:trHeight w:val="720"/>
        </w:trPr>
        <w:tc>
          <w:tcPr>
            <w:tcW w:w="8856" w:type="dxa"/>
            <w:gridSpan w:val="5"/>
          </w:tcPr>
          <w:p w14:paraId="47AFE2CE" w14:textId="77777777" w:rsidR="00A37A64" w:rsidRPr="00B34964" w:rsidRDefault="00A37A64" w:rsidP="004D3135">
            <w:pPr>
              <w:rPr>
                <w:rFonts w:ascii="Arial" w:hAnsi="Arial" w:cs="Arial"/>
                <w:b/>
                <w:sz w:val="22"/>
                <w:szCs w:val="22"/>
              </w:rPr>
            </w:pPr>
            <w:r w:rsidRPr="00B34964">
              <w:rPr>
                <w:rFonts w:ascii="Arial" w:hAnsi="Arial" w:cs="Arial"/>
                <w:b/>
                <w:sz w:val="22"/>
                <w:szCs w:val="22"/>
              </w:rPr>
              <w:t>External Examiner’s comments (if relevant)</w:t>
            </w:r>
          </w:p>
          <w:p w14:paraId="419CD440"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388765CE"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3D595F69"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28AE153D"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397193B0"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553B8833"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67E4EE62"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549A07FB"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343114FB" w14:textId="77777777" w:rsidR="00A37A64" w:rsidRDefault="00A37A64" w:rsidP="004D3135">
            <w:pPr>
              <w:pStyle w:val="NormalWeb"/>
              <w:spacing w:before="0" w:beforeAutospacing="0" w:after="0" w:afterAutospacing="0"/>
              <w:ind w:right="-334"/>
              <w:rPr>
                <w:rFonts w:ascii="Arial" w:hAnsi="Arial" w:cs="Arial"/>
                <w:bCs/>
                <w:sz w:val="22"/>
                <w:szCs w:val="22"/>
              </w:rPr>
            </w:pPr>
          </w:p>
          <w:p w14:paraId="59FEB121"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p w14:paraId="1ADE37ED" w14:textId="77777777" w:rsidR="00A37A64" w:rsidRPr="00230F35" w:rsidRDefault="00A37A64" w:rsidP="004D3135">
            <w:pPr>
              <w:pStyle w:val="NormalWeb"/>
              <w:spacing w:before="0" w:beforeAutospacing="0" w:after="0" w:afterAutospacing="0"/>
              <w:ind w:right="-334"/>
              <w:rPr>
                <w:rFonts w:ascii="Arial" w:hAnsi="Arial" w:cs="Arial"/>
                <w:bCs/>
                <w:sz w:val="22"/>
                <w:szCs w:val="22"/>
              </w:rPr>
            </w:pPr>
          </w:p>
        </w:tc>
      </w:tr>
      <w:tr w:rsidR="00A37A64" w:rsidRPr="002F467C" w14:paraId="0EE101EA" w14:textId="77777777" w:rsidTr="004D3135">
        <w:trPr>
          <w:trHeight w:val="720"/>
        </w:trPr>
        <w:tc>
          <w:tcPr>
            <w:tcW w:w="5211" w:type="dxa"/>
            <w:gridSpan w:val="2"/>
          </w:tcPr>
          <w:p w14:paraId="54DC37F4" w14:textId="77777777" w:rsidR="00A37A64" w:rsidRPr="00230F35" w:rsidRDefault="00A37A64" w:rsidP="004D313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F5B5BE4" w14:textId="77777777" w:rsidR="00A37A64" w:rsidRPr="00230F35" w:rsidRDefault="00A37A64" w:rsidP="004D3135">
            <w:pPr>
              <w:rPr>
                <w:rFonts w:ascii="Arial" w:hAnsi="Arial" w:cs="Arial"/>
                <w:sz w:val="22"/>
                <w:szCs w:val="22"/>
              </w:rPr>
            </w:pPr>
            <w:r w:rsidRPr="00230F35">
              <w:rPr>
                <w:rFonts w:ascii="Arial" w:hAnsi="Arial" w:cs="Arial"/>
                <w:sz w:val="22"/>
                <w:szCs w:val="22"/>
              </w:rPr>
              <w:t>Date:</w:t>
            </w:r>
          </w:p>
        </w:tc>
      </w:tr>
    </w:tbl>
    <w:p w14:paraId="69131771" w14:textId="77777777" w:rsidR="00A37A64" w:rsidRDefault="00A37A64" w:rsidP="00A37A64">
      <w:pPr>
        <w:pStyle w:val="NormalWeb"/>
        <w:spacing w:before="0" w:beforeAutospacing="0" w:after="0" w:afterAutospacing="0"/>
        <w:ind w:right="-334"/>
        <w:rPr>
          <w:rFonts w:ascii="Trebuchet MS" w:hAnsi="Trebuchet MS" w:cs="Tahoma"/>
          <w:bCs/>
          <w:sz w:val="24"/>
          <w:szCs w:val="24"/>
        </w:rPr>
      </w:pPr>
    </w:p>
    <w:p w14:paraId="1C77350D" w14:textId="77777777" w:rsidR="00A37A64" w:rsidRDefault="00A37A64" w:rsidP="00A37A64">
      <w:pPr>
        <w:pStyle w:val="NormalWeb"/>
        <w:spacing w:before="0" w:beforeAutospacing="0" w:after="0" w:afterAutospacing="0"/>
        <w:ind w:right="-334"/>
        <w:rPr>
          <w:rFonts w:ascii="Trebuchet MS" w:hAnsi="Trebuchet MS" w:cs="Tahoma"/>
          <w:bCs/>
          <w:sz w:val="24"/>
          <w:szCs w:val="24"/>
        </w:rPr>
      </w:pPr>
    </w:p>
    <w:p w14:paraId="243AF5E3" w14:textId="77777777" w:rsidR="00A37A64" w:rsidRDefault="00A37A64" w:rsidP="00A37A64">
      <w:pPr>
        <w:pStyle w:val="NormalWeb"/>
        <w:spacing w:before="0" w:beforeAutospacing="0" w:after="0" w:afterAutospacing="0"/>
        <w:ind w:right="-334"/>
        <w:rPr>
          <w:rFonts w:ascii="Trebuchet MS" w:hAnsi="Trebuchet MS" w:cs="Tahoma"/>
          <w:bCs/>
          <w:sz w:val="24"/>
          <w:szCs w:val="24"/>
        </w:rPr>
      </w:pPr>
    </w:p>
    <w:p w14:paraId="04F7C7DB" w14:textId="77777777" w:rsidR="00A37A64" w:rsidRDefault="00A37A64" w:rsidP="00A37A64">
      <w:pPr>
        <w:pStyle w:val="NormalWeb"/>
        <w:spacing w:before="0" w:beforeAutospacing="0" w:after="0" w:afterAutospacing="0"/>
        <w:ind w:right="-334"/>
        <w:rPr>
          <w:rFonts w:ascii="Trebuchet MS" w:hAnsi="Trebuchet MS" w:cs="Tahoma"/>
          <w:bCs/>
          <w:sz w:val="24"/>
          <w:szCs w:val="24"/>
        </w:rPr>
      </w:pPr>
    </w:p>
    <w:p w14:paraId="30BACD7D" w14:textId="77777777" w:rsidR="00A37A64" w:rsidRPr="00D67BF8" w:rsidRDefault="00A37A64" w:rsidP="00A37A64">
      <w:pPr>
        <w:pStyle w:val="NormalWeb"/>
        <w:spacing w:before="0" w:beforeAutospacing="0" w:after="0" w:afterAutospacing="0"/>
        <w:ind w:right="-334"/>
        <w:rPr>
          <w:rFonts w:ascii="Trebuchet MS" w:hAnsi="Trebuchet MS" w:cs="Tahoma"/>
          <w:bCs/>
          <w:sz w:val="24"/>
          <w:szCs w:val="24"/>
        </w:rPr>
      </w:pPr>
    </w:p>
    <w:p w14:paraId="679DB236" w14:textId="77777777" w:rsidR="00A37A64" w:rsidRDefault="00A37A64">
      <w:pPr>
        <w:pStyle w:val="Body"/>
        <w:rPr>
          <w:sz w:val="24"/>
          <w:szCs w:val="24"/>
          <w:u w:val="single"/>
        </w:rPr>
      </w:pPr>
    </w:p>
    <w:p w14:paraId="279A310D" w14:textId="77777777" w:rsidR="00A37A64" w:rsidRDefault="00A37A64">
      <w:pPr>
        <w:pStyle w:val="Body"/>
        <w:rPr>
          <w:sz w:val="24"/>
          <w:szCs w:val="24"/>
          <w:u w:val="single"/>
        </w:rPr>
      </w:pPr>
    </w:p>
    <w:p w14:paraId="19CD18FC" w14:textId="77777777" w:rsidR="00A37A64" w:rsidRDefault="00A37A64">
      <w:pPr>
        <w:pStyle w:val="Body"/>
        <w:rPr>
          <w:sz w:val="24"/>
          <w:szCs w:val="24"/>
          <w:u w:val="single"/>
        </w:rPr>
      </w:pPr>
    </w:p>
    <w:p w14:paraId="10061CC2" w14:textId="77777777" w:rsidR="00A37A64" w:rsidRDefault="00A37A64">
      <w:pPr>
        <w:pStyle w:val="Body"/>
        <w:rPr>
          <w:sz w:val="24"/>
          <w:szCs w:val="24"/>
          <w:u w:val="single"/>
        </w:rPr>
      </w:pPr>
    </w:p>
    <w:p w14:paraId="29B1DCB1" w14:textId="77777777" w:rsidR="00A37A64" w:rsidRDefault="00A37A64">
      <w:pPr>
        <w:pStyle w:val="Body"/>
        <w:rPr>
          <w:sz w:val="24"/>
          <w:szCs w:val="24"/>
          <w:u w:val="single"/>
        </w:rPr>
      </w:pPr>
    </w:p>
    <w:p w14:paraId="7DEEB290" w14:textId="77777777" w:rsidR="00A37A64" w:rsidRDefault="00A37A64">
      <w:pPr>
        <w:pStyle w:val="Body"/>
        <w:rPr>
          <w:sz w:val="24"/>
          <w:szCs w:val="24"/>
          <w:u w:val="single"/>
        </w:rPr>
      </w:pPr>
    </w:p>
    <w:p w14:paraId="7D1DC67F" w14:textId="77777777" w:rsidR="00A37A64" w:rsidRDefault="00A37A64">
      <w:pPr>
        <w:pStyle w:val="Body"/>
        <w:rPr>
          <w:sz w:val="24"/>
          <w:szCs w:val="24"/>
          <w:u w:val="single"/>
        </w:rPr>
      </w:pPr>
    </w:p>
    <w:p w14:paraId="25030164" w14:textId="77777777" w:rsidR="00A37A64" w:rsidRDefault="00A37A64">
      <w:pPr>
        <w:pStyle w:val="Body"/>
        <w:rPr>
          <w:sz w:val="24"/>
          <w:szCs w:val="24"/>
          <w:u w:val="single"/>
        </w:rPr>
      </w:pPr>
    </w:p>
    <w:p w14:paraId="1971E84D" w14:textId="77777777" w:rsidR="00A37A64" w:rsidRDefault="00A37A64">
      <w:pPr>
        <w:pStyle w:val="Body"/>
        <w:rPr>
          <w:sz w:val="24"/>
          <w:szCs w:val="24"/>
          <w:u w:val="single"/>
        </w:rPr>
      </w:pPr>
    </w:p>
    <w:p w14:paraId="3632E424" w14:textId="77777777" w:rsidR="00A37A64" w:rsidRDefault="00A37A64">
      <w:pPr>
        <w:pStyle w:val="Body"/>
        <w:rPr>
          <w:sz w:val="24"/>
          <w:szCs w:val="24"/>
          <w:u w:val="single"/>
        </w:rPr>
      </w:pPr>
    </w:p>
    <w:p w14:paraId="60A9E5EC" w14:textId="77777777" w:rsidR="00A37A64" w:rsidRDefault="00A37A64">
      <w:pPr>
        <w:pStyle w:val="Body"/>
        <w:rPr>
          <w:sz w:val="24"/>
          <w:szCs w:val="24"/>
          <w:u w:val="single"/>
        </w:rPr>
      </w:pPr>
    </w:p>
    <w:p w14:paraId="56237496" w14:textId="77777777" w:rsidR="00A37A64" w:rsidRDefault="00A37A64">
      <w:pPr>
        <w:pStyle w:val="Body"/>
        <w:rPr>
          <w:sz w:val="24"/>
          <w:szCs w:val="24"/>
          <w:u w:val="single"/>
        </w:rPr>
      </w:pPr>
    </w:p>
    <w:p w14:paraId="101AA3F8" w14:textId="77777777" w:rsidR="00A37A64" w:rsidRDefault="00A37A64">
      <w:pPr>
        <w:pStyle w:val="Body"/>
        <w:rPr>
          <w:sz w:val="24"/>
          <w:szCs w:val="24"/>
          <w:u w:val="single"/>
        </w:rPr>
      </w:pPr>
    </w:p>
    <w:p w14:paraId="4E634151" w14:textId="77777777" w:rsidR="00A37A64" w:rsidRDefault="00A37A64">
      <w:pPr>
        <w:pStyle w:val="Body"/>
        <w:rPr>
          <w:sz w:val="24"/>
          <w:szCs w:val="24"/>
          <w:u w:val="single"/>
        </w:rPr>
      </w:pPr>
    </w:p>
    <w:p w14:paraId="797901D2" w14:textId="77777777" w:rsidR="00A37A64" w:rsidRDefault="00A37A64">
      <w:pPr>
        <w:pStyle w:val="Body"/>
        <w:rPr>
          <w:sz w:val="24"/>
          <w:szCs w:val="24"/>
          <w:u w:val="single"/>
        </w:rPr>
      </w:pPr>
    </w:p>
    <w:p w14:paraId="09C1C9EB" w14:textId="77777777" w:rsidR="00A37A64" w:rsidRDefault="00A37A64">
      <w:pPr>
        <w:pStyle w:val="Body"/>
        <w:rPr>
          <w:sz w:val="24"/>
          <w:szCs w:val="24"/>
          <w:u w:val="single"/>
        </w:rPr>
      </w:pPr>
    </w:p>
    <w:p w14:paraId="4BF0F194" w14:textId="77777777" w:rsidR="00A37A64" w:rsidRDefault="00A37A64">
      <w:pPr>
        <w:pStyle w:val="Body"/>
        <w:rPr>
          <w:sz w:val="24"/>
          <w:szCs w:val="24"/>
          <w:u w:val="single"/>
        </w:rPr>
      </w:pPr>
    </w:p>
    <w:p w14:paraId="7BAB6859" w14:textId="77777777" w:rsidR="00A37A64" w:rsidRDefault="00A37A64">
      <w:pPr>
        <w:pStyle w:val="Body"/>
        <w:rPr>
          <w:sz w:val="24"/>
          <w:szCs w:val="24"/>
          <w:u w:val="single"/>
        </w:rPr>
      </w:pPr>
    </w:p>
    <w:p w14:paraId="17D3968A" w14:textId="77777777" w:rsidR="00A37A64" w:rsidRDefault="00A37A64">
      <w:pPr>
        <w:pStyle w:val="Body"/>
        <w:rPr>
          <w:sz w:val="24"/>
          <w:szCs w:val="24"/>
          <w:u w:val="single"/>
        </w:rPr>
      </w:pPr>
    </w:p>
    <w:p w14:paraId="413861F2" w14:textId="77777777" w:rsidR="00A37A64" w:rsidRDefault="00A37A64">
      <w:pPr>
        <w:pStyle w:val="Body"/>
        <w:rPr>
          <w:sz w:val="24"/>
          <w:szCs w:val="24"/>
          <w:u w:val="single"/>
        </w:rPr>
      </w:pPr>
    </w:p>
    <w:p w14:paraId="7978780F" w14:textId="77777777" w:rsidR="00A37A64" w:rsidRDefault="00A37A64">
      <w:pPr>
        <w:pStyle w:val="Body"/>
        <w:rPr>
          <w:sz w:val="24"/>
          <w:szCs w:val="24"/>
          <w:u w:val="single"/>
        </w:rPr>
      </w:pPr>
    </w:p>
    <w:p w14:paraId="0A6EBC79" w14:textId="77777777" w:rsidR="00A37A64" w:rsidRDefault="00A37A64">
      <w:pPr>
        <w:pStyle w:val="Body"/>
        <w:rPr>
          <w:sz w:val="24"/>
          <w:szCs w:val="24"/>
          <w:u w:val="single"/>
        </w:rPr>
      </w:pPr>
    </w:p>
    <w:p w14:paraId="3CE3658F" w14:textId="77777777" w:rsidR="00A37A64" w:rsidRDefault="00A37A64">
      <w:pPr>
        <w:pStyle w:val="Body"/>
        <w:rPr>
          <w:sz w:val="24"/>
          <w:szCs w:val="24"/>
          <w:u w:val="single"/>
        </w:rPr>
      </w:pPr>
    </w:p>
    <w:p w14:paraId="18A8CA88" w14:textId="77777777" w:rsidR="00A37A64" w:rsidRDefault="00A37A64">
      <w:pPr>
        <w:pStyle w:val="Body"/>
        <w:rPr>
          <w:sz w:val="24"/>
          <w:szCs w:val="24"/>
          <w:u w:val="single"/>
        </w:rPr>
      </w:pPr>
    </w:p>
    <w:p w14:paraId="1026BE84" w14:textId="77777777" w:rsidR="00A37A64" w:rsidRDefault="00A37A64">
      <w:pPr>
        <w:pStyle w:val="Body"/>
        <w:rPr>
          <w:sz w:val="24"/>
          <w:szCs w:val="24"/>
          <w:u w:val="single"/>
        </w:rPr>
      </w:pPr>
    </w:p>
    <w:p w14:paraId="54A915F1" w14:textId="77777777" w:rsidR="00A37A64" w:rsidRDefault="00A37A64">
      <w:pPr>
        <w:pStyle w:val="Body"/>
        <w:rPr>
          <w:sz w:val="24"/>
          <w:szCs w:val="24"/>
          <w:u w:val="single"/>
        </w:rPr>
      </w:pPr>
    </w:p>
    <w:p w14:paraId="37ACD331" w14:textId="77777777" w:rsidR="00A37A64" w:rsidRDefault="00A37A64">
      <w:pPr>
        <w:pStyle w:val="Body"/>
        <w:rPr>
          <w:sz w:val="24"/>
          <w:szCs w:val="24"/>
          <w:u w:val="single"/>
        </w:rPr>
      </w:pPr>
    </w:p>
    <w:p w14:paraId="2BE960DF" w14:textId="77777777" w:rsidR="00A37A64" w:rsidRDefault="00A37A64">
      <w:pPr>
        <w:pStyle w:val="Body"/>
        <w:rPr>
          <w:sz w:val="24"/>
          <w:szCs w:val="24"/>
          <w:u w:val="single"/>
        </w:rPr>
      </w:pPr>
    </w:p>
    <w:p w14:paraId="3F3090DE" w14:textId="77777777" w:rsidR="00A37A64" w:rsidRDefault="00A37A64">
      <w:pPr>
        <w:pStyle w:val="Body"/>
        <w:rPr>
          <w:sz w:val="24"/>
          <w:szCs w:val="24"/>
          <w:u w:val="single"/>
        </w:rPr>
      </w:pPr>
    </w:p>
    <w:p w14:paraId="3AB443DC" w14:textId="77777777" w:rsidR="00A37A64" w:rsidRDefault="00A37A64">
      <w:pPr>
        <w:pStyle w:val="Body"/>
        <w:rPr>
          <w:sz w:val="24"/>
          <w:szCs w:val="24"/>
          <w:u w:val="single"/>
        </w:rPr>
      </w:pPr>
    </w:p>
    <w:p w14:paraId="6FB82AD3" w14:textId="77777777" w:rsidR="00A37A64" w:rsidRDefault="00A37A64">
      <w:pPr>
        <w:pStyle w:val="Body"/>
        <w:rPr>
          <w:sz w:val="24"/>
          <w:szCs w:val="24"/>
          <w:u w:val="single"/>
        </w:rPr>
      </w:pPr>
    </w:p>
    <w:p w14:paraId="19C0795E" w14:textId="77777777" w:rsidR="00A37A64" w:rsidRDefault="00A37A64">
      <w:pPr>
        <w:pStyle w:val="Body"/>
        <w:rPr>
          <w:sz w:val="24"/>
          <w:szCs w:val="24"/>
          <w:u w:val="single"/>
        </w:rPr>
      </w:pPr>
    </w:p>
    <w:p w14:paraId="06942D04" w14:textId="77777777" w:rsidR="00A37A64" w:rsidRDefault="00A37A64">
      <w:pPr>
        <w:pStyle w:val="Body"/>
        <w:rPr>
          <w:sz w:val="24"/>
          <w:szCs w:val="24"/>
          <w:u w:val="single"/>
        </w:rPr>
      </w:pPr>
    </w:p>
    <w:p w14:paraId="0AF18C3B" w14:textId="77777777" w:rsidR="00A37A64" w:rsidRDefault="00A37A64">
      <w:pPr>
        <w:pStyle w:val="Body"/>
        <w:rPr>
          <w:sz w:val="24"/>
          <w:szCs w:val="24"/>
          <w:u w:val="single"/>
        </w:rPr>
      </w:pPr>
    </w:p>
    <w:p w14:paraId="1EC2E4A9" w14:textId="7D8FA673" w:rsidR="00857BEE" w:rsidRDefault="00A37A64">
      <w:pPr>
        <w:pStyle w:val="Body"/>
        <w:rPr>
          <w:sz w:val="24"/>
          <w:szCs w:val="24"/>
          <w:u w:val="single"/>
        </w:rPr>
      </w:pPr>
      <w:r>
        <w:rPr>
          <w:sz w:val="24"/>
          <w:szCs w:val="24"/>
          <w:u w:val="single"/>
        </w:rPr>
        <w:t xml:space="preserve">Critical Comparison of Two Secondary Sources </w:t>
      </w:r>
    </w:p>
    <w:p w14:paraId="35CADB52" w14:textId="77777777" w:rsidR="00857BEE" w:rsidRDefault="00857BEE">
      <w:pPr>
        <w:pStyle w:val="Body"/>
        <w:rPr>
          <w:sz w:val="24"/>
          <w:szCs w:val="24"/>
        </w:rPr>
      </w:pPr>
    </w:p>
    <w:p w14:paraId="424CADE8" w14:textId="77777777" w:rsidR="00857BEE" w:rsidRDefault="00A37A64">
      <w:pPr>
        <w:pStyle w:val="Body"/>
        <w:rPr>
          <w:sz w:val="24"/>
          <w:szCs w:val="24"/>
        </w:rPr>
      </w:pPr>
      <w:r>
        <w:rPr>
          <w:sz w:val="24"/>
          <w:szCs w:val="24"/>
        </w:rPr>
        <w:t xml:space="preserve">This essay </w:t>
      </w:r>
      <w:proofErr w:type="gramStart"/>
      <w:r>
        <w:rPr>
          <w:sz w:val="24"/>
          <w:szCs w:val="24"/>
        </w:rPr>
        <w:t>compares and contrasts</w:t>
      </w:r>
      <w:proofErr w:type="gramEnd"/>
      <w:r>
        <w:rPr>
          <w:sz w:val="24"/>
          <w:szCs w:val="24"/>
        </w:rPr>
        <w:t xml:space="preserve"> two papers written on the history of astrology. </w:t>
      </w:r>
      <w:r>
        <w:rPr>
          <w:i/>
          <w:iCs/>
          <w:sz w:val="24"/>
          <w:szCs w:val="24"/>
        </w:rPr>
        <w:t xml:space="preserve">Foretelling the Future: Arabic Astrology and English Medicine in the Late Twelfth Century </w:t>
      </w:r>
      <w:r>
        <w:rPr>
          <w:sz w:val="24"/>
          <w:szCs w:val="24"/>
        </w:rPr>
        <w:t>by</w:t>
      </w:r>
      <w:r>
        <w:rPr>
          <w:i/>
          <w:iCs/>
          <w:sz w:val="24"/>
          <w:szCs w:val="24"/>
        </w:rPr>
        <w:t xml:space="preserve"> </w:t>
      </w:r>
      <w:r>
        <w:rPr>
          <w:sz w:val="24"/>
          <w:szCs w:val="24"/>
        </w:rPr>
        <w:t>Roger French</w:t>
      </w:r>
      <w:r>
        <w:rPr>
          <w:sz w:val="24"/>
          <w:szCs w:val="24"/>
          <w:vertAlign w:val="superscript"/>
        </w:rPr>
        <w:footnoteReference w:id="2"/>
      </w:r>
      <w:r>
        <w:rPr>
          <w:sz w:val="24"/>
          <w:szCs w:val="24"/>
        </w:rPr>
        <w:t xml:space="preserve"> published in 1996 and </w:t>
      </w:r>
      <w:r>
        <w:rPr>
          <w:i/>
          <w:iCs/>
          <w:sz w:val="24"/>
          <w:szCs w:val="24"/>
        </w:rPr>
        <w:t>Reassessing the Marginalization of Astrology in the Early Modern World</w:t>
      </w:r>
      <w:r>
        <w:rPr>
          <w:sz w:val="24"/>
          <w:szCs w:val="24"/>
        </w:rPr>
        <w:t xml:space="preserve"> by Michelle Pfeffer</w:t>
      </w:r>
      <w:r>
        <w:rPr>
          <w:sz w:val="24"/>
          <w:szCs w:val="24"/>
          <w:vertAlign w:val="superscript"/>
        </w:rPr>
        <w:footnoteReference w:id="3"/>
      </w:r>
      <w:r>
        <w:rPr>
          <w:sz w:val="24"/>
          <w:szCs w:val="24"/>
        </w:rPr>
        <w:t xml:space="preserve"> published in 2023. Each author will be briefly introduced before their papers are summarized and the approaches to their subjects compared.  </w:t>
      </w:r>
    </w:p>
    <w:p w14:paraId="12B88450" w14:textId="77777777" w:rsidR="00857BEE" w:rsidRDefault="00857BEE">
      <w:pPr>
        <w:pStyle w:val="Body"/>
        <w:rPr>
          <w:sz w:val="24"/>
          <w:szCs w:val="24"/>
        </w:rPr>
      </w:pPr>
    </w:p>
    <w:p w14:paraId="4BB89B2C" w14:textId="77777777" w:rsidR="00857BEE" w:rsidRDefault="00A37A64">
      <w:pPr>
        <w:pStyle w:val="Body"/>
        <w:rPr>
          <w:sz w:val="24"/>
          <w:szCs w:val="24"/>
        </w:rPr>
      </w:pPr>
      <w:r>
        <w:rPr>
          <w:sz w:val="24"/>
          <w:szCs w:val="24"/>
        </w:rPr>
        <w:t xml:space="preserve">Dr Roger Kenneth French (1938-2002) was a historian of medicine and science.     Between </w:t>
      </w:r>
      <w:r>
        <w:rPr>
          <w:sz w:val="24"/>
          <w:szCs w:val="24"/>
        </w:rPr>
        <w:t xml:space="preserve">1975 </w:t>
      </w:r>
      <w:r>
        <w:rPr>
          <w:sz w:val="24"/>
          <w:szCs w:val="24"/>
        </w:rPr>
        <w:t>and 1995 he</w:t>
      </w:r>
      <w:r>
        <w:rPr>
          <w:sz w:val="24"/>
          <w:szCs w:val="24"/>
        </w:rPr>
        <w:t xml:space="preserve"> </w:t>
      </w:r>
      <w:r>
        <w:rPr>
          <w:sz w:val="24"/>
          <w:szCs w:val="24"/>
        </w:rPr>
        <w:t xml:space="preserve">was director of the </w:t>
      </w:r>
      <w:proofErr w:type="spellStart"/>
      <w:r>
        <w:rPr>
          <w:sz w:val="24"/>
          <w:szCs w:val="24"/>
        </w:rPr>
        <w:t>Wellcome</w:t>
      </w:r>
      <w:proofErr w:type="spellEnd"/>
      <w:r>
        <w:rPr>
          <w:sz w:val="24"/>
          <w:szCs w:val="24"/>
        </w:rPr>
        <w:t xml:space="preserve"> Unit for the History of Science, University of Cambridge and wrote extensively on the history of medicine, having a particular interest in medieval period and the renaissance in Europe. A  colleague at Cambridge, Dr Andrew Cunningham, wrote that his research methods consisted of ‘a very close textual reading together with an alertness to the structures - academic, religious, economic - within which his medieval and renaissance figures thought and wrote.’</w:t>
      </w:r>
      <w:r>
        <w:rPr>
          <w:sz w:val="24"/>
          <w:szCs w:val="24"/>
          <w:vertAlign w:val="superscript"/>
        </w:rPr>
        <w:footnoteReference w:id="4"/>
      </w:r>
      <w:r>
        <w:rPr>
          <w:sz w:val="24"/>
          <w:szCs w:val="24"/>
        </w:rPr>
        <w:t xml:space="preserve"> His paper was published in </w:t>
      </w:r>
      <w:r>
        <w:rPr>
          <w:i/>
          <w:iCs/>
          <w:sz w:val="24"/>
          <w:szCs w:val="24"/>
        </w:rPr>
        <w:t>Isis</w:t>
      </w:r>
      <w:r>
        <w:rPr>
          <w:sz w:val="24"/>
          <w:szCs w:val="24"/>
        </w:rPr>
        <w:t>, a quarterly peer-reviewed academic journal founded in 1913 and published by the University of Chicago Press that covers the history of science, medicine, and technology</w:t>
      </w:r>
      <w:r>
        <w:rPr>
          <w:sz w:val="24"/>
          <w:szCs w:val="24"/>
        </w:rPr>
        <w:t>.</w:t>
      </w:r>
      <w:r>
        <w:rPr>
          <w:sz w:val="24"/>
          <w:szCs w:val="24"/>
        </w:rPr>
        <w:t xml:space="preserve"> In 1996 the editor was Dr. Margaret W. Rossiter, a historian of Science at Cornell University.</w:t>
      </w:r>
    </w:p>
    <w:p w14:paraId="0425C3F9" w14:textId="77777777" w:rsidR="00857BEE" w:rsidRDefault="00857BEE">
      <w:pPr>
        <w:pStyle w:val="Body"/>
        <w:rPr>
          <w:sz w:val="24"/>
          <w:szCs w:val="24"/>
        </w:rPr>
      </w:pPr>
    </w:p>
    <w:p w14:paraId="37DBEAE5" w14:textId="558621E0" w:rsidR="00857BEE" w:rsidRDefault="00A37A64">
      <w:pPr>
        <w:pStyle w:val="Body"/>
        <w:rPr>
          <w:sz w:val="24"/>
          <w:szCs w:val="24"/>
        </w:rPr>
      </w:pPr>
      <w:r>
        <w:rPr>
          <w:sz w:val="24"/>
          <w:szCs w:val="24"/>
        </w:rPr>
        <w:t xml:space="preserve">Dr Michelle </w:t>
      </w:r>
      <w:proofErr w:type="spellStart"/>
      <w:r>
        <w:rPr>
          <w:sz w:val="24"/>
          <w:szCs w:val="24"/>
        </w:rPr>
        <w:t>Aroney</w:t>
      </w:r>
      <w:proofErr w:type="spellEnd"/>
      <w:r>
        <w:rPr>
          <w:sz w:val="24"/>
          <w:szCs w:val="24"/>
        </w:rPr>
        <w:t xml:space="preserve"> (nee Pfe</w:t>
      </w:r>
      <w:r>
        <w:rPr>
          <w:sz w:val="24"/>
          <w:szCs w:val="24"/>
        </w:rPr>
        <w:t xml:space="preserve">ffer) is currently the </w:t>
      </w:r>
      <w:proofErr w:type="spellStart"/>
      <w:r>
        <w:rPr>
          <w:sz w:val="24"/>
          <w:szCs w:val="24"/>
        </w:rPr>
        <w:t>Calleva</w:t>
      </w:r>
      <w:proofErr w:type="spellEnd"/>
      <w:r>
        <w:rPr>
          <w:sz w:val="24"/>
          <w:szCs w:val="24"/>
        </w:rPr>
        <w:t xml:space="preserve"> Centre Postdoctoral Research Associate at Magdalen College, Oxford. Her work is </w:t>
      </w:r>
      <w:proofErr w:type="spellStart"/>
      <w:r>
        <w:rPr>
          <w:sz w:val="24"/>
          <w:szCs w:val="24"/>
        </w:rPr>
        <w:t>centred</w:t>
      </w:r>
      <w:proofErr w:type="spellEnd"/>
      <w:r>
        <w:rPr>
          <w:sz w:val="24"/>
          <w:szCs w:val="24"/>
        </w:rPr>
        <w:t xml:space="preserve"> on the ‘history and idea of the soul’, the history of epidemics, and astrology in the early modern world.</w:t>
      </w:r>
      <w:r>
        <w:rPr>
          <w:sz w:val="24"/>
          <w:szCs w:val="24"/>
          <w:vertAlign w:val="superscript"/>
        </w:rPr>
        <w:footnoteReference w:id="5"/>
      </w:r>
      <w:r>
        <w:rPr>
          <w:sz w:val="24"/>
          <w:szCs w:val="24"/>
        </w:rPr>
        <w:t xml:space="preserve">  Her paper was published in </w:t>
      </w:r>
      <w:r>
        <w:rPr>
          <w:i/>
          <w:iCs/>
          <w:sz w:val="24"/>
          <w:szCs w:val="24"/>
        </w:rPr>
        <w:t>The Historical Journal</w:t>
      </w:r>
      <w:r>
        <w:rPr>
          <w:sz w:val="24"/>
          <w:szCs w:val="24"/>
        </w:rPr>
        <w:t xml:space="preserve"> (formerly </w:t>
      </w:r>
      <w:r>
        <w:rPr>
          <w:i/>
          <w:iCs/>
          <w:sz w:val="24"/>
          <w:szCs w:val="24"/>
        </w:rPr>
        <w:t>The Cambridge Historical Journal</w:t>
      </w:r>
      <w:r>
        <w:rPr>
          <w:sz w:val="24"/>
          <w:szCs w:val="24"/>
        </w:rPr>
        <w:t>)</w:t>
      </w:r>
      <w:r>
        <w:rPr>
          <w:sz w:val="24"/>
          <w:szCs w:val="24"/>
        </w:rPr>
        <w:t>,</w:t>
      </w:r>
      <w:r>
        <w:rPr>
          <w:sz w:val="24"/>
          <w:szCs w:val="24"/>
        </w:rPr>
        <w:t xml:space="preserve"> which is a peer-reviewed academic journal founded in 1958 and published by Cambridge University Press. It publishes articles on all aspects of British, European, and world history from the Early Modern period to the present</w:t>
      </w:r>
      <w:r>
        <w:rPr>
          <w:sz w:val="24"/>
          <w:szCs w:val="24"/>
        </w:rPr>
        <w:t>.</w:t>
      </w:r>
      <w:r>
        <w:rPr>
          <w:sz w:val="24"/>
          <w:szCs w:val="24"/>
        </w:rPr>
        <w:t xml:space="preserve"> The current editors are </w:t>
      </w:r>
      <w:r>
        <w:rPr>
          <w:sz w:val="24"/>
          <w:szCs w:val="24"/>
        </w:rPr>
        <w:t>Dr</w:t>
      </w:r>
      <w:r>
        <w:rPr>
          <w:sz w:val="24"/>
          <w:szCs w:val="24"/>
        </w:rPr>
        <w:t xml:space="preserve"> Rachel Leow of the Faculty of History, Cambridge University and Dr John Gallagher a social historian from the University of Leeds. </w:t>
      </w:r>
    </w:p>
    <w:p w14:paraId="0ACF18F4" w14:textId="77777777" w:rsidR="00857BEE" w:rsidRDefault="00857BEE">
      <w:pPr>
        <w:pStyle w:val="Body"/>
        <w:rPr>
          <w:sz w:val="24"/>
          <w:szCs w:val="24"/>
        </w:rPr>
      </w:pPr>
    </w:p>
    <w:p w14:paraId="45FD003D" w14:textId="77777777" w:rsidR="00857BEE" w:rsidRDefault="00A37A64">
      <w:pPr>
        <w:pStyle w:val="Body"/>
        <w:rPr>
          <w:sz w:val="24"/>
          <w:szCs w:val="24"/>
        </w:rPr>
      </w:pPr>
      <w:r>
        <w:rPr>
          <w:sz w:val="24"/>
          <w:szCs w:val="24"/>
        </w:rPr>
        <w:t xml:space="preserve">French’s paper makes extensive use of secondary sources as well as some primary texts, namely one of two of Roger of Hereford’s manuscripts held by Cambridge University (Cambridge </w:t>
      </w:r>
      <w:proofErr w:type="spellStart"/>
      <w:r>
        <w:rPr>
          <w:sz w:val="24"/>
          <w:szCs w:val="24"/>
        </w:rPr>
        <w:t>Ii</w:t>
      </w:r>
      <w:proofErr w:type="spellEnd"/>
      <w:r>
        <w:rPr>
          <w:sz w:val="24"/>
          <w:szCs w:val="24"/>
        </w:rPr>
        <w:t xml:space="preserve"> 1.1) and Gerald of Cremona’s twelfth century Latin translation of Abu </w:t>
      </w:r>
      <w:proofErr w:type="spellStart"/>
      <w:r>
        <w:rPr>
          <w:sz w:val="24"/>
          <w:szCs w:val="24"/>
        </w:rPr>
        <w:t>Ma'shar's</w:t>
      </w:r>
      <w:proofErr w:type="spellEnd"/>
      <w:r>
        <w:rPr>
          <w:sz w:val="24"/>
          <w:szCs w:val="24"/>
        </w:rPr>
        <w:t xml:space="preserve"> </w:t>
      </w:r>
      <w:proofErr w:type="spellStart"/>
      <w:r>
        <w:rPr>
          <w:i/>
          <w:iCs/>
          <w:sz w:val="24"/>
          <w:szCs w:val="24"/>
        </w:rPr>
        <w:t>Intr</w:t>
      </w:r>
      <w:r>
        <w:rPr>
          <w:i/>
          <w:iCs/>
          <w:sz w:val="24"/>
          <w:szCs w:val="24"/>
        </w:rPr>
        <w:t>in</w:t>
      </w:r>
      <w:r>
        <w:rPr>
          <w:i/>
          <w:iCs/>
          <w:sz w:val="24"/>
          <w:szCs w:val="24"/>
          <w:lang w:val="es-ES_tradnl"/>
        </w:rPr>
        <w:t>troductorium</w:t>
      </w:r>
      <w:proofErr w:type="spellEnd"/>
      <w:r>
        <w:rPr>
          <w:i/>
          <w:iCs/>
          <w:sz w:val="24"/>
          <w:szCs w:val="24"/>
          <w:lang w:val="es-ES_tradnl"/>
        </w:rPr>
        <w:t xml:space="preserve"> in </w:t>
      </w:r>
      <w:proofErr w:type="spellStart"/>
      <w:r>
        <w:rPr>
          <w:i/>
          <w:iCs/>
          <w:sz w:val="24"/>
          <w:szCs w:val="24"/>
          <w:lang w:val="es-ES_tradnl"/>
        </w:rPr>
        <w:t>astronomiam</w:t>
      </w:r>
      <w:proofErr w:type="spellEnd"/>
      <w:r>
        <w:rPr>
          <w:i/>
          <w:iCs/>
          <w:sz w:val="24"/>
          <w:szCs w:val="24"/>
          <w:lang w:val="es-ES_tradnl"/>
        </w:rPr>
        <w:t xml:space="preserve"> </w:t>
      </w:r>
      <w:proofErr w:type="spellStart"/>
      <w:r>
        <w:rPr>
          <w:i/>
          <w:iCs/>
          <w:sz w:val="24"/>
          <w:szCs w:val="24"/>
          <w:lang w:val="es-ES_tradnl"/>
        </w:rPr>
        <w:t>Albumasaris</w:t>
      </w:r>
      <w:proofErr w:type="spellEnd"/>
      <w:r>
        <w:rPr>
          <w:i/>
          <w:iCs/>
          <w:sz w:val="24"/>
          <w:szCs w:val="24"/>
          <w:lang w:val="es-ES_tradnl"/>
        </w:rPr>
        <w:t xml:space="preserve"> </w:t>
      </w:r>
      <w:proofErr w:type="spellStart"/>
      <w:r>
        <w:rPr>
          <w:i/>
          <w:iCs/>
          <w:sz w:val="24"/>
          <w:szCs w:val="24"/>
          <w:lang w:val="es-ES_tradnl"/>
        </w:rPr>
        <w:t>abalachi</w:t>
      </w:r>
      <w:proofErr w:type="spellEnd"/>
      <w:r>
        <w:rPr>
          <w:i/>
          <w:iCs/>
          <w:sz w:val="24"/>
          <w:szCs w:val="24"/>
          <w:lang w:val="es-ES_tradnl"/>
        </w:rPr>
        <w:t xml:space="preserve"> </w:t>
      </w:r>
      <w:proofErr w:type="spellStart"/>
      <w:r>
        <w:rPr>
          <w:i/>
          <w:iCs/>
          <w:sz w:val="24"/>
          <w:szCs w:val="24"/>
          <w:lang w:val="es-ES_tradnl"/>
        </w:rPr>
        <w:t>octo</w:t>
      </w:r>
      <w:proofErr w:type="spellEnd"/>
      <w:r>
        <w:rPr>
          <w:i/>
          <w:iCs/>
          <w:sz w:val="24"/>
          <w:szCs w:val="24"/>
          <w:lang w:val="es-ES_tradnl"/>
        </w:rPr>
        <w:t xml:space="preserve"> </w:t>
      </w:r>
      <w:proofErr w:type="spellStart"/>
      <w:r>
        <w:rPr>
          <w:i/>
          <w:iCs/>
          <w:sz w:val="24"/>
          <w:szCs w:val="24"/>
          <w:lang w:val="es-ES_tradnl"/>
        </w:rPr>
        <w:t>continens</w:t>
      </w:r>
      <w:proofErr w:type="spellEnd"/>
      <w:r>
        <w:rPr>
          <w:i/>
          <w:iCs/>
          <w:sz w:val="24"/>
          <w:szCs w:val="24"/>
          <w:lang w:val="es-ES_tradnl"/>
        </w:rPr>
        <w:t xml:space="preserve"> libros </w:t>
      </w:r>
      <w:proofErr w:type="spellStart"/>
      <w:r>
        <w:rPr>
          <w:i/>
          <w:iCs/>
          <w:sz w:val="24"/>
          <w:szCs w:val="24"/>
          <w:lang w:val="es-ES_tradnl"/>
        </w:rPr>
        <w:t>partiales</w:t>
      </w:r>
      <w:proofErr w:type="spellEnd"/>
      <w:r>
        <w:rPr>
          <w:sz w:val="24"/>
          <w:szCs w:val="24"/>
        </w:rPr>
        <w:t xml:space="preserve"> </w:t>
      </w:r>
      <w:r>
        <w:rPr>
          <w:sz w:val="24"/>
          <w:szCs w:val="24"/>
        </w:rPr>
        <w:t xml:space="preserve">published in Venice in 1506. French begins by explaining the ways in which Arabic astrology and the practice of medicine were linked in Europe during the twelfth century. Centering his study on Roger of Hereford and his Anglo-Norman-Welsh circle that included such figures as Gerald of Wales, Walter Map, Alfred </w:t>
      </w:r>
      <w:r>
        <w:rPr>
          <w:sz w:val="24"/>
          <w:szCs w:val="24"/>
        </w:rPr>
        <w:lastRenderedPageBreak/>
        <w:t xml:space="preserve">of </w:t>
      </w:r>
      <w:proofErr w:type="spellStart"/>
      <w:r>
        <w:rPr>
          <w:sz w:val="24"/>
          <w:szCs w:val="24"/>
        </w:rPr>
        <w:t>Shareshill</w:t>
      </w:r>
      <w:proofErr w:type="spellEnd"/>
      <w:r>
        <w:rPr>
          <w:sz w:val="24"/>
          <w:szCs w:val="24"/>
        </w:rPr>
        <w:t>, Walcher of Malv</w:t>
      </w:r>
      <w:r>
        <w:rPr>
          <w:sz w:val="24"/>
          <w:szCs w:val="24"/>
        </w:rPr>
        <w:t xml:space="preserve">ern and Robert Grosseteste, in the latter part of his essay he considers the technical use of astrology within medicine with reference to the career of the little-known astrologer-physician William of England. His writing is fluid and easy to read, and a fascinating picture emerges of astrological medicine in England during the twelfth century.  </w:t>
      </w:r>
    </w:p>
    <w:p w14:paraId="15FEF576" w14:textId="77777777" w:rsidR="00857BEE" w:rsidRDefault="00857BEE">
      <w:pPr>
        <w:pStyle w:val="Body"/>
        <w:rPr>
          <w:sz w:val="24"/>
          <w:szCs w:val="24"/>
        </w:rPr>
      </w:pPr>
    </w:p>
    <w:p w14:paraId="711B666A" w14:textId="77777777" w:rsidR="00857BEE" w:rsidRDefault="00A37A64">
      <w:pPr>
        <w:pStyle w:val="Body"/>
        <w:rPr>
          <w:sz w:val="24"/>
          <w:szCs w:val="24"/>
        </w:rPr>
      </w:pPr>
      <w:r>
        <w:rPr>
          <w:sz w:val="24"/>
          <w:szCs w:val="24"/>
        </w:rPr>
        <w:t>While French’s grasp of twelfth century social and medical history is excellent, and his ability to extract meaning from primary sources highly impressive, his knowledge of astrology is sometimes faulty. He made a basic error when he stated, for example, while writing of Roger of Hereford’s methods,</w:t>
      </w:r>
      <w:r>
        <w:rPr>
          <w:sz w:val="24"/>
          <w:szCs w:val="24"/>
          <w:vertAlign w:val="superscript"/>
        </w:rPr>
        <w:footnoteReference w:id="6"/>
      </w:r>
      <w:r>
        <w:rPr>
          <w:sz w:val="24"/>
          <w:szCs w:val="24"/>
        </w:rPr>
        <w:t xml:space="preserve"> that “the trine was not a </w:t>
      </w:r>
      <w:proofErr w:type="spellStart"/>
      <w:r>
        <w:rPr>
          <w:sz w:val="24"/>
          <w:szCs w:val="24"/>
        </w:rPr>
        <w:t>favoured</w:t>
      </w:r>
      <w:proofErr w:type="spellEnd"/>
      <w:r>
        <w:rPr>
          <w:sz w:val="24"/>
          <w:szCs w:val="24"/>
        </w:rPr>
        <w:t xml:space="preserve"> aspect”</w:t>
      </w:r>
      <w:r>
        <w:rPr>
          <w:sz w:val="24"/>
          <w:szCs w:val="24"/>
          <w:vertAlign w:val="superscript"/>
        </w:rPr>
        <w:footnoteReference w:id="7"/>
      </w:r>
      <w:r>
        <w:rPr>
          <w:sz w:val="24"/>
          <w:szCs w:val="24"/>
        </w:rPr>
        <w:t xml:space="preserve"> According to Nicholas Whyte, who wrote a 1991 M Phil dissertation on Roger of Hereford, French had asked Whyte if he could “make something of” one of Roger of Hereford’s manuscripts held in Cambridge since “he was not confident of his knowledge of astronomy or astrology.”</w:t>
      </w:r>
      <w:r>
        <w:rPr>
          <w:sz w:val="24"/>
          <w:szCs w:val="24"/>
          <w:vertAlign w:val="superscript"/>
        </w:rPr>
        <w:footnoteReference w:id="8"/>
      </w:r>
      <w:r>
        <w:rPr>
          <w:sz w:val="24"/>
          <w:szCs w:val="24"/>
        </w:rPr>
        <w:t xml:space="preserve"> If Whyte is accurate, then although French did a valiant job of analyzing and interpreting the manuscript, it may account for the relative weakness of his writing on astrological technique.   </w:t>
      </w:r>
    </w:p>
    <w:p w14:paraId="4334D357" w14:textId="77777777" w:rsidR="00857BEE" w:rsidRDefault="00857BEE">
      <w:pPr>
        <w:pStyle w:val="Body"/>
        <w:rPr>
          <w:sz w:val="24"/>
          <w:szCs w:val="24"/>
        </w:rPr>
      </w:pPr>
    </w:p>
    <w:p w14:paraId="5C9C7A8F" w14:textId="77777777" w:rsidR="00857BEE" w:rsidRDefault="00A37A64">
      <w:pPr>
        <w:pStyle w:val="Body"/>
        <w:rPr>
          <w:sz w:val="24"/>
          <w:szCs w:val="24"/>
        </w:rPr>
      </w:pPr>
      <w:r>
        <w:rPr>
          <w:sz w:val="24"/>
          <w:szCs w:val="24"/>
        </w:rPr>
        <w:t xml:space="preserve">A year before French’s article, Ann Geneva wrote on what she perceived to be a change in academic attitudes to astrology following the publication, in 1971, of Keith Thomas’s </w:t>
      </w:r>
      <w:r>
        <w:rPr>
          <w:i/>
          <w:iCs/>
          <w:sz w:val="24"/>
          <w:szCs w:val="24"/>
        </w:rPr>
        <w:t xml:space="preserve">Religion and the Decline of Magic </w:t>
      </w:r>
      <w:r>
        <w:rPr>
          <w:sz w:val="24"/>
          <w:szCs w:val="24"/>
        </w:rPr>
        <w:t>stating “intellectual historians have not needed to apologize for discussing such discredited mentalities.”</w:t>
      </w:r>
      <w:r>
        <w:rPr>
          <w:sz w:val="24"/>
          <w:szCs w:val="24"/>
          <w:vertAlign w:val="superscript"/>
        </w:rPr>
        <w:footnoteReference w:id="9"/>
      </w:r>
      <w:r>
        <w:rPr>
          <w:sz w:val="24"/>
          <w:szCs w:val="24"/>
        </w:rPr>
        <w:t xml:space="preserve"> Yet French does: Echoing Thomas’s statement in his foreword to his </w:t>
      </w:r>
      <w:r>
        <w:rPr>
          <w:i/>
          <w:iCs/>
          <w:sz w:val="24"/>
          <w:szCs w:val="24"/>
        </w:rPr>
        <w:t>Religion and the Decline of Magic</w:t>
      </w:r>
      <w:r>
        <w:rPr>
          <w:sz w:val="24"/>
          <w:szCs w:val="24"/>
        </w:rPr>
        <w:t xml:space="preserve">, that “astrology, witchcraft, divination, ancient prophecies, ghosts and </w:t>
      </w:r>
      <w:r>
        <w:rPr>
          <w:sz w:val="24"/>
          <w:szCs w:val="24"/>
        </w:rPr>
        <w:t>fairies are now all rightly disdained by intelligent persons”</w:t>
      </w:r>
      <w:r>
        <w:rPr>
          <w:sz w:val="24"/>
          <w:szCs w:val="24"/>
          <w:vertAlign w:val="superscript"/>
        </w:rPr>
        <w:footnoteReference w:id="10"/>
      </w:r>
      <w:r>
        <w:rPr>
          <w:sz w:val="24"/>
          <w:szCs w:val="24"/>
        </w:rPr>
        <w:t xml:space="preserve"> French wrote “we believe in neither uroscopy nor astrology” and labelled both practices to be “dubious”.</w:t>
      </w:r>
      <w:r>
        <w:rPr>
          <w:sz w:val="24"/>
          <w:szCs w:val="24"/>
          <w:vertAlign w:val="superscript"/>
        </w:rPr>
        <w:footnoteReference w:id="11"/>
      </w:r>
      <w:r>
        <w:rPr>
          <w:sz w:val="24"/>
          <w:szCs w:val="24"/>
        </w:rPr>
        <w:t xml:space="preserve"> His opinionated judgement of astrology may perhaps be seen as an attempt, given his status as a Cambridge academic, to distance himself from accusations of belief in the practices he wrote about.  </w:t>
      </w:r>
    </w:p>
    <w:p w14:paraId="7A16A480" w14:textId="77777777" w:rsidR="00857BEE" w:rsidRDefault="00857BEE">
      <w:pPr>
        <w:pStyle w:val="Body"/>
        <w:rPr>
          <w:sz w:val="24"/>
          <w:szCs w:val="24"/>
        </w:rPr>
      </w:pPr>
    </w:p>
    <w:p w14:paraId="51B1B98F" w14:textId="77777777" w:rsidR="00857BEE" w:rsidRDefault="00A37A64">
      <w:pPr>
        <w:pStyle w:val="Body"/>
        <w:rPr>
          <w:sz w:val="24"/>
          <w:szCs w:val="24"/>
        </w:rPr>
      </w:pPr>
      <w:r>
        <w:rPr>
          <w:sz w:val="24"/>
          <w:szCs w:val="24"/>
        </w:rPr>
        <w:t>The extent to which discourse in the field of the history of astrology has changed in the twenty-seven years separating the two papers is notable, and at no point does Pfeffer feel the need to qualify her interest in the subject. She even questions, drawing on recent work by Dr William Pooley, whether it is possible to make hard distinctions between ‘belief’ and ‘unbelief’ in astrology.</w:t>
      </w:r>
      <w:r>
        <w:rPr>
          <w:sz w:val="24"/>
          <w:szCs w:val="24"/>
          <w:vertAlign w:val="superscript"/>
        </w:rPr>
        <w:footnoteReference w:id="12"/>
      </w:r>
      <w:r>
        <w:rPr>
          <w:sz w:val="24"/>
          <w:szCs w:val="24"/>
        </w:rPr>
        <w:t xml:space="preserve"> The main focus of her paper is, as she states, a ‘critical historiographical review’ of the previous ‘decade and a half’ of research.</w:t>
      </w:r>
      <w:r>
        <w:rPr>
          <w:sz w:val="24"/>
          <w:szCs w:val="24"/>
          <w:vertAlign w:val="superscript"/>
        </w:rPr>
        <w:footnoteReference w:id="13"/>
      </w:r>
      <w:r>
        <w:rPr>
          <w:sz w:val="24"/>
          <w:szCs w:val="24"/>
        </w:rPr>
        <w:t xml:space="preserve"> As such she makes extensive use of secondary sources and much recent work in the field. She begins by briefly outlining the story of </w:t>
      </w:r>
      <w:r>
        <w:rPr>
          <w:sz w:val="24"/>
          <w:szCs w:val="24"/>
          <w:lang w:val="es-ES_tradnl"/>
        </w:rPr>
        <w:t xml:space="preserve">Carlos de </w:t>
      </w:r>
      <w:proofErr w:type="spellStart"/>
      <w:r>
        <w:rPr>
          <w:sz w:val="24"/>
          <w:szCs w:val="24"/>
          <w:lang w:val="es-ES_tradnl"/>
        </w:rPr>
        <w:t>Sig</w:t>
      </w:r>
      <w:proofErr w:type="spellEnd"/>
      <w:r>
        <w:rPr>
          <w:sz w:val="24"/>
          <w:szCs w:val="24"/>
        </w:rPr>
        <w:t>ü</w:t>
      </w:r>
      <w:r>
        <w:rPr>
          <w:sz w:val="24"/>
          <w:szCs w:val="24"/>
          <w:lang w:val="es-ES_tradnl"/>
        </w:rPr>
        <w:t xml:space="preserve">enza y </w:t>
      </w:r>
      <w:proofErr w:type="spellStart"/>
      <w:r>
        <w:rPr>
          <w:sz w:val="24"/>
          <w:szCs w:val="24"/>
          <w:lang w:val="es-ES_tradnl"/>
        </w:rPr>
        <w:lastRenderedPageBreak/>
        <w:t>Gó</w:t>
      </w:r>
      <w:r>
        <w:rPr>
          <w:sz w:val="24"/>
          <w:szCs w:val="24"/>
        </w:rPr>
        <w:t>ngora</w:t>
      </w:r>
      <w:proofErr w:type="spellEnd"/>
      <w:r>
        <w:rPr>
          <w:sz w:val="24"/>
          <w:szCs w:val="24"/>
        </w:rPr>
        <w:t xml:space="preserve"> (1645–1700),</w:t>
      </w:r>
      <w:r>
        <w:rPr>
          <w:sz w:val="24"/>
          <w:szCs w:val="24"/>
        </w:rPr>
        <w:t xml:space="preserve"> Professor of Astrology and Mathematics at Real y Pontificia Universidad in </w:t>
      </w:r>
      <w:r>
        <w:rPr>
          <w:sz w:val="24"/>
          <w:szCs w:val="24"/>
          <w:lang w:val="nl-NL"/>
        </w:rPr>
        <w:t>Mexico City</w:t>
      </w:r>
      <w:r>
        <w:rPr>
          <w:sz w:val="24"/>
          <w:szCs w:val="24"/>
        </w:rPr>
        <w:t>, whose youthful practice of astrology gave way to very vocal doubt over its accuracy and effectiveness. She explains that although his story “seems to point to an obvious explanation for astrology marginalization,”</w:t>
      </w:r>
      <w:r>
        <w:rPr>
          <w:sz w:val="24"/>
          <w:szCs w:val="24"/>
          <w:vertAlign w:val="superscript"/>
        </w:rPr>
        <w:footnoteReference w:id="14"/>
      </w:r>
      <w:r>
        <w:rPr>
          <w:sz w:val="24"/>
          <w:szCs w:val="24"/>
        </w:rPr>
        <w:t xml:space="preserve"> that “astrology is a superstition that simply failed to live up to the requirements of modern science”</w:t>
      </w:r>
      <w:r>
        <w:rPr>
          <w:sz w:val="24"/>
          <w:szCs w:val="24"/>
          <w:vertAlign w:val="superscript"/>
        </w:rPr>
        <w:footnoteReference w:id="15"/>
      </w:r>
      <w:r>
        <w:rPr>
          <w:sz w:val="24"/>
          <w:szCs w:val="24"/>
        </w:rPr>
        <w:t xml:space="preserve"> the reality was far more complex and multifaceted. She poses </w:t>
      </w:r>
      <w:proofErr w:type="gramStart"/>
      <w:r>
        <w:rPr>
          <w:sz w:val="24"/>
          <w:szCs w:val="24"/>
        </w:rPr>
        <w:t>a number of</w:t>
      </w:r>
      <w:proofErr w:type="gramEnd"/>
      <w:r>
        <w:rPr>
          <w:sz w:val="24"/>
          <w:szCs w:val="24"/>
        </w:rPr>
        <w:t xml:space="preserve"> key questions, such as ‘i</w:t>
      </w:r>
      <w:r>
        <w:rPr>
          <w:sz w:val="24"/>
          <w:szCs w:val="24"/>
        </w:rPr>
        <w:t>f Copernicus</w:t>
      </w:r>
      <w:r>
        <w:rPr>
          <w:sz w:val="24"/>
          <w:szCs w:val="24"/>
          <w:rtl/>
        </w:rPr>
        <w:t>’</w:t>
      </w:r>
      <w:r>
        <w:rPr>
          <w:sz w:val="24"/>
          <w:szCs w:val="24"/>
        </w:rPr>
        <w:t xml:space="preserve">s </w:t>
      </w:r>
      <w:r>
        <w:rPr>
          <w:i/>
          <w:iCs/>
          <w:sz w:val="24"/>
          <w:szCs w:val="24"/>
          <w:lang w:val="fr-FR"/>
        </w:rPr>
        <w:t xml:space="preserve">De </w:t>
      </w:r>
      <w:proofErr w:type="spellStart"/>
      <w:r>
        <w:rPr>
          <w:i/>
          <w:iCs/>
          <w:sz w:val="24"/>
          <w:szCs w:val="24"/>
          <w:lang w:val="fr-FR"/>
        </w:rPr>
        <w:t>revolutionibus</w:t>
      </w:r>
      <w:proofErr w:type="spellEnd"/>
      <w:r>
        <w:rPr>
          <w:i/>
          <w:iCs/>
          <w:sz w:val="24"/>
          <w:szCs w:val="24"/>
        </w:rPr>
        <w:t xml:space="preserve"> </w:t>
      </w:r>
      <w:r>
        <w:rPr>
          <w:sz w:val="24"/>
          <w:szCs w:val="24"/>
        </w:rPr>
        <w:t>was astrology</w:t>
      </w:r>
      <w:r>
        <w:rPr>
          <w:sz w:val="24"/>
          <w:szCs w:val="24"/>
          <w:rtl/>
        </w:rPr>
        <w:t>’</w:t>
      </w:r>
      <w:r>
        <w:rPr>
          <w:sz w:val="24"/>
          <w:szCs w:val="24"/>
        </w:rPr>
        <w:t>s death knell, why were astrologers some of the first to advocate for heliocentrism, and why did Kepler and Galileo still cast horoscopes?’</w:t>
      </w:r>
      <w:r>
        <w:rPr>
          <w:sz w:val="24"/>
          <w:szCs w:val="24"/>
          <w:vertAlign w:val="superscript"/>
        </w:rPr>
        <w:footnoteReference w:id="16"/>
      </w:r>
      <w:r>
        <w:rPr>
          <w:sz w:val="24"/>
          <w:szCs w:val="24"/>
        </w:rPr>
        <w:t xml:space="preserve"> and points out that during this period of the so-called ‘disenchantment of the world’ it is difficult to find ‘new arguments against astrology.’</w:t>
      </w:r>
      <w:r>
        <w:rPr>
          <w:sz w:val="24"/>
          <w:szCs w:val="24"/>
          <w:vertAlign w:val="superscript"/>
        </w:rPr>
        <w:footnoteReference w:id="17"/>
      </w:r>
      <w:r>
        <w:rPr>
          <w:sz w:val="24"/>
          <w:szCs w:val="24"/>
        </w:rPr>
        <w:t xml:space="preserve"> </w:t>
      </w:r>
    </w:p>
    <w:p w14:paraId="2A2894EB" w14:textId="77777777" w:rsidR="00857BEE" w:rsidRDefault="00857BEE">
      <w:pPr>
        <w:pStyle w:val="Body"/>
        <w:rPr>
          <w:sz w:val="24"/>
          <w:szCs w:val="24"/>
        </w:rPr>
      </w:pPr>
    </w:p>
    <w:p w14:paraId="71E5B969" w14:textId="77777777" w:rsidR="00857BEE" w:rsidRDefault="00A37A64">
      <w:pPr>
        <w:pStyle w:val="Body"/>
        <w:rPr>
          <w:sz w:val="24"/>
          <w:szCs w:val="24"/>
        </w:rPr>
      </w:pPr>
      <w:proofErr w:type="gramStart"/>
      <w:r>
        <w:rPr>
          <w:sz w:val="24"/>
          <w:szCs w:val="24"/>
        </w:rPr>
        <w:t>The majority of</w:t>
      </w:r>
      <w:proofErr w:type="gramEnd"/>
      <w:r>
        <w:rPr>
          <w:sz w:val="24"/>
          <w:szCs w:val="24"/>
        </w:rPr>
        <w:t xml:space="preserve"> her four-part paper is dedicated to addressing these questions with reference to more recent interpretative models than those French was engaging. In contrast to French’s writing, her paper is written in a somewhat conversational style, </w:t>
      </w:r>
      <w:proofErr w:type="gramStart"/>
      <w:r>
        <w:rPr>
          <w:sz w:val="24"/>
          <w:szCs w:val="24"/>
        </w:rPr>
        <w:t>and,</w:t>
      </w:r>
      <w:proofErr w:type="gramEnd"/>
      <w:r>
        <w:rPr>
          <w:sz w:val="24"/>
          <w:szCs w:val="24"/>
        </w:rPr>
        <w:t xml:space="preserve"> peppered with references to a wealth of secondary sources, becomes occasionally dense, meandering, and difficult to follow. She emphasizes the increasingly nuanced, interdisciplinary understanding that historians have more recently adopted </w:t>
      </w:r>
      <w:proofErr w:type="gramStart"/>
      <w:r>
        <w:rPr>
          <w:sz w:val="24"/>
          <w:szCs w:val="24"/>
        </w:rPr>
        <w:t>in order to</w:t>
      </w:r>
      <w:proofErr w:type="gramEnd"/>
      <w:r>
        <w:rPr>
          <w:sz w:val="24"/>
          <w:szCs w:val="24"/>
        </w:rPr>
        <w:t xml:space="preserve"> account for the a</w:t>
      </w:r>
      <w:r>
        <w:rPr>
          <w:sz w:val="24"/>
          <w:szCs w:val="24"/>
        </w:rPr>
        <w:t xml:space="preserve">pparent paradoxes of the practice and understanding of astrology occurring during the early modern period. Unlike French, she doesn’t focus on the technical functions of astrology, instead outlining how recent scholars have viewed astrology’s status as a marginalized body of knowledge after it fell from university curricula during the seventeenth century, </w:t>
      </w:r>
      <w:proofErr w:type="gramStart"/>
      <w:r>
        <w:rPr>
          <w:sz w:val="24"/>
          <w:szCs w:val="24"/>
        </w:rPr>
        <w:t>taking into account</w:t>
      </w:r>
      <w:proofErr w:type="gramEnd"/>
      <w:r>
        <w:rPr>
          <w:sz w:val="24"/>
          <w:szCs w:val="24"/>
        </w:rPr>
        <w:t xml:space="preserve"> </w:t>
      </w:r>
      <w:proofErr w:type="spellStart"/>
      <w:r>
        <w:rPr>
          <w:sz w:val="24"/>
          <w:szCs w:val="24"/>
          <w:lang w:val="fr-FR"/>
        </w:rPr>
        <w:t>philosophical</w:t>
      </w:r>
      <w:proofErr w:type="spellEnd"/>
      <w:r>
        <w:rPr>
          <w:sz w:val="24"/>
          <w:szCs w:val="24"/>
        </w:rPr>
        <w:t>, societal and institutional trends and shifting definitions of knowledge.</w:t>
      </w:r>
    </w:p>
    <w:p w14:paraId="1506DA46" w14:textId="77777777" w:rsidR="00857BEE" w:rsidRDefault="00857BEE">
      <w:pPr>
        <w:pStyle w:val="Body"/>
        <w:rPr>
          <w:sz w:val="24"/>
          <w:szCs w:val="24"/>
        </w:rPr>
      </w:pPr>
    </w:p>
    <w:p w14:paraId="42F05CE9" w14:textId="77777777" w:rsidR="00857BEE" w:rsidRDefault="00A37A64">
      <w:pPr>
        <w:pStyle w:val="Body"/>
        <w:rPr>
          <w:sz w:val="24"/>
          <w:szCs w:val="24"/>
        </w:rPr>
      </w:pPr>
      <w:r>
        <w:rPr>
          <w:sz w:val="24"/>
          <w:szCs w:val="24"/>
        </w:rPr>
        <w:t>As such, Pfeffer emphasizes</w:t>
      </w:r>
      <w:r>
        <w:rPr>
          <w:sz w:val="24"/>
          <w:szCs w:val="24"/>
        </w:rPr>
        <w:t xml:space="preserve"> </w:t>
      </w:r>
      <w:r>
        <w:rPr>
          <w:sz w:val="24"/>
          <w:szCs w:val="24"/>
        </w:rPr>
        <w:t xml:space="preserve">that historians have taken </w:t>
      </w:r>
      <w:r>
        <w:rPr>
          <w:sz w:val="24"/>
          <w:szCs w:val="24"/>
        </w:rPr>
        <w:t xml:space="preserve">a </w:t>
      </w:r>
      <w:r>
        <w:rPr>
          <w:sz w:val="24"/>
          <w:szCs w:val="24"/>
        </w:rPr>
        <w:t>more relativistic, interdisciplinary approach to the understanding of astrology as a body of knowledge. Instead of viewing astrology's decline as an inevitable consequence of advancing scientific knowledge, she calls for a broader contextual analysis that considers how astrology as a system of knowledge interacted with social, political, and religious structures. ‘There is no one-dimensional explanation. Astrology held multiple roles in the pre-modern world and its marginalizat</w:t>
      </w:r>
      <w:r>
        <w:rPr>
          <w:sz w:val="24"/>
          <w:szCs w:val="24"/>
        </w:rPr>
        <w:t>ion was accordingly a multi-faceted phenomenon’</w:t>
      </w:r>
      <w:r>
        <w:rPr>
          <w:sz w:val="24"/>
          <w:szCs w:val="24"/>
          <w:vertAlign w:val="superscript"/>
        </w:rPr>
        <w:footnoteReference w:id="18"/>
      </w:r>
      <w:r>
        <w:rPr>
          <w:sz w:val="24"/>
          <w:szCs w:val="24"/>
        </w:rPr>
        <w:t xml:space="preserve"> she wrote. Many previously held assumptions regarding astrology’s relationship with science have been questioned. ‘Recent scholarship refuses to take sciences role for granted’ she wrote and noted that the methods of intellectual history practiced at its best appreciates ‘the social construction of knowledge and the importance of educational institutions.'</w:t>
      </w:r>
      <w:r>
        <w:rPr>
          <w:sz w:val="24"/>
          <w:szCs w:val="24"/>
          <w:vertAlign w:val="superscript"/>
        </w:rPr>
        <w:footnoteReference w:id="19"/>
      </w:r>
      <w:r>
        <w:rPr>
          <w:sz w:val="24"/>
          <w:szCs w:val="24"/>
        </w:rPr>
        <w:t xml:space="preserve">  </w:t>
      </w:r>
    </w:p>
    <w:p w14:paraId="1A293A4D" w14:textId="77777777" w:rsidR="00857BEE" w:rsidRDefault="00A37A64">
      <w:pPr>
        <w:pStyle w:val="Body"/>
        <w:rPr>
          <w:sz w:val="24"/>
          <w:szCs w:val="24"/>
        </w:rPr>
      </w:pPr>
      <w:r>
        <w:rPr>
          <w:sz w:val="24"/>
          <w:szCs w:val="24"/>
        </w:rPr>
        <w:t xml:space="preserve">   </w:t>
      </w:r>
    </w:p>
    <w:p w14:paraId="3AAE65C7" w14:textId="77777777" w:rsidR="00857BEE" w:rsidRDefault="00A37A64">
      <w:pPr>
        <w:pStyle w:val="Default"/>
        <w:spacing w:before="0" w:after="240"/>
      </w:pPr>
      <w:r>
        <w:t xml:space="preserve">Though writing on the medieval period rather than the early modern, French situates astrology as a practice within the history of science, and in contrast to Pfeffer his model is arguably </w:t>
      </w:r>
      <w:r>
        <w:rPr>
          <w:lang w:val="it-IT"/>
        </w:rPr>
        <w:t>linear</w:t>
      </w:r>
      <w:r>
        <w:t>;</w:t>
      </w:r>
      <w:r>
        <w:rPr>
          <w:lang w:val="it-IT"/>
        </w:rPr>
        <w:t xml:space="preserve"> progressive, positivist</w:t>
      </w:r>
      <w:r>
        <w:t xml:space="preserve"> and</w:t>
      </w:r>
      <w:r>
        <w:rPr>
          <w:rtl/>
        </w:rPr>
        <w:t xml:space="preserve"> ‘</w:t>
      </w:r>
      <w:r>
        <w:t>whiggish’. Though he writes very sympathetically, even warmly of his subjects, there is an underlying attitude of condescension regarding the medieval astrologer-</w:t>
      </w:r>
      <w:proofErr w:type="gramStart"/>
      <w:r>
        <w:t>physicians</w:t>
      </w:r>
      <w:proofErr w:type="gramEnd"/>
      <w:r>
        <w:t xml:space="preserve"> practices. He notes, for example, that the examination of urine could be seen as the doctor ‘publicly showing his skill in a partly ritualistic way’</w:t>
      </w:r>
      <w:r>
        <w:rPr>
          <w:vertAlign w:val="superscript"/>
        </w:rPr>
        <w:footnoteReference w:id="20"/>
      </w:r>
      <w:r>
        <w:t xml:space="preserve"> then later suggested that the ‘astronomical anatomy’ chart that Roger of Hereford drew from Abu </w:t>
      </w:r>
      <w:proofErr w:type="spellStart"/>
      <w:r>
        <w:t>Ma’shar</w:t>
      </w:r>
      <w:proofErr w:type="spellEnd"/>
      <w:r>
        <w:t xml:space="preserve"> and other sources gave a doctor ‘additional technical apparatus with which to impress their patients.’</w:t>
      </w:r>
      <w:r>
        <w:rPr>
          <w:vertAlign w:val="superscript"/>
        </w:rPr>
        <w:footnoteReference w:id="21"/>
      </w:r>
      <w:r>
        <w:t xml:space="preserve"> Though his assumptions may not necessarily be incorrect, he perhaps fails to account for these practices through the prism of Thomas Kuhn’s paradigm model; that the practices of medieval astrological-medicine might be seen on their own terms rather than as part of a Popperian ‘soothsayer’s trick.’</w:t>
      </w:r>
      <w:r>
        <w:rPr>
          <w:vertAlign w:val="superscript"/>
        </w:rPr>
        <w:footnoteReference w:id="22"/>
      </w:r>
      <w:r>
        <w:t xml:space="preserve"> French’s attitude, perhaps drawing partly from his background as primarily a historian of science and medicine is  basically utilitarian, and the notion that Roger of Hereford and the slightly later William of England were primarily concerned with the ‘utility’ of astrology, as a tool for prediction and ‘certainty’ medical or otherwise, permeates his thinking.  </w:t>
      </w:r>
    </w:p>
    <w:p w14:paraId="4F8359E9" w14:textId="77777777" w:rsidR="00857BEE" w:rsidRDefault="00A37A64">
      <w:pPr>
        <w:pStyle w:val="Body"/>
        <w:rPr>
          <w:sz w:val="24"/>
          <w:szCs w:val="24"/>
        </w:rPr>
      </w:pPr>
      <w:r>
        <w:rPr>
          <w:sz w:val="24"/>
          <w:szCs w:val="24"/>
        </w:rPr>
        <w:t>At no point does French offer a definition of what he thinks astrology to be, though he does stress the distinction between ‘judicial’ and ‘natural’ astrology, recently questioned by H Darrel Rutkin,</w:t>
      </w:r>
      <w:r>
        <w:rPr>
          <w:sz w:val="24"/>
          <w:szCs w:val="24"/>
          <w:vertAlign w:val="superscript"/>
        </w:rPr>
        <w:footnoteReference w:id="23"/>
      </w:r>
      <w:r>
        <w:rPr>
          <w:sz w:val="24"/>
          <w:szCs w:val="24"/>
        </w:rPr>
        <w:t xml:space="preserve"> and importance of the practice of astrology as ‘a superior type of knowledge’.</w:t>
      </w:r>
      <w:r>
        <w:rPr>
          <w:sz w:val="24"/>
          <w:szCs w:val="24"/>
          <w:vertAlign w:val="superscript"/>
        </w:rPr>
        <w:footnoteReference w:id="24"/>
      </w:r>
      <w:r>
        <w:rPr>
          <w:sz w:val="24"/>
          <w:szCs w:val="24"/>
        </w:rPr>
        <w:t xml:space="preserve">  In contrast Pfeffer, though she doesn’t offer a working definition either, seems throughout her paper to be engaging a broader definition of astrology as a body of knowledge in keeping with more recent developments in how the practice can be understood. French was writing at a time when the serious academic study of astrology, while not in its infancy, still suffered under the shadow cast by positivist epistemology. While he largely succeeds in situating Roger of Hereford in the historical-social-cultural</w:t>
      </w:r>
      <w:r>
        <w:rPr>
          <w:sz w:val="24"/>
          <w:szCs w:val="24"/>
        </w:rPr>
        <w:t xml:space="preserve"> climate of his own times he was operating in what </w:t>
      </w:r>
      <w:proofErr w:type="gramStart"/>
      <w:r>
        <w:rPr>
          <w:sz w:val="24"/>
          <w:szCs w:val="24"/>
        </w:rPr>
        <w:t>Pfeffer</w:t>
      </w:r>
      <w:proofErr w:type="gramEnd"/>
      <w:r>
        <w:rPr>
          <w:sz w:val="24"/>
          <w:szCs w:val="24"/>
        </w:rPr>
        <w:t xml:space="preserve"> and other historians would now consider to be an outdated paradigm when it comes to his understanding of the practice of astrology.   </w:t>
      </w:r>
    </w:p>
    <w:p w14:paraId="7D1D1895" w14:textId="77777777" w:rsidR="00857BEE" w:rsidRDefault="00857BEE">
      <w:pPr>
        <w:pStyle w:val="Body"/>
        <w:rPr>
          <w:sz w:val="24"/>
          <w:szCs w:val="24"/>
        </w:rPr>
      </w:pPr>
    </w:p>
    <w:p w14:paraId="6044FD45" w14:textId="77777777" w:rsidR="00857BEE" w:rsidRDefault="00A37A64">
      <w:pPr>
        <w:pStyle w:val="Body"/>
        <w:rPr>
          <w:sz w:val="24"/>
          <w:szCs w:val="24"/>
        </w:rPr>
      </w:pPr>
      <w:r>
        <w:rPr>
          <w:sz w:val="24"/>
          <w:szCs w:val="24"/>
        </w:rPr>
        <w:t xml:space="preserve">Though French’s conclusions are, to some extent, justified by his interpretation and the evidence he presents, by current standards of scholarship in the field of astrology, the recent history of which Pfeffer outlines in her paper, his framework and the critical assumptions of the period during which he was writing are no longer considered valid by leading academics in the field. </w:t>
      </w:r>
      <w:proofErr w:type="gramStart"/>
      <w:r>
        <w:rPr>
          <w:sz w:val="24"/>
          <w:szCs w:val="24"/>
        </w:rPr>
        <w:t>So</w:t>
      </w:r>
      <w:proofErr w:type="gramEnd"/>
      <w:r>
        <w:rPr>
          <w:sz w:val="24"/>
          <w:szCs w:val="24"/>
        </w:rPr>
        <w:t xml:space="preserve"> although he provided, to use Rutkin’s words, a ‘well-articulated historically and conceptually sound interpretive framework’,</w:t>
      </w:r>
      <w:r>
        <w:rPr>
          <w:sz w:val="24"/>
          <w:szCs w:val="24"/>
          <w:vertAlign w:val="superscript"/>
        </w:rPr>
        <w:footnoteReference w:id="25"/>
      </w:r>
      <w:r>
        <w:rPr>
          <w:sz w:val="24"/>
          <w:szCs w:val="24"/>
        </w:rPr>
        <w:t xml:space="preserve"> namely, the notion that astrology can be evaluated by its technical applications for a practical utility, it is a framework that has since been superseded by more nuanced models and can no longer be considered as conceptually sound. Pfeffer, using the early modern example of </w:t>
      </w:r>
      <w:r>
        <w:rPr>
          <w:sz w:val="24"/>
          <w:szCs w:val="24"/>
          <w:lang w:val="es-ES_tradnl"/>
        </w:rPr>
        <w:t xml:space="preserve">Carlos de </w:t>
      </w:r>
      <w:proofErr w:type="spellStart"/>
      <w:r>
        <w:rPr>
          <w:sz w:val="24"/>
          <w:szCs w:val="24"/>
          <w:lang w:val="es-ES_tradnl"/>
        </w:rPr>
        <w:t>Sig</w:t>
      </w:r>
      <w:proofErr w:type="spellEnd"/>
      <w:r>
        <w:rPr>
          <w:sz w:val="24"/>
          <w:szCs w:val="24"/>
        </w:rPr>
        <w:t>ü</w:t>
      </w:r>
      <w:r>
        <w:rPr>
          <w:sz w:val="24"/>
          <w:szCs w:val="24"/>
          <w:lang w:val="es-ES_tradnl"/>
        </w:rPr>
        <w:t xml:space="preserve">enza y </w:t>
      </w:r>
      <w:proofErr w:type="spellStart"/>
      <w:r>
        <w:rPr>
          <w:sz w:val="24"/>
          <w:szCs w:val="24"/>
          <w:lang w:val="es-ES_tradnl"/>
        </w:rPr>
        <w:t>Gó</w:t>
      </w:r>
      <w:proofErr w:type="spellEnd"/>
      <w:r>
        <w:rPr>
          <w:sz w:val="24"/>
          <w:szCs w:val="24"/>
          <w:lang w:val="pt-PT"/>
        </w:rPr>
        <w:t>ngora</w:t>
      </w:r>
      <w:r>
        <w:rPr>
          <w:sz w:val="24"/>
          <w:szCs w:val="24"/>
        </w:rPr>
        <w:t xml:space="preserve"> to explore these more recent interpretative frameworks that reject positivism as an epistemological approach, is perhaps more successful in doing justice to her subject by situating it within the logic of i</w:t>
      </w:r>
      <w:r>
        <w:rPr>
          <w:sz w:val="24"/>
          <w:szCs w:val="24"/>
        </w:rPr>
        <w:t xml:space="preserve">ts own time and place. </w:t>
      </w:r>
    </w:p>
    <w:p w14:paraId="51B524B2" w14:textId="77777777" w:rsidR="00857BEE" w:rsidRDefault="00857BEE">
      <w:pPr>
        <w:pStyle w:val="Body"/>
        <w:rPr>
          <w:u w:val="single"/>
        </w:rPr>
      </w:pPr>
    </w:p>
    <w:p w14:paraId="2D4D9855" w14:textId="77777777" w:rsidR="00857BEE" w:rsidRDefault="00857BEE">
      <w:pPr>
        <w:pStyle w:val="Body"/>
        <w:rPr>
          <w:u w:val="single"/>
        </w:rPr>
      </w:pPr>
    </w:p>
    <w:p w14:paraId="14D9BC4A" w14:textId="77777777" w:rsidR="00857BEE" w:rsidRDefault="00857BEE">
      <w:pPr>
        <w:pStyle w:val="Body"/>
        <w:rPr>
          <w:u w:val="single"/>
        </w:rPr>
      </w:pPr>
    </w:p>
    <w:p w14:paraId="00191A55" w14:textId="77777777" w:rsidR="00857BEE" w:rsidRDefault="00857BEE">
      <w:pPr>
        <w:pStyle w:val="Body"/>
        <w:rPr>
          <w:u w:val="single"/>
        </w:rPr>
      </w:pPr>
    </w:p>
    <w:p w14:paraId="5E13F23D" w14:textId="77777777" w:rsidR="00857BEE" w:rsidRDefault="00857BEE">
      <w:pPr>
        <w:pStyle w:val="Body"/>
        <w:rPr>
          <w:u w:val="single"/>
        </w:rPr>
      </w:pPr>
    </w:p>
    <w:p w14:paraId="3E40F351" w14:textId="77777777" w:rsidR="00857BEE" w:rsidRDefault="00857BEE">
      <w:pPr>
        <w:pStyle w:val="Body"/>
        <w:rPr>
          <w:u w:val="single"/>
        </w:rPr>
      </w:pPr>
    </w:p>
    <w:p w14:paraId="5CC333C7" w14:textId="77777777" w:rsidR="00857BEE" w:rsidRDefault="00857BEE">
      <w:pPr>
        <w:pStyle w:val="Body"/>
        <w:rPr>
          <w:u w:val="single"/>
        </w:rPr>
      </w:pPr>
    </w:p>
    <w:p w14:paraId="47A652D4" w14:textId="77777777" w:rsidR="00857BEE" w:rsidRDefault="00857BEE">
      <w:pPr>
        <w:pStyle w:val="Body"/>
        <w:rPr>
          <w:u w:val="single"/>
        </w:rPr>
      </w:pPr>
    </w:p>
    <w:p w14:paraId="52C45A51" w14:textId="77777777" w:rsidR="00857BEE" w:rsidRDefault="00857BEE">
      <w:pPr>
        <w:pStyle w:val="Body"/>
        <w:rPr>
          <w:u w:val="single"/>
        </w:rPr>
      </w:pPr>
    </w:p>
    <w:p w14:paraId="51C9C452" w14:textId="77777777" w:rsidR="00857BEE" w:rsidRDefault="00857BEE">
      <w:pPr>
        <w:pStyle w:val="Body"/>
        <w:rPr>
          <w:u w:val="single"/>
        </w:rPr>
      </w:pPr>
    </w:p>
    <w:p w14:paraId="447D5109" w14:textId="77777777" w:rsidR="00857BEE" w:rsidRDefault="00857BEE">
      <w:pPr>
        <w:pStyle w:val="Body"/>
        <w:rPr>
          <w:u w:val="single"/>
        </w:rPr>
      </w:pPr>
    </w:p>
    <w:p w14:paraId="169A988B" w14:textId="77777777" w:rsidR="00857BEE" w:rsidRDefault="00857BEE">
      <w:pPr>
        <w:pStyle w:val="Body"/>
        <w:rPr>
          <w:u w:val="single"/>
        </w:rPr>
      </w:pPr>
    </w:p>
    <w:p w14:paraId="43DAD0E8" w14:textId="77777777" w:rsidR="00857BEE" w:rsidRDefault="00857BEE">
      <w:pPr>
        <w:pStyle w:val="Body"/>
        <w:rPr>
          <w:u w:val="single"/>
        </w:rPr>
      </w:pPr>
    </w:p>
    <w:p w14:paraId="3C8D27E7" w14:textId="77777777" w:rsidR="00857BEE" w:rsidRDefault="00857BEE">
      <w:pPr>
        <w:pStyle w:val="Body"/>
        <w:rPr>
          <w:u w:val="single"/>
        </w:rPr>
      </w:pPr>
    </w:p>
    <w:p w14:paraId="0E4097AC" w14:textId="77777777" w:rsidR="00857BEE" w:rsidRDefault="00857BEE">
      <w:pPr>
        <w:pStyle w:val="Body"/>
        <w:rPr>
          <w:u w:val="single"/>
        </w:rPr>
      </w:pPr>
    </w:p>
    <w:p w14:paraId="5F075149" w14:textId="77777777" w:rsidR="00857BEE" w:rsidRDefault="00857BEE">
      <w:pPr>
        <w:pStyle w:val="Body"/>
        <w:rPr>
          <w:u w:val="single"/>
        </w:rPr>
      </w:pPr>
    </w:p>
    <w:p w14:paraId="36C65960" w14:textId="77777777" w:rsidR="00857BEE" w:rsidRDefault="00857BEE">
      <w:pPr>
        <w:pStyle w:val="Body"/>
        <w:rPr>
          <w:u w:val="single"/>
        </w:rPr>
      </w:pPr>
    </w:p>
    <w:p w14:paraId="725F9B61" w14:textId="77777777" w:rsidR="00857BEE" w:rsidRDefault="00857BEE">
      <w:pPr>
        <w:pStyle w:val="Body"/>
        <w:rPr>
          <w:u w:val="single"/>
        </w:rPr>
      </w:pPr>
    </w:p>
    <w:p w14:paraId="58D8BA78" w14:textId="77777777" w:rsidR="00857BEE" w:rsidRDefault="00857BEE">
      <w:pPr>
        <w:pStyle w:val="Body"/>
        <w:rPr>
          <w:u w:val="single"/>
        </w:rPr>
      </w:pPr>
    </w:p>
    <w:p w14:paraId="0D766C88" w14:textId="77777777" w:rsidR="00857BEE" w:rsidRDefault="00857BEE">
      <w:pPr>
        <w:pStyle w:val="Body"/>
        <w:rPr>
          <w:u w:val="single"/>
        </w:rPr>
      </w:pPr>
    </w:p>
    <w:p w14:paraId="132E5634" w14:textId="77777777" w:rsidR="00857BEE" w:rsidRDefault="00857BEE">
      <w:pPr>
        <w:pStyle w:val="Body"/>
        <w:rPr>
          <w:u w:val="single"/>
        </w:rPr>
      </w:pPr>
    </w:p>
    <w:p w14:paraId="73ADD697" w14:textId="77777777" w:rsidR="00857BEE" w:rsidRDefault="00857BEE">
      <w:pPr>
        <w:pStyle w:val="Body"/>
        <w:rPr>
          <w:u w:val="single"/>
        </w:rPr>
      </w:pPr>
    </w:p>
    <w:p w14:paraId="6F0E468E" w14:textId="77777777" w:rsidR="00857BEE" w:rsidRDefault="00857BEE">
      <w:pPr>
        <w:pStyle w:val="Body"/>
        <w:rPr>
          <w:u w:val="single"/>
        </w:rPr>
      </w:pPr>
    </w:p>
    <w:p w14:paraId="11B59E6A" w14:textId="77777777" w:rsidR="00857BEE" w:rsidRDefault="00857BEE">
      <w:pPr>
        <w:pStyle w:val="Body"/>
        <w:rPr>
          <w:u w:val="single"/>
        </w:rPr>
      </w:pPr>
    </w:p>
    <w:p w14:paraId="7F8B007A" w14:textId="77777777" w:rsidR="00857BEE" w:rsidRDefault="00857BEE">
      <w:pPr>
        <w:pStyle w:val="Body"/>
        <w:rPr>
          <w:u w:val="single"/>
        </w:rPr>
      </w:pPr>
    </w:p>
    <w:p w14:paraId="129E3C76" w14:textId="77777777" w:rsidR="00857BEE" w:rsidRDefault="00857BEE">
      <w:pPr>
        <w:pStyle w:val="Body"/>
        <w:rPr>
          <w:u w:val="single"/>
        </w:rPr>
      </w:pPr>
    </w:p>
    <w:p w14:paraId="5B824352" w14:textId="77777777" w:rsidR="00857BEE" w:rsidRDefault="00857BEE">
      <w:pPr>
        <w:pStyle w:val="Body"/>
        <w:rPr>
          <w:u w:val="single"/>
        </w:rPr>
      </w:pPr>
    </w:p>
    <w:p w14:paraId="2F5D936E" w14:textId="77777777" w:rsidR="00857BEE" w:rsidRDefault="00857BEE">
      <w:pPr>
        <w:pStyle w:val="Body"/>
        <w:rPr>
          <w:u w:val="single"/>
        </w:rPr>
      </w:pPr>
    </w:p>
    <w:p w14:paraId="33EDB95B" w14:textId="77777777" w:rsidR="00857BEE" w:rsidRDefault="00857BEE">
      <w:pPr>
        <w:pStyle w:val="Body"/>
        <w:rPr>
          <w:u w:val="single"/>
        </w:rPr>
      </w:pPr>
    </w:p>
    <w:p w14:paraId="05E07A8B" w14:textId="77777777" w:rsidR="00A37A64" w:rsidRDefault="00A37A64">
      <w:pPr>
        <w:pStyle w:val="Body"/>
        <w:rPr>
          <w:u w:val="single"/>
        </w:rPr>
      </w:pPr>
    </w:p>
    <w:p w14:paraId="4D0F7EE3" w14:textId="77777777" w:rsidR="00A37A64" w:rsidRDefault="00A37A64">
      <w:pPr>
        <w:pStyle w:val="Body"/>
        <w:rPr>
          <w:u w:val="single"/>
        </w:rPr>
      </w:pPr>
    </w:p>
    <w:p w14:paraId="65C1394C" w14:textId="77777777" w:rsidR="00A37A64" w:rsidRDefault="00A37A64">
      <w:pPr>
        <w:pStyle w:val="Body"/>
        <w:rPr>
          <w:u w:val="single"/>
        </w:rPr>
      </w:pPr>
    </w:p>
    <w:p w14:paraId="1F93EE24" w14:textId="77777777" w:rsidR="00A37A64" w:rsidRDefault="00A37A64">
      <w:pPr>
        <w:pStyle w:val="Body"/>
        <w:rPr>
          <w:u w:val="single"/>
        </w:rPr>
      </w:pPr>
    </w:p>
    <w:p w14:paraId="35965E72" w14:textId="77777777" w:rsidR="00A37A64" w:rsidRDefault="00A37A64">
      <w:pPr>
        <w:pStyle w:val="Body"/>
        <w:rPr>
          <w:u w:val="single"/>
        </w:rPr>
      </w:pPr>
    </w:p>
    <w:p w14:paraId="1F08AEBC" w14:textId="77777777" w:rsidR="00A37A64" w:rsidRDefault="00A37A64">
      <w:pPr>
        <w:pStyle w:val="Body"/>
        <w:rPr>
          <w:u w:val="single"/>
        </w:rPr>
      </w:pPr>
    </w:p>
    <w:p w14:paraId="2669304E" w14:textId="77777777" w:rsidR="00A37A64" w:rsidRDefault="00A37A64">
      <w:pPr>
        <w:pStyle w:val="Body"/>
        <w:rPr>
          <w:u w:val="single"/>
        </w:rPr>
      </w:pPr>
    </w:p>
    <w:p w14:paraId="35CE810F" w14:textId="77777777" w:rsidR="00A37A64" w:rsidRDefault="00A37A64">
      <w:pPr>
        <w:pStyle w:val="Body"/>
        <w:rPr>
          <w:u w:val="single"/>
        </w:rPr>
      </w:pPr>
    </w:p>
    <w:p w14:paraId="1F5715D1" w14:textId="77777777" w:rsidR="00A37A64" w:rsidRDefault="00A37A64">
      <w:pPr>
        <w:pStyle w:val="Body"/>
        <w:rPr>
          <w:u w:val="single"/>
        </w:rPr>
      </w:pPr>
    </w:p>
    <w:p w14:paraId="1789E31F" w14:textId="77777777" w:rsidR="00A37A64" w:rsidRDefault="00A37A64">
      <w:pPr>
        <w:pStyle w:val="Body"/>
        <w:rPr>
          <w:u w:val="single"/>
        </w:rPr>
      </w:pPr>
    </w:p>
    <w:p w14:paraId="2B12384C" w14:textId="77777777" w:rsidR="00A37A64" w:rsidRDefault="00A37A64">
      <w:pPr>
        <w:pStyle w:val="Body"/>
        <w:rPr>
          <w:u w:val="single"/>
        </w:rPr>
      </w:pPr>
    </w:p>
    <w:p w14:paraId="141122F5" w14:textId="77777777" w:rsidR="00A37A64" w:rsidRDefault="00A37A64">
      <w:pPr>
        <w:pStyle w:val="Body"/>
        <w:rPr>
          <w:u w:val="single"/>
        </w:rPr>
      </w:pPr>
    </w:p>
    <w:p w14:paraId="1AD1CC87" w14:textId="77777777" w:rsidR="00A37A64" w:rsidRDefault="00A37A64">
      <w:pPr>
        <w:pStyle w:val="Body"/>
        <w:rPr>
          <w:u w:val="single"/>
        </w:rPr>
      </w:pPr>
    </w:p>
    <w:p w14:paraId="7F366831" w14:textId="77777777" w:rsidR="00A37A64" w:rsidRDefault="00A37A64">
      <w:pPr>
        <w:pStyle w:val="Body"/>
        <w:rPr>
          <w:u w:val="single"/>
        </w:rPr>
      </w:pPr>
    </w:p>
    <w:p w14:paraId="1BDB0E49" w14:textId="77777777" w:rsidR="00A37A64" w:rsidRDefault="00A37A64">
      <w:pPr>
        <w:pStyle w:val="Body"/>
        <w:rPr>
          <w:u w:val="single"/>
        </w:rPr>
      </w:pPr>
    </w:p>
    <w:p w14:paraId="7F57DCEB" w14:textId="77777777" w:rsidR="00A37A64" w:rsidRDefault="00A37A64">
      <w:pPr>
        <w:pStyle w:val="Body"/>
        <w:rPr>
          <w:u w:val="single"/>
        </w:rPr>
      </w:pPr>
    </w:p>
    <w:p w14:paraId="1F4D0631" w14:textId="77777777" w:rsidR="00A37A64" w:rsidRDefault="00A37A64">
      <w:pPr>
        <w:pStyle w:val="Body"/>
        <w:rPr>
          <w:u w:val="single"/>
        </w:rPr>
      </w:pPr>
    </w:p>
    <w:p w14:paraId="41EC9C18" w14:textId="68C316C2" w:rsidR="00857BEE" w:rsidRDefault="00A37A64">
      <w:pPr>
        <w:pStyle w:val="Body"/>
        <w:rPr>
          <w:u w:val="single"/>
        </w:rPr>
      </w:pPr>
      <w:r>
        <w:rPr>
          <w:u w:val="single"/>
        </w:rPr>
        <w:t>Bibliography</w:t>
      </w:r>
    </w:p>
    <w:p w14:paraId="2D2D1BDD" w14:textId="77777777" w:rsidR="00857BEE" w:rsidRDefault="00857BEE">
      <w:pPr>
        <w:pStyle w:val="Body"/>
      </w:pPr>
    </w:p>
    <w:p w14:paraId="3692AA47" w14:textId="77777777" w:rsidR="00857BEE" w:rsidRDefault="00A37A64">
      <w:pPr>
        <w:pStyle w:val="Footnote"/>
      </w:pPr>
      <w:r>
        <w:rPr>
          <w:rFonts w:eastAsia="Arial Unicode MS" w:cs="Arial Unicode MS"/>
        </w:rPr>
        <w:t xml:space="preserve">Curry, Patrick (2024) </w:t>
      </w:r>
      <w:r>
        <w:rPr>
          <w:rFonts w:eastAsia="Arial Unicode MS" w:cs="Arial Unicode MS"/>
          <w:i/>
          <w:iCs/>
        </w:rPr>
        <w:t>Prophecy and Power: Astrology in Early Modern England</w:t>
      </w:r>
      <w:r>
        <w:rPr>
          <w:rFonts w:eastAsia="Arial Unicode MS" w:cs="Arial Unicode MS"/>
        </w:rPr>
        <w:t xml:space="preserve">, </w:t>
      </w:r>
      <w:proofErr w:type="spellStart"/>
      <w:r>
        <w:rPr>
          <w:rFonts w:eastAsia="Arial Unicode MS" w:cs="Arial Unicode MS"/>
        </w:rPr>
        <w:t>Lampter</w:t>
      </w:r>
      <w:proofErr w:type="spellEnd"/>
      <w:r>
        <w:rPr>
          <w:rFonts w:eastAsia="Arial Unicode MS" w:cs="Arial Unicode MS"/>
        </w:rPr>
        <w:t>, Sophia Centre Press</w:t>
      </w:r>
    </w:p>
    <w:p w14:paraId="339B3A17" w14:textId="77777777" w:rsidR="00857BEE" w:rsidRDefault="00857BEE">
      <w:pPr>
        <w:pStyle w:val="Footnote"/>
      </w:pPr>
    </w:p>
    <w:p w14:paraId="65104517" w14:textId="77777777" w:rsidR="00857BEE" w:rsidRDefault="00A37A64">
      <w:pPr>
        <w:pStyle w:val="Footnote"/>
      </w:pPr>
      <w:r>
        <w:rPr>
          <w:rFonts w:eastAsia="Arial Unicode MS" w:cs="Arial Unicode MS"/>
        </w:rPr>
        <w:t xml:space="preserve">French, Roger, </w:t>
      </w:r>
      <w:r>
        <w:rPr>
          <w:rFonts w:eastAsia="Arial Unicode MS" w:cs="Arial Unicode MS"/>
          <w:i/>
          <w:iCs/>
        </w:rPr>
        <w:t>Foretelling the Future: Arabic Astrology and English Medicine in the Late Twelfth Century</w:t>
      </w:r>
      <w:r>
        <w:rPr>
          <w:rFonts w:eastAsia="Arial Unicode MS" w:cs="Arial Unicode MS"/>
        </w:rPr>
        <w:t>, Isis 87, no 3 1996</w:t>
      </w:r>
    </w:p>
    <w:p w14:paraId="3C378129" w14:textId="77777777" w:rsidR="00857BEE" w:rsidRDefault="00857BEE">
      <w:pPr>
        <w:pStyle w:val="Footnote"/>
      </w:pPr>
    </w:p>
    <w:p w14:paraId="3862DAC3" w14:textId="77777777" w:rsidR="00857BEE" w:rsidRDefault="00A37A64">
      <w:pPr>
        <w:pStyle w:val="Footnote"/>
      </w:pPr>
      <w:r>
        <w:rPr>
          <w:rFonts w:eastAsia="Arial Unicode MS" w:cs="Arial Unicode MS"/>
        </w:rPr>
        <w:t xml:space="preserve">Geneva, Ann (1995) </w:t>
      </w:r>
      <w:r>
        <w:rPr>
          <w:rFonts w:eastAsia="Arial Unicode MS" w:cs="Arial Unicode MS"/>
          <w:i/>
          <w:iCs/>
        </w:rPr>
        <w:t>Astrology and the Seventeenth Century Mind: William Lilly and the Language of the Stars</w:t>
      </w:r>
      <w:r>
        <w:rPr>
          <w:rFonts w:eastAsia="Arial Unicode MS" w:cs="Arial Unicode MS"/>
        </w:rPr>
        <w:t xml:space="preserve"> Manchester, Manchester University Press</w:t>
      </w:r>
    </w:p>
    <w:p w14:paraId="436F2EA6" w14:textId="77777777" w:rsidR="00857BEE" w:rsidRDefault="00857BEE">
      <w:pPr>
        <w:pStyle w:val="Footnote"/>
      </w:pPr>
    </w:p>
    <w:p w14:paraId="1B5D7EE8" w14:textId="77777777" w:rsidR="00857BEE" w:rsidRDefault="00A37A64">
      <w:pPr>
        <w:pStyle w:val="Footnote"/>
      </w:pPr>
      <w:r>
        <w:rPr>
          <w:rFonts w:eastAsia="Arial Unicode MS" w:cs="Arial Unicode MS"/>
        </w:rPr>
        <w:t xml:space="preserve">Mitchell, Chris (2021) </w:t>
      </w:r>
      <w:r>
        <w:rPr>
          <w:rFonts w:eastAsia="Arial Unicode MS" w:cs="Arial Unicode MS"/>
          <w:i/>
          <w:iCs/>
        </w:rPr>
        <w:t>England</w:t>
      </w:r>
      <w:r>
        <w:rPr>
          <w:rFonts w:eastAsia="Arial Unicode MS" w:cs="Arial Unicode MS"/>
          <w:i/>
          <w:iCs/>
        </w:rPr>
        <w:t>’</w:t>
      </w:r>
      <w:r>
        <w:rPr>
          <w:rFonts w:eastAsia="Arial Unicode MS" w:cs="Arial Unicode MS"/>
          <w:i/>
          <w:iCs/>
        </w:rPr>
        <w:t>s First Astrology Book: Roger of Hereford</w:t>
      </w:r>
      <w:r>
        <w:rPr>
          <w:rFonts w:eastAsia="Arial Unicode MS" w:cs="Arial Unicode MS"/>
          <w:i/>
          <w:iCs/>
        </w:rPr>
        <w:t>’</w:t>
      </w:r>
      <w:r>
        <w:rPr>
          <w:rFonts w:eastAsia="Arial Unicode MS" w:cs="Arial Unicode MS"/>
          <w:i/>
          <w:iCs/>
        </w:rPr>
        <w:t>s Judicial Astrology</w:t>
      </w:r>
      <w:r>
        <w:rPr>
          <w:rFonts w:eastAsia="Arial Unicode MS" w:cs="Arial Unicode MS"/>
        </w:rPr>
        <w:t xml:space="preserve">, Leicester, </w:t>
      </w:r>
      <w:proofErr w:type="spellStart"/>
      <w:r>
        <w:rPr>
          <w:rFonts w:eastAsia="Arial Unicode MS" w:cs="Arial Unicode MS"/>
        </w:rPr>
        <w:t>Almuten</w:t>
      </w:r>
      <w:proofErr w:type="spellEnd"/>
      <w:r>
        <w:rPr>
          <w:rFonts w:eastAsia="Arial Unicode MS" w:cs="Arial Unicode MS"/>
        </w:rPr>
        <w:t xml:space="preserve"> </w:t>
      </w:r>
      <w:proofErr w:type="spellStart"/>
      <w:r>
        <w:rPr>
          <w:rFonts w:eastAsia="Arial Unicode MS" w:cs="Arial Unicode MS"/>
        </w:rPr>
        <w:t>Figuris</w:t>
      </w:r>
      <w:proofErr w:type="spellEnd"/>
    </w:p>
    <w:p w14:paraId="6CDA53A2" w14:textId="77777777" w:rsidR="00857BEE" w:rsidRDefault="00857BEE">
      <w:pPr>
        <w:pStyle w:val="Footnote"/>
      </w:pPr>
    </w:p>
    <w:p w14:paraId="0EC76763" w14:textId="77777777" w:rsidR="00857BEE" w:rsidRDefault="00A37A64">
      <w:pPr>
        <w:pStyle w:val="Footnote"/>
      </w:pPr>
      <w:r>
        <w:rPr>
          <w:rFonts w:eastAsia="Arial Unicode MS" w:cs="Arial Unicode MS"/>
        </w:rPr>
        <w:t xml:space="preserve">Pfeffer, Michelle </w:t>
      </w:r>
      <w:r>
        <w:rPr>
          <w:rFonts w:eastAsia="Arial Unicode MS" w:cs="Arial Unicode MS"/>
          <w:i/>
          <w:iCs/>
        </w:rPr>
        <w:t>Reassessing the Marginalization of Astrology in the Early Modern World,</w:t>
      </w:r>
      <w:r>
        <w:rPr>
          <w:rFonts w:eastAsia="Arial Unicode MS" w:cs="Arial Unicode MS"/>
        </w:rPr>
        <w:t xml:space="preserve"> The Historical Journal 66, no 5 (2023)</w:t>
      </w:r>
    </w:p>
    <w:p w14:paraId="12D60C6C" w14:textId="77777777" w:rsidR="00857BEE" w:rsidRDefault="00857BEE">
      <w:pPr>
        <w:pStyle w:val="Footnote"/>
      </w:pPr>
    </w:p>
    <w:p w14:paraId="38A73B57" w14:textId="77777777" w:rsidR="00857BEE" w:rsidRDefault="00A37A64">
      <w:pPr>
        <w:pStyle w:val="Footnote"/>
      </w:pPr>
      <w:r>
        <w:rPr>
          <w:rFonts w:eastAsia="Arial Unicode MS" w:cs="Arial Unicode MS"/>
        </w:rPr>
        <w:t xml:space="preserve">Popper, Karl (2002) </w:t>
      </w:r>
      <w:r>
        <w:rPr>
          <w:rFonts w:eastAsia="Arial Unicode MS" w:cs="Arial Unicode MS"/>
          <w:i/>
          <w:iCs/>
        </w:rPr>
        <w:t>Conjectures and Refutations: The Growth of Scientific Knowledge</w:t>
      </w:r>
      <w:r>
        <w:rPr>
          <w:rFonts w:eastAsia="Arial Unicode MS" w:cs="Arial Unicode MS"/>
        </w:rPr>
        <w:t>, London, Routledge</w:t>
      </w:r>
    </w:p>
    <w:p w14:paraId="029C439D" w14:textId="77777777" w:rsidR="00857BEE" w:rsidRDefault="00857BEE">
      <w:pPr>
        <w:pStyle w:val="Footnote"/>
      </w:pPr>
    </w:p>
    <w:p w14:paraId="3FDA8AB1" w14:textId="77777777" w:rsidR="00857BEE" w:rsidRDefault="00A37A64">
      <w:pPr>
        <w:pStyle w:val="Footnote"/>
      </w:pPr>
      <w:r>
        <w:rPr>
          <w:rFonts w:eastAsia="Arial Unicode MS" w:cs="Arial Unicode MS"/>
        </w:rPr>
        <w:t xml:space="preserve">Rutkin, H Darrel, </w:t>
      </w:r>
      <w:r>
        <w:rPr>
          <w:rFonts w:eastAsia="Arial Unicode MS" w:cs="Arial Unicode MS"/>
          <w:i/>
          <w:iCs/>
        </w:rPr>
        <w:t>How to Accurately Account for Astrology</w:t>
      </w:r>
      <w:r>
        <w:rPr>
          <w:rFonts w:eastAsia="Arial Unicode MS" w:cs="Arial Unicode MS"/>
          <w:i/>
          <w:iCs/>
          <w:rtl/>
        </w:rPr>
        <w:t>’</w:t>
      </w:r>
      <w:r>
        <w:rPr>
          <w:rFonts w:eastAsia="Arial Unicode MS" w:cs="Arial Unicode MS"/>
          <w:i/>
          <w:iCs/>
        </w:rPr>
        <w:t>s Marginalization in the History of Science and Culture: The Central Importance of an Interpretive Framework</w:t>
      </w:r>
      <w:r>
        <w:rPr>
          <w:rFonts w:eastAsia="Arial Unicode MS" w:cs="Arial Unicode MS"/>
        </w:rPr>
        <w:t xml:space="preserve"> in </w:t>
      </w:r>
      <w:r>
        <w:rPr>
          <w:rFonts w:eastAsia="Arial Unicode MS" w:cs="Arial Unicode MS"/>
          <w:i/>
          <w:iCs/>
        </w:rPr>
        <w:t xml:space="preserve">Early Science and medicine 23 (2018) </w:t>
      </w:r>
      <w:r>
        <w:rPr>
          <w:rFonts w:eastAsia="Arial Unicode MS" w:cs="Arial Unicode MS"/>
        </w:rPr>
        <w:t>Leiden, Brill</w:t>
      </w:r>
    </w:p>
    <w:p w14:paraId="3E078C08" w14:textId="77777777" w:rsidR="00857BEE" w:rsidRDefault="00857BEE">
      <w:pPr>
        <w:pStyle w:val="Footnote"/>
      </w:pPr>
    </w:p>
    <w:p w14:paraId="4293F6AF" w14:textId="77777777" w:rsidR="00857BEE" w:rsidRDefault="00A37A64">
      <w:pPr>
        <w:pStyle w:val="Footnote"/>
      </w:pPr>
      <w:r>
        <w:rPr>
          <w:rFonts w:eastAsia="Arial Unicode MS" w:cs="Arial Unicode MS"/>
        </w:rPr>
        <w:t xml:space="preserve">Thomas, Keith (1988) </w:t>
      </w:r>
      <w:r>
        <w:rPr>
          <w:rFonts w:eastAsia="Arial Unicode MS" w:cs="Arial Unicode MS"/>
          <w:i/>
          <w:iCs/>
        </w:rPr>
        <w:t xml:space="preserve">Religion and the Decline of Magic </w:t>
      </w:r>
      <w:r>
        <w:rPr>
          <w:rFonts w:eastAsia="Arial Unicode MS" w:cs="Arial Unicode MS"/>
        </w:rPr>
        <w:t>Harmondsworth, Penguin</w:t>
      </w:r>
    </w:p>
    <w:p w14:paraId="416B6101" w14:textId="77777777" w:rsidR="00857BEE" w:rsidRDefault="00857BEE">
      <w:pPr>
        <w:pStyle w:val="Footnote"/>
      </w:pPr>
    </w:p>
    <w:p w14:paraId="4F753D80" w14:textId="77777777" w:rsidR="00857BEE" w:rsidRDefault="00857BEE">
      <w:pPr>
        <w:pStyle w:val="Footnote"/>
      </w:pPr>
    </w:p>
    <w:p w14:paraId="5FC5450B" w14:textId="77777777" w:rsidR="00857BEE" w:rsidRDefault="00A37A64">
      <w:pPr>
        <w:pStyle w:val="Footnote"/>
        <w:rPr>
          <w:u w:val="single"/>
        </w:rPr>
      </w:pPr>
      <w:r>
        <w:rPr>
          <w:u w:val="single"/>
        </w:rPr>
        <w:t>Websites</w:t>
      </w:r>
    </w:p>
    <w:p w14:paraId="2DF6A644" w14:textId="77777777" w:rsidR="00857BEE" w:rsidRDefault="00857BEE">
      <w:pPr>
        <w:pStyle w:val="Footnote"/>
      </w:pPr>
    </w:p>
    <w:p w14:paraId="6A554E6D" w14:textId="77777777" w:rsidR="00857BEE" w:rsidRDefault="00A37A64">
      <w:pPr>
        <w:pStyle w:val="Footnote"/>
      </w:pPr>
      <w:r>
        <w:rPr>
          <w:rFonts w:eastAsia="Arial Unicode MS" w:cs="Arial Unicode MS"/>
        </w:rPr>
        <w:t>https://www.magd.ox.ac.uk/people/dr-michelle-aroney</w:t>
      </w:r>
    </w:p>
    <w:p w14:paraId="65AE8FA0" w14:textId="77777777" w:rsidR="00857BEE" w:rsidRDefault="00857BEE">
      <w:pPr>
        <w:pStyle w:val="Footnote"/>
      </w:pPr>
    </w:p>
    <w:p w14:paraId="74C8D9C5" w14:textId="77777777" w:rsidR="00857BEE" w:rsidRDefault="00A37A64">
      <w:pPr>
        <w:pStyle w:val="Footnote"/>
      </w:pPr>
      <w:r>
        <w:rPr>
          <w:rFonts w:eastAsia="Arial Unicode MS" w:cs="Arial Unicode MS"/>
        </w:rPr>
        <w:t>https://nicholaswhyte.info/roger.htm</w:t>
      </w:r>
    </w:p>
    <w:p w14:paraId="585742F1" w14:textId="77777777" w:rsidR="00857BEE" w:rsidRDefault="00857BEE">
      <w:pPr>
        <w:pStyle w:val="Footnote"/>
      </w:pPr>
    </w:p>
    <w:p w14:paraId="26AFF271" w14:textId="77777777" w:rsidR="00857BEE" w:rsidRDefault="00A37A64">
      <w:pPr>
        <w:pStyle w:val="Footnote"/>
      </w:pPr>
      <w:r>
        <w:rPr>
          <w:rFonts w:eastAsia="Arial Unicode MS" w:cs="Arial Unicode MS"/>
        </w:rPr>
        <w:t>https://www.cambridge.org/core/journals/medical-history/article/roger-french12-april-193814-may-2002/C248E32CB5F0AEF06720B34F6B6D192B</w:t>
      </w:r>
    </w:p>
    <w:sectPr w:rsidR="00857BEE">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6857D" w14:textId="77777777" w:rsidR="00A37A64" w:rsidRDefault="00A37A64">
      <w:r>
        <w:separator/>
      </w:r>
    </w:p>
  </w:endnote>
  <w:endnote w:type="continuationSeparator" w:id="0">
    <w:p w14:paraId="311E16F0" w14:textId="77777777" w:rsidR="00A37A64" w:rsidRDefault="00A3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Arial"/>
    <w:charset w:val="00"/>
    <w:family w:val="roman"/>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BBF92" w14:textId="77777777" w:rsidR="00857BEE" w:rsidRDefault="00A37A64">
    <w:pPr>
      <w:pStyle w:val="HeaderFooter"/>
      <w:tabs>
        <w:tab w:val="clear" w:pos="9020"/>
        <w:tab w:val="center" w:pos="4680"/>
        <w:tab w:val="right" w:pos="9360"/>
      </w:tabs>
    </w:pPr>
    <w:r>
      <w:tab/>
    </w:r>
    <w:r>
      <w:fldChar w:fldCharType="begin"/>
    </w:r>
    <w:r>
      <w:instrText xml:space="preserve"> PAGE </w:instrText>
    </w:r>
    <w:r>
      <w:fldChar w:fldCharType="separate"/>
    </w:r>
    <w:r w:rsidR="005C1849">
      <w:rPr>
        <w:noProof/>
      </w:rPr>
      <w:t>1</w:t>
    </w:r>
    <w:r>
      <w:fldChar w:fldCharType="end"/>
    </w:r>
    <w:r>
      <w:t xml:space="preserve"> of </w:t>
    </w:r>
    <w:r>
      <w:fldChar w:fldCharType="begin"/>
    </w:r>
    <w:r>
      <w:instrText xml:space="preserve"> NUMPAGES </w:instrText>
    </w:r>
    <w:r>
      <w:fldChar w:fldCharType="separate"/>
    </w:r>
    <w:r w:rsidR="005C184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A5B2DC" w14:textId="77777777" w:rsidR="00857BEE" w:rsidRDefault="00A37A64">
      <w:r>
        <w:separator/>
      </w:r>
    </w:p>
  </w:footnote>
  <w:footnote w:type="continuationSeparator" w:id="0">
    <w:p w14:paraId="1B636482" w14:textId="77777777" w:rsidR="00857BEE" w:rsidRDefault="00A37A64">
      <w:r>
        <w:continuationSeparator/>
      </w:r>
    </w:p>
  </w:footnote>
  <w:footnote w:type="continuationNotice" w:id="1">
    <w:p w14:paraId="3B395D2D" w14:textId="77777777" w:rsidR="00857BEE" w:rsidRDefault="00857BEE"/>
  </w:footnote>
  <w:footnote w:id="2">
    <w:p w14:paraId="620C3CD3" w14:textId="77777777" w:rsidR="00857BEE" w:rsidRDefault="00A37A64">
      <w:pPr>
        <w:pStyle w:val="Footnote"/>
      </w:pPr>
      <w:r>
        <w:rPr>
          <w:vertAlign w:val="superscript"/>
        </w:rPr>
        <w:footnoteRef/>
      </w:r>
      <w:r>
        <w:rPr>
          <w:rFonts w:eastAsia="Arial Unicode MS" w:cs="Arial Unicode MS"/>
        </w:rPr>
        <w:t xml:space="preserve">French, Roger, </w:t>
      </w:r>
      <w:r>
        <w:rPr>
          <w:rFonts w:eastAsia="Arial Unicode MS" w:cs="Arial Unicode MS"/>
          <w:i/>
          <w:iCs/>
        </w:rPr>
        <w:t>Foretelling the Future: Arabic Astrology and English Medicine in the Late Twelfth Century</w:t>
      </w:r>
      <w:r>
        <w:rPr>
          <w:rFonts w:eastAsia="Arial Unicode MS" w:cs="Arial Unicode MS"/>
        </w:rPr>
        <w:t>, Isis 87, no 3 1996. pp453-480</w:t>
      </w:r>
    </w:p>
  </w:footnote>
  <w:footnote w:id="3">
    <w:p w14:paraId="0A864279"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Pfeffer, Michelle </w:t>
      </w:r>
      <w:r>
        <w:rPr>
          <w:rFonts w:eastAsia="Arial Unicode MS" w:cs="Arial Unicode MS"/>
          <w:i/>
          <w:iCs/>
        </w:rPr>
        <w:t xml:space="preserve">Reassessing the Marginalization of Astrology in the Early Modern </w:t>
      </w:r>
      <w:proofErr w:type="spellStart"/>
      <w:proofErr w:type="gramStart"/>
      <w:r>
        <w:rPr>
          <w:rFonts w:eastAsia="Arial Unicode MS" w:cs="Arial Unicode MS"/>
          <w:i/>
          <w:iCs/>
        </w:rPr>
        <w:t>World</w:t>
      </w:r>
      <w:r>
        <w:rPr>
          <w:rFonts w:eastAsia="Arial Unicode MS" w:cs="Arial Unicode MS"/>
        </w:rPr>
        <w:t>,The</w:t>
      </w:r>
      <w:proofErr w:type="spellEnd"/>
      <w:proofErr w:type="gramEnd"/>
      <w:r>
        <w:rPr>
          <w:rFonts w:eastAsia="Arial Unicode MS" w:cs="Arial Unicode MS"/>
        </w:rPr>
        <w:t xml:space="preserve"> Historical Journal 66, no 5 (2023): pp1152-1176</w:t>
      </w:r>
    </w:p>
  </w:footnote>
  <w:footnote w:id="4">
    <w:p w14:paraId="5BB0CAF0" w14:textId="77777777" w:rsidR="00857BEE" w:rsidRDefault="00A37A64">
      <w:pPr>
        <w:pStyle w:val="Footnote"/>
      </w:pPr>
      <w:r>
        <w:rPr>
          <w:vertAlign w:val="superscript"/>
        </w:rPr>
        <w:footnoteRef/>
      </w:r>
      <w:r>
        <w:rPr>
          <w:rFonts w:eastAsia="Arial Unicode MS" w:cs="Arial Unicode MS"/>
        </w:rPr>
        <w:t xml:space="preserve"> https://www.cambridge.org/core/journals/medical-history/article/roger-french12-april-193814-may-2002/C248E32CB5F0AEF06720B34F6B6D192B</w:t>
      </w:r>
    </w:p>
  </w:footnote>
  <w:footnote w:id="5">
    <w:p w14:paraId="28662EC2" w14:textId="77777777" w:rsidR="00857BEE" w:rsidRDefault="00A37A64">
      <w:pPr>
        <w:pStyle w:val="Footnote"/>
      </w:pPr>
      <w:r>
        <w:rPr>
          <w:vertAlign w:val="superscript"/>
        </w:rPr>
        <w:footnoteRef/>
      </w:r>
      <w:r>
        <w:rPr>
          <w:rFonts w:eastAsia="Arial Unicode MS" w:cs="Arial Unicode MS"/>
        </w:rPr>
        <w:t xml:space="preserve"> https://www.magd.ox.ac.uk/people/dr-michelle-aroney/</w:t>
      </w:r>
    </w:p>
  </w:footnote>
  <w:footnote w:id="6">
    <w:p w14:paraId="731C8C95"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See Mitchell, Chris (2021) </w:t>
      </w:r>
      <w:r>
        <w:rPr>
          <w:rFonts w:eastAsia="Arial Unicode MS" w:cs="Arial Unicode MS"/>
          <w:i/>
          <w:iCs/>
        </w:rPr>
        <w:t>England</w:t>
      </w:r>
      <w:r>
        <w:rPr>
          <w:rFonts w:eastAsia="Arial Unicode MS" w:cs="Arial Unicode MS"/>
          <w:i/>
          <w:iCs/>
        </w:rPr>
        <w:t>’</w:t>
      </w:r>
      <w:r>
        <w:rPr>
          <w:rFonts w:eastAsia="Arial Unicode MS" w:cs="Arial Unicode MS"/>
          <w:i/>
          <w:iCs/>
        </w:rPr>
        <w:t>s First Astrology Book: Roger of Hereford</w:t>
      </w:r>
      <w:r>
        <w:rPr>
          <w:rFonts w:eastAsia="Arial Unicode MS" w:cs="Arial Unicode MS"/>
          <w:i/>
          <w:iCs/>
        </w:rPr>
        <w:t>’</w:t>
      </w:r>
      <w:r>
        <w:rPr>
          <w:rFonts w:eastAsia="Arial Unicode MS" w:cs="Arial Unicode MS"/>
          <w:i/>
          <w:iCs/>
        </w:rPr>
        <w:t>s Judicial Astrology</w:t>
      </w:r>
      <w:r>
        <w:rPr>
          <w:rFonts w:eastAsia="Arial Unicode MS" w:cs="Arial Unicode MS"/>
        </w:rPr>
        <w:t xml:space="preserve">, Leicester, </w:t>
      </w:r>
      <w:proofErr w:type="spellStart"/>
      <w:r>
        <w:rPr>
          <w:rFonts w:eastAsia="Arial Unicode MS" w:cs="Arial Unicode MS"/>
        </w:rPr>
        <w:t>Almuten</w:t>
      </w:r>
      <w:proofErr w:type="spellEnd"/>
      <w:r>
        <w:rPr>
          <w:rFonts w:eastAsia="Arial Unicode MS" w:cs="Arial Unicode MS"/>
        </w:rPr>
        <w:t xml:space="preserve"> </w:t>
      </w:r>
      <w:proofErr w:type="spellStart"/>
      <w:r>
        <w:rPr>
          <w:rFonts w:eastAsia="Arial Unicode MS" w:cs="Arial Unicode MS"/>
        </w:rPr>
        <w:t>Figuris</w:t>
      </w:r>
      <w:proofErr w:type="spellEnd"/>
      <w:r>
        <w:rPr>
          <w:rFonts w:eastAsia="Arial Unicode MS" w:cs="Arial Unicode MS"/>
        </w:rPr>
        <w:t>. p219</w:t>
      </w:r>
    </w:p>
  </w:footnote>
  <w:footnote w:id="7">
    <w:p w14:paraId="294A349B"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French p470 </w:t>
      </w:r>
    </w:p>
  </w:footnote>
  <w:footnote w:id="8">
    <w:p w14:paraId="1ED0D72E" w14:textId="77777777" w:rsidR="00857BEE" w:rsidRDefault="00A37A64">
      <w:pPr>
        <w:pStyle w:val="Footnote"/>
      </w:pPr>
      <w:r>
        <w:rPr>
          <w:vertAlign w:val="superscript"/>
        </w:rPr>
        <w:footnoteRef/>
      </w:r>
      <w:r>
        <w:rPr>
          <w:rFonts w:eastAsia="Arial Unicode MS" w:cs="Arial Unicode MS"/>
        </w:rPr>
        <w:t xml:space="preserve"> https://nicholaswhyte.info/roger.htm</w:t>
      </w:r>
    </w:p>
  </w:footnote>
  <w:footnote w:id="9">
    <w:p w14:paraId="4CDBD461"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Geneva, Ann (1995) </w:t>
      </w:r>
      <w:r>
        <w:rPr>
          <w:rFonts w:eastAsia="Arial Unicode MS" w:cs="Arial Unicode MS"/>
          <w:i/>
          <w:iCs/>
        </w:rPr>
        <w:t>Astrology and the Seventeenth Century Mind: William Lilly and the Language of the Stars</w:t>
      </w:r>
      <w:r>
        <w:rPr>
          <w:rFonts w:eastAsia="Arial Unicode MS" w:cs="Arial Unicode MS"/>
        </w:rPr>
        <w:t xml:space="preserve"> Manchester, Manchester University Press. p xiv</w:t>
      </w:r>
    </w:p>
  </w:footnote>
  <w:footnote w:id="10">
    <w:p w14:paraId="286F70D2"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Thomas, Keith (1988) </w:t>
      </w:r>
      <w:r>
        <w:rPr>
          <w:rFonts w:eastAsia="Arial Unicode MS" w:cs="Arial Unicode MS"/>
          <w:i/>
          <w:iCs/>
        </w:rPr>
        <w:t xml:space="preserve">Religion and the Decline of Magic </w:t>
      </w:r>
      <w:r>
        <w:rPr>
          <w:rFonts w:eastAsia="Arial Unicode MS" w:cs="Arial Unicode MS"/>
        </w:rPr>
        <w:t>Harmondsworth, Penguin, p ix</w:t>
      </w:r>
    </w:p>
  </w:footnote>
  <w:footnote w:id="11">
    <w:p w14:paraId="5647EB20"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French p476  </w:t>
      </w:r>
    </w:p>
  </w:footnote>
  <w:footnote w:id="12">
    <w:p w14:paraId="2014055E"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p1168</w:t>
      </w:r>
    </w:p>
  </w:footnote>
  <w:footnote w:id="13">
    <w:p w14:paraId="3B1E995A"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p1153</w:t>
      </w:r>
    </w:p>
  </w:footnote>
  <w:footnote w:id="14">
    <w:p w14:paraId="1FEDDFFF"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p1155</w:t>
      </w:r>
    </w:p>
  </w:footnote>
  <w:footnote w:id="15">
    <w:p w14:paraId="03B70C5D"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p1155</w:t>
      </w:r>
    </w:p>
  </w:footnote>
  <w:footnote w:id="16">
    <w:p w14:paraId="2061ED48"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p1155</w:t>
      </w:r>
    </w:p>
  </w:footnote>
  <w:footnote w:id="17">
    <w:p w14:paraId="67D89E0C"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p1156</w:t>
      </w:r>
    </w:p>
  </w:footnote>
  <w:footnote w:id="18">
    <w:p w14:paraId="7C3429B7"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p1175</w:t>
      </w:r>
    </w:p>
  </w:footnote>
  <w:footnote w:id="19">
    <w:p w14:paraId="78315F3E"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Pfeffer p1171</w:t>
      </w:r>
    </w:p>
  </w:footnote>
  <w:footnote w:id="20">
    <w:p w14:paraId="191FC0D7"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French p455</w:t>
      </w:r>
    </w:p>
  </w:footnote>
  <w:footnote w:id="21">
    <w:p w14:paraId="7235C08F"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French p470</w:t>
      </w:r>
    </w:p>
  </w:footnote>
  <w:footnote w:id="22">
    <w:p w14:paraId="13292098"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Popper, Karl (2002) </w:t>
      </w:r>
      <w:r>
        <w:rPr>
          <w:rFonts w:eastAsia="Arial Unicode MS" w:cs="Arial Unicode MS"/>
          <w:i/>
          <w:iCs/>
        </w:rPr>
        <w:t xml:space="preserve">Conjectures and </w:t>
      </w:r>
      <w:r>
        <w:rPr>
          <w:rFonts w:eastAsia="Arial Unicode MS" w:cs="Arial Unicode MS"/>
          <w:i/>
          <w:iCs/>
        </w:rPr>
        <w:t>Refutations: The Growth of Scientific Knowledge</w:t>
      </w:r>
      <w:r>
        <w:rPr>
          <w:rFonts w:eastAsia="Arial Unicode MS" w:cs="Arial Unicode MS"/>
        </w:rPr>
        <w:t>, London, Routledge. p49</w:t>
      </w:r>
    </w:p>
  </w:footnote>
  <w:footnote w:id="23">
    <w:p w14:paraId="2BD41766"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H. Darrel Rutkin in Curry, Patrick (2024) </w:t>
      </w:r>
      <w:r>
        <w:rPr>
          <w:rFonts w:eastAsia="Arial Unicode MS" w:cs="Arial Unicode MS"/>
          <w:i/>
          <w:iCs/>
        </w:rPr>
        <w:t>Prophecy and Power: Astrology in Early Modern England</w:t>
      </w:r>
      <w:r>
        <w:rPr>
          <w:rFonts w:eastAsia="Arial Unicode MS" w:cs="Arial Unicode MS"/>
        </w:rPr>
        <w:t xml:space="preserve">, </w:t>
      </w:r>
      <w:proofErr w:type="spellStart"/>
      <w:r>
        <w:rPr>
          <w:rFonts w:eastAsia="Arial Unicode MS" w:cs="Arial Unicode MS"/>
        </w:rPr>
        <w:t>Lampter</w:t>
      </w:r>
      <w:proofErr w:type="spellEnd"/>
      <w:r>
        <w:rPr>
          <w:rFonts w:eastAsia="Arial Unicode MS" w:cs="Arial Unicode MS"/>
        </w:rPr>
        <w:t xml:space="preserve">, Sophia Centre Press. P xvii </w:t>
      </w:r>
    </w:p>
  </w:footnote>
  <w:footnote w:id="24">
    <w:p w14:paraId="02927608"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French p454</w:t>
      </w:r>
    </w:p>
  </w:footnote>
  <w:footnote w:id="25">
    <w:p w14:paraId="47C6B971" w14:textId="77777777" w:rsidR="00857BEE" w:rsidRDefault="00A37A64">
      <w:pPr>
        <w:pStyle w:val="Footnote"/>
      </w:pPr>
      <w:r>
        <w:rPr>
          <w:vertAlign w:val="superscript"/>
        </w:rPr>
        <w:footnoteRef/>
      </w:r>
      <w:r>
        <w:rPr>
          <w:rFonts w:eastAsia="Arial Unicode MS" w:cs="Arial Unicode MS"/>
        </w:rPr>
        <w:t xml:space="preserve"> </w:t>
      </w:r>
      <w:r>
        <w:rPr>
          <w:rFonts w:eastAsia="Arial Unicode MS" w:cs="Arial Unicode MS"/>
        </w:rPr>
        <w:t xml:space="preserve">Rutkin, H Darrel, </w:t>
      </w:r>
      <w:r>
        <w:rPr>
          <w:rFonts w:eastAsia="Arial Unicode MS" w:cs="Arial Unicode MS"/>
          <w:i/>
          <w:iCs/>
        </w:rPr>
        <w:t>How to Accurately Account for Astrology</w:t>
      </w:r>
      <w:r>
        <w:rPr>
          <w:rFonts w:eastAsia="Arial Unicode MS" w:cs="Arial Unicode MS"/>
          <w:i/>
          <w:iCs/>
          <w:rtl/>
        </w:rPr>
        <w:t>’</w:t>
      </w:r>
      <w:r>
        <w:rPr>
          <w:rFonts w:eastAsia="Arial Unicode MS" w:cs="Arial Unicode MS"/>
          <w:i/>
          <w:iCs/>
        </w:rPr>
        <w:t>s Marginalization in the History of Science and Culture: The Central Importance of an Interpretive Framework</w:t>
      </w:r>
      <w:r>
        <w:rPr>
          <w:rFonts w:eastAsia="Arial Unicode MS" w:cs="Arial Unicode MS"/>
        </w:rPr>
        <w:t xml:space="preserve"> in </w:t>
      </w:r>
      <w:r>
        <w:rPr>
          <w:rFonts w:eastAsia="Arial Unicode MS" w:cs="Arial Unicode MS"/>
          <w:i/>
          <w:iCs/>
        </w:rPr>
        <w:t xml:space="preserve">Early Science and medicine 23 (2018) </w:t>
      </w:r>
      <w:r>
        <w:rPr>
          <w:rFonts w:eastAsia="Arial Unicode MS" w:cs="Arial Unicode MS"/>
        </w:rPr>
        <w:t>Leiden, Brill. p217</w:t>
      </w:r>
    </w:p>
    <w:p w14:paraId="2DC50829" w14:textId="77777777" w:rsidR="00857BEE" w:rsidRDefault="00A37A64">
      <w:pPr>
        <w:pStyle w:val="Footnote"/>
      </w:pPr>
      <w:r>
        <w:rPr>
          <w:rFonts w:eastAsia="Arial Unicode MS" w:cs="Arial Unicode M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BA67A" w14:textId="77777777" w:rsidR="00857BEE" w:rsidRDefault="00857BE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BEE"/>
    <w:rsid w:val="005C1849"/>
    <w:rsid w:val="006356A6"/>
    <w:rsid w:val="00857BEE"/>
    <w:rsid w:val="00895BA5"/>
    <w:rsid w:val="00A37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43958"/>
  <w15:docId w15:val="{4D5BCB25-A79F-4F2D-9943-B9A24143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basedOn w:val="Normal"/>
    <w:link w:val="Heading3Char"/>
    <w:qFormat/>
    <w:rsid w:val="00A37A64"/>
    <w:pPr>
      <w:keepNext/>
      <w:pBdr>
        <w:top w:val="none" w:sz="0" w:space="0" w:color="auto"/>
        <w:left w:val="none" w:sz="0" w:space="0" w:color="auto"/>
        <w:bottom w:val="none" w:sz="0" w:space="0" w:color="auto"/>
        <w:right w:val="none" w:sz="0" w:space="0" w:color="auto"/>
        <w:between w:val="none" w:sz="0" w:space="0" w:color="auto"/>
        <w:bar w:val="none" w:sz="0" w:color="auto"/>
      </w:pBdr>
      <w:ind w:left="720"/>
      <w:jc w:val="both"/>
      <w:outlineLvl w:val="2"/>
    </w:pPr>
    <w:rPr>
      <w:rFonts w:ascii="Tahoma" w:eastAsia="SimSun" w:hAnsi="Tahoma" w:cs="Tahoma"/>
      <w:b/>
      <w:bCs/>
      <w:sz w:val="20"/>
      <w:szCs w:val="20"/>
      <w:bdr w:val="none" w:sz="0" w:space="0" w:color="auto"/>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Footnote">
    <w:name w:val="Footnote"/>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eading3Char">
    <w:name w:val="Heading 3 Char"/>
    <w:basedOn w:val="DefaultParagraphFont"/>
    <w:link w:val="Heading3"/>
    <w:rsid w:val="00A37A64"/>
    <w:rPr>
      <w:rFonts w:ascii="Tahoma" w:eastAsia="SimSun" w:hAnsi="Tahoma" w:cs="Tahoma"/>
      <w:b/>
      <w:bCs/>
      <w:bdr w:val="none" w:sz="0" w:space="0" w:color="auto"/>
      <w:lang w:val="en-GB" w:eastAsia="zh-CN"/>
    </w:rPr>
  </w:style>
  <w:style w:type="paragraph" w:styleId="NormalWeb">
    <w:name w:val="Normal (Web)"/>
    <w:basedOn w:val="Normal"/>
    <w:rsid w:val="00A37A6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Georgia" w:eastAsia="SimSun" w:hAnsi="Georgia"/>
      <w:color w:val="000000"/>
      <w:sz w:val="21"/>
      <w:szCs w:val="21"/>
      <w:bdr w:val="none" w:sz="0" w:space="0" w:color="auto"/>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2188</Words>
  <Characters>12476</Characters>
  <Application>Microsoft Office Word</Application>
  <DocSecurity>0</DocSecurity>
  <Lines>103</Lines>
  <Paragraphs>29</Paragraphs>
  <ScaleCrop>false</ScaleCrop>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4</cp:revision>
  <dcterms:created xsi:type="dcterms:W3CDTF">2024-11-04T22:49:00Z</dcterms:created>
  <dcterms:modified xsi:type="dcterms:W3CDTF">2024-11-04T22:55:00Z</dcterms:modified>
</cp:coreProperties>
</file>