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A281" w14:textId="063A75A1" w:rsidR="004B33A7" w:rsidRPr="004B33A7" w:rsidRDefault="004B33A7" w:rsidP="004B33A7">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Default="004B33A7" w:rsidP="004B33A7">
      <w:pPr>
        <w:rPr>
          <w:rFonts w:asciiTheme="minorBidi" w:hAnsiTheme="minorBidi"/>
          <w:b/>
          <w:bCs/>
          <w:sz w:val="36"/>
          <w:szCs w:val="36"/>
        </w:rPr>
      </w:pPr>
    </w:p>
    <w:p w14:paraId="2A2C2CA1" w14:textId="77777777" w:rsidR="004B33A7" w:rsidRPr="004B33A7" w:rsidRDefault="004B33A7" w:rsidP="004B33A7">
      <w:pPr>
        <w:rPr>
          <w:rFonts w:asciiTheme="minorBidi" w:hAnsiTheme="minorBidi"/>
          <w:b/>
          <w:bCs/>
          <w:sz w:val="48"/>
          <w:szCs w:val="48"/>
        </w:rPr>
      </w:pPr>
    </w:p>
    <w:p w14:paraId="3067B945" w14:textId="56B52862" w:rsidR="004B33A7" w:rsidRDefault="004B33A7" w:rsidP="004B37E8">
      <w:pPr>
        <w:rPr>
          <w:rFonts w:asciiTheme="minorBidi" w:hAnsiTheme="minorBidi"/>
          <w:b/>
          <w:bCs/>
          <w:color w:val="FF0000"/>
          <w:sz w:val="48"/>
          <w:szCs w:val="48"/>
        </w:rPr>
      </w:pPr>
      <w:r w:rsidRPr="00703E2E">
        <w:rPr>
          <w:rFonts w:asciiTheme="minorBidi" w:hAnsiTheme="minorBidi"/>
          <w:b/>
          <w:bCs/>
          <w:sz w:val="48"/>
          <w:szCs w:val="48"/>
        </w:rPr>
        <w:t xml:space="preserve">MODULE CODE: </w:t>
      </w:r>
      <w:r w:rsidR="00BD079C" w:rsidRPr="00703E2E">
        <w:rPr>
          <w:rFonts w:asciiTheme="minorBidi" w:hAnsiTheme="minorBidi"/>
          <w:b/>
          <w:bCs/>
          <w:color w:val="FF0000"/>
          <w:sz w:val="48"/>
          <w:szCs w:val="48"/>
        </w:rPr>
        <w:t xml:space="preserve">ECPT5002 </w:t>
      </w:r>
    </w:p>
    <w:p w14:paraId="3439193C" w14:textId="77777777" w:rsidR="004B37E8" w:rsidRPr="00703E2E" w:rsidRDefault="004B37E8" w:rsidP="004B37E8">
      <w:pPr>
        <w:rPr>
          <w:rFonts w:asciiTheme="minorBidi" w:hAnsiTheme="minorBidi"/>
          <w:sz w:val="48"/>
          <w:szCs w:val="48"/>
        </w:rPr>
      </w:pPr>
    </w:p>
    <w:p w14:paraId="163B6B74" w14:textId="6B3D839C" w:rsidR="004B33A7" w:rsidRPr="004B33A7" w:rsidRDefault="004B33A7" w:rsidP="004B33A7">
      <w:pPr>
        <w:rPr>
          <w:rFonts w:asciiTheme="minorBidi" w:hAnsiTheme="minorBidi"/>
          <w:sz w:val="48"/>
          <w:szCs w:val="48"/>
        </w:rPr>
      </w:pPr>
      <w:r w:rsidRPr="004B33A7">
        <w:rPr>
          <w:rFonts w:asciiTheme="minorBidi" w:hAnsiTheme="minorBidi"/>
          <w:b/>
          <w:bCs/>
          <w:sz w:val="48"/>
          <w:szCs w:val="48"/>
        </w:rPr>
        <w:t xml:space="preserve">ASSESSMENT COMPONENT: </w:t>
      </w:r>
      <w:r w:rsidR="00703E2E">
        <w:rPr>
          <w:rFonts w:asciiTheme="minorBidi" w:hAnsiTheme="minorBidi"/>
          <w:b/>
          <w:bCs/>
          <w:sz w:val="48"/>
          <w:szCs w:val="48"/>
        </w:rPr>
        <w:t>One</w:t>
      </w:r>
    </w:p>
    <w:p w14:paraId="0095FD63"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152673F1" w14:textId="5D601080"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004B37E8">
        <w:rPr>
          <w:rFonts w:asciiTheme="minorBidi" w:hAnsiTheme="minorBidi"/>
          <w:sz w:val="48"/>
          <w:szCs w:val="48"/>
        </w:rPr>
        <w:t>Lucy Rees</w:t>
      </w:r>
    </w:p>
    <w:p w14:paraId="7F3AA822"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2C284020" w14:textId="3C52FCB3"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sidR="004B37E8">
        <w:rPr>
          <w:rFonts w:asciiTheme="minorBidi" w:hAnsiTheme="minorBidi"/>
          <w:sz w:val="48"/>
          <w:szCs w:val="48"/>
        </w:rPr>
        <w:t>2512701</w:t>
      </w:r>
    </w:p>
    <w:p w14:paraId="35756ACA" w14:textId="77777777" w:rsidR="004B33A7" w:rsidRDefault="004B33A7" w:rsidP="004B33A7">
      <w:pPr>
        <w:rPr>
          <w:rFonts w:asciiTheme="minorBidi" w:hAnsiTheme="minorBidi"/>
          <w:b/>
          <w:bCs/>
          <w:sz w:val="28"/>
          <w:szCs w:val="28"/>
        </w:rPr>
      </w:pPr>
    </w:p>
    <w:p w14:paraId="1EBD9108" w14:textId="77777777" w:rsidR="004B33A7" w:rsidRDefault="004B33A7" w:rsidP="004B33A7">
      <w:pPr>
        <w:rPr>
          <w:rFonts w:asciiTheme="minorBidi" w:hAnsiTheme="minorBidi"/>
          <w:b/>
          <w:bCs/>
          <w:sz w:val="28"/>
          <w:szCs w:val="28"/>
        </w:rPr>
      </w:pPr>
    </w:p>
    <w:p w14:paraId="46D95522" w14:textId="77777777" w:rsidR="004B33A7" w:rsidRDefault="004B33A7" w:rsidP="004B33A7">
      <w:pPr>
        <w:rPr>
          <w:rFonts w:asciiTheme="minorBidi" w:hAnsiTheme="minorBidi"/>
          <w:b/>
          <w:bCs/>
          <w:sz w:val="28"/>
          <w:szCs w:val="28"/>
        </w:rPr>
      </w:pPr>
    </w:p>
    <w:p w14:paraId="1A6E0A87" w14:textId="77777777" w:rsidR="004B33A7" w:rsidRDefault="004B33A7" w:rsidP="004B33A7">
      <w:pPr>
        <w:rPr>
          <w:rFonts w:asciiTheme="minorBidi" w:hAnsiTheme="minorBidi"/>
          <w:b/>
          <w:bCs/>
          <w:sz w:val="28"/>
          <w:szCs w:val="28"/>
        </w:rPr>
      </w:pPr>
    </w:p>
    <w:p w14:paraId="4D780CE2" w14:textId="77777777" w:rsidR="004B33A7" w:rsidRDefault="004B33A7" w:rsidP="004B33A7">
      <w:pPr>
        <w:rPr>
          <w:rFonts w:asciiTheme="minorBidi" w:hAnsiTheme="minorBidi"/>
          <w:b/>
          <w:bCs/>
          <w:sz w:val="28"/>
          <w:szCs w:val="28"/>
        </w:rPr>
      </w:pPr>
    </w:p>
    <w:p w14:paraId="54CC7B10" w14:textId="77777777" w:rsidR="004B33A7" w:rsidRDefault="004B33A7" w:rsidP="004B33A7">
      <w:pPr>
        <w:rPr>
          <w:rFonts w:asciiTheme="minorBidi" w:hAnsiTheme="minorBidi"/>
          <w:b/>
          <w:bCs/>
          <w:sz w:val="28"/>
          <w:szCs w:val="28"/>
        </w:rPr>
      </w:pPr>
    </w:p>
    <w:p w14:paraId="05DDB1E4" w14:textId="77777777" w:rsidR="004B33A7" w:rsidRDefault="004B33A7" w:rsidP="004B33A7">
      <w:pPr>
        <w:rPr>
          <w:rFonts w:asciiTheme="minorBidi" w:hAnsiTheme="minorBidi"/>
          <w:b/>
          <w:bCs/>
          <w:sz w:val="28"/>
          <w:szCs w:val="28"/>
        </w:rPr>
      </w:pPr>
    </w:p>
    <w:p w14:paraId="47DB4978" w14:textId="77777777" w:rsidR="004B33A7" w:rsidRDefault="004B33A7" w:rsidP="004B33A7">
      <w:pPr>
        <w:rPr>
          <w:rFonts w:asciiTheme="minorBidi" w:hAnsiTheme="minorBidi"/>
          <w:b/>
          <w:bCs/>
          <w:sz w:val="28"/>
          <w:szCs w:val="28"/>
        </w:rPr>
      </w:pPr>
    </w:p>
    <w:p w14:paraId="52840907" w14:textId="77777777" w:rsidR="004B33A7" w:rsidRDefault="004B33A7" w:rsidP="004B33A7">
      <w:pPr>
        <w:rPr>
          <w:rFonts w:asciiTheme="minorBidi" w:hAnsiTheme="minorBidi"/>
          <w:b/>
          <w:bCs/>
          <w:sz w:val="28"/>
          <w:szCs w:val="28"/>
        </w:rPr>
      </w:pPr>
    </w:p>
    <w:p w14:paraId="7A2EE52F" w14:textId="77777777" w:rsidR="004B33A7" w:rsidRDefault="004B33A7" w:rsidP="004B33A7">
      <w:pPr>
        <w:rPr>
          <w:rFonts w:asciiTheme="minorBidi" w:hAnsiTheme="minorBidi"/>
          <w:b/>
          <w:bCs/>
          <w:sz w:val="28"/>
          <w:szCs w:val="28"/>
        </w:rPr>
      </w:pPr>
    </w:p>
    <w:p w14:paraId="2F75D3B5" w14:textId="1A3B980F" w:rsidR="004B33A7" w:rsidRPr="004B33A7" w:rsidRDefault="004B33A7" w:rsidP="004B33A7">
      <w:pPr>
        <w:rPr>
          <w:rFonts w:asciiTheme="minorBidi" w:hAnsiTheme="minorBidi"/>
          <w:sz w:val="28"/>
          <w:szCs w:val="28"/>
        </w:rPr>
      </w:pPr>
      <w:r w:rsidRPr="004B33A7">
        <w:rPr>
          <w:rFonts w:asciiTheme="minorBidi" w:hAnsiTheme="minorBidi"/>
          <w:b/>
          <w:bCs/>
          <w:sz w:val="28"/>
          <w:szCs w:val="28"/>
        </w:rPr>
        <w:lastRenderedPageBreak/>
        <w:t>Use of Generative AI in Assessment</w:t>
      </w:r>
      <w:r w:rsidRPr="004B33A7">
        <w:rPr>
          <w:rFonts w:asciiTheme="minorBidi" w:hAnsiTheme="minorBidi"/>
          <w:sz w:val="28"/>
          <w:szCs w:val="28"/>
        </w:rPr>
        <w:t>  </w:t>
      </w:r>
    </w:p>
    <w:p w14:paraId="5647A3D0" w14:textId="77777777" w:rsidR="004B33A7" w:rsidRPr="00536FF1" w:rsidRDefault="004B33A7" w:rsidP="004B33A7">
      <w:r w:rsidRPr="00536FF1">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4890"/>
        <w:gridCol w:w="1305"/>
      </w:tblGrid>
      <w:tr w:rsidR="004B33A7" w:rsidRPr="004B33A7" w14:paraId="40187EB3" w14:textId="77777777" w:rsidTr="00F10E82">
        <w:trPr>
          <w:trHeight w:val="1112"/>
        </w:trPr>
        <w:tc>
          <w:tcPr>
            <w:tcW w:w="2205" w:type="dxa"/>
            <w:tcBorders>
              <w:top w:val="single" w:sz="6" w:space="0" w:color="auto"/>
              <w:left w:val="single" w:sz="6" w:space="0" w:color="auto"/>
              <w:bottom w:val="single" w:sz="6" w:space="0" w:color="000000"/>
              <w:right w:val="single" w:sz="6" w:space="0" w:color="000000"/>
            </w:tcBorders>
            <w:hideMark/>
          </w:tcPr>
          <w:p w14:paraId="1564535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RESEARCH  </w:t>
            </w:r>
          </w:p>
        </w:tc>
        <w:tc>
          <w:tcPr>
            <w:tcW w:w="4890" w:type="dxa"/>
            <w:tcBorders>
              <w:top w:val="single" w:sz="6" w:space="0" w:color="auto"/>
              <w:left w:val="single" w:sz="6" w:space="0" w:color="000000"/>
              <w:bottom w:val="single" w:sz="6" w:space="0" w:color="000000"/>
              <w:right w:val="single" w:sz="6" w:space="0" w:color="000000"/>
            </w:tcBorders>
            <w:hideMark/>
          </w:tcPr>
          <w:p w14:paraId="44DDA584"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research and data analysis. </w:t>
            </w:r>
          </w:p>
        </w:tc>
        <w:tc>
          <w:tcPr>
            <w:tcW w:w="1305" w:type="dxa"/>
            <w:tcBorders>
              <w:top w:val="single" w:sz="6" w:space="0" w:color="auto"/>
              <w:left w:val="single" w:sz="6" w:space="0" w:color="000000"/>
              <w:bottom w:val="single" w:sz="6" w:space="0" w:color="000000"/>
              <w:right w:val="single" w:sz="6" w:space="0" w:color="auto"/>
            </w:tcBorders>
            <w:hideMark/>
          </w:tcPr>
          <w:p w14:paraId="0623974B" w14:textId="1EBC262D" w:rsidR="004B33A7" w:rsidRPr="004B33A7" w:rsidRDefault="004B33A7" w:rsidP="00F10E82">
            <w:pPr>
              <w:rPr>
                <w:rFonts w:asciiTheme="minorBidi" w:hAnsiTheme="minorBidi"/>
                <w:sz w:val="24"/>
                <w:szCs w:val="24"/>
              </w:rPr>
            </w:pPr>
            <w:r w:rsidRPr="004B33A7">
              <w:rPr>
                <w:rFonts w:asciiTheme="minorBidi" w:hAnsiTheme="minorBidi"/>
                <w:sz w:val="24"/>
                <w:szCs w:val="24"/>
              </w:rPr>
              <w:t>Yes X</w:t>
            </w:r>
          </w:p>
          <w:p w14:paraId="1E6FBFA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555464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6C17DB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STRUCTURE  </w:t>
            </w:r>
          </w:p>
        </w:tc>
        <w:tc>
          <w:tcPr>
            <w:tcW w:w="4890" w:type="dxa"/>
            <w:tcBorders>
              <w:top w:val="single" w:sz="6" w:space="0" w:color="000000"/>
              <w:left w:val="single" w:sz="6" w:space="0" w:color="000000"/>
              <w:bottom w:val="single" w:sz="6" w:space="0" w:color="000000"/>
              <w:right w:val="single" w:sz="6" w:space="0" w:color="000000"/>
            </w:tcBorders>
            <w:hideMark/>
          </w:tcPr>
          <w:p w14:paraId="48014D91"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support you in structuring your submission, including creating a draft argument structure, identifying parts and headings, etc.  </w:t>
            </w:r>
          </w:p>
        </w:tc>
        <w:tc>
          <w:tcPr>
            <w:tcW w:w="1305" w:type="dxa"/>
            <w:tcBorders>
              <w:top w:val="single" w:sz="6" w:space="0" w:color="000000"/>
              <w:left w:val="single" w:sz="6" w:space="0" w:color="000000"/>
              <w:bottom w:val="single" w:sz="6" w:space="0" w:color="000000"/>
              <w:right w:val="single" w:sz="6" w:space="0" w:color="auto"/>
            </w:tcBorders>
            <w:hideMark/>
          </w:tcPr>
          <w:p w14:paraId="75099D52" w14:textId="3B878842"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CE55757"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72B64EE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21A119D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PROOFREADING  </w:t>
            </w:r>
          </w:p>
        </w:tc>
        <w:tc>
          <w:tcPr>
            <w:tcW w:w="4890" w:type="dxa"/>
            <w:tcBorders>
              <w:top w:val="single" w:sz="6" w:space="0" w:color="000000"/>
              <w:left w:val="single" w:sz="6" w:space="0" w:color="000000"/>
              <w:bottom w:val="single" w:sz="6" w:space="0" w:color="000000"/>
              <w:right w:val="single" w:sz="6" w:space="0" w:color="000000"/>
            </w:tcBorders>
            <w:hideMark/>
          </w:tcPr>
          <w:p w14:paraId="3C68E036"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check your own text/creation for grammatical and syntactical mistakes, including getting suggestions to rephrase your work.  </w:t>
            </w:r>
          </w:p>
        </w:tc>
        <w:tc>
          <w:tcPr>
            <w:tcW w:w="1305" w:type="dxa"/>
            <w:tcBorders>
              <w:top w:val="single" w:sz="6" w:space="0" w:color="000000"/>
              <w:left w:val="single" w:sz="6" w:space="0" w:color="000000"/>
              <w:bottom w:val="single" w:sz="6" w:space="0" w:color="000000"/>
              <w:right w:val="single" w:sz="6" w:space="0" w:color="auto"/>
            </w:tcBorders>
            <w:hideMark/>
          </w:tcPr>
          <w:p w14:paraId="1E6E5DAC" w14:textId="70A20730"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Theme="minorBidi" w:hAnsiTheme="minorBidi"/>
                <w:sz w:val="24"/>
                <w:szCs w:val="24"/>
              </w:rPr>
              <w:t>X</w:t>
            </w:r>
          </w:p>
          <w:p w14:paraId="0B0C5219"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   ​</w:t>
            </w:r>
            <w:r w:rsidRPr="004B33A7">
              <w:rPr>
                <w:rFonts w:ascii="Segoe UI Symbol" w:hAnsi="Segoe UI Symbol" w:cs="Segoe UI Symbol"/>
                <w:sz w:val="24"/>
                <w:szCs w:val="24"/>
              </w:rPr>
              <w:t>☐</w:t>
            </w:r>
            <w:r w:rsidRPr="004B33A7">
              <w:rPr>
                <w:rFonts w:asciiTheme="minorBidi" w:hAnsiTheme="minorBidi"/>
                <w:sz w:val="24"/>
                <w:szCs w:val="24"/>
              </w:rPr>
              <w:t>​ </w:t>
            </w:r>
          </w:p>
        </w:tc>
      </w:tr>
      <w:tr w:rsidR="004B33A7" w:rsidRPr="004B33A7" w14:paraId="29ED216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56FE4BEF"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WRITING  </w:t>
            </w:r>
          </w:p>
        </w:tc>
        <w:tc>
          <w:tcPr>
            <w:tcW w:w="4890" w:type="dxa"/>
            <w:tcBorders>
              <w:top w:val="single" w:sz="6" w:space="0" w:color="000000"/>
              <w:left w:val="single" w:sz="6" w:space="0" w:color="000000"/>
              <w:bottom w:val="single" w:sz="6" w:space="0" w:color="000000"/>
              <w:right w:val="single" w:sz="6" w:space="0" w:color="000000"/>
            </w:tcBorders>
            <w:hideMark/>
          </w:tcPr>
          <w:p w14:paraId="74B40370"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text for submission.  </w:t>
            </w:r>
          </w:p>
        </w:tc>
        <w:tc>
          <w:tcPr>
            <w:tcW w:w="1305" w:type="dxa"/>
            <w:tcBorders>
              <w:top w:val="single" w:sz="6" w:space="0" w:color="000000"/>
              <w:left w:val="single" w:sz="6" w:space="0" w:color="000000"/>
              <w:bottom w:val="single" w:sz="6" w:space="0" w:color="000000"/>
              <w:right w:val="single" w:sz="6" w:space="0" w:color="auto"/>
            </w:tcBorders>
            <w:hideMark/>
          </w:tcPr>
          <w:p w14:paraId="38F4C3F1"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10DCFE4" w14:textId="34F07642" w:rsidR="004B33A7" w:rsidRPr="004B33A7" w:rsidRDefault="004B33A7" w:rsidP="00F10E82">
            <w:pPr>
              <w:rPr>
                <w:rFonts w:asciiTheme="minorBidi" w:hAnsiTheme="minorBidi"/>
                <w:sz w:val="24"/>
                <w:szCs w:val="24"/>
              </w:rPr>
            </w:pPr>
            <w:r w:rsidRPr="004B33A7">
              <w:rPr>
                <w:rFonts w:asciiTheme="minorBidi" w:hAnsiTheme="minorBidi"/>
                <w:sz w:val="24"/>
                <w:szCs w:val="24"/>
              </w:rPr>
              <w:t>No   X </w:t>
            </w:r>
          </w:p>
        </w:tc>
      </w:tr>
      <w:tr w:rsidR="004B33A7" w:rsidRPr="004B33A7" w14:paraId="2570731A"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0927B33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CREATIVE  </w:t>
            </w:r>
          </w:p>
        </w:tc>
        <w:tc>
          <w:tcPr>
            <w:tcW w:w="4890" w:type="dxa"/>
            <w:tcBorders>
              <w:top w:val="single" w:sz="6" w:space="0" w:color="000000"/>
              <w:left w:val="single" w:sz="6" w:space="0" w:color="000000"/>
              <w:bottom w:val="single" w:sz="6" w:space="0" w:color="000000"/>
              <w:right w:val="single" w:sz="6" w:space="0" w:color="000000"/>
            </w:tcBorders>
            <w:hideMark/>
          </w:tcPr>
          <w:p w14:paraId="5312A79C"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creative materials, such as images.  </w:t>
            </w:r>
          </w:p>
        </w:tc>
        <w:tc>
          <w:tcPr>
            <w:tcW w:w="1305" w:type="dxa"/>
            <w:tcBorders>
              <w:top w:val="single" w:sz="6" w:space="0" w:color="000000"/>
              <w:left w:val="single" w:sz="6" w:space="0" w:color="000000"/>
              <w:bottom w:val="single" w:sz="6" w:space="0" w:color="000000"/>
              <w:right w:val="single" w:sz="6" w:space="0" w:color="auto"/>
            </w:tcBorders>
            <w:hideMark/>
          </w:tcPr>
          <w:p w14:paraId="0DB4DDB9"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6EAAB1B6" w14:textId="743694CB"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115D0585" w14:textId="77777777" w:rsidTr="00F10E82">
        <w:trPr>
          <w:trHeight w:val="300"/>
        </w:trPr>
        <w:tc>
          <w:tcPr>
            <w:tcW w:w="2205" w:type="dxa"/>
            <w:tcBorders>
              <w:top w:val="single" w:sz="6" w:space="0" w:color="000000"/>
              <w:left w:val="single" w:sz="6" w:space="0" w:color="auto"/>
              <w:bottom w:val="single" w:sz="6" w:space="0" w:color="000000"/>
              <w:right w:val="single" w:sz="6" w:space="0" w:color="000000"/>
            </w:tcBorders>
            <w:hideMark/>
          </w:tcPr>
          <w:p w14:paraId="65FC7A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PROGRAMING  </w:t>
            </w:r>
          </w:p>
        </w:tc>
        <w:tc>
          <w:tcPr>
            <w:tcW w:w="4890" w:type="dxa"/>
            <w:tcBorders>
              <w:top w:val="single" w:sz="6" w:space="0" w:color="000000"/>
              <w:left w:val="single" w:sz="6" w:space="0" w:color="000000"/>
              <w:bottom w:val="single" w:sz="6" w:space="0" w:color="000000"/>
              <w:right w:val="single" w:sz="6" w:space="0" w:color="000000"/>
            </w:tcBorders>
            <w:hideMark/>
          </w:tcPr>
          <w:p w14:paraId="21E6C525"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For this assessment, you can use Generative AI to create and check code.  </w:t>
            </w:r>
          </w:p>
        </w:tc>
        <w:tc>
          <w:tcPr>
            <w:tcW w:w="1305" w:type="dxa"/>
            <w:tcBorders>
              <w:top w:val="single" w:sz="6" w:space="0" w:color="000000"/>
              <w:left w:val="single" w:sz="6" w:space="0" w:color="000000"/>
              <w:bottom w:val="single" w:sz="6" w:space="0" w:color="000000"/>
              <w:right w:val="single" w:sz="6" w:space="0" w:color="auto"/>
            </w:tcBorders>
            <w:hideMark/>
          </w:tcPr>
          <w:p w14:paraId="2D25DEE7" w14:textId="77777777" w:rsidR="004B33A7" w:rsidRPr="004B33A7" w:rsidRDefault="004B33A7" w:rsidP="00F10E82">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20E5222E" w14:textId="60E63B3C" w:rsidR="004B33A7" w:rsidRPr="004B33A7" w:rsidRDefault="004B33A7" w:rsidP="00F10E82">
            <w:pPr>
              <w:rPr>
                <w:rFonts w:asciiTheme="minorBidi" w:hAnsiTheme="minorBidi"/>
                <w:sz w:val="24"/>
                <w:szCs w:val="24"/>
              </w:rPr>
            </w:pPr>
            <w:r w:rsidRPr="004B33A7">
              <w:rPr>
                <w:rFonts w:asciiTheme="minorBidi" w:hAnsiTheme="minorBidi"/>
                <w:sz w:val="24"/>
                <w:szCs w:val="24"/>
              </w:rPr>
              <w:t>No   ​X</w:t>
            </w:r>
          </w:p>
        </w:tc>
      </w:tr>
      <w:tr w:rsidR="004B33A7" w:rsidRPr="004B33A7" w14:paraId="75F2D960" w14:textId="77777777" w:rsidTr="00F10E82">
        <w:trPr>
          <w:trHeight w:val="300"/>
        </w:trPr>
        <w:tc>
          <w:tcPr>
            <w:tcW w:w="2205" w:type="dxa"/>
            <w:tcBorders>
              <w:top w:val="single" w:sz="6" w:space="0" w:color="000000"/>
              <w:left w:val="single" w:sz="6" w:space="0" w:color="auto"/>
              <w:bottom w:val="single" w:sz="6" w:space="0" w:color="auto"/>
              <w:right w:val="single" w:sz="6" w:space="0" w:color="000000"/>
            </w:tcBorders>
            <w:hideMark/>
          </w:tcPr>
          <w:p w14:paraId="38A98BBE"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NONE </w:t>
            </w:r>
          </w:p>
        </w:tc>
        <w:tc>
          <w:tcPr>
            <w:tcW w:w="4890" w:type="dxa"/>
            <w:tcBorders>
              <w:top w:val="single" w:sz="6" w:space="0" w:color="000000"/>
              <w:left w:val="single" w:sz="6" w:space="0" w:color="000000"/>
              <w:bottom w:val="single" w:sz="6" w:space="0" w:color="auto"/>
              <w:right w:val="single" w:sz="6" w:space="0" w:color="000000"/>
            </w:tcBorders>
            <w:hideMark/>
          </w:tcPr>
          <w:p w14:paraId="5B62DC5A" w14:textId="77777777" w:rsidR="004B33A7" w:rsidRPr="004B33A7" w:rsidRDefault="004B33A7" w:rsidP="00F10E82">
            <w:pPr>
              <w:rPr>
                <w:rFonts w:asciiTheme="minorBidi" w:hAnsiTheme="minorBidi"/>
                <w:sz w:val="24"/>
                <w:szCs w:val="24"/>
              </w:rPr>
            </w:pPr>
            <w:r w:rsidRPr="004B33A7">
              <w:rPr>
                <w:rFonts w:asciiTheme="minorBidi" w:hAnsiTheme="minorBidi"/>
                <w:sz w:val="24"/>
                <w:szCs w:val="24"/>
              </w:rPr>
              <w:t xml:space="preserve">For this assessment, you are not allowed to use </w:t>
            </w:r>
            <w:r w:rsidRPr="004B33A7">
              <w:rPr>
                <w:rFonts w:asciiTheme="minorBidi" w:hAnsiTheme="minorBidi"/>
                <w:b/>
                <w:bCs/>
                <w:sz w:val="24"/>
                <w:szCs w:val="24"/>
              </w:rPr>
              <w:t>any</w:t>
            </w:r>
            <w:r w:rsidRPr="004B33A7">
              <w:rPr>
                <w:rFonts w:asciiTheme="minorBidi" w:hAnsiTheme="minorBidi"/>
                <w:sz w:val="24"/>
                <w:szCs w:val="24"/>
              </w:rPr>
              <w:t xml:space="preserve"> type of Generative AI support. This includes research support, structure support, writing/proofreading support and creative support. </w:t>
            </w:r>
          </w:p>
        </w:tc>
        <w:tc>
          <w:tcPr>
            <w:tcW w:w="1305" w:type="dxa"/>
            <w:tcBorders>
              <w:top w:val="single" w:sz="6" w:space="0" w:color="000000"/>
              <w:left w:val="single" w:sz="6" w:space="0" w:color="000000"/>
              <w:bottom w:val="single" w:sz="6" w:space="0" w:color="auto"/>
              <w:right w:val="single" w:sz="6" w:space="0" w:color="auto"/>
            </w:tcBorders>
            <w:hideMark/>
          </w:tcPr>
          <w:p w14:paraId="34F308CD" w14:textId="77777777" w:rsidR="004B33A7" w:rsidRPr="004B33A7" w:rsidRDefault="004B33A7" w:rsidP="004B33A7">
            <w:pPr>
              <w:rPr>
                <w:rFonts w:asciiTheme="minorBidi" w:hAnsiTheme="minorBidi"/>
                <w:sz w:val="24"/>
                <w:szCs w:val="24"/>
              </w:rPr>
            </w:pPr>
            <w:proofErr w:type="gramStart"/>
            <w:r w:rsidRPr="004B33A7">
              <w:rPr>
                <w:rFonts w:asciiTheme="minorBidi" w:hAnsiTheme="minorBidi"/>
                <w:sz w:val="24"/>
                <w:szCs w:val="24"/>
              </w:rPr>
              <w:t>Yes  ​</w:t>
            </w:r>
            <w:proofErr w:type="gramEnd"/>
            <w:r w:rsidRPr="004B33A7">
              <w:rPr>
                <w:rFonts w:ascii="Segoe UI Symbol" w:hAnsi="Segoe UI Symbol" w:cs="Segoe UI Symbol"/>
                <w:sz w:val="24"/>
                <w:szCs w:val="24"/>
              </w:rPr>
              <w:t>☐</w:t>
            </w:r>
            <w:r w:rsidRPr="004B33A7">
              <w:rPr>
                <w:rFonts w:asciiTheme="minorBidi" w:hAnsiTheme="minorBidi"/>
                <w:sz w:val="24"/>
                <w:szCs w:val="24"/>
              </w:rPr>
              <w:t>​ </w:t>
            </w:r>
          </w:p>
          <w:p w14:paraId="3EC06516" w14:textId="6AB0D0F4" w:rsidR="004B33A7" w:rsidRPr="004B33A7" w:rsidRDefault="004B33A7" w:rsidP="004B33A7">
            <w:pPr>
              <w:rPr>
                <w:rFonts w:asciiTheme="minorBidi" w:hAnsiTheme="minorBidi"/>
                <w:sz w:val="24"/>
                <w:szCs w:val="24"/>
              </w:rPr>
            </w:pPr>
            <w:r w:rsidRPr="004B33A7">
              <w:rPr>
                <w:rFonts w:asciiTheme="minorBidi" w:hAnsiTheme="minorBidi"/>
                <w:sz w:val="24"/>
                <w:szCs w:val="24"/>
              </w:rPr>
              <w:t xml:space="preserve">No   ​X </w:t>
            </w:r>
          </w:p>
        </w:tc>
      </w:tr>
    </w:tbl>
    <w:p w14:paraId="39C7C63A" w14:textId="77777777" w:rsidR="004B33A7" w:rsidRDefault="004B33A7" w:rsidP="004B33A7">
      <w:pPr>
        <w:rPr>
          <w:sz w:val="24"/>
          <w:szCs w:val="24"/>
        </w:rPr>
      </w:pPr>
    </w:p>
    <w:p w14:paraId="143E0D83" w14:textId="77777777" w:rsidR="004B33A7" w:rsidRDefault="004B33A7" w:rsidP="004B33A7">
      <w:pPr>
        <w:rPr>
          <w:rFonts w:asciiTheme="minorBidi" w:hAnsiTheme="minorBidi"/>
          <w:b/>
          <w:bCs/>
          <w:sz w:val="28"/>
          <w:szCs w:val="28"/>
          <w:u w:val="single"/>
        </w:rPr>
      </w:pPr>
    </w:p>
    <w:p w14:paraId="2D2D0C46" w14:textId="77777777" w:rsidR="004B33A7" w:rsidRDefault="004B33A7" w:rsidP="004B33A7">
      <w:pPr>
        <w:rPr>
          <w:rFonts w:asciiTheme="minorBidi" w:hAnsiTheme="minorBidi"/>
          <w:b/>
          <w:bCs/>
          <w:sz w:val="28"/>
          <w:szCs w:val="28"/>
          <w:u w:val="single"/>
        </w:rPr>
      </w:pPr>
    </w:p>
    <w:p w14:paraId="1862A7FB" w14:textId="77777777" w:rsidR="004B33A7" w:rsidRDefault="004B33A7" w:rsidP="004B33A7">
      <w:pPr>
        <w:rPr>
          <w:rFonts w:asciiTheme="minorBidi" w:hAnsiTheme="minorBidi"/>
          <w:b/>
          <w:bCs/>
          <w:sz w:val="28"/>
          <w:szCs w:val="28"/>
          <w:u w:val="single"/>
        </w:rPr>
      </w:pPr>
    </w:p>
    <w:p w14:paraId="2569B474" w14:textId="77777777" w:rsidR="004B33A7" w:rsidRDefault="004B33A7" w:rsidP="004B33A7">
      <w:pPr>
        <w:rPr>
          <w:rFonts w:asciiTheme="minorBidi" w:hAnsiTheme="minorBidi"/>
          <w:b/>
          <w:bCs/>
          <w:sz w:val="28"/>
          <w:szCs w:val="28"/>
          <w:u w:val="single"/>
        </w:rPr>
      </w:pPr>
    </w:p>
    <w:p w14:paraId="266DC1E5" w14:textId="77777777" w:rsidR="004B33A7" w:rsidRDefault="004B33A7" w:rsidP="004B33A7">
      <w:pPr>
        <w:rPr>
          <w:rFonts w:asciiTheme="minorBidi" w:hAnsiTheme="minorBidi"/>
          <w:b/>
          <w:bCs/>
          <w:sz w:val="28"/>
          <w:szCs w:val="28"/>
          <w:u w:val="single"/>
        </w:rPr>
      </w:pPr>
    </w:p>
    <w:p w14:paraId="59737CA7" w14:textId="633C96B0" w:rsidR="004B33A7" w:rsidRPr="004B33A7" w:rsidRDefault="004B33A7" w:rsidP="004B33A7">
      <w:pPr>
        <w:rPr>
          <w:rFonts w:asciiTheme="minorBidi" w:hAnsiTheme="minorBidi"/>
          <w:sz w:val="28"/>
          <w:szCs w:val="28"/>
        </w:rPr>
      </w:pPr>
      <w:r w:rsidRPr="004B33A7">
        <w:rPr>
          <w:rFonts w:asciiTheme="minorBidi" w:hAnsiTheme="minorBidi"/>
          <w:b/>
          <w:bCs/>
          <w:sz w:val="28"/>
          <w:szCs w:val="28"/>
          <w:u w:val="single"/>
        </w:rPr>
        <w:t>AI Acknowledgement  </w:t>
      </w:r>
      <w:r w:rsidRPr="004B33A7">
        <w:rPr>
          <w:rFonts w:asciiTheme="minorBidi" w:hAnsiTheme="minorBidi"/>
          <w:sz w:val="28"/>
          <w:szCs w:val="28"/>
        </w:rPr>
        <w:t> </w:t>
      </w:r>
    </w:p>
    <w:p w14:paraId="2E8BD4F7"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presented any AI generated materials as my own work.  </w:t>
      </w:r>
    </w:p>
    <w:p w14:paraId="2A429A5C" w14:textId="77777777" w:rsidR="004B33A7" w:rsidRDefault="004B33A7" w:rsidP="004B33A7">
      <w:pPr>
        <w:rPr>
          <w:rFonts w:asciiTheme="minorBidi" w:hAnsiTheme="minorBidi"/>
          <w:sz w:val="24"/>
          <w:szCs w:val="24"/>
        </w:rPr>
      </w:pPr>
    </w:p>
    <w:p w14:paraId="2809FBFB" w14:textId="77777777" w:rsidR="004B33A7" w:rsidRDefault="004B33A7" w:rsidP="004B33A7">
      <w:pPr>
        <w:rPr>
          <w:rFonts w:asciiTheme="minorBidi" w:hAnsiTheme="minorBidi"/>
          <w:sz w:val="24"/>
          <w:szCs w:val="24"/>
        </w:rPr>
      </w:pPr>
    </w:p>
    <w:p w14:paraId="082FFF89" w14:textId="77777777" w:rsidR="004B33A7" w:rsidRDefault="004B33A7" w:rsidP="004B33A7">
      <w:pPr>
        <w:rPr>
          <w:rFonts w:asciiTheme="minorBidi" w:hAnsiTheme="minorBidi"/>
          <w:sz w:val="24"/>
          <w:szCs w:val="24"/>
        </w:rPr>
      </w:pPr>
    </w:p>
    <w:p w14:paraId="02476F4A" w14:textId="77777777" w:rsidR="004B33A7" w:rsidRDefault="004B33A7" w:rsidP="004B33A7">
      <w:pPr>
        <w:rPr>
          <w:rFonts w:asciiTheme="minorBidi" w:hAnsiTheme="minorBidi"/>
          <w:sz w:val="24"/>
          <w:szCs w:val="24"/>
        </w:rPr>
      </w:pPr>
    </w:p>
    <w:p w14:paraId="5051804A" w14:textId="77777777" w:rsidR="004B33A7" w:rsidRDefault="004B33A7" w:rsidP="004B33A7">
      <w:pPr>
        <w:rPr>
          <w:rFonts w:asciiTheme="minorBidi" w:hAnsiTheme="minorBidi"/>
          <w:sz w:val="24"/>
          <w:szCs w:val="24"/>
        </w:rPr>
      </w:pPr>
    </w:p>
    <w:p w14:paraId="3C007E7B" w14:textId="77777777" w:rsidR="004B33A7" w:rsidRDefault="004B33A7" w:rsidP="004B33A7">
      <w:pPr>
        <w:rPr>
          <w:rFonts w:asciiTheme="minorBidi" w:hAnsiTheme="minorBidi"/>
          <w:sz w:val="24"/>
          <w:szCs w:val="24"/>
        </w:rPr>
      </w:pPr>
    </w:p>
    <w:p w14:paraId="135AF617" w14:textId="77777777" w:rsidR="004B33A7" w:rsidRDefault="004B33A7" w:rsidP="004B33A7">
      <w:pPr>
        <w:rPr>
          <w:rFonts w:asciiTheme="minorBidi" w:hAnsiTheme="minorBidi"/>
          <w:sz w:val="24"/>
          <w:szCs w:val="24"/>
        </w:rPr>
      </w:pPr>
    </w:p>
    <w:p w14:paraId="3BADBBBD" w14:textId="77777777" w:rsidR="004B33A7" w:rsidRDefault="004B33A7" w:rsidP="004B33A7">
      <w:pPr>
        <w:rPr>
          <w:rFonts w:asciiTheme="minorBidi" w:hAnsiTheme="minorBidi"/>
          <w:sz w:val="24"/>
          <w:szCs w:val="24"/>
        </w:rPr>
      </w:pPr>
    </w:p>
    <w:p w14:paraId="37E31CE2" w14:textId="77777777" w:rsidR="004B33A7" w:rsidRDefault="004B33A7" w:rsidP="004B33A7">
      <w:pPr>
        <w:rPr>
          <w:rFonts w:asciiTheme="minorBidi" w:hAnsiTheme="minorBidi"/>
          <w:sz w:val="24"/>
          <w:szCs w:val="24"/>
        </w:rPr>
      </w:pPr>
    </w:p>
    <w:p w14:paraId="57B88F9B" w14:textId="77777777" w:rsidR="004B33A7" w:rsidRDefault="004B33A7" w:rsidP="004B33A7">
      <w:pPr>
        <w:rPr>
          <w:rFonts w:asciiTheme="minorBidi" w:hAnsiTheme="minorBidi"/>
          <w:sz w:val="24"/>
          <w:szCs w:val="24"/>
        </w:rPr>
      </w:pPr>
    </w:p>
    <w:p w14:paraId="26B7B66C" w14:textId="77777777" w:rsidR="004B33A7" w:rsidRDefault="004B33A7" w:rsidP="004B33A7">
      <w:pPr>
        <w:rPr>
          <w:rFonts w:asciiTheme="minorBidi" w:hAnsiTheme="minorBidi"/>
          <w:sz w:val="24"/>
          <w:szCs w:val="24"/>
        </w:rPr>
      </w:pPr>
    </w:p>
    <w:p w14:paraId="1599550F" w14:textId="77777777" w:rsidR="004B33A7" w:rsidRDefault="004B33A7" w:rsidP="004B33A7">
      <w:pPr>
        <w:rPr>
          <w:rFonts w:asciiTheme="minorBidi" w:hAnsiTheme="minorBidi"/>
          <w:sz w:val="24"/>
          <w:szCs w:val="24"/>
        </w:rPr>
      </w:pPr>
    </w:p>
    <w:p w14:paraId="3EEAD786" w14:textId="77777777" w:rsidR="004B33A7" w:rsidRDefault="004B33A7" w:rsidP="004B33A7">
      <w:pPr>
        <w:rPr>
          <w:rFonts w:asciiTheme="minorBidi" w:hAnsiTheme="minorBidi"/>
          <w:sz w:val="24"/>
          <w:szCs w:val="24"/>
        </w:rPr>
      </w:pPr>
    </w:p>
    <w:p w14:paraId="09D3C1A1" w14:textId="77777777" w:rsidR="004B33A7" w:rsidRDefault="004B33A7" w:rsidP="004B33A7">
      <w:pPr>
        <w:rPr>
          <w:rFonts w:asciiTheme="minorBidi" w:hAnsiTheme="minorBidi"/>
          <w:sz w:val="24"/>
          <w:szCs w:val="24"/>
        </w:rPr>
      </w:pPr>
    </w:p>
    <w:p w14:paraId="7BC37877" w14:textId="77777777" w:rsidR="004B33A7" w:rsidRDefault="004B33A7" w:rsidP="004B33A7">
      <w:pPr>
        <w:rPr>
          <w:rFonts w:asciiTheme="minorBidi" w:hAnsiTheme="minorBidi"/>
          <w:sz w:val="24"/>
          <w:szCs w:val="24"/>
        </w:rPr>
      </w:pPr>
    </w:p>
    <w:p w14:paraId="0E6A3CC7" w14:textId="77777777" w:rsidR="004B33A7" w:rsidRDefault="004B33A7" w:rsidP="004B33A7">
      <w:pPr>
        <w:rPr>
          <w:rFonts w:asciiTheme="minorBidi" w:hAnsiTheme="minorBidi"/>
          <w:sz w:val="24"/>
          <w:szCs w:val="24"/>
        </w:rPr>
      </w:pPr>
    </w:p>
    <w:p w14:paraId="50B5FA35" w14:textId="77777777" w:rsidR="004B33A7" w:rsidRDefault="004B33A7" w:rsidP="004B33A7">
      <w:pPr>
        <w:rPr>
          <w:rFonts w:asciiTheme="minorBidi" w:hAnsiTheme="minorBidi"/>
          <w:sz w:val="24"/>
          <w:szCs w:val="24"/>
        </w:rPr>
      </w:pPr>
    </w:p>
    <w:p w14:paraId="46A38E59" w14:textId="77777777" w:rsidR="004B33A7" w:rsidRDefault="004B33A7" w:rsidP="004B33A7">
      <w:pPr>
        <w:rPr>
          <w:rFonts w:asciiTheme="minorBidi" w:hAnsiTheme="minorBidi"/>
          <w:sz w:val="24"/>
          <w:szCs w:val="24"/>
        </w:rPr>
      </w:pPr>
    </w:p>
    <w:p w14:paraId="7DD224D8" w14:textId="77777777" w:rsidR="004B33A7" w:rsidRDefault="004B33A7" w:rsidP="004B33A7">
      <w:pPr>
        <w:rPr>
          <w:rFonts w:asciiTheme="minorBidi" w:hAnsiTheme="minorBidi"/>
          <w:sz w:val="24"/>
          <w:szCs w:val="24"/>
        </w:rPr>
      </w:pPr>
    </w:p>
    <w:p w14:paraId="00D785DB" w14:textId="77777777" w:rsidR="004B33A7" w:rsidRDefault="004B33A7" w:rsidP="004B33A7">
      <w:pPr>
        <w:rPr>
          <w:rFonts w:asciiTheme="minorBidi" w:hAnsiTheme="minorBidi"/>
          <w:sz w:val="24"/>
          <w:szCs w:val="24"/>
        </w:rPr>
      </w:pPr>
    </w:p>
    <w:p w14:paraId="3EC3942C" w14:textId="77777777" w:rsidR="004B33A7" w:rsidRDefault="004B33A7" w:rsidP="004B33A7">
      <w:pPr>
        <w:rPr>
          <w:rFonts w:asciiTheme="minorBidi" w:hAnsiTheme="minorBidi"/>
          <w:sz w:val="24"/>
          <w:szCs w:val="24"/>
        </w:rPr>
      </w:pPr>
    </w:p>
    <w:p w14:paraId="25AD2CB0" w14:textId="77777777" w:rsidR="004B37E8" w:rsidRDefault="004B37E8" w:rsidP="004B33A7">
      <w:pPr>
        <w:rPr>
          <w:rFonts w:asciiTheme="minorBidi" w:hAnsiTheme="minorBidi"/>
          <w:sz w:val="24"/>
          <w:szCs w:val="24"/>
        </w:rPr>
      </w:pPr>
    </w:p>
    <w:p w14:paraId="3EAE3D8F" w14:textId="0186A679" w:rsidR="004B33A7" w:rsidRDefault="004B33A7" w:rsidP="004B33A7">
      <w:pPr>
        <w:rPr>
          <w:rFonts w:asciiTheme="minorBidi" w:hAnsiTheme="minorBidi"/>
          <w:sz w:val="24"/>
          <w:szCs w:val="24"/>
        </w:rPr>
      </w:pPr>
      <w:r>
        <w:rPr>
          <w:rFonts w:asciiTheme="minorBidi" w:hAnsiTheme="minorBidi"/>
          <w:sz w:val="24"/>
          <w:szCs w:val="24"/>
        </w:rPr>
        <w:t xml:space="preserve">Assignment </w:t>
      </w:r>
    </w:p>
    <w:p w14:paraId="193B4ADB" w14:textId="77777777" w:rsidR="004B37E8" w:rsidRPr="004B37E8" w:rsidRDefault="004B37E8" w:rsidP="004B37E8">
      <w:pPr>
        <w:rPr>
          <w:rFonts w:asciiTheme="minorBidi" w:hAnsiTheme="minorBidi"/>
          <w:sz w:val="24"/>
          <w:szCs w:val="24"/>
        </w:rPr>
      </w:pPr>
      <w:r w:rsidRPr="004B37E8">
        <w:rPr>
          <w:rFonts w:asciiTheme="minorBidi" w:hAnsiTheme="minorBidi"/>
          <w:b/>
          <w:bCs/>
          <w:sz w:val="24"/>
          <w:szCs w:val="24"/>
          <w:u w:val="single"/>
        </w:rPr>
        <w:t>Part 1</w:t>
      </w:r>
      <w:r w:rsidRPr="004B37E8">
        <w:rPr>
          <w:rFonts w:asciiTheme="minorBidi" w:hAnsiTheme="minorBidi"/>
          <w:sz w:val="24"/>
          <w:szCs w:val="24"/>
        </w:rPr>
        <w:t> </w:t>
      </w:r>
    </w:p>
    <w:p w14:paraId="12B3693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The post-compulsory sector in the UK, FE colleges, sixth forms, universities, is massive for making education inclusive and accessible, especially for anyone who needs extra support. This includes disabilities, SEN, mental health, neurodiversity, or just any barrier that could leave someone falling behind their cohort.  </w:t>
      </w:r>
    </w:p>
    <w:p w14:paraId="07D7F232"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I’d say the Welsh professional standards also come into play here. Especially </w:t>
      </w:r>
      <w:r w:rsidRPr="004B37E8">
        <w:rPr>
          <w:rFonts w:asciiTheme="minorBidi" w:hAnsiTheme="minorBidi"/>
          <w:b/>
          <w:bCs/>
          <w:sz w:val="24"/>
          <w:szCs w:val="24"/>
        </w:rPr>
        <w:t>Value and promote diversity, equality of opportunity and inclusion </w:t>
      </w:r>
      <w:r w:rsidRPr="004B37E8">
        <w:rPr>
          <w:rFonts w:asciiTheme="minorBidi" w:hAnsiTheme="minorBidi"/>
          <w:sz w:val="24"/>
          <w:szCs w:val="24"/>
        </w:rPr>
        <w:t>and </w:t>
      </w:r>
      <w:r w:rsidRPr="004B37E8">
        <w:rPr>
          <w:rFonts w:asciiTheme="minorBidi" w:hAnsiTheme="minorBidi"/>
          <w:b/>
          <w:bCs/>
          <w:sz w:val="24"/>
          <w:szCs w:val="24"/>
        </w:rPr>
        <w:t>Demonstrate commitment to learners, their learning, safety and well-being, </w:t>
      </w:r>
      <w:r w:rsidRPr="004B37E8">
        <w:rPr>
          <w:rFonts w:asciiTheme="minorBidi" w:hAnsiTheme="minorBidi"/>
          <w:sz w:val="24"/>
          <w:szCs w:val="24"/>
        </w:rPr>
        <w:t>these, just like the others should be always at the front of your mind. </w:t>
      </w:r>
    </w:p>
    <w:p w14:paraId="027316C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lastRenderedPageBreak/>
        <w:t>Being inclusive means educators and whole institutions must actively shape things around the law and policies so everyone gets fair access, can take part, and has a decent shot at the same outcomes. </w:t>
      </w:r>
    </w:p>
    <w:p w14:paraId="143D5CA9"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The big one is the Equality Act 2010, which pulled together all the old anti-discrimination laws and </w:t>
      </w:r>
      <w:proofErr w:type="gramStart"/>
      <w:r w:rsidRPr="004B37E8">
        <w:rPr>
          <w:rFonts w:asciiTheme="minorBidi" w:hAnsiTheme="minorBidi"/>
          <w:sz w:val="24"/>
          <w:szCs w:val="24"/>
        </w:rPr>
        <w:t>definitely covers</w:t>
      </w:r>
      <w:proofErr w:type="gramEnd"/>
      <w:r w:rsidRPr="004B37E8">
        <w:rPr>
          <w:rFonts w:asciiTheme="minorBidi" w:hAnsiTheme="minorBidi"/>
          <w:sz w:val="24"/>
          <w:szCs w:val="24"/>
        </w:rPr>
        <w:t> post-16 providers. Part 6 says you can't discriminate against students because of protected characteristics (disability being a key one). That covers direct discrimination, indirect, discrimination arising from disability, harassment, and victimisation, the full list. </w:t>
      </w:r>
    </w:p>
    <w:p w14:paraId="111871C0"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The heart of it is the duty to make reasonable adjustments. Teachers shouldn't just sit back and wait for someone to </w:t>
      </w:r>
      <w:proofErr w:type="gramStart"/>
      <w:r w:rsidRPr="004B37E8">
        <w:rPr>
          <w:rFonts w:asciiTheme="minorBidi" w:hAnsiTheme="minorBidi"/>
          <w:sz w:val="24"/>
          <w:szCs w:val="24"/>
        </w:rPr>
        <w:t>ask,</w:t>
      </w:r>
      <w:proofErr w:type="gramEnd"/>
      <w:r w:rsidRPr="004B37E8">
        <w:rPr>
          <w:rFonts w:asciiTheme="minorBidi" w:hAnsiTheme="minorBidi"/>
          <w:sz w:val="24"/>
          <w:szCs w:val="24"/>
        </w:rPr>
        <w:t> we're meant to spot barriers that would substantially disadvantage a disabled learner and sort them out. That could mean extra time in exams, accessible digital tools, screen readers, </w:t>
      </w:r>
      <w:proofErr w:type="spellStart"/>
      <w:r w:rsidRPr="004B37E8">
        <w:rPr>
          <w:rFonts w:asciiTheme="minorBidi" w:hAnsiTheme="minorBidi"/>
          <w:sz w:val="24"/>
          <w:szCs w:val="24"/>
        </w:rPr>
        <w:t>dictaphones</w:t>
      </w:r>
      <w:proofErr w:type="spellEnd"/>
      <w:r w:rsidRPr="004B37E8">
        <w:rPr>
          <w:rFonts w:asciiTheme="minorBidi" w:hAnsiTheme="minorBidi"/>
          <w:sz w:val="24"/>
          <w:szCs w:val="24"/>
        </w:rPr>
        <w:t>, resources in different formats, support workers, or switching up teaching like using more visuals or having quiet breakout spaces. Unlike in schools, whether something counts as "reasonable" depends on cost, how practical it is, what resources you've </w:t>
      </w:r>
      <w:proofErr w:type="gramStart"/>
      <w:r w:rsidRPr="004B37E8">
        <w:rPr>
          <w:rFonts w:asciiTheme="minorBidi" w:hAnsiTheme="minorBidi"/>
          <w:sz w:val="24"/>
          <w:szCs w:val="24"/>
        </w:rPr>
        <w:t>actually got</w:t>
      </w:r>
      <w:proofErr w:type="gramEnd"/>
      <w:r w:rsidRPr="004B37E8">
        <w:rPr>
          <w:rFonts w:asciiTheme="minorBidi" w:hAnsiTheme="minorBidi"/>
          <w:sz w:val="24"/>
          <w:szCs w:val="24"/>
        </w:rPr>
        <w:t>, health &amp; safety, and how much difference it really makes. If you don't make those adjustments when you should, it's just discrimination. </w:t>
      </w:r>
    </w:p>
    <w:p w14:paraId="71D09FA0"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Then you've got Special Educational Needs and Disability code of practice: 0 to 25 years the SEND Code of Practice (0–25) from 2015, which came out of the Children and Families Act 2014 and does reach into FE and post-16. Chapter 7 is all about further education, it wants a graduated approach; assess needs, plan support, do the support, review how it's going. Colleges </w:t>
      </w:r>
      <w:proofErr w:type="gramStart"/>
      <w:r w:rsidRPr="004B37E8">
        <w:rPr>
          <w:rFonts w:asciiTheme="minorBidi" w:hAnsiTheme="minorBidi"/>
          <w:sz w:val="24"/>
          <w:szCs w:val="24"/>
        </w:rPr>
        <w:t>have to</w:t>
      </w:r>
      <w:proofErr w:type="gramEnd"/>
      <w:r w:rsidRPr="004B37E8">
        <w:rPr>
          <w:rFonts w:asciiTheme="minorBidi" w:hAnsiTheme="minorBidi"/>
          <w:sz w:val="24"/>
          <w:szCs w:val="24"/>
        </w:rPr>
        <w:t> use their "best endeavours" to meet needs, bring in specialists when necessary, and properly involve the learner (and often their family) in decisions. For anyone with an EHC (educational, health and social care needs) plan, the statutory things </w:t>
      </w:r>
      <w:proofErr w:type="gramStart"/>
      <w:r w:rsidRPr="004B37E8">
        <w:rPr>
          <w:rFonts w:asciiTheme="minorBidi" w:hAnsiTheme="minorBidi"/>
          <w:sz w:val="24"/>
          <w:szCs w:val="24"/>
        </w:rPr>
        <w:t>have to</w:t>
      </w:r>
      <w:proofErr w:type="gramEnd"/>
      <w:r w:rsidRPr="004B37E8">
        <w:rPr>
          <w:rFonts w:asciiTheme="minorBidi" w:hAnsiTheme="minorBidi"/>
          <w:sz w:val="24"/>
          <w:szCs w:val="24"/>
        </w:rPr>
        <w:t> happen, and reasonable adjustments layer on top where needs overlap. The Code keeps pushing high aspirations, real inclusion, and getting ready for adult life, all very much in line with inclusivity. </w:t>
      </w:r>
    </w:p>
    <w:p w14:paraId="6B88A4E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On top of the legal side, national policy keeps reinforcing it. The Post-16 Education and Skills White Paper (2025) is trying to build a more inclusive and flexible system, better support for disadvantaged learners, the Youth Guarantee to stop people ending up NEET, more investment in training staff to handle diverse needs, plus stronger employer links and modular pathways that can really suit people with additional requirements. </w:t>
      </w:r>
    </w:p>
    <w:p w14:paraId="742AFB6B"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Further Education institutes now have their own equality &amp; diversity strategies, accessibility plans, and SEN/inclusion policies that tie into all this. Loads of FE institutions even publish SEN information reports spelling out exactly what support is on offer, which is straight out of the Code. </w:t>
      </w:r>
    </w:p>
    <w:p w14:paraId="2FFC3F6B" w14:textId="77777777" w:rsidR="004B37E8" w:rsidRPr="004B37E8" w:rsidRDefault="004B37E8" w:rsidP="004B37E8">
      <w:pPr>
        <w:rPr>
          <w:rFonts w:asciiTheme="minorBidi" w:hAnsiTheme="minorBidi"/>
          <w:sz w:val="24"/>
          <w:szCs w:val="24"/>
        </w:rPr>
      </w:pPr>
      <w:r w:rsidRPr="004B37E8">
        <w:rPr>
          <w:rFonts w:asciiTheme="minorBidi" w:hAnsiTheme="minorBidi"/>
          <w:b/>
          <w:bCs/>
          <w:sz w:val="24"/>
          <w:szCs w:val="24"/>
        </w:rPr>
        <w:t>Neath College</w:t>
      </w:r>
      <w:r w:rsidRPr="004B37E8">
        <w:rPr>
          <w:rFonts w:asciiTheme="minorBidi" w:hAnsiTheme="minorBidi"/>
          <w:sz w:val="24"/>
          <w:szCs w:val="24"/>
        </w:rPr>
        <w:t xml:space="preserve">, where I’m undergoing my placement, has a special support system, available to help any Veterans of the armed forces, students with serving families, care experienced young people, students with caring responsibilities and students with refugee status (including UASCS). As well as this, NPTC Group has a dedicated </w:t>
      </w:r>
      <w:r w:rsidRPr="004B37E8">
        <w:rPr>
          <w:rFonts w:asciiTheme="minorBidi" w:hAnsiTheme="minorBidi"/>
          <w:sz w:val="24"/>
          <w:szCs w:val="24"/>
        </w:rPr>
        <w:lastRenderedPageBreak/>
        <w:t>support team who support students with additional learning needs, disabilities and medical needs. </w:t>
      </w:r>
    </w:p>
    <w:p w14:paraId="7B19B5F9"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In the actual classroom, good inclusivity goes way beyond just ticking legal boxes. It's about proactively doing things better, like using Universal Design for Learning (UDL) so there's multiple ways to engage, take in information, and show what you know. That helps everyone, not just those with extra needs. Think differentiated tasks, more formative/low-stakes assessment instead of everything riding on one big exam, or trauma-informed approaches for mental health. Staff training on disability awareness and adjustments is crucial too and stops accidental discrimination creeping in. </w:t>
      </w:r>
    </w:p>
    <w:p w14:paraId="246703F3"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At the end of the day, all this is about a rights-based mindset, seeing learners as people with real potential instead of focusing on what's "wrong" with them. When legislation, college commitment and everyday teaching practice line up, post-compulsory education can genuinely be inclusive, letting everyone thrive and feeding into bigger goals around equity and people being able to participate properly in the economy and society. </w:t>
      </w:r>
    </w:p>
    <w:p w14:paraId="1F0F49BC" w14:textId="77777777" w:rsidR="004B37E8" w:rsidRPr="004B37E8" w:rsidRDefault="004B37E8" w:rsidP="004B37E8">
      <w:pPr>
        <w:rPr>
          <w:rFonts w:asciiTheme="minorBidi" w:hAnsiTheme="minorBidi"/>
          <w:sz w:val="24"/>
          <w:szCs w:val="24"/>
        </w:rPr>
      </w:pPr>
      <w:r w:rsidRPr="004B37E8">
        <w:rPr>
          <w:rFonts w:asciiTheme="minorBidi" w:hAnsiTheme="minorBidi"/>
          <w:b/>
          <w:bCs/>
          <w:sz w:val="24"/>
          <w:szCs w:val="24"/>
          <w:u w:val="single"/>
        </w:rPr>
        <w:t>Part 2 - </w:t>
      </w:r>
      <w:r w:rsidRPr="004B37E8">
        <w:rPr>
          <w:rFonts w:asciiTheme="minorBidi" w:hAnsiTheme="minorBidi"/>
          <w:sz w:val="24"/>
          <w:szCs w:val="24"/>
        </w:rPr>
        <w:t> </w:t>
      </w:r>
    </w:p>
    <w:p w14:paraId="288C7D93"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u w:val="single"/>
        </w:rPr>
        <w:t>Rhys/Angharad</w:t>
      </w:r>
      <w:r w:rsidRPr="004B37E8">
        <w:rPr>
          <w:rFonts w:asciiTheme="minorBidi" w:hAnsiTheme="minorBidi"/>
          <w:sz w:val="24"/>
          <w:szCs w:val="24"/>
        </w:rPr>
        <w:t> </w:t>
      </w:r>
    </w:p>
    <w:p w14:paraId="30BA46CC"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Firstly, I would ensure confidentiality is maintained in line with GDPR and safeguarding guidance, discussing with Angharad how and when she would like her preferred name and pronouns to be used. With her permission, I would inform the Student Support and Wellbeing Team, who provide counselling and emotional wellbeing services through Neath College’s Student Zone. This service can offer a dedicated wellbeing officer trained in LGBTQ+ support, helping her explore her identity safely. Someone with much better expertise than me.  </w:t>
      </w:r>
    </w:p>
    <w:p w14:paraId="753AC424"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Within the classroom, I would make practical adjustments: ensuring her preferred name appears on class registers (with appropriate permissions), using inclusive language, and fostering a group culture taking diversity awareness directly. If necessary, I would speak with the Equality, Diversity and Inclusion Officer to provide staff training or awareness sessions to prevent discrimination or misunderstanding towards the student. </w:t>
      </w:r>
    </w:p>
    <w:p w14:paraId="6A839695"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Academically, I would work with the Learning Support team at NPTC to develop an Individual Learning Plan outlining flexibility in deadlines and access to a quiet study environment to help manage stress if there was need. Encouraging positive peer relationships through collaborative but supportive group tasks could also help Angharad feel more integrated. </w:t>
      </w:r>
    </w:p>
    <w:p w14:paraId="5534B58F"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In line with professional standards, I would regularly review support measures, ensuring Angharad’s voice remains central. The overarching goal is to empower her to succeed academically while reinforcing her sense of belonging, dignity, and self-confidence. </w:t>
      </w:r>
    </w:p>
    <w:p w14:paraId="62260A3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 xml:space="preserve">She is probably feeling ‘different’, may have a fear of judgement, and lack of acceptance that could then be causing anxiety and low mood, explaining her </w:t>
      </w:r>
      <w:r w:rsidRPr="004B37E8">
        <w:rPr>
          <w:rFonts w:asciiTheme="minorBidi" w:hAnsiTheme="minorBidi"/>
          <w:sz w:val="24"/>
          <w:szCs w:val="24"/>
        </w:rPr>
        <w:lastRenderedPageBreak/>
        <w:t>reduced focus and declining grades in my classroom. The Professional Standards for FE, WBL and ACL Practitioners (2023) place emphasis on promoting inclusive and equitable learning environments and responding sensitively to the individual needs of learners. Therefore, my role is to create a safe, affirming space for Angharad to thrive both academically and personally. </w:t>
      </w:r>
    </w:p>
    <w:p w14:paraId="68629C98"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u w:val="single"/>
        </w:rPr>
        <w:t>Iwan</w:t>
      </w:r>
      <w:r w:rsidRPr="004B37E8">
        <w:rPr>
          <w:rFonts w:asciiTheme="minorBidi" w:hAnsiTheme="minorBidi"/>
          <w:sz w:val="24"/>
          <w:szCs w:val="24"/>
        </w:rPr>
        <w:t> </w:t>
      </w:r>
    </w:p>
    <w:p w14:paraId="2A1E716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His situation highlights the need for both financial and academic support to ensure he can continue his studies without compromising his wellbeing. </w:t>
      </w:r>
    </w:p>
    <w:p w14:paraId="6CF12B65"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As his teacher, I would first hold a confidential, supportive discussion with Iwan to identify specific needs and gain consent to refer him to appropriate services. Under Neath College’s Student Support framework, I would direct him to the Student Support and Wellbeing Team, who can offer financial advice, budgeting guidance, and access to hardship funds or bursaries. The Student Finance Officer could help him apply for discretionary support schemes intended to ease financial pressure. </w:t>
      </w:r>
    </w:p>
    <w:p w14:paraId="7B1ABD9F"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From an academic perspective, I would provide flexibility in coursework submission where possible, following institutional policy, and assist Iwan in developing a personalised study plan. This may include targeted tutorials, access to online learning materials for any missed lessons, and opportunities for structured catch-up sessions. I would also encourage use of the Learning Support and Study Skills services to help him manage workload and maintain academic standards. </w:t>
      </w:r>
    </w:p>
    <w:p w14:paraId="4BE96762"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This approach aligns with the Professional Standards for FE Practitioners (2023) by promoting inclusivity, empathy, and learner-centred practice. Demonstrating commitment to professional values, I would ensure Iwan’s dignity and confidentiality are respected, responding ethically and appropriately to his circumstances. By fostering trust and collaboration with support services, I aim to enable Iwan to continue his studies successfully, reduce barriers to learning, and help him achieve his potential within the FE environment. </w:t>
      </w:r>
    </w:p>
    <w:p w14:paraId="543006B9"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I would also point him in the direction of the library where students can borrow laptops and the media equipment team where students can book out cameras for their assignments, not needing to own their own equipment. </w:t>
      </w:r>
    </w:p>
    <w:p w14:paraId="517EC52B"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u w:val="single"/>
        </w:rPr>
        <w:t>Dafydd</w:t>
      </w:r>
      <w:r w:rsidRPr="004B37E8">
        <w:rPr>
          <w:rFonts w:asciiTheme="minorBidi" w:hAnsiTheme="minorBidi"/>
          <w:sz w:val="24"/>
          <w:szCs w:val="24"/>
        </w:rPr>
        <w:t> </w:t>
      </w:r>
    </w:p>
    <w:p w14:paraId="075ED3EC"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Within the UAL Media programme at NPTC, students are expected to engage extensively with digital tools, participate in collaborative projects, and produce written and practical work using cameras and audio equipment. Dafydd’s partial sight and reduced typing speed could impact his ability to keep pace with notetaking and documentation tasks, particularly during extended sessions. His susceptibility to fatigue may also affect concentration and participation in longer practical lessons or assessments within the media course. </w:t>
      </w:r>
    </w:p>
    <w:p w14:paraId="5BF4BB48"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 xml:space="preserve">To ensure Dafydd’s inclusion and success, Neath College’s commitment to equality of opportunity and inclusive learning, as outlined through its Learning Support and Student Services, will be fully implemented. A Learner Support Plan will be created in collaboration with the college’s Additional Learning Needs team, outlining Dafydd’s </w:t>
      </w:r>
      <w:r w:rsidRPr="004B37E8">
        <w:rPr>
          <w:rFonts w:asciiTheme="minorBidi" w:hAnsiTheme="minorBidi"/>
          <w:sz w:val="24"/>
          <w:szCs w:val="24"/>
        </w:rPr>
        <w:lastRenderedPageBreak/>
        <w:t>reasonable adjustments under the Equality Act 2010. This will include access to assistive technology such as speech-to-text software, screen magnification tools, and possibly ergonomic equipment (adapted keyboard, adjustable workstation, and supportive chair). </w:t>
      </w:r>
    </w:p>
    <w:p w14:paraId="56C19BFC"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Where appropriate, Dafydd will be permitted to record lectures or use a digital notetaking app to compensate for slow typing speed. Printed or digital resources will be made available in large font and high-contrast formats. He will also be given extended time for written assignments and exams, in line with college policy on access arrangements. </w:t>
      </w:r>
    </w:p>
    <w:p w14:paraId="5C8A02CA"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In-class adjustments will include flexible seating arrangements near the front for optimal visibility and ease of movement. Rest breaks will be scheduled during longer sessions to manage fatigue. Group work will be structured so that Dafydd can contribute effectively without physical strain, emphasizing his verbal strengths. </w:t>
      </w:r>
    </w:p>
    <w:p w14:paraId="3599DCF8"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Ongoing communication with the Student Services team, Assistive Technology Coordinator, and Personal Tutor will ensure any new barriers are addressed promptly and possibly before they arise. Regular review meetings will support continued independence and well-being. </w:t>
      </w:r>
    </w:p>
    <w:p w14:paraId="6ABEEAE9"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By embedding inclusive teaching practices aligned with the Professional Standards for Further Education Practitioners (2023), I will ensure Dafydd experiences an equitable, empowering, and accessible learning environment that enables him to thrive academically and personally. </w:t>
      </w:r>
    </w:p>
    <w:p w14:paraId="3946DE29"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Neath College also has a lift that is always out of action. As a personal tutor, I would arrange a ground-level room if needed or ensure the lift is in working order during the day he is in college. </w:t>
      </w:r>
    </w:p>
    <w:p w14:paraId="6EC5ABD9" w14:textId="77777777" w:rsidR="004B37E8" w:rsidRPr="004B37E8" w:rsidRDefault="004B37E8" w:rsidP="004B37E8">
      <w:pPr>
        <w:rPr>
          <w:rFonts w:asciiTheme="minorBidi" w:hAnsiTheme="minorBidi"/>
          <w:sz w:val="24"/>
          <w:szCs w:val="24"/>
        </w:rPr>
      </w:pPr>
      <w:r w:rsidRPr="004B37E8">
        <w:rPr>
          <w:rFonts w:asciiTheme="minorBidi" w:hAnsiTheme="minorBidi"/>
          <w:b/>
          <w:bCs/>
          <w:sz w:val="24"/>
          <w:szCs w:val="24"/>
          <w:u w:val="single"/>
        </w:rPr>
        <w:t>References</w:t>
      </w:r>
      <w:r w:rsidRPr="004B37E8">
        <w:rPr>
          <w:rFonts w:asciiTheme="minorBidi" w:hAnsiTheme="minorBidi"/>
          <w:sz w:val="24"/>
          <w:szCs w:val="24"/>
        </w:rPr>
        <w:t> </w:t>
      </w:r>
    </w:p>
    <w:p w14:paraId="305EA5AF"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Equality Act 2010. Available at: </w:t>
      </w:r>
      <w:hyperlink r:id="rId5" w:tgtFrame="_blank" w:history="1">
        <w:r w:rsidRPr="004B37E8">
          <w:rPr>
            <w:rStyle w:val="Hyperlink"/>
            <w:rFonts w:asciiTheme="minorBidi" w:hAnsiTheme="minorBidi"/>
            <w:sz w:val="24"/>
            <w:szCs w:val="24"/>
          </w:rPr>
          <w:t>https://www.legislation.gov.uk/ukpga/2010/15/contents</w:t>
        </w:r>
      </w:hyperlink>
      <w:r w:rsidRPr="004B37E8">
        <w:rPr>
          <w:rFonts w:asciiTheme="minorBidi" w:hAnsiTheme="minorBidi"/>
          <w:sz w:val="24"/>
          <w:szCs w:val="24"/>
        </w:rPr>
        <w:t> </w:t>
      </w:r>
    </w:p>
    <w:p w14:paraId="3A06FC2C"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Department for Education (2015) Special educational needs and disability code of practice: 0 to 25 years. Available at: </w:t>
      </w:r>
      <w:hyperlink r:id="rId6" w:tgtFrame="_blank" w:history="1">
        <w:r w:rsidRPr="004B37E8">
          <w:rPr>
            <w:rStyle w:val="Hyperlink"/>
            <w:rFonts w:asciiTheme="minorBidi" w:hAnsiTheme="minorBidi"/>
            <w:sz w:val="24"/>
            <w:szCs w:val="24"/>
          </w:rPr>
          <w:t>https://www.gov.uk/government/publications/send-code-of-practice-0-to-25</w:t>
        </w:r>
      </w:hyperlink>
      <w:r w:rsidRPr="004B37E8">
        <w:rPr>
          <w:rFonts w:asciiTheme="minorBidi" w:hAnsiTheme="minorBidi"/>
          <w:sz w:val="24"/>
          <w:szCs w:val="24"/>
        </w:rPr>
        <w:t> </w:t>
      </w:r>
    </w:p>
    <w:p w14:paraId="3904F668"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Department for Education (2025) Post-16 education and skills white paper. Available at: </w:t>
      </w:r>
      <w:hyperlink r:id="rId7" w:tgtFrame="_blank" w:history="1">
        <w:r w:rsidRPr="004B37E8">
          <w:rPr>
            <w:rStyle w:val="Hyperlink"/>
            <w:rFonts w:asciiTheme="minorBidi" w:hAnsiTheme="minorBidi"/>
            <w:sz w:val="24"/>
            <w:szCs w:val="24"/>
          </w:rPr>
          <w:t>https://www.gov.uk/government/publications/post-16-education-and-skills-white-paper</w:t>
        </w:r>
      </w:hyperlink>
      <w:r w:rsidRPr="004B37E8">
        <w:rPr>
          <w:rFonts w:asciiTheme="minorBidi" w:hAnsiTheme="minorBidi"/>
          <w:sz w:val="24"/>
          <w:szCs w:val="24"/>
        </w:rPr>
        <w:t> </w:t>
      </w:r>
    </w:p>
    <w:p w14:paraId="0E6DC621"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Equality and Human Rights Commission guidance on reasonable adjustments in education. (Note: Institutional policies vary; refer to specific college/university equality schemes for localised examples.) </w:t>
      </w:r>
    </w:p>
    <w:p w14:paraId="2456AB5E"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 </w:t>
      </w:r>
    </w:p>
    <w:p w14:paraId="2BF904A6" w14:textId="77777777" w:rsidR="004B37E8" w:rsidRPr="004B37E8" w:rsidRDefault="004B37E8" w:rsidP="004B37E8">
      <w:pPr>
        <w:rPr>
          <w:rFonts w:asciiTheme="minorBidi" w:hAnsiTheme="minorBidi"/>
          <w:sz w:val="24"/>
          <w:szCs w:val="24"/>
        </w:rPr>
      </w:pPr>
      <w:r w:rsidRPr="004B37E8">
        <w:rPr>
          <w:rFonts w:asciiTheme="minorBidi" w:hAnsiTheme="minorBidi"/>
          <w:sz w:val="24"/>
          <w:szCs w:val="24"/>
        </w:rPr>
        <w:t> </w:t>
      </w:r>
    </w:p>
    <w:p w14:paraId="0CF80D7A" w14:textId="77777777" w:rsidR="004B37E8" w:rsidRPr="004B33A7" w:rsidRDefault="004B37E8" w:rsidP="004B33A7">
      <w:pPr>
        <w:rPr>
          <w:rFonts w:asciiTheme="minorBidi" w:hAnsiTheme="minorBidi"/>
          <w:sz w:val="24"/>
          <w:szCs w:val="24"/>
        </w:rPr>
      </w:pPr>
    </w:p>
    <w:sectPr w:rsidR="004B37E8" w:rsidRPr="004B3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1063A2"/>
    <w:rsid w:val="003509E8"/>
    <w:rsid w:val="0035572A"/>
    <w:rsid w:val="00385B11"/>
    <w:rsid w:val="0044049C"/>
    <w:rsid w:val="004B33A7"/>
    <w:rsid w:val="004B37E8"/>
    <w:rsid w:val="005306D0"/>
    <w:rsid w:val="00703E2E"/>
    <w:rsid w:val="00850111"/>
    <w:rsid w:val="008652D3"/>
    <w:rsid w:val="008D6914"/>
    <w:rsid w:val="00BD07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3916"/>
  <w15:chartTrackingRefBased/>
  <w15:docId w15:val="{A133BC34-3EDE-4873-851B-1E7D7D67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3A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B33A7"/>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uiPriority w:val="10"/>
    <w:qFormat/>
    <w:rsid w:val="004B33A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character" w:styleId="Hyperlink">
    <w:name w:val="Hyperlink"/>
    <w:basedOn w:val="DefaultParagraphFont"/>
    <w:uiPriority w:val="99"/>
    <w:unhideWhenUsed/>
    <w:rsid w:val="004B37E8"/>
    <w:rPr>
      <w:color w:val="467886" w:themeColor="hyperlink"/>
      <w:u w:val="single"/>
    </w:rPr>
  </w:style>
  <w:style w:type="character" w:styleId="UnresolvedMention">
    <w:name w:val="Unresolved Mention"/>
    <w:basedOn w:val="DefaultParagraphFont"/>
    <w:uiPriority w:val="99"/>
    <w:semiHidden/>
    <w:unhideWhenUsed/>
    <w:rsid w:val="004B3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post-16-education-and-skills-white-pap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send-code-of-practice-0-to-25" TargetMode="External"/><Relationship Id="rId5" Type="http://schemas.openxmlformats.org/officeDocument/2006/relationships/hyperlink" Target="https://www.legislation.gov.uk/ukpga/2010/15/content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2072</Words>
  <Characters>11814</Characters>
  <Application>Microsoft Office Word</Application>
  <DocSecurity>0</DocSecurity>
  <Lines>98</Lines>
  <Paragraphs>27</Paragraphs>
  <ScaleCrop>false</ScaleCrop>
  <Company>University of Wales Trinity Saint David</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Lucy Rees</cp:lastModifiedBy>
  <cp:revision>2</cp:revision>
  <dcterms:created xsi:type="dcterms:W3CDTF">2026-02-06T13:25:00Z</dcterms:created>
  <dcterms:modified xsi:type="dcterms:W3CDTF">2026-02-06T13:25:00Z</dcterms:modified>
</cp:coreProperties>
</file>