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8F5084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B5471">
              <w:rPr>
                <w:b/>
                <w:color w:val="auto"/>
                <w:sz w:val="32"/>
              </w:rPr>
              <w:t>Ellen MORRIS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4976521" w:rsidR="00575A8F" w:rsidRDefault="00FB5471" w:rsidP="00E6298B">
            <w:pPr>
              <w:overflowPunct/>
              <w:autoSpaceDE/>
              <w:autoSpaceDN/>
              <w:adjustRightInd/>
              <w:ind w:right="107"/>
              <w:textAlignment w:val="auto"/>
              <w:rPr>
                <w:b/>
                <w:color w:val="auto"/>
                <w:sz w:val="32"/>
              </w:rPr>
            </w:pPr>
            <w:r>
              <w:rPr>
                <w:b/>
                <w:color w:val="auto"/>
                <w:sz w:val="32"/>
              </w:rPr>
              <w:t>2236357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C51F1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0EE6CED9" w14:textId="3579F740" w:rsidR="00E162FB" w:rsidRDefault="00025650" w:rsidP="00E6298B">
      <w:pPr>
        <w:ind w:right="107"/>
        <w:jc w:val="both"/>
        <w:rPr>
          <w:b/>
          <w:sz w:val="24"/>
          <w:szCs w:val="24"/>
        </w:rPr>
      </w:pPr>
      <w:r w:rsidRPr="00025650">
        <w:rPr>
          <w:b/>
          <w:sz w:val="24"/>
          <w:szCs w:val="24"/>
        </w:rPr>
        <w:t>ANSWER:</w:t>
      </w:r>
    </w:p>
    <w:p w14:paraId="3ACC076C" w14:textId="77777777" w:rsidR="00AF44E5" w:rsidRPr="00B85357" w:rsidRDefault="00AF44E5" w:rsidP="00E6298B">
      <w:pPr>
        <w:ind w:right="107"/>
        <w:jc w:val="both"/>
        <w:rPr>
          <w:b/>
          <w:sz w:val="24"/>
          <w:szCs w:val="24"/>
        </w:rPr>
      </w:pPr>
    </w:p>
    <w:p w14:paraId="1A4E6B54" w14:textId="77777777" w:rsidR="00B2349C" w:rsidRDefault="00B2349C" w:rsidP="00B2349C">
      <w:pPr>
        <w:rPr>
          <w:rFonts w:asciiTheme="minorHAnsi" w:hAnsiTheme="minorHAnsi" w:cstheme="minorHAnsi"/>
          <w:sz w:val="24"/>
          <w:szCs w:val="24"/>
        </w:rPr>
      </w:pPr>
      <w:r w:rsidRPr="00F7698A">
        <w:rPr>
          <w:rFonts w:asciiTheme="minorHAnsi" w:hAnsiTheme="minorHAnsi" w:cstheme="minorHAnsi"/>
          <w:sz w:val="24"/>
          <w:szCs w:val="24"/>
        </w:rPr>
        <w:t>In this essay I will be discussing and comparing</w:t>
      </w:r>
      <w:r>
        <w:rPr>
          <w:rFonts w:asciiTheme="minorHAnsi" w:hAnsiTheme="minorHAnsi" w:cstheme="minorHAnsi"/>
          <w:sz w:val="24"/>
          <w:szCs w:val="24"/>
        </w:rPr>
        <w:t xml:space="preserve"> two</w:t>
      </w:r>
      <w:r w:rsidRPr="00F7698A">
        <w:rPr>
          <w:rFonts w:asciiTheme="minorHAnsi" w:hAnsiTheme="minorHAnsi" w:cstheme="minorHAnsi"/>
          <w:sz w:val="24"/>
          <w:szCs w:val="24"/>
        </w:rPr>
        <w:t xml:space="preserve"> coping strategies that I applied during my initial six months of learning and since being attested as a police constable (PC) to develop resilience and minimise stress</w:t>
      </w:r>
      <w:r>
        <w:rPr>
          <w:rFonts w:asciiTheme="minorHAnsi" w:hAnsiTheme="minorHAnsi" w:cstheme="minorHAnsi"/>
          <w:sz w:val="24"/>
          <w:szCs w:val="24"/>
        </w:rPr>
        <w:t>. This essay will reflect on</w:t>
      </w:r>
      <w:r w:rsidRPr="00F7698A">
        <w:rPr>
          <w:rFonts w:asciiTheme="minorHAnsi" w:hAnsiTheme="minorHAnsi" w:cstheme="minorHAnsi"/>
          <w:sz w:val="24"/>
          <w:szCs w:val="24"/>
        </w:rPr>
        <w:t xml:space="preserve"> my time in initial police training</w:t>
      </w:r>
      <w:r>
        <w:rPr>
          <w:rFonts w:asciiTheme="minorHAnsi" w:hAnsiTheme="minorHAnsi" w:cstheme="minorHAnsi"/>
          <w:sz w:val="24"/>
          <w:szCs w:val="24"/>
        </w:rPr>
        <w:t>, and</w:t>
      </w:r>
      <w:r w:rsidRPr="00F7698A">
        <w:rPr>
          <w:rFonts w:asciiTheme="minorHAnsi" w:hAnsiTheme="minorHAnsi" w:cstheme="minorHAnsi"/>
          <w:sz w:val="24"/>
          <w:szCs w:val="24"/>
        </w:rPr>
        <w:t xml:space="preserve"> I will be using </w:t>
      </w:r>
      <w:proofErr w:type="spellStart"/>
      <w:r w:rsidRPr="00F7698A">
        <w:rPr>
          <w:rFonts w:asciiTheme="minorHAnsi" w:hAnsiTheme="minorHAnsi" w:cstheme="minorHAnsi"/>
          <w:sz w:val="24"/>
          <w:szCs w:val="24"/>
        </w:rPr>
        <w:t>Borton’s</w:t>
      </w:r>
      <w:proofErr w:type="spellEnd"/>
      <w:r w:rsidRPr="00F7698A">
        <w:rPr>
          <w:rFonts w:asciiTheme="minorHAnsi" w:hAnsiTheme="minorHAnsi" w:cstheme="minorHAnsi"/>
          <w:sz w:val="24"/>
          <w:szCs w:val="24"/>
        </w:rPr>
        <w:t xml:space="preserve"> Model of Reflection </w:t>
      </w:r>
      <w:r w:rsidRPr="005A130C">
        <w:rPr>
          <w:rFonts w:asciiTheme="minorHAnsi" w:hAnsiTheme="minorHAnsi" w:cstheme="minorHAnsi"/>
          <w:sz w:val="24"/>
          <w:szCs w:val="24"/>
        </w:rPr>
        <w:t>(</w:t>
      </w:r>
      <w:proofErr w:type="spellStart"/>
      <w:r w:rsidRPr="005A130C">
        <w:rPr>
          <w:rFonts w:asciiTheme="minorHAnsi" w:hAnsiTheme="minorHAnsi" w:cstheme="minorHAnsi"/>
          <w:sz w:val="24"/>
          <w:szCs w:val="24"/>
        </w:rPr>
        <w:t>Borton</w:t>
      </w:r>
      <w:proofErr w:type="spellEnd"/>
      <w:r w:rsidRPr="005A130C">
        <w:rPr>
          <w:rFonts w:asciiTheme="minorHAnsi" w:hAnsiTheme="minorHAnsi" w:cstheme="minorHAnsi"/>
          <w:sz w:val="24"/>
          <w:szCs w:val="24"/>
        </w:rPr>
        <w:t>, 1970)</w:t>
      </w:r>
      <w:r w:rsidRPr="00F7698A">
        <w:rPr>
          <w:rFonts w:asciiTheme="minorHAnsi" w:hAnsiTheme="minorHAnsi" w:cstheme="minorHAnsi"/>
          <w:sz w:val="24"/>
          <w:szCs w:val="24"/>
        </w:rPr>
        <w:t xml:space="preserve"> to structure this essay. </w:t>
      </w:r>
    </w:p>
    <w:p w14:paraId="4D78459D" w14:textId="77777777" w:rsidR="00B2349C" w:rsidRDefault="00B2349C" w:rsidP="00B2349C">
      <w:pPr>
        <w:rPr>
          <w:rFonts w:asciiTheme="minorHAnsi" w:hAnsiTheme="minorHAnsi" w:cstheme="minorHAnsi"/>
          <w:sz w:val="24"/>
          <w:szCs w:val="24"/>
        </w:rPr>
      </w:pPr>
    </w:p>
    <w:p w14:paraId="1A13788C" w14:textId="77777777" w:rsidR="00B2349C" w:rsidRPr="00F7698A" w:rsidRDefault="00B2349C" w:rsidP="00B2349C">
      <w:pPr>
        <w:rPr>
          <w:rFonts w:asciiTheme="minorHAnsi" w:hAnsiTheme="minorHAnsi" w:cstheme="minorHAnsi"/>
          <w:color w:val="auto"/>
          <w:sz w:val="24"/>
          <w:szCs w:val="24"/>
        </w:rPr>
      </w:pPr>
      <w:r w:rsidRPr="00F7698A">
        <w:rPr>
          <w:rFonts w:asciiTheme="minorHAnsi" w:hAnsiTheme="minorHAnsi" w:cstheme="minorHAnsi"/>
          <w:sz w:val="24"/>
          <w:szCs w:val="24"/>
        </w:rPr>
        <w:t xml:space="preserve">The first part of </w:t>
      </w:r>
      <w:proofErr w:type="spellStart"/>
      <w:r w:rsidRPr="00F7698A">
        <w:rPr>
          <w:rFonts w:asciiTheme="minorHAnsi" w:hAnsiTheme="minorHAnsi" w:cstheme="minorHAnsi"/>
          <w:sz w:val="24"/>
          <w:szCs w:val="24"/>
        </w:rPr>
        <w:t>Borton’s</w:t>
      </w:r>
      <w:proofErr w:type="spellEnd"/>
      <w:r w:rsidRPr="00F7698A">
        <w:rPr>
          <w:rFonts w:asciiTheme="minorHAnsi" w:hAnsiTheme="minorHAnsi" w:cstheme="minorHAnsi"/>
          <w:sz w:val="24"/>
          <w:szCs w:val="24"/>
        </w:rPr>
        <w:t xml:space="preserve"> model, and this essay, will focus on “what?”</w:t>
      </w:r>
      <w:r>
        <w:rPr>
          <w:rFonts w:asciiTheme="minorHAnsi" w:hAnsiTheme="minorHAnsi" w:cstheme="minorHAnsi"/>
          <w:sz w:val="24"/>
          <w:szCs w:val="24"/>
        </w:rPr>
        <w:t xml:space="preserve">. </w:t>
      </w:r>
      <w:r w:rsidRPr="00F7698A">
        <w:rPr>
          <w:rFonts w:asciiTheme="minorHAnsi" w:hAnsiTheme="minorHAnsi" w:cstheme="minorHAnsi"/>
          <w:sz w:val="24"/>
          <w:szCs w:val="24"/>
        </w:rPr>
        <w:t xml:space="preserve"> </w:t>
      </w:r>
      <w:r>
        <w:rPr>
          <w:rFonts w:asciiTheme="minorHAnsi" w:hAnsiTheme="minorHAnsi" w:cstheme="minorHAnsi"/>
          <w:sz w:val="24"/>
          <w:szCs w:val="24"/>
        </w:rPr>
        <w:t>The “what”</w:t>
      </w:r>
      <w:r w:rsidRPr="00F7698A">
        <w:rPr>
          <w:rFonts w:asciiTheme="minorHAnsi" w:hAnsiTheme="minorHAnsi" w:cstheme="minorHAnsi"/>
          <w:sz w:val="24"/>
          <w:szCs w:val="24"/>
        </w:rPr>
        <w:t xml:space="preserve"> </w:t>
      </w:r>
      <w:r>
        <w:rPr>
          <w:rFonts w:asciiTheme="minorHAnsi" w:hAnsiTheme="minorHAnsi" w:cstheme="minorHAnsi"/>
          <w:sz w:val="24"/>
          <w:szCs w:val="24"/>
        </w:rPr>
        <w:t xml:space="preserve">being the definition of </w:t>
      </w:r>
      <w:r w:rsidRPr="00F7698A">
        <w:rPr>
          <w:rFonts w:asciiTheme="minorHAnsi" w:hAnsiTheme="minorHAnsi" w:cstheme="minorHAnsi"/>
          <w:sz w:val="24"/>
          <w:szCs w:val="24"/>
        </w:rPr>
        <w:t>stress and resilience. I will then move on to discuss the “so what?” element of the model</w:t>
      </w:r>
      <w:r>
        <w:rPr>
          <w:rFonts w:asciiTheme="minorHAnsi" w:hAnsiTheme="minorHAnsi" w:cstheme="minorHAnsi"/>
          <w:sz w:val="24"/>
          <w:szCs w:val="24"/>
        </w:rPr>
        <w:t>.</w:t>
      </w:r>
      <w:r w:rsidRPr="00F7698A">
        <w:rPr>
          <w:rFonts w:asciiTheme="minorHAnsi" w:hAnsiTheme="minorHAnsi" w:cstheme="minorHAnsi"/>
          <w:sz w:val="24"/>
          <w:szCs w:val="24"/>
        </w:rPr>
        <w:t xml:space="preserve"> </w:t>
      </w:r>
      <w:r>
        <w:rPr>
          <w:rFonts w:asciiTheme="minorHAnsi" w:hAnsiTheme="minorHAnsi" w:cstheme="minorHAnsi"/>
          <w:sz w:val="24"/>
          <w:szCs w:val="24"/>
        </w:rPr>
        <w:t>In this part of the essay, I will discuss</w:t>
      </w:r>
      <w:r w:rsidRPr="00F7698A">
        <w:rPr>
          <w:rFonts w:asciiTheme="minorHAnsi" w:hAnsiTheme="minorHAnsi" w:cstheme="minorHAnsi"/>
          <w:sz w:val="24"/>
          <w:szCs w:val="24"/>
        </w:rPr>
        <w:t xml:space="preserve"> the methods I personally used to reduce stress and develop resilience. The final element of the model is “now what?”. </w:t>
      </w:r>
      <w:r>
        <w:rPr>
          <w:rFonts w:asciiTheme="minorHAnsi" w:hAnsiTheme="minorHAnsi" w:cstheme="minorHAnsi"/>
          <w:sz w:val="24"/>
          <w:szCs w:val="24"/>
        </w:rPr>
        <w:t>This section</w:t>
      </w:r>
      <w:r w:rsidRPr="00F7698A">
        <w:rPr>
          <w:rFonts w:asciiTheme="minorHAnsi" w:hAnsiTheme="minorHAnsi" w:cstheme="minorHAnsi"/>
          <w:sz w:val="24"/>
          <w:szCs w:val="24"/>
        </w:rPr>
        <w:t xml:space="preserve"> will reflect on the methods I used</w:t>
      </w:r>
      <w:r>
        <w:rPr>
          <w:rFonts w:asciiTheme="minorHAnsi" w:hAnsiTheme="minorHAnsi" w:cstheme="minorHAnsi"/>
          <w:sz w:val="24"/>
          <w:szCs w:val="24"/>
        </w:rPr>
        <w:t xml:space="preserve">, </w:t>
      </w:r>
      <w:r w:rsidRPr="00F7698A">
        <w:rPr>
          <w:rFonts w:asciiTheme="minorHAnsi" w:hAnsiTheme="minorHAnsi" w:cstheme="minorHAnsi"/>
          <w:sz w:val="24"/>
          <w:szCs w:val="24"/>
        </w:rPr>
        <w:t>what worked for me and what didn’t</w:t>
      </w:r>
      <w:r>
        <w:rPr>
          <w:rFonts w:asciiTheme="minorHAnsi" w:hAnsiTheme="minorHAnsi" w:cstheme="minorHAnsi"/>
          <w:sz w:val="24"/>
          <w:szCs w:val="24"/>
        </w:rPr>
        <w:t>,</w:t>
      </w:r>
      <w:r w:rsidRPr="00F7698A">
        <w:rPr>
          <w:rFonts w:asciiTheme="minorHAnsi" w:hAnsiTheme="minorHAnsi" w:cstheme="minorHAnsi"/>
          <w:sz w:val="24"/>
          <w:szCs w:val="24"/>
        </w:rPr>
        <w:t xml:space="preserve"> and I will </w:t>
      </w:r>
      <w:r>
        <w:rPr>
          <w:rFonts w:asciiTheme="minorHAnsi" w:hAnsiTheme="minorHAnsi" w:cstheme="minorHAnsi"/>
          <w:sz w:val="24"/>
          <w:szCs w:val="24"/>
        </w:rPr>
        <w:t>discuss which</w:t>
      </w:r>
      <w:r w:rsidRPr="00F7698A">
        <w:rPr>
          <w:rFonts w:asciiTheme="minorHAnsi" w:hAnsiTheme="minorHAnsi" w:cstheme="minorHAnsi"/>
          <w:sz w:val="24"/>
          <w:szCs w:val="24"/>
        </w:rPr>
        <w:t xml:space="preserve"> methods I intend to use going forward in my career as a PC. </w:t>
      </w:r>
    </w:p>
    <w:p w14:paraId="78044489" w14:textId="77777777" w:rsidR="00B2349C" w:rsidRPr="00F7698A" w:rsidRDefault="00B2349C" w:rsidP="00B2349C">
      <w:r>
        <w:br/>
      </w:r>
    </w:p>
    <w:p w14:paraId="56C62604" w14:textId="77777777" w:rsidR="00B2349C" w:rsidRPr="00B32BC2" w:rsidRDefault="00B2349C" w:rsidP="00B2349C">
      <w:pPr>
        <w:ind w:right="107"/>
        <w:jc w:val="both"/>
        <w:rPr>
          <w:rFonts w:asciiTheme="minorHAnsi" w:hAnsiTheme="minorHAnsi" w:cstheme="minorHAnsi"/>
          <w:sz w:val="24"/>
          <w:szCs w:val="24"/>
        </w:rPr>
      </w:pPr>
      <w:r w:rsidRPr="00B32BC2">
        <w:rPr>
          <w:rFonts w:asciiTheme="minorHAnsi" w:hAnsiTheme="minorHAnsi" w:cstheme="minorHAnsi"/>
          <w:sz w:val="24"/>
          <w:szCs w:val="24"/>
        </w:rPr>
        <w:t xml:space="preserve">According to Southwick and Charney (2012), resilience is the capacity and dynamic process of adapting to overcome stress and adversity whilst maintaining normal physical functioning. Research has found that </w:t>
      </w:r>
      <w:r>
        <w:rPr>
          <w:rFonts w:asciiTheme="minorHAnsi" w:hAnsiTheme="minorHAnsi" w:cstheme="minorHAnsi"/>
          <w:sz w:val="24"/>
          <w:szCs w:val="24"/>
        </w:rPr>
        <w:t xml:space="preserve">academic resilience </w:t>
      </w:r>
      <w:r w:rsidRPr="00B32BC2">
        <w:rPr>
          <w:rFonts w:asciiTheme="minorHAnsi" w:hAnsiTheme="minorHAnsi" w:cstheme="minorHAnsi"/>
          <w:sz w:val="24"/>
          <w:szCs w:val="24"/>
        </w:rPr>
        <w:t>can be promoted by focusing on alterable factors which have an impact on the ability to learn (Waxman et al. 2003).</w:t>
      </w:r>
      <w:r>
        <w:rPr>
          <w:rFonts w:asciiTheme="minorHAnsi" w:hAnsiTheme="minorHAnsi" w:cstheme="minorHAnsi"/>
          <w:sz w:val="24"/>
          <w:szCs w:val="24"/>
        </w:rPr>
        <w:t xml:space="preserve"> To become more resilient, it is important to look at what factors have a negative impact on the individual’s ability to focus and </w:t>
      </w:r>
      <w:proofErr w:type="gramStart"/>
      <w:r>
        <w:rPr>
          <w:rFonts w:asciiTheme="minorHAnsi" w:hAnsiTheme="minorHAnsi" w:cstheme="minorHAnsi"/>
          <w:sz w:val="24"/>
          <w:szCs w:val="24"/>
        </w:rPr>
        <w:t>learn, and</w:t>
      </w:r>
      <w:proofErr w:type="gramEnd"/>
      <w:r>
        <w:rPr>
          <w:rFonts w:asciiTheme="minorHAnsi" w:hAnsiTheme="minorHAnsi" w:cstheme="minorHAnsi"/>
          <w:sz w:val="24"/>
          <w:szCs w:val="24"/>
        </w:rPr>
        <w:t xml:space="preserve"> finding a way to reduce the impact of these factors. </w:t>
      </w:r>
      <w:r w:rsidRPr="00505F67">
        <w:rPr>
          <w:rFonts w:asciiTheme="minorHAnsi" w:hAnsiTheme="minorHAnsi" w:cstheme="minorHAnsi"/>
          <w:sz w:val="24"/>
          <w:szCs w:val="24"/>
        </w:rPr>
        <w:t>Lazarus and Folkman</w:t>
      </w:r>
      <w:r>
        <w:rPr>
          <w:rFonts w:asciiTheme="minorHAnsi" w:hAnsiTheme="minorHAnsi" w:cstheme="minorHAnsi"/>
          <w:sz w:val="24"/>
          <w:szCs w:val="24"/>
        </w:rPr>
        <w:t xml:space="preserve"> (1984) defined stress as being “a particular relationship between the person and the environment that is appraised by the person as taxing or exceeding his or her resources and endangering his or her wellbeing.” In layman’s terms, stress is a pressure put on a person by their experiences or surroundings which makes it more difficult for the person to function optimally. </w:t>
      </w:r>
    </w:p>
    <w:p w14:paraId="0AAD572D" w14:textId="77777777" w:rsidR="00B2349C" w:rsidRPr="00B32BC2" w:rsidRDefault="00B2349C" w:rsidP="00B2349C">
      <w:pPr>
        <w:ind w:right="107"/>
        <w:jc w:val="both"/>
        <w:rPr>
          <w:rFonts w:asciiTheme="minorHAnsi" w:hAnsiTheme="minorHAnsi" w:cstheme="minorHAnsi"/>
          <w:sz w:val="24"/>
          <w:szCs w:val="24"/>
        </w:rPr>
      </w:pPr>
    </w:p>
    <w:p w14:paraId="36F60628" w14:textId="77777777" w:rsidR="00B2349C" w:rsidRPr="00B32BC2" w:rsidRDefault="00B2349C" w:rsidP="00B2349C">
      <w:pPr>
        <w:ind w:right="107"/>
        <w:jc w:val="both"/>
        <w:rPr>
          <w:rFonts w:asciiTheme="minorHAnsi" w:hAnsiTheme="minorHAnsi" w:cstheme="minorHAnsi"/>
          <w:sz w:val="24"/>
          <w:szCs w:val="24"/>
        </w:rPr>
      </w:pPr>
      <w:r w:rsidRPr="00B32BC2">
        <w:rPr>
          <w:rFonts w:asciiTheme="minorHAnsi" w:hAnsiTheme="minorHAnsi" w:cstheme="minorHAnsi"/>
          <w:sz w:val="24"/>
          <w:szCs w:val="24"/>
        </w:rPr>
        <w:t xml:space="preserve">Since being attested as a Police Constable, </w:t>
      </w:r>
      <w:r>
        <w:rPr>
          <w:rFonts w:asciiTheme="minorHAnsi" w:hAnsiTheme="minorHAnsi" w:cstheme="minorHAnsi"/>
          <w:sz w:val="24"/>
          <w:szCs w:val="24"/>
        </w:rPr>
        <w:t xml:space="preserve">to develop resilience and minimise stress </w:t>
      </w:r>
      <w:r w:rsidRPr="00B32BC2">
        <w:rPr>
          <w:rFonts w:asciiTheme="minorHAnsi" w:hAnsiTheme="minorHAnsi" w:cstheme="minorHAnsi"/>
          <w:sz w:val="24"/>
          <w:szCs w:val="24"/>
        </w:rPr>
        <w:t xml:space="preserve">I have made sure that I prioritise going to the gym on a consistent basis with a focus on </w:t>
      </w:r>
      <w:r>
        <w:rPr>
          <w:rFonts w:asciiTheme="minorHAnsi" w:hAnsiTheme="minorHAnsi" w:cstheme="minorHAnsi"/>
          <w:sz w:val="24"/>
          <w:szCs w:val="24"/>
        </w:rPr>
        <w:t>resistance training</w:t>
      </w:r>
      <w:r w:rsidRPr="00B32BC2">
        <w:rPr>
          <w:rFonts w:asciiTheme="minorHAnsi" w:hAnsiTheme="minorHAnsi" w:cstheme="minorHAnsi"/>
          <w:sz w:val="24"/>
          <w:szCs w:val="24"/>
        </w:rPr>
        <w:t>.</w:t>
      </w:r>
      <w:r>
        <w:rPr>
          <w:rFonts w:asciiTheme="minorHAnsi" w:hAnsiTheme="minorHAnsi" w:cstheme="minorHAnsi"/>
          <w:sz w:val="24"/>
          <w:szCs w:val="24"/>
        </w:rPr>
        <w:t xml:space="preserve"> </w:t>
      </w:r>
      <w:r w:rsidRPr="00B32BC2">
        <w:rPr>
          <w:rFonts w:asciiTheme="minorHAnsi" w:hAnsiTheme="minorHAnsi" w:cstheme="minorHAnsi"/>
          <w:sz w:val="24"/>
          <w:szCs w:val="24"/>
        </w:rPr>
        <w:t xml:space="preserve">According to Wu et al. (2013) and McEwen (2016), physical exercise is a frequently mentioned factor in numerous studies when it comes to building resilience. </w:t>
      </w:r>
      <w:r>
        <w:rPr>
          <w:rFonts w:asciiTheme="minorHAnsi" w:hAnsiTheme="minorHAnsi" w:cstheme="minorHAnsi"/>
          <w:sz w:val="24"/>
          <w:szCs w:val="24"/>
        </w:rPr>
        <w:t xml:space="preserve">As supported by research conducted by Mitchell and Barlow (2011), over the last six months, I have found that doing more exercise has improved my overall quality of life and made me more resilient. I kept a consistent routine and made sure that I went to the gym at least 5 times a week and followed a programme that I created myself. I found this very beneficial as having a set routine meant I did not have to spend time thinking about </w:t>
      </w:r>
      <w:r>
        <w:rPr>
          <w:rFonts w:asciiTheme="minorHAnsi" w:hAnsiTheme="minorHAnsi" w:cstheme="minorHAnsi"/>
          <w:sz w:val="24"/>
          <w:szCs w:val="24"/>
        </w:rPr>
        <w:lastRenderedPageBreak/>
        <w:t xml:space="preserve">what I was going to be doing at the gym, I already had a plan set out which meant that going to the gym was not a stressful experience and I was doing exercises that I enjoy. </w:t>
      </w:r>
    </w:p>
    <w:p w14:paraId="1756F7D6" w14:textId="77777777" w:rsidR="00B2349C" w:rsidRDefault="00B2349C" w:rsidP="00B2349C">
      <w:pPr>
        <w:ind w:right="107"/>
        <w:jc w:val="both"/>
        <w:rPr>
          <w:rFonts w:asciiTheme="minorHAnsi" w:hAnsiTheme="minorHAnsi" w:cstheme="minorHAnsi"/>
          <w:sz w:val="24"/>
          <w:szCs w:val="24"/>
        </w:rPr>
      </w:pPr>
    </w:p>
    <w:p w14:paraId="7E6E9545"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According to research conducted by Spalding et al. (2004), physical activity leads to improved cardiac performance which reduces strain on the cardiovascular system, making normal functioning of the body more efficient. As a result of this, the human body does not have to do as much work to counteract the physical effects which occur when faced with stress. I felt the benefits of this as before I started exercising regularly my body would often feel fatigued without having done anything. Being more active led to my body craving healthier food and more water which resulted in healthy weight loss and consequently, higher self-esteem. This also resulted in improved resilience as it gave me a lot more self-confidence. </w:t>
      </w:r>
    </w:p>
    <w:p w14:paraId="736171AC" w14:textId="77777777" w:rsidR="00B2349C" w:rsidRDefault="00B2349C" w:rsidP="00B2349C">
      <w:pPr>
        <w:ind w:right="107"/>
        <w:jc w:val="both"/>
        <w:rPr>
          <w:rFonts w:asciiTheme="minorHAnsi" w:hAnsiTheme="minorHAnsi" w:cstheme="minorHAnsi"/>
          <w:sz w:val="24"/>
          <w:szCs w:val="24"/>
        </w:rPr>
      </w:pPr>
    </w:p>
    <w:p w14:paraId="7C52CC31"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Cognition refers to the ability of the brain to process </w:t>
      </w:r>
      <w:proofErr w:type="gramStart"/>
      <w:r>
        <w:rPr>
          <w:rFonts w:asciiTheme="minorHAnsi" w:hAnsiTheme="minorHAnsi" w:cstheme="minorHAnsi"/>
          <w:sz w:val="24"/>
          <w:szCs w:val="24"/>
        </w:rPr>
        <w:t>in order to</w:t>
      </w:r>
      <w:proofErr w:type="gramEnd"/>
      <w:r>
        <w:rPr>
          <w:rFonts w:asciiTheme="minorHAnsi" w:hAnsiTheme="minorHAnsi" w:cstheme="minorHAnsi"/>
          <w:sz w:val="24"/>
          <w:szCs w:val="24"/>
        </w:rPr>
        <w:t xml:space="preserve"> obtain knowledge (Ramirez, 2011). As previously mentioned, initial police training requires extensive retention of knowledge. Studies conducted by O’Connor et al. (2010) noted that resistance training improves several aspects of cognition in healthy adults. The main findings in these studies found an improvement in memory and memory related tasks. I felt the benefit of this in initial training as when I was studying, I was able to retain a large amount of knowledge. This allowed me to achieve good exam results. By obtaining good exam results I felt more resilient and more confident in becoming a PC. </w:t>
      </w:r>
    </w:p>
    <w:p w14:paraId="0F70659F" w14:textId="77777777" w:rsidR="00B2349C" w:rsidRDefault="00B2349C" w:rsidP="00B2349C">
      <w:pPr>
        <w:ind w:right="107"/>
        <w:jc w:val="both"/>
        <w:rPr>
          <w:rFonts w:asciiTheme="minorHAnsi" w:hAnsiTheme="minorHAnsi" w:cstheme="minorHAnsi"/>
          <w:sz w:val="24"/>
          <w:szCs w:val="24"/>
        </w:rPr>
      </w:pPr>
    </w:p>
    <w:p w14:paraId="65F734F0"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Increasing the frequency at which I exercise has had a major impact on the quality of sleep I get as I am more tired when I get into bed, and I fall asleep much quicker. I have found that improving my sleeping pattern and the quality of sleep I get has had an impact on my stress levels and this has helped me develop my resilience. </w:t>
      </w:r>
    </w:p>
    <w:p w14:paraId="57B6D385" w14:textId="77777777" w:rsidR="00B2349C" w:rsidRDefault="00B2349C" w:rsidP="00B2349C">
      <w:pPr>
        <w:ind w:right="107"/>
        <w:jc w:val="both"/>
        <w:rPr>
          <w:rFonts w:asciiTheme="minorHAnsi" w:hAnsiTheme="minorHAnsi" w:cstheme="minorHAnsi"/>
          <w:sz w:val="24"/>
          <w:szCs w:val="24"/>
        </w:rPr>
      </w:pPr>
    </w:p>
    <w:p w14:paraId="1BDD8A95"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Research by O’Connor et al. found that insufficient sleep can have a major impact on both physical and mental health. This research found that people with sleep disorders relating to mental health issues saw a 30% improvement in their sleep from regular resistance training. UK charity Mental Health UK (2022) also support this research. Some effects of poor sleep include poor focus, memory and concentration and it can also make people less able to manage stress. Poor sleep can affect resilience and stress management as it can result in reduced productivity (Germain and </w:t>
      </w:r>
      <w:proofErr w:type="spellStart"/>
      <w:r>
        <w:rPr>
          <w:rFonts w:asciiTheme="minorHAnsi" w:hAnsiTheme="minorHAnsi" w:cstheme="minorHAnsi"/>
          <w:sz w:val="24"/>
          <w:szCs w:val="24"/>
        </w:rPr>
        <w:t>Dretsch</w:t>
      </w:r>
      <w:proofErr w:type="spellEnd"/>
      <w:r>
        <w:rPr>
          <w:rFonts w:asciiTheme="minorHAnsi" w:hAnsiTheme="minorHAnsi" w:cstheme="minorHAnsi"/>
          <w:sz w:val="24"/>
          <w:szCs w:val="24"/>
        </w:rPr>
        <w:t xml:space="preserve">, 2016). I found that maintaining a consistent sleep schedule helped me reduce my stress levels as I was able to structure my days according to a routine which made me more productive. </w:t>
      </w:r>
    </w:p>
    <w:p w14:paraId="1D1A33DF" w14:textId="77777777" w:rsidR="00B2349C" w:rsidRDefault="00B2349C" w:rsidP="00B2349C">
      <w:pPr>
        <w:ind w:right="107"/>
        <w:jc w:val="both"/>
        <w:rPr>
          <w:rFonts w:asciiTheme="minorHAnsi" w:hAnsiTheme="minorHAnsi" w:cstheme="minorHAnsi"/>
          <w:sz w:val="24"/>
          <w:szCs w:val="24"/>
        </w:rPr>
      </w:pPr>
    </w:p>
    <w:p w14:paraId="1144BF44"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Upon reflection, exercise and consistent sleep were hugely beneficial to me during initial police training and I can confidently attribute my success in training to these two factors. Since being in the response department I have ensured to keep up the exercise routine, however I have had to modify it. As I was quite sedentary in training I could exercise more intensely, however now on response the demands are higher therefore I have reduced the intensity of my gym routine. I now aim to go to the gym at least 4 times a week, however if my body feels it needs more rest I do listen as I know I can go back to the previous routine when I am ready. </w:t>
      </w:r>
    </w:p>
    <w:p w14:paraId="156A5199" w14:textId="77777777" w:rsidR="00B2349C" w:rsidRDefault="00B2349C" w:rsidP="00B2349C">
      <w:pPr>
        <w:ind w:right="107"/>
        <w:jc w:val="both"/>
        <w:rPr>
          <w:rFonts w:asciiTheme="minorHAnsi" w:hAnsiTheme="minorHAnsi" w:cstheme="minorHAnsi"/>
          <w:sz w:val="24"/>
          <w:szCs w:val="24"/>
        </w:rPr>
      </w:pPr>
    </w:p>
    <w:p w14:paraId="2AC90F68" w14:textId="77777777" w:rsidR="00B2349C" w:rsidRDefault="00B2349C" w:rsidP="00B2349C">
      <w:pPr>
        <w:ind w:right="107"/>
        <w:jc w:val="both"/>
        <w:rPr>
          <w:rFonts w:asciiTheme="minorHAnsi" w:hAnsiTheme="minorHAnsi" w:cstheme="minorHAnsi"/>
          <w:sz w:val="24"/>
          <w:szCs w:val="24"/>
        </w:rPr>
      </w:pPr>
      <w:r>
        <w:rPr>
          <w:rFonts w:asciiTheme="minorHAnsi" w:hAnsiTheme="minorHAnsi" w:cstheme="minorHAnsi"/>
          <w:sz w:val="24"/>
          <w:szCs w:val="24"/>
        </w:rPr>
        <w:t xml:space="preserve">Doing shift work has meant I have had to move away from the routine I had previous put in place during initial police training. However, when possible, I do make sure that I still get approximately 8 hours of sleep around work. The adaptations I have made to my routine have been successful so far and I am still feeling the benefits of reduced stress and increased resilience. </w:t>
      </w:r>
    </w:p>
    <w:p w14:paraId="3EDB35DF" w14:textId="5E3E3066" w:rsidR="00B2349C" w:rsidRPr="00D60BC6" w:rsidRDefault="00A50D4E" w:rsidP="00E6298B">
      <w:pPr>
        <w:ind w:right="107"/>
        <w:jc w:val="both"/>
        <w:rPr>
          <w:rFonts w:asciiTheme="minorHAnsi" w:hAnsiTheme="minorHAnsi" w:cstheme="minorHAnsi"/>
          <w:b/>
          <w:bCs/>
          <w:sz w:val="24"/>
          <w:szCs w:val="24"/>
        </w:rPr>
      </w:pPr>
      <w:r w:rsidRPr="00A50D4E">
        <w:rPr>
          <w:rFonts w:asciiTheme="minorHAnsi" w:hAnsiTheme="minorHAnsi" w:cstheme="minorHAnsi"/>
          <w:b/>
          <w:bCs/>
          <w:sz w:val="24"/>
          <w:szCs w:val="24"/>
        </w:rPr>
        <w:t>Word Count: 1099</w:t>
      </w:r>
    </w:p>
    <w:p w14:paraId="435AF73C" w14:textId="5DBD365B" w:rsidR="00B32026" w:rsidRPr="00A50D4E" w:rsidRDefault="00B32026" w:rsidP="00E6298B">
      <w:pPr>
        <w:ind w:right="107"/>
        <w:jc w:val="both"/>
        <w:rPr>
          <w:rFonts w:asciiTheme="minorHAnsi" w:hAnsiTheme="minorHAnsi" w:cstheme="minorHAnsi"/>
          <w:b/>
          <w:bCs/>
          <w:sz w:val="24"/>
          <w:szCs w:val="24"/>
        </w:rPr>
      </w:pPr>
      <w:r w:rsidRPr="00A50D4E">
        <w:rPr>
          <w:rFonts w:asciiTheme="minorHAnsi" w:hAnsiTheme="minorHAnsi" w:cstheme="minorHAnsi"/>
          <w:b/>
          <w:bCs/>
          <w:sz w:val="24"/>
          <w:szCs w:val="24"/>
        </w:rPr>
        <w:lastRenderedPageBreak/>
        <w:t>References</w:t>
      </w:r>
    </w:p>
    <w:p w14:paraId="036C2CE6" w14:textId="77777777" w:rsidR="00B32026" w:rsidRPr="00B2349C" w:rsidRDefault="00B32026" w:rsidP="00E6298B">
      <w:pPr>
        <w:ind w:right="107"/>
        <w:jc w:val="both"/>
        <w:rPr>
          <w:rFonts w:asciiTheme="minorHAnsi" w:hAnsiTheme="minorHAnsi" w:cstheme="minorHAnsi"/>
          <w:b/>
          <w:bCs/>
          <w:sz w:val="24"/>
          <w:szCs w:val="24"/>
        </w:rPr>
      </w:pPr>
    </w:p>
    <w:p w14:paraId="10F3933E" w14:textId="77777777" w:rsidR="005A130C" w:rsidRPr="00B2349C" w:rsidRDefault="005A130C" w:rsidP="005A130C">
      <w:pPr>
        <w:pStyle w:val="NormalWeb"/>
        <w:ind w:left="567" w:hanging="567"/>
        <w:rPr>
          <w:rFonts w:asciiTheme="minorHAnsi" w:hAnsiTheme="minorHAnsi" w:cstheme="minorHAnsi"/>
        </w:rPr>
      </w:pPr>
      <w:proofErr w:type="spellStart"/>
      <w:r w:rsidRPr="00B2349C">
        <w:rPr>
          <w:rFonts w:asciiTheme="minorHAnsi" w:hAnsiTheme="minorHAnsi" w:cstheme="minorHAnsi"/>
        </w:rPr>
        <w:t>Borton</w:t>
      </w:r>
      <w:proofErr w:type="spellEnd"/>
      <w:r w:rsidRPr="00B2349C">
        <w:rPr>
          <w:rFonts w:asciiTheme="minorHAnsi" w:hAnsiTheme="minorHAnsi" w:cstheme="minorHAnsi"/>
        </w:rPr>
        <w:t xml:space="preserve">, T. (1970) </w:t>
      </w:r>
      <w:r w:rsidRPr="00B2349C">
        <w:rPr>
          <w:rFonts w:asciiTheme="minorHAnsi" w:hAnsiTheme="minorHAnsi" w:cstheme="minorHAnsi"/>
          <w:i/>
          <w:iCs/>
        </w:rPr>
        <w:t>Reach, touch, and teach</w:t>
      </w:r>
      <w:r w:rsidRPr="00B2349C">
        <w:rPr>
          <w:rFonts w:asciiTheme="minorHAnsi" w:hAnsiTheme="minorHAnsi" w:cstheme="minorHAnsi"/>
        </w:rPr>
        <w:t xml:space="preserve">. New York </w:t>
      </w:r>
      <w:proofErr w:type="spellStart"/>
      <w:r w:rsidRPr="00B2349C">
        <w:rPr>
          <w:rFonts w:asciiTheme="minorHAnsi" w:hAnsiTheme="minorHAnsi" w:cstheme="minorHAnsi"/>
        </w:rPr>
        <w:t>Mcgraw-Hill</w:t>
      </w:r>
      <w:proofErr w:type="spellEnd"/>
      <w:r w:rsidRPr="00B2349C">
        <w:rPr>
          <w:rFonts w:asciiTheme="minorHAnsi" w:hAnsiTheme="minorHAnsi" w:cstheme="minorHAnsi"/>
        </w:rPr>
        <w:t xml:space="preserve">. </w:t>
      </w:r>
    </w:p>
    <w:p w14:paraId="42111330" w14:textId="77777777" w:rsidR="005A130C" w:rsidRPr="00B2349C" w:rsidRDefault="005A130C" w:rsidP="009C1142">
      <w:pPr>
        <w:pStyle w:val="NormalWeb"/>
        <w:ind w:left="567" w:hanging="567"/>
        <w:rPr>
          <w:rFonts w:asciiTheme="minorHAnsi" w:hAnsiTheme="minorHAnsi" w:cstheme="minorHAnsi"/>
        </w:rPr>
      </w:pPr>
    </w:p>
    <w:p w14:paraId="3EC521EE" w14:textId="6A405BDD" w:rsidR="009C1142" w:rsidRPr="00B2349C" w:rsidRDefault="009C1142" w:rsidP="009C1142">
      <w:pPr>
        <w:pStyle w:val="NormalWeb"/>
        <w:ind w:left="567" w:hanging="567"/>
        <w:rPr>
          <w:rFonts w:asciiTheme="minorHAnsi" w:hAnsiTheme="minorHAnsi" w:cstheme="minorHAnsi"/>
        </w:rPr>
      </w:pPr>
      <w:r w:rsidRPr="00B2349C">
        <w:rPr>
          <w:rFonts w:asciiTheme="minorHAnsi" w:hAnsiTheme="minorHAnsi" w:cstheme="minorHAnsi"/>
        </w:rPr>
        <w:t xml:space="preserve">Crossley, N. (2006) ‘In the gym: Motives, meaning and moral careers’, </w:t>
      </w:r>
      <w:r w:rsidRPr="00B2349C">
        <w:rPr>
          <w:rFonts w:asciiTheme="minorHAnsi" w:hAnsiTheme="minorHAnsi" w:cstheme="minorHAnsi"/>
          <w:i/>
          <w:iCs/>
        </w:rPr>
        <w:t>Body &amp;amp; Society</w:t>
      </w:r>
      <w:r w:rsidRPr="00B2349C">
        <w:rPr>
          <w:rFonts w:asciiTheme="minorHAnsi" w:hAnsiTheme="minorHAnsi" w:cstheme="minorHAnsi"/>
        </w:rPr>
        <w:t xml:space="preserve">, 12(3), pp. 23–50. doi:10.1177/1357034x06067154. </w:t>
      </w:r>
    </w:p>
    <w:p w14:paraId="19856FBC" w14:textId="77777777" w:rsidR="00B85357" w:rsidRPr="00B2349C" w:rsidRDefault="00B85357" w:rsidP="009C1142">
      <w:pPr>
        <w:pStyle w:val="NormalWeb"/>
        <w:ind w:left="567" w:hanging="567"/>
        <w:rPr>
          <w:rFonts w:asciiTheme="minorHAnsi" w:hAnsiTheme="minorHAnsi" w:cstheme="minorHAnsi"/>
        </w:rPr>
      </w:pPr>
    </w:p>
    <w:p w14:paraId="41497A54" w14:textId="3AE6BE02" w:rsidR="00B2349C" w:rsidRPr="00B2349C" w:rsidRDefault="00B85357" w:rsidP="00B2349C">
      <w:pPr>
        <w:pStyle w:val="NormalWeb"/>
        <w:ind w:left="567" w:hanging="567"/>
        <w:rPr>
          <w:rFonts w:asciiTheme="minorHAnsi" w:hAnsiTheme="minorHAnsi" w:cstheme="minorHAnsi"/>
        </w:rPr>
      </w:pPr>
      <w:r w:rsidRPr="00B2349C">
        <w:rPr>
          <w:rFonts w:asciiTheme="minorHAnsi" w:hAnsiTheme="minorHAnsi" w:cstheme="minorHAnsi"/>
        </w:rPr>
        <w:t xml:space="preserve">Germain, A. and </w:t>
      </w:r>
      <w:proofErr w:type="spellStart"/>
      <w:r w:rsidRPr="00B2349C">
        <w:rPr>
          <w:rFonts w:asciiTheme="minorHAnsi" w:hAnsiTheme="minorHAnsi" w:cstheme="minorHAnsi"/>
        </w:rPr>
        <w:t>Dretsch</w:t>
      </w:r>
      <w:proofErr w:type="spellEnd"/>
      <w:r w:rsidRPr="00B2349C">
        <w:rPr>
          <w:rFonts w:asciiTheme="minorHAnsi" w:hAnsiTheme="minorHAnsi" w:cstheme="minorHAnsi"/>
        </w:rPr>
        <w:t xml:space="preserve">, M. (2016) ‘Sleep and resilience—a call for prevention and intervention’, </w:t>
      </w:r>
      <w:r w:rsidRPr="00B2349C">
        <w:rPr>
          <w:rFonts w:asciiTheme="minorHAnsi" w:hAnsiTheme="minorHAnsi" w:cstheme="minorHAnsi"/>
          <w:i/>
          <w:iCs/>
        </w:rPr>
        <w:t>SLEEP</w:t>
      </w:r>
      <w:r w:rsidRPr="00B2349C">
        <w:rPr>
          <w:rFonts w:asciiTheme="minorHAnsi" w:hAnsiTheme="minorHAnsi" w:cstheme="minorHAnsi"/>
        </w:rPr>
        <w:t xml:space="preserve">, 39(05), pp. 963–965. doi:10.5665/sleep.5732. </w:t>
      </w:r>
    </w:p>
    <w:p w14:paraId="3888131D" w14:textId="77777777" w:rsidR="00505F67" w:rsidRPr="00B2349C" w:rsidRDefault="00505F67" w:rsidP="00B85357">
      <w:pPr>
        <w:pStyle w:val="NormalWeb"/>
        <w:ind w:left="567" w:hanging="567"/>
        <w:rPr>
          <w:rFonts w:asciiTheme="minorHAnsi" w:hAnsiTheme="minorHAnsi" w:cstheme="minorHAnsi"/>
        </w:rPr>
      </w:pPr>
    </w:p>
    <w:p w14:paraId="395BC943" w14:textId="77777777" w:rsidR="00505F67" w:rsidRPr="00B2349C" w:rsidRDefault="00505F67" w:rsidP="00505F67">
      <w:pPr>
        <w:spacing w:before="100" w:beforeAutospacing="1" w:after="100" w:afterAutospacing="1"/>
        <w:ind w:left="567" w:hanging="567"/>
        <w:rPr>
          <w:rFonts w:asciiTheme="minorHAnsi" w:hAnsiTheme="minorHAnsi" w:cstheme="minorHAnsi"/>
          <w:sz w:val="24"/>
          <w:szCs w:val="24"/>
        </w:rPr>
      </w:pPr>
      <w:r w:rsidRPr="00B2349C">
        <w:rPr>
          <w:rFonts w:asciiTheme="minorHAnsi" w:hAnsiTheme="minorHAnsi" w:cstheme="minorHAnsi"/>
          <w:sz w:val="24"/>
          <w:szCs w:val="24"/>
        </w:rPr>
        <w:t>Lazarus, R.S. and Folkman, S. (1984) </w:t>
      </w:r>
      <w:r w:rsidRPr="00B2349C">
        <w:rPr>
          <w:rFonts w:asciiTheme="minorHAnsi" w:hAnsiTheme="minorHAnsi" w:cstheme="minorHAnsi"/>
          <w:i/>
          <w:iCs/>
          <w:sz w:val="24"/>
          <w:szCs w:val="24"/>
        </w:rPr>
        <w:t>Stress, appraisal, and coping</w:t>
      </w:r>
      <w:r w:rsidRPr="00B2349C">
        <w:rPr>
          <w:rFonts w:asciiTheme="minorHAnsi" w:hAnsiTheme="minorHAnsi" w:cstheme="minorHAnsi"/>
          <w:sz w:val="24"/>
          <w:szCs w:val="24"/>
        </w:rPr>
        <w:t>. New York, New York: Springer.</w:t>
      </w:r>
    </w:p>
    <w:p w14:paraId="1557621A" w14:textId="77777777" w:rsidR="00B2349C" w:rsidRPr="00B2349C" w:rsidRDefault="00B2349C" w:rsidP="00505F67">
      <w:pPr>
        <w:spacing w:before="100" w:beforeAutospacing="1" w:after="100" w:afterAutospacing="1"/>
        <w:ind w:left="567" w:hanging="567"/>
        <w:rPr>
          <w:rFonts w:asciiTheme="minorHAnsi" w:hAnsiTheme="minorHAnsi" w:cstheme="minorHAnsi"/>
          <w:sz w:val="24"/>
          <w:szCs w:val="24"/>
        </w:rPr>
      </w:pPr>
    </w:p>
    <w:p w14:paraId="184E1545" w14:textId="50F74696" w:rsidR="00044BC2" w:rsidRPr="00B2349C" w:rsidRDefault="00044BC2" w:rsidP="00505F67">
      <w:pPr>
        <w:spacing w:before="100" w:beforeAutospacing="1" w:after="100" w:afterAutospacing="1"/>
        <w:ind w:left="567" w:hanging="567"/>
        <w:rPr>
          <w:rFonts w:asciiTheme="minorHAnsi" w:hAnsiTheme="minorHAnsi" w:cstheme="minorHAnsi"/>
          <w:color w:val="auto"/>
          <w:sz w:val="24"/>
          <w:szCs w:val="24"/>
        </w:rPr>
      </w:pPr>
      <w:r w:rsidRPr="00B2349C">
        <w:rPr>
          <w:rFonts w:asciiTheme="minorHAnsi" w:hAnsiTheme="minorHAnsi" w:cstheme="minorHAnsi"/>
          <w:color w:val="222222"/>
          <w:sz w:val="24"/>
          <w:szCs w:val="24"/>
          <w:shd w:val="clear" w:color="auto" w:fill="FFFFFF"/>
        </w:rPr>
        <w:t>McEwen, B.S., 2016. In pursuit of resilience: stress, epigenetics, and brain plasticity. </w:t>
      </w:r>
      <w:r w:rsidRPr="00B2349C">
        <w:rPr>
          <w:rFonts w:asciiTheme="minorHAnsi" w:hAnsiTheme="minorHAnsi" w:cstheme="minorHAnsi"/>
          <w:i/>
          <w:iCs/>
          <w:color w:val="222222"/>
          <w:sz w:val="24"/>
          <w:szCs w:val="24"/>
          <w:shd w:val="clear" w:color="auto" w:fill="FFFFFF"/>
        </w:rPr>
        <w:t>Annals of the New York Academy of Sciences</w:t>
      </w:r>
      <w:r w:rsidRPr="00B2349C">
        <w:rPr>
          <w:rFonts w:asciiTheme="minorHAnsi" w:hAnsiTheme="minorHAnsi" w:cstheme="minorHAnsi"/>
          <w:color w:val="222222"/>
          <w:sz w:val="24"/>
          <w:szCs w:val="24"/>
          <w:shd w:val="clear" w:color="auto" w:fill="FFFFFF"/>
        </w:rPr>
        <w:t>, </w:t>
      </w:r>
      <w:r w:rsidRPr="00B2349C">
        <w:rPr>
          <w:rFonts w:asciiTheme="minorHAnsi" w:hAnsiTheme="minorHAnsi" w:cstheme="minorHAnsi"/>
          <w:i/>
          <w:iCs/>
          <w:color w:val="222222"/>
          <w:sz w:val="24"/>
          <w:szCs w:val="24"/>
          <w:shd w:val="clear" w:color="auto" w:fill="FFFFFF"/>
        </w:rPr>
        <w:t>1373</w:t>
      </w:r>
      <w:r w:rsidRPr="00B2349C">
        <w:rPr>
          <w:rFonts w:asciiTheme="minorHAnsi" w:hAnsiTheme="minorHAnsi" w:cstheme="minorHAnsi"/>
          <w:color w:val="222222"/>
          <w:sz w:val="24"/>
          <w:szCs w:val="24"/>
          <w:shd w:val="clear" w:color="auto" w:fill="FFFFFF"/>
        </w:rPr>
        <w:t>(1), pp.56-64.</w:t>
      </w:r>
      <w:r w:rsidRPr="00B2349C">
        <w:rPr>
          <w:rFonts w:asciiTheme="minorHAnsi" w:hAnsiTheme="minorHAnsi" w:cstheme="minorHAnsi"/>
          <w:sz w:val="24"/>
          <w:szCs w:val="24"/>
        </w:rPr>
        <w:t xml:space="preserve"> </w:t>
      </w:r>
    </w:p>
    <w:p w14:paraId="47AC637F" w14:textId="77777777" w:rsidR="00133FB8" w:rsidRDefault="00133FB8" w:rsidP="00133FB8">
      <w:pPr>
        <w:pStyle w:val="NormalWeb"/>
        <w:ind w:left="567" w:hanging="567"/>
        <w:rPr>
          <w:i/>
          <w:iCs/>
        </w:rPr>
      </w:pPr>
    </w:p>
    <w:p w14:paraId="0172B95A" w14:textId="4C4D2C61" w:rsidR="00133FB8" w:rsidRPr="00133FB8" w:rsidRDefault="00133FB8" w:rsidP="00133FB8">
      <w:pPr>
        <w:pStyle w:val="NormalWeb"/>
        <w:ind w:left="567" w:hanging="567"/>
        <w:rPr>
          <w:rFonts w:asciiTheme="minorHAnsi" w:hAnsiTheme="minorHAnsi" w:cstheme="minorHAnsi"/>
        </w:rPr>
      </w:pPr>
      <w:r w:rsidRPr="00133FB8">
        <w:rPr>
          <w:rFonts w:asciiTheme="minorHAnsi" w:hAnsiTheme="minorHAnsi" w:cstheme="minorHAnsi"/>
          <w:i/>
          <w:iCs/>
        </w:rPr>
        <w:t>Sleep and mental health</w:t>
      </w:r>
      <w:r w:rsidRPr="00133FB8">
        <w:rPr>
          <w:rFonts w:asciiTheme="minorHAnsi" w:hAnsiTheme="minorHAnsi" w:cstheme="minorHAnsi"/>
        </w:rPr>
        <w:t xml:space="preserve"> (2022) </w:t>
      </w:r>
      <w:r w:rsidRPr="00133FB8">
        <w:rPr>
          <w:rFonts w:asciiTheme="minorHAnsi" w:hAnsiTheme="minorHAnsi" w:cstheme="minorHAnsi"/>
          <w:i/>
          <w:iCs/>
        </w:rPr>
        <w:t>Mental Health UK</w:t>
      </w:r>
      <w:r w:rsidRPr="00133FB8">
        <w:rPr>
          <w:rFonts w:asciiTheme="minorHAnsi" w:hAnsiTheme="minorHAnsi" w:cstheme="minorHAnsi"/>
        </w:rPr>
        <w:t xml:space="preserve">. Available at: https://mentalhealth-uk.org/help-and-information/sleep/ (Accessed: 29 August 2023). </w:t>
      </w:r>
    </w:p>
    <w:p w14:paraId="55D1F5C6" w14:textId="77777777" w:rsidR="00E162FB" w:rsidRPr="00B2349C" w:rsidRDefault="00E162FB" w:rsidP="00B32026">
      <w:pPr>
        <w:pStyle w:val="NormalWeb"/>
        <w:ind w:left="567" w:hanging="567"/>
        <w:rPr>
          <w:rFonts w:asciiTheme="minorHAnsi" w:hAnsiTheme="minorHAnsi" w:cstheme="minorHAnsi"/>
        </w:rPr>
      </w:pPr>
    </w:p>
    <w:p w14:paraId="6D9D3190" w14:textId="77777777" w:rsidR="00E162FB" w:rsidRPr="00B2349C" w:rsidRDefault="00E162FB" w:rsidP="00E162FB">
      <w:pPr>
        <w:pStyle w:val="NormalWeb"/>
        <w:ind w:left="567" w:hanging="567"/>
        <w:rPr>
          <w:rFonts w:asciiTheme="minorHAnsi" w:hAnsiTheme="minorHAnsi" w:cstheme="minorHAnsi"/>
        </w:rPr>
      </w:pPr>
      <w:r w:rsidRPr="00B2349C">
        <w:rPr>
          <w:rFonts w:asciiTheme="minorHAnsi" w:hAnsiTheme="minorHAnsi" w:cstheme="minorHAnsi"/>
        </w:rPr>
        <w:t xml:space="preserve">Mitchell, </w:t>
      </w:r>
      <w:proofErr w:type="gramStart"/>
      <w:r w:rsidRPr="00B2349C">
        <w:rPr>
          <w:rFonts w:asciiTheme="minorHAnsi" w:hAnsiTheme="minorHAnsi" w:cstheme="minorHAnsi"/>
        </w:rPr>
        <w:t>T.</w:t>
      </w:r>
      <w:proofErr w:type="gramEnd"/>
      <w:r w:rsidRPr="00B2349C">
        <w:rPr>
          <w:rFonts w:asciiTheme="minorHAnsi" w:hAnsiTheme="minorHAnsi" w:cstheme="minorHAnsi"/>
        </w:rPr>
        <w:t xml:space="preserve"> and Barlow, C.E. (2011) ‘Review of the role of exercise in improving quality of life in healthy individuals and in those with chronic diseases’, </w:t>
      </w:r>
      <w:r w:rsidRPr="00B2349C">
        <w:rPr>
          <w:rFonts w:asciiTheme="minorHAnsi" w:hAnsiTheme="minorHAnsi" w:cstheme="minorHAnsi"/>
          <w:i/>
          <w:iCs/>
        </w:rPr>
        <w:t>Current Sports Medicine Reports</w:t>
      </w:r>
      <w:r w:rsidRPr="00B2349C">
        <w:rPr>
          <w:rFonts w:asciiTheme="minorHAnsi" w:hAnsiTheme="minorHAnsi" w:cstheme="minorHAnsi"/>
        </w:rPr>
        <w:t xml:space="preserve">, 10(4), pp. 211–216. </w:t>
      </w:r>
      <w:proofErr w:type="gramStart"/>
      <w:r w:rsidRPr="00B2349C">
        <w:rPr>
          <w:rFonts w:asciiTheme="minorHAnsi" w:hAnsiTheme="minorHAnsi" w:cstheme="minorHAnsi"/>
        </w:rPr>
        <w:t>doi:10.1249/jsr.0b013e318223cc9e</w:t>
      </w:r>
      <w:proofErr w:type="gramEnd"/>
      <w:r w:rsidRPr="00B2349C">
        <w:rPr>
          <w:rFonts w:asciiTheme="minorHAnsi" w:hAnsiTheme="minorHAnsi" w:cstheme="minorHAnsi"/>
        </w:rPr>
        <w:t xml:space="preserve">. </w:t>
      </w:r>
    </w:p>
    <w:p w14:paraId="4C8DC7E1" w14:textId="77777777" w:rsidR="00A414C1" w:rsidRPr="00B2349C" w:rsidRDefault="00A414C1" w:rsidP="00E162FB">
      <w:pPr>
        <w:pStyle w:val="NormalWeb"/>
        <w:ind w:left="567" w:hanging="567"/>
        <w:rPr>
          <w:rFonts w:asciiTheme="minorHAnsi" w:hAnsiTheme="minorHAnsi" w:cstheme="minorHAnsi"/>
        </w:rPr>
      </w:pPr>
    </w:p>
    <w:p w14:paraId="268A9786" w14:textId="4BD9365C" w:rsidR="00A414C1" w:rsidRPr="00B2349C" w:rsidRDefault="00A414C1" w:rsidP="00A414C1">
      <w:pPr>
        <w:pStyle w:val="NormalWeb"/>
        <w:ind w:left="567" w:hanging="567"/>
        <w:rPr>
          <w:rFonts w:asciiTheme="minorHAnsi" w:hAnsiTheme="minorHAnsi" w:cstheme="minorHAnsi"/>
        </w:rPr>
      </w:pPr>
      <w:r w:rsidRPr="00B2349C">
        <w:rPr>
          <w:rFonts w:asciiTheme="minorHAnsi" w:hAnsiTheme="minorHAnsi" w:cstheme="minorHAnsi"/>
        </w:rPr>
        <w:t xml:space="preserve">O’Connor, P.J., Herring, M.P. and </w:t>
      </w:r>
      <w:proofErr w:type="spellStart"/>
      <w:r w:rsidRPr="00B2349C">
        <w:rPr>
          <w:rFonts w:asciiTheme="minorHAnsi" w:hAnsiTheme="minorHAnsi" w:cstheme="minorHAnsi"/>
        </w:rPr>
        <w:t>Caravalho</w:t>
      </w:r>
      <w:proofErr w:type="spellEnd"/>
      <w:r w:rsidRPr="00B2349C">
        <w:rPr>
          <w:rFonts w:asciiTheme="minorHAnsi" w:hAnsiTheme="minorHAnsi" w:cstheme="minorHAnsi"/>
        </w:rPr>
        <w:t xml:space="preserve">, A. (2010) ‘Mental health benefits of strength training in adults’, </w:t>
      </w:r>
      <w:r w:rsidRPr="00B2349C">
        <w:rPr>
          <w:rFonts w:asciiTheme="minorHAnsi" w:hAnsiTheme="minorHAnsi" w:cstheme="minorHAnsi"/>
          <w:i/>
          <w:iCs/>
        </w:rPr>
        <w:t>American Journal of Lifestyle Medicine</w:t>
      </w:r>
      <w:r w:rsidRPr="00B2349C">
        <w:rPr>
          <w:rFonts w:asciiTheme="minorHAnsi" w:hAnsiTheme="minorHAnsi" w:cstheme="minorHAnsi"/>
        </w:rPr>
        <w:t xml:space="preserve">, 4(5), pp. 377–396. doi:10.1177/1559827610368771. </w:t>
      </w:r>
    </w:p>
    <w:p w14:paraId="7BC99A8F" w14:textId="77777777" w:rsidR="00E162FB" w:rsidRPr="00B2349C" w:rsidRDefault="00E162FB" w:rsidP="00B32026">
      <w:pPr>
        <w:pStyle w:val="NormalWeb"/>
        <w:ind w:left="567" w:hanging="567"/>
        <w:rPr>
          <w:rFonts w:asciiTheme="minorHAnsi" w:hAnsiTheme="minorHAnsi" w:cstheme="minorHAnsi"/>
        </w:rPr>
      </w:pPr>
    </w:p>
    <w:p w14:paraId="6980C2EA" w14:textId="15358F31" w:rsidR="00A414C1" w:rsidRPr="00B2349C" w:rsidRDefault="00A414C1" w:rsidP="00A414C1">
      <w:pPr>
        <w:pStyle w:val="NormalWeb"/>
        <w:ind w:left="567" w:hanging="567"/>
        <w:rPr>
          <w:rFonts w:asciiTheme="minorHAnsi" w:hAnsiTheme="minorHAnsi" w:cstheme="minorHAnsi"/>
        </w:rPr>
      </w:pPr>
      <w:r w:rsidRPr="00B2349C">
        <w:rPr>
          <w:rFonts w:asciiTheme="minorHAnsi" w:hAnsiTheme="minorHAnsi" w:cstheme="minorHAnsi"/>
        </w:rPr>
        <w:t xml:space="preserve">Ramirez, A. (2011) </w:t>
      </w:r>
      <w:r w:rsidRPr="00B2349C">
        <w:rPr>
          <w:rFonts w:asciiTheme="minorHAnsi" w:hAnsiTheme="minorHAnsi" w:cstheme="minorHAnsi"/>
          <w:i/>
          <w:iCs/>
        </w:rPr>
        <w:t>Resistance training improves mental health</w:t>
      </w:r>
      <w:r w:rsidRPr="00B2349C">
        <w:rPr>
          <w:rFonts w:asciiTheme="minorHAnsi" w:hAnsiTheme="minorHAnsi" w:cstheme="minorHAnsi"/>
        </w:rPr>
        <w:t xml:space="preserve">, </w:t>
      </w:r>
      <w:r w:rsidRPr="00B2349C">
        <w:rPr>
          <w:rFonts w:asciiTheme="minorHAnsi" w:hAnsiTheme="minorHAnsi" w:cstheme="minorHAnsi"/>
          <w:i/>
          <w:iCs/>
        </w:rPr>
        <w:t>IDEA Health &amp; Fitness Association</w:t>
      </w:r>
      <w:r w:rsidRPr="00B2349C">
        <w:rPr>
          <w:rFonts w:asciiTheme="minorHAnsi" w:hAnsiTheme="minorHAnsi" w:cstheme="minorHAnsi"/>
        </w:rPr>
        <w:t xml:space="preserve">. Available at: https://www.ideafit.com/personal-training/resistance-training-improves-mental-health/ (Accessed: 26 July 2023). </w:t>
      </w:r>
    </w:p>
    <w:p w14:paraId="270967F3" w14:textId="77777777" w:rsidR="00B32BC2" w:rsidRPr="00B2349C" w:rsidRDefault="00B32BC2" w:rsidP="00B32026">
      <w:pPr>
        <w:pStyle w:val="NormalWeb"/>
        <w:ind w:left="567" w:hanging="567"/>
        <w:rPr>
          <w:rFonts w:asciiTheme="minorHAnsi" w:hAnsiTheme="minorHAnsi" w:cstheme="minorHAnsi"/>
        </w:rPr>
      </w:pPr>
    </w:p>
    <w:p w14:paraId="13840116" w14:textId="01109E69" w:rsidR="00D93E61" w:rsidRPr="00B2349C" w:rsidRDefault="00D93E61" w:rsidP="00D93E61">
      <w:pPr>
        <w:pStyle w:val="NormalWeb"/>
        <w:ind w:left="567" w:hanging="567"/>
        <w:rPr>
          <w:rFonts w:asciiTheme="minorHAnsi" w:hAnsiTheme="minorHAnsi" w:cstheme="minorHAnsi"/>
        </w:rPr>
      </w:pPr>
      <w:r w:rsidRPr="00B2349C">
        <w:rPr>
          <w:rFonts w:asciiTheme="minorHAnsi" w:hAnsiTheme="minorHAnsi" w:cstheme="minorHAnsi"/>
          <w:i/>
          <w:iCs/>
        </w:rPr>
        <w:t>Sleep and mental health</w:t>
      </w:r>
      <w:r w:rsidRPr="00B2349C">
        <w:rPr>
          <w:rFonts w:asciiTheme="minorHAnsi" w:hAnsiTheme="minorHAnsi" w:cstheme="minorHAnsi"/>
        </w:rPr>
        <w:t xml:space="preserve"> (2022) </w:t>
      </w:r>
      <w:r w:rsidRPr="00B2349C">
        <w:rPr>
          <w:rFonts w:asciiTheme="minorHAnsi" w:hAnsiTheme="minorHAnsi" w:cstheme="minorHAnsi"/>
          <w:i/>
          <w:iCs/>
        </w:rPr>
        <w:t>Mental Health UK</w:t>
      </w:r>
      <w:r w:rsidRPr="00B2349C">
        <w:rPr>
          <w:rFonts w:asciiTheme="minorHAnsi" w:hAnsiTheme="minorHAnsi" w:cstheme="minorHAnsi"/>
        </w:rPr>
        <w:t xml:space="preserve">. Available at: https://mentalhealth-uk.org/help-and-information/sleep/ (Accessed: 26 July 2023). </w:t>
      </w:r>
    </w:p>
    <w:p w14:paraId="56B4330F" w14:textId="77777777" w:rsidR="00D93E61" w:rsidRPr="00B2349C" w:rsidRDefault="00D93E61" w:rsidP="00B32BC2">
      <w:pPr>
        <w:pStyle w:val="NormalWeb"/>
        <w:ind w:left="567" w:hanging="567"/>
        <w:rPr>
          <w:rFonts w:asciiTheme="minorHAnsi" w:hAnsiTheme="minorHAnsi" w:cstheme="minorHAnsi"/>
        </w:rPr>
      </w:pPr>
    </w:p>
    <w:p w14:paraId="60296396" w14:textId="4A2A6010" w:rsidR="00B32BC2" w:rsidRPr="00B2349C" w:rsidRDefault="007B702B" w:rsidP="00B32BC2">
      <w:pPr>
        <w:pStyle w:val="NormalWeb"/>
        <w:ind w:left="567" w:hanging="567"/>
        <w:rPr>
          <w:rFonts w:asciiTheme="minorHAnsi" w:hAnsiTheme="minorHAnsi" w:cstheme="minorHAnsi"/>
        </w:rPr>
      </w:pPr>
      <w:r w:rsidRPr="00B2349C">
        <w:rPr>
          <w:rFonts w:asciiTheme="minorHAnsi" w:hAnsiTheme="minorHAnsi" w:cstheme="minorHAnsi"/>
        </w:rPr>
        <w:lastRenderedPageBreak/>
        <w:t xml:space="preserve">Southwick, S.M. and Charney, D.S. (2012) ‘The Science of Resilience: Implications for the Prevention and treatment of depression’, </w:t>
      </w:r>
      <w:r w:rsidRPr="00B2349C">
        <w:rPr>
          <w:rFonts w:asciiTheme="minorHAnsi" w:hAnsiTheme="minorHAnsi" w:cstheme="minorHAnsi"/>
          <w:i/>
          <w:iCs/>
        </w:rPr>
        <w:t>Science</w:t>
      </w:r>
      <w:r w:rsidRPr="00B2349C">
        <w:rPr>
          <w:rFonts w:asciiTheme="minorHAnsi" w:hAnsiTheme="minorHAnsi" w:cstheme="minorHAnsi"/>
        </w:rPr>
        <w:t xml:space="preserve">, 338(6103), pp. 79–82. doi:10.1126/science.1222942. </w:t>
      </w:r>
    </w:p>
    <w:p w14:paraId="63D0E0F9" w14:textId="77777777" w:rsidR="00B32BC2" w:rsidRPr="00B2349C" w:rsidRDefault="00B32BC2" w:rsidP="00B32BC2">
      <w:pPr>
        <w:pStyle w:val="NormalWeb"/>
        <w:ind w:left="567" w:hanging="567"/>
        <w:rPr>
          <w:rFonts w:asciiTheme="minorHAnsi" w:hAnsiTheme="minorHAnsi" w:cstheme="minorHAnsi"/>
        </w:rPr>
      </w:pPr>
    </w:p>
    <w:p w14:paraId="09AC0C9E" w14:textId="77777777" w:rsidR="00D95F5D" w:rsidRPr="00B2349C" w:rsidRDefault="00D95F5D" w:rsidP="00D95F5D">
      <w:pPr>
        <w:pStyle w:val="NormalWeb"/>
        <w:ind w:left="567" w:hanging="567"/>
        <w:rPr>
          <w:rFonts w:asciiTheme="minorHAnsi" w:hAnsiTheme="minorHAnsi" w:cstheme="minorHAnsi"/>
        </w:rPr>
      </w:pPr>
      <w:r w:rsidRPr="00B2349C">
        <w:rPr>
          <w:rFonts w:asciiTheme="minorHAnsi" w:hAnsiTheme="minorHAnsi" w:cstheme="minorHAnsi"/>
        </w:rPr>
        <w:t xml:space="preserve">Spalding, T.W. </w:t>
      </w:r>
      <w:r w:rsidRPr="00B2349C">
        <w:rPr>
          <w:rFonts w:asciiTheme="minorHAnsi" w:hAnsiTheme="minorHAnsi" w:cstheme="minorHAnsi"/>
          <w:i/>
          <w:iCs/>
        </w:rPr>
        <w:t>et al.</w:t>
      </w:r>
      <w:r w:rsidRPr="00B2349C">
        <w:rPr>
          <w:rFonts w:asciiTheme="minorHAnsi" w:hAnsiTheme="minorHAnsi" w:cstheme="minorHAnsi"/>
        </w:rPr>
        <w:t xml:space="preserve"> (2004) ‘Aerobic exercise training and cardiovascular reactivity to psychological stress in sedentary young normotensive men and women’, </w:t>
      </w:r>
      <w:r w:rsidRPr="00B2349C">
        <w:rPr>
          <w:rFonts w:asciiTheme="minorHAnsi" w:hAnsiTheme="minorHAnsi" w:cstheme="minorHAnsi"/>
          <w:i/>
          <w:iCs/>
        </w:rPr>
        <w:t>Psychophysiology</w:t>
      </w:r>
      <w:r w:rsidRPr="00B2349C">
        <w:rPr>
          <w:rFonts w:asciiTheme="minorHAnsi" w:hAnsiTheme="minorHAnsi" w:cstheme="minorHAnsi"/>
        </w:rPr>
        <w:t>, 41(4), pp. 552–562. doi:10.1111/j.1469-8986.2004.</w:t>
      </w:r>
      <w:proofErr w:type="gramStart"/>
      <w:r w:rsidRPr="00B2349C">
        <w:rPr>
          <w:rFonts w:asciiTheme="minorHAnsi" w:hAnsiTheme="minorHAnsi" w:cstheme="minorHAnsi"/>
        </w:rPr>
        <w:t>00184.x.</w:t>
      </w:r>
      <w:proofErr w:type="gramEnd"/>
      <w:r w:rsidRPr="00B2349C">
        <w:rPr>
          <w:rFonts w:asciiTheme="minorHAnsi" w:hAnsiTheme="minorHAnsi" w:cstheme="minorHAnsi"/>
        </w:rPr>
        <w:t xml:space="preserve"> </w:t>
      </w:r>
    </w:p>
    <w:p w14:paraId="6BCEE9B6" w14:textId="77777777" w:rsidR="00D95F5D" w:rsidRPr="00B2349C" w:rsidRDefault="00D95F5D" w:rsidP="00B32BC2">
      <w:pPr>
        <w:pStyle w:val="NormalWeb"/>
        <w:ind w:left="567" w:hanging="567"/>
        <w:rPr>
          <w:rFonts w:asciiTheme="minorHAnsi" w:hAnsiTheme="minorHAnsi" w:cstheme="minorHAnsi"/>
        </w:rPr>
      </w:pPr>
    </w:p>
    <w:p w14:paraId="26101319" w14:textId="36011EC3" w:rsidR="00B32BC2" w:rsidRPr="00B2349C" w:rsidRDefault="00B32BC2" w:rsidP="00B32BC2">
      <w:pPr>
        <w:pStyle w:val="NormalWeb"/>
        <w:ind w:left="567" w:hanging="567"/>
        <w:rPr>
          <w:rFonts w:asciiTheme="minorHAnsi" w:hAnsiTheme="minorHAnsi" w:cstheme="minorHAnsi"/>
        </w:rPr>
      </w:pPr>
      <w:r w:rsidRPr="00B2349C">
        <w:rPr>
          <w:rFonts w:asciiTheme="minorHAnsi" w:hAnsiTheme="minorHAnsi" w:cstheme="minorHAnsi"/>
        </w:rPr>
        <w:t xml:space="preserve">Waxman, H.C., Gray, </w:t>
      </w:r>
      <w:proofErr w:type="gramStart"/>
      <w:r w:rsidRPr="00B2349C">
        <w:rPr>
          <w:rFonts w:asciiTheme="minorHAnsi" w:hAnsiTheme="minorHAnsi" w:cstheme="minorHAnsi"/>
        </w:rPr>
        <w:t>J.P.</w:t>
      </w:r>
      <w:proofErr w:type="gramEnd"/>
      <w:r w:rsidRPr="00B2349C">
        <w:rPr>
          <w:rFonts w:asciiTheme="minorHAnsi" w:hAnsiTheme="minorHAnsi" w:cstheme="minorHAnsi"/>
        </w:rPr>
        <w:t xml:space="preserve"> and Padron, Y.N. (</w:t>
      </w:r>
      <w:r w:rsidR="00133FB8">
        <w:rPr>
          <w:rFonts w:asciiTheme="minorHAnsi" w:hAnsiTheme="minorHAnsi" w:cstheme="minorHAnsi"/>
        </w:rPr>
        <w:t>2003</w:t>
      </w:r>
      <w:r w:rsidRPr="00B2349C">
        <w:rPr>
          <w:rFonts w:asciiTheme="minorHAnsi" w:hAnsiTheme="minorHAnsi" w:cstheme="minorHAnsi"/>
        </w:rPr>
        <w:t xml:space="preserve">) </w:t>
      </w:r>
      <w:r w:rsidRPr="00B2349C">
        <w:rPr>
          <w:rFonts w:asciiTheme="minorHAnsi" w:hAnsiTheme="minorHAnsi" w:cstheme="minorHAnsi"/>
          <w:i/>
          <w:iCs/>
        </w:rPr>
        <w:t>Review of Research on Educational Resilience</w:t>
      </w:r>
      <w:r w:rsidRPr="00B2349C">
        <w:rPr>
          <w:rFonts w:asciiTheme="minorHAnsi" w:hAnsiTheme="minorHAnsi" w:cstheme="minorHAnsi"/>
        </w:rPr>
        <w:t xml:space="preserve">. rep. </w:t>
      </w:r>
    </w:p>
    <w:p w14:paraId="3A98F94C" w14:textId="77777777" w:rsidR="00B32BC2" w:rsidRPr="00B2349C" w:rsidRDefault="00B32BC2" w:rsidP="00B32BC2">
      <w:pPr>
        <w:pStyle w:val="NormalWeb"/>
        <w:ind w:left="567" w:hanging="567"/>
        <w:rPr>
          <w:rFonts w:asciiTheme="minorHAnsi" w:hAnsiTheme="minorHAnsi" w:cstheme="minorHAnsi"/>
        </w:rPr>
      </w:pPr>
    </w:p>
    <w:p w14:paraId="217D9150" w14:textId="79AA60BC" w:rsidR="00B32026" w:rsidRPr="00B2349C" w:rsidRDefault="00B32026" w:rsidP="00B32026">
      <w:pPr>
        <w:pStyle w:val="NormalWeb"/>
        <w:ind w:left="567" w:hanging="567"/>
        <w:rPr>
          <w:rFonts w:asciiTheme="minorHAnsi" w:hAnsiTheme="minorHAnsi" w:cstheme="minorHAnsi"/>
        </w:rPr>
      </w:pPr>
      <w:r w:rsidRPr="00B2349C">
        <w:rPr>
          <w:rFonts w:asciiTheme="minorHAnsi" w:hAnsiTheme="minorHAnsi" w:cstheme="minorHAnsi"/>
        </w:rPr>
        <w:t xml:space="preserve">Wu, G. </w:t>
      </w:r>
      <w:r w:rsidRPr="00B2349C">
        <w:rPr>
          <w:rFonts w:asciiTheme="minorHAnsi" w:hAnsiTheme="minorHAnsi" w:cstheme="minorHAnsi"/>
          <w:i/>
          <w:iCs/>
        </w:rPr>
        <w:t>et al.</w:t>
      </w:r>
      <w:r w:rsidRPr="00B2349C">
        <w:rPr>
          <w:rFonts w:asciiTheme="minorHAnsi" w:hAnsiTheme="minorHAnsi" w:cstheme="minorHAnsi"/>
        </w:rPr>
        <w:t xml:space="preserve"> (2013) ‘Understanding resilience’, </w:t>
      </w:r>
      <w:r w:rsidRPr="00B2349C">
        <w:rPr>
          <w:rFonts w:asciiTheme="minorHAnsi" w:hAnsiTheme="minorHAnsi" w:cstheme="minorHAnsi"/>
          <w:i/>
          <w:iCs/>
        </w:rPr>
        <w:t>Neurobiology of resilience and implications for promoting resilience</w:t>
      </w:r>
      <w:r w:rsidRPr="00B2349C">
        <w:rPr>
          <w:rFonts w:asciiTheme="minorHAnsi" w:hAnsiTheme="minorHAnsi" w:cstheme="minorHAnsi"/>
        </w:rPr>
        <w:t xml:space="preserve">, 7. </w:t>
      </w:r>
      <w:proofErr w:type="spellStart"/>
      <w:r w:rsidRPr="00B2349C">
        <w:rPr>
          <w:rFonts w:asciiTheme="minorHAnsi" w:hAnsiTheme="minorHAnsi" w:cstheme="minorHAnsi"/>
        </w:rPr>
        <w:t>doi</w:t>
      </w:r>
      <w:proofErr w:type="spellEnd"/>
      <w:r w:rsidRPr="00B2349C">
        <w:rPr>
          <w:rFonts w:asciiTheme="minorHAnsi" w:hAnsiTheme="minorHAnsi" w:cstheme="minorHAnsi"/>
        </w:rPr>
        <w:t xml:space="preserve">: https://doi.org/10.3389/fnbeh.2013.00010. </w:t>
      </w:r>
    </w:p>
    <w:p w14:paraId="3D4900DE" w14:textId="50259AC1" w:rsidR="00B32026" w:rsidRPr="00270EEB" w:rsidRDefault="00B32026" w:rsidP="00E6298B">
      <w:pPr>
        <w:ind w:right="107"/>
        <w:jc w:val="both"/>
        <w:rPr>
          <w:sz w:val="24"/>
          <w:szCs w:val="24"/>
        </w:rPr>
        <w:sectPr w:rsidR="00B32026"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0459187"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As stated by Dryer-Beers, Braddock, and Wire in their review for the College of Policing (2020), the nature of policing is physically demanding, and it is a potentially dangerous profession which often puts police officers in a position where they must face violent and aggressive people. Police must act appropriately to mitigate the risk posed by violent and aggressive members of the public, often putting themselves at risk in the process. Policing is a very public facing job which means that the actions taken by police officers in incidents of this nature are pertinent to ensuring public safety, trust, and confidence in the police force. </w:t>
      </w:r>
    </w:p>
    <w:p w14:paraId="7AC402A4" w14:textId="77777777" w:rsidR="00AF44E5" w:rsidRPr="00AF44E5" w:rsidRDefault="00AF44E5" w:rsidP="00AF44E5">
      <w:pPr>
        <w:rPr>
          <w:rFonts w:asciiTheme="minorHAnsi" w:hAnsiTheme="minorHAnsi" w:cstheme="minorHAnsi"/>
          <w:sz w:val="24"/>
          <w:szCs w:val="24"/>
        </w:rPr>
      </w:pPr>
    </w:p>
    <w:p w14:paraId="47ECB2F9"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This essay will use Gibbs’ Reflective Model (Gibbs, 1988) to reflect on a policing incident which I attended where there was conflict which I helped manage. As I will be discussing an incident that I attended I will be keeping the detail brief and concise to ensure that I conform with data protection. I will start this essay by assessing the social and legislative contexts of this incident and whether there were any cultural, ethnicity or language issues. I will then move on to consider the communication skills that I used during the incident and whether they were successful or not. Finally, I will critically evaluate any theories or models underpinning the cause of conflict in this incident. </w:t>
      </w:r>
    </w:p>
    <w:p w14:paraId="200BE58C" w14:textId="77777777" w:rsidR="00AF44E5" w:rsidRPr="00AF44E5" w:rsidRDefault="00AF44E5" w:rsidP="00AF44E5">
      <w:pPr>
        <w:rPr>
          <w:rFonts w:asciiTheme="minorHAnsi" w:hAnsiTheme="minorHAnsi" w:cstheme="minorHAnsi"/>
          <w:sz w:val="24"/>
          <w:szCs w:val="24"/>
        </w:rPr>
      </w:pPr>
    </w:p>
    <w:p w14:paraId="5E9AC682"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During a night shift on response, I was on mobile patrol with my tutor when a call came in over the radio of a disturbance in a block of flats. There was brief mention in the call of knives which meant the incident had to be reviewed before we were able to attend. It was declared that a taser authority was granted therefore three taser trained officers attended with a further three officers not carrying taser. As I was one of the officers not carrying taser, for my own safety I stayed behind the officers with taser. In this moment I felt an adrenaline rush and my heart started to beat very </w:t>
      </w:r>
      <w:r w:rsidRPr="00AF44E5">
        <w:rPr>
          <w:rFonts w:asciiTheme="minorHAnsi" w:hAnsiTheme="minorHAnsi" w:cstheme="minorHAnsi"/>
          <w:sz w:val="24"/>
          <w:szCs w:val="24"/>
        </w:rPr>
        <w:lastRenderedPageBreak/>
        <w:t>quickly and I could feel myself starting to sweat. Adrenaline rushes are natural reactions in the body when the brain senses a threat (</w:t>
      </w:r>
      <w:proofErr w:type="spellStart"/>
      <w:r w:rsidRPr="00AF44E5">
        <w:rPr>
          <w:rFonts w:asciiTheme="minorHAnsi" w:hAnsiTheme="minorHAnsi" w:cstheme="minorHAnsi"/>
          <w:sz w:val="24"/>
          <w:szCs w:val="24"/>
        </w:rPr>
        <w:t>Cafasso</w:t>
      </w:r>
      <w:proofErr w:type="spellEnd"/>
      <w:r w:rsidRPr="00AF44E5">
        <w:rPr>
          <w:rFonts w:asciiTheme="minorHAnsi" w:hAnsiTheme="minorHAnsi" w:cstheme="minorHAnsi"/>
          <w:sz w:val="24"/>
          <w:szCs w:val="24"/>
        </w:rPr>
        <w:t xml:space="preserve">, 2023). </w:t>
      </w:r>
    </w:p>
    <w:p w14:paraId="459CB4DE" w14:textId="77777777" w:rsidR="00AF44E5" w:rsidRPr="00AF44E5" w:rsidRDefault="00AF44E5" w:rsidP="00AF44E5">
      <w:pPr>
        <w:rPr>
          <w:rFonts w:asciiTheme="minorHAnsi" w:hAnsiTheme="minorHAnsi" w:cstheme="minorHAnsi"/>
          <w:sz w:val="24"/>
          <w:szCs w:val="24"/>
        </w:rPr>
      </w:pPr>
    </w:p>
    <w:p w14:paraId="72BE5113"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As it had been mentioned that there were people in possession of knives, taser officers were prepared to use force to neutralise this threat. From the information provided, the use of taser was deemed appropriate use of force following powers provided by the Criminal Law Act 1967 and The Police and Criminal Evidence Act 1984 (Glass, 2007). </w:t>
      </w:r>
    </w:p>
    <w:p w14:paraId="778CAF3A" w14:textId="77777777" w:rsidR="00AF44E5" w:rsidRPr="00AF44E5" w:rsidRDefault="00AF44E5" w:rsidP="00AF44E5">
      <w:pPr>
        <w:rPr>
          <w:rFonts w:asciiTheme="minorHAnsi" w:hAnsiTheme="minorHAnsi" w:cstheme="minorHAnsi"/>
          <w:sz w:val="24"/>
          <w:szCs w:val="24"/>
        </w:rPr>
      </w:pPr>
    </w:p>
    <w:p w14:paraId="0A393CAB" w14:textId="77777777" w:rsidR="00AF44E5" w:rsidRP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Upon arrival at the address, officers were approached by a male and a female who stated that they had a flat party which had got out of hand. It was established that the people causing the disturbance had left the area after throwing a bottle of alcohol through the front window of the property. This had caused the window to shatter and cause damage to items within the flat. It was established that the complaint was about the damage caused to the window, and the legislation that we would be using in this investigation would be Section 1(1) of the Criminal Damage Act 1971. </w:t>
      </w:r>
    </w:p>
    <w:p w14:paraId="50D91BDA"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Upon realising that the disturbance was no longer ongoing and there were no weapons being brandished I felt a relief as the risk of harm towards myself, my colleagues and the other people present was decreased. This meant that it was safe to start investigating the incident of criminal damage. </w:t>
      </w:r>
    </w:p>
    <w:p w14:paraId="747FB36A" w14:textId="77777777" w:rsidR="00AF44E5" w:rsidRPr="00AF44E5" w:rsidRDefault="00AF44E5" w:rsidP="00AF44E5">
      <w:pPr>
        <w:rPr>
          <w:rFonts w:asciiTheme="minorHAnsi" w:hAnsiTheme="minorHAnsi" w:cstheme="minorHAnsi"/>
          <w:sz w:val="24"/>
          <w:szCs w:val="24"/>
        </w:rPr>
      </w:pPr>
    </w:p>
    <w:p w14:paraId="340E48B9"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Resistance towards police comes in many forms, not only physical resistance. Often, resistance comes in verbal form and can manifest itself as disrespect and overt hostility towards police officers (Engel, 2003). As both the male and the female were fuelled by alcohol and frustration regarding the damage to their home, it became difficult for officers to communicate effectively with the pair. The female blamed the male’s friends whilst the male stated his friends were involved but didn’t cause the damage therefore refused to provide their details. The pair were refusing to listen and engage with police. At this point I informed them that we would go outside for ten minutes to give them time to discuss the situation and to calm down before we returned to try and establish any investigative opportunities available. As stated by Peacock (2000), one way to resolve anger and frustration is to talk it out. </w:t>
      </w:r>
    </w:p>
    <w:p w14:paraId="095ACB5A" w14:textId="77777777" w:rsidR="00AF44E5" w:rsidRPr="00AF44E5" w:rsidRDefault="00AF44E5" w:rsidP="00AF44E5">
      <w:pPr>
        <w:rPr>
          <w:rFonts w:asciiTheme="minorHAnsi" w:hAnsiTheme="minorHAnsi" w:cstheme="minorHAnsi"/>
          <w:sz w:val="24"/>
          <w:szCs w:val="24"/>
        </w:rPr>
      </w:pPr>
    </w:p>
    <w:p w14:paraId="2308A279"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I re-entered the property alone whilst my colleague spoke to a passerby outside who had some information about the incident. The male pointed out to me the bottle which was thrown through the window and informed me that no one else had touched it, I applied a pair of gloves and seized the item for examination. Whilst engaging in conversation with the male I tried to build a rapport as this would help with gathering information about the incident. During this interaction the female started raising her voice at me and tried telling me that I was destroying the evidence by picking it up. I informed the female that I was wearing gloves and I was placing the item in an evidence bag which meant that if there were any prints on the bottle, they would remain intact until the bottle is examined. Whilst interacting with the female I have been mindful of </w:t>
      </w:r>
      <w:proofErr w:type="spellStart"/>
      <w:r w:rsidRPr="00AF44E5">
        <w:rPr>
          <w:rFonts w:asciiTheme="minorHAnsi" w:hAnsiTheme="minorHAnsi" w:cstheme="minorHAnsi"/>
          <w:sz w:val="24"/>
          <w:szCs w:val="24"/>
        </w:rPr>
        <w:t>Betari’s</w:t>
      </w:r>
      <w:proofErr w:type="spellEnd"/>
      <w:r w:rsidRPr="00AF44E5">
        <w:rPr>
          <w:rFonts w:asciiTheme="minorHAnsi" w:hAnsiTheme="minorHAnsi" w:cstheme="minorHAnsi"/>
          <w:sz w:val="24"/>
          <w:szCs w:val="24"/>
        </w:rPr>
        <w:t xml:space="preserve"> Box Model and how my attitude would affect the female’s behaviour (Conflict management skills, 2020). I did not let the female’s attitude influence my behaviour and I ensured I remained calm and professional despite the difficulty in communicating with her. </w:t>
      </w:r>
    </w:p>
    <w:p w14:paraId="2D074F56" w14:textId="77777777" w:rsidR="00AF44E5" w:rsidRPr="00AF44E5" w:rsidRDefault="00AF44E5" w:rsidP="00AF44E5">
      <w:pPr>
        <w:rPr>
          <w:rFonts w:asciiTheme="minorHAnsi" w:hAnsiTheme="minorHAnsi" w:cstheme="minorHAnsi"/>
          <w:sz w:val="24"/>
          <w:szCs w:val="24"/>
        </w:rPr>
      </w:pPr>
    </w:p>
    <w:p w14:paraId="1D4DB774" w14:textId="77777777" w:rsidR="00AF44E5" w:rsidRP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The female left the room leaving me to speak with the male. The male asked what I could do to fix the window, to which I informed him that we did not have any equipment to secure the window and he would need to get in contact with his landlord to arrange a repair for the window. The female then re-enters the room and started shouting in my face that I wasn’t doing my job properly </w:t>
      </w:r>
      <w:r w:rsidRPr="00AF44E5">
        <w:rPr>
          <w:rFonts w:asciiTheme="minorHAnsi" w:hAnsiTheme="minorHAnsi" w:cstheme="minorHAnsi"/>
          <w:sz w:val="24"/>
          <w:szCs w:val="24"/>
        </w:rPr>
        <w:lastRenderedPageBreak/>
        <w:t xml:space="preserve">as I wasn’t able to repair the window. </w:t>
      </w:r>
      <w:proofErr w:type="spellStart"/>
      <w:r w:rsidRPr="00AF44E5">
        <w:rPr>
          <w:rFonts w:asciiTheme="minorHAnsi" w:hAnsiTheme="minorHAnsi" w:cstheme="minorHAnsi"/>
          <w:sz w:val="24"/>
          <w:szCs w:val="24"/>
        </w:rPr>
        <w:t>Karpman’s</w:t>
      </w:r>
      <w:proofErr w:type="spellEnd"/>
      <w:r w:rsidRPr="00AF44E5">
        <w:rPr>
          <w:rFonts w:asciiTheme="minorHAnsi" w:hAnsiTheme="minorHAnsi" w:cstheme="minorHAnsi"/>
          <w:sz w:val="24"/>
          <w:szCs w:val="24"/>
        </w:rPr>
        <w:t xml:space="preserve"> Drama Triangle (1968) is a great representation of the roles in this incident as the male was playing the victim, the female was the persecutor and expected the police to be the rescuer. The female was being overly critical of the police as she didn’t understand our role in the investigation of the incident. The female had an expectation that we would fix the problem there and then which I had to explain to her wasn’t the case. After hearing the female shouting, my colleague entered the property to see what was going on. The female expressed her frustration towards him by shouting in his face that we were the reason that people don’t have trust in the police and that we do not care about fixing other people’s problems. Research by Engel (2003) found that females were more likely to be classified as being disrespectful towards police officers than males, which was true in this case as the male was calm throughout the interaction albeit not completely engaging.  One of the positives that I have taken from this situation was my ability to actively listen to what the female was saying and understanding where she was coming from, even though her way of relaying this message to officers wasn’t executed in the best way.</w:t>
      </w:r>
    </w:p>
    <w:p w14:paraId="49839928" w14:textId="77777777" w:rsidR="00AF44E5" w:rsidRPr="00AF44E5" w:rsidRDefault="00AF44E5" w:rsidP="00AF44E5">
      <w:pPr>
        <w:rPr>
          <w:rFonts w:asciiTheme="minorHAnsi" w:hAnsiTheme="minorHAnsi" w:cstheme="minorHAnsi"/>
          <w:sz w:val="24"/>
          <w:szCs w:val="24"/>
        </w:rPr>
      </w:pPr>
    </w:p>
    <w:p w14:paraId="58978053"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From my understanding of the situation, I believe that a lot of the female’s anger and frustration was a manifestation of her own guilt for allowing unknown people into their home and giving them the opportunity to damage their property. The female kept going back and forth between stating that she did not know the people that caused the damage, and referring to them as her partner’s friends and how she could not believe that people they have called friends for so long could do this to them. A study by Tangney et al. (1996) found that across all age groups shame and guilt led to various demonstrations of anger including direct, indirect, and misplaced aggression. Another possible explanation I have for the female’s behaviour was the influence of alcohol. Both the male and female stated that they had been out drinking the previous evening and had only stopped shortly before police arrival which was at approximately 03:00hrs. This meant that the couple were still heavily under the influence of alcohol when police arrived. According to the World Health Organisation, the use of alcohol is more closely associated with aggressive behaviour than any other type of psychotropic substance and has a different effect on different people (Beck and Heinz, 2013). As stated by Buddy (2023), being under the influence of alcohol has a major effect on cognitive function and the ability to control anger. This also means drunk people are more likely to misread situations and overreact, which is what I believe the female was doing in this situation as I told her I could not fix her window. I believe the female took my response as me telling her I was not going to investigate the damage, despite my repeated attempts to tell her I was doing all that I could with the information provided. </w:t>
      </w:r>
    </w:p>
    <w:p w14:paraId="761A6C36" w14:textId="77777777" w:rsidR="00AF44E5" w:rsidRPr="00AF44E5" w:rsidRDefault="00AF44E5" w:rsidP="00AF44E5">
      <w:pPr>
        <w:rPr>
          <w:rFonts w:asciiTheme="minorHAnsi" w:hAnsiTheme="minorHAnsi" w:cstheme="minorHAnsi"/>
          <w:sz w:val="24"/>
          <w:szCs w:val="24"/>
        </w:rPr>
      </w:pPr>
    </w:p>
    <w:p w14:paraId="4722E677"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The female took us asking questions to try and find out who caused the damage or who could potentially be a witness of the incident as us challenging her and blaming her. She kept expressing her distrust in the police and kept telling us that we weren’t helping them. The situation was made more difficult as the male refused to provide the details of his friends. The male was informed that it would be in his best interest to provide his friends’ details as there were no other witnesses to the damage, however he remained unconvinced by this. The couple’s distrust in the police could be because of numerous news articles relaying the message that police officers are not trustworthy (</w:t>
      </w:r>
      <w:proofErr w:type="spellStart"/>
      <w:r w:rsidRPr="00AF44E5">
        <w:rPr>
          <w:rFonts w:asciiTheme="minorHAnsi" w:hAnsiTheme="minorHAnsi" w:cstheme="minorHAnsi"/>
          <w:sz w:val="24"/>
          <w:szCs w:val="24"/>
        </w:rPr>
        <w:t>Hinsliff</w:t>
      </w:r>
      <w:proofErr w:type="spellEnd"/>
      <w:r w:rsidRPr="00AF44E5">
        <w:rPr>
          <w:rFonts w:asciiTheme="minorHAnsi" w:hAnsiTheme="minorHAnsi" w:cstheme="minorHAnsi"/>
          <w:sz w:val="24"/>
          <w:szCs w:val="24"/>
        </w:rPr>
        <w:t>, 2022; Milan, 2022).</w:t>
      </w:r>
    </w:p>
    <w:p w14:paraId="6421EC61" w14:textId="77777777" w:rsidR="00AF44E5" w:rsidRPr="00AF44E5" w:rsidRDefault="00AF44E5" w:rsidP="00AF44E5">
      <w:pPr>
        <w:rPr>
          <w:rFonts w:asciiTheme="minorHAnsi" w:hAnsiTheme="minorHAnsi" w:cstheme="minorHAnsi"/>
          <w:sz w:val="24"/>
          <w:szCs w:val="24"/>
        </w:rPr>
      </w:pPr>
    </w:p>
    <w:p w14:paraId="20F035CE"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 It took a lot of patience and active listening both from myself and my colleague to get the couple to calm down and be willing to listen to us. It is part of the nature of policing to deal with people on the most difficult days of their lives therefore I was prepared to be patient and understanding of </w:t>
      </w:r>
      <w:r w:rsidRPr="00AF44E5">
        <w:rPr>
          <w:rFonts w:asciiTheme="minorHAnsi" w:hAnsiTheme="minorHAnsi" w:cstheme="minorHAnsi"/>
          <w:sz w:val="24"/>
          <w:szCs w:val="24"/>
        </w:rPr>
        <w:lastRenderedPageBreak/>
        <w:t>the frustration displayed by the couple. Despite this, I was not willing to be disrespected. I did have to raise my voice and be more assertive as the couple were not understanding that our role was to investigate the incident and ensure their safety, not repair the window.</w:t>
      </w:r>
    </w:p>
    <w:p w14:paraId="44537FC3" w14:textId="77777777" w:rsidR="00AF44E5" w:rsidRPr="00AF44E5" w:rsidRDefault="00AF44E5" w:rsidP="00AF44E5">
      <w:pPr>
        <w:rPr>
          <w:rFonts w:asciiTheme="minorHAnsi" w:hAnsiTheme="minorHAnsi" w:cstheme="minorHAnsi"/>
          <w:sz w:val="24"/>
          <w:szCs w:val="24"/>
        </w:rPr>
      </w:pPr>
    </w:p>
    <w:p w14:paraId="3A4CD9C2"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 It was eventually established that the couple would prefer to close the window as much as possible rather than wait for CSI to examine whether there were any forensic opportunities on the window. I helped with securing the window as much as possible until the landlord was able to organise for it to be repaired. After doing this, the couple showed gratitude for our attendance and apologised for their previous aggressive and argumentative behaviour. The male later decided he did not want to pursue a complaint about the damage and was unwilling to provide any details of his friends to help with the investigation. </w:t>
      </w:r>
    </w:p>
    <w:p w14:paraId="44C0569F" w14:textId="77777777" w:rsidR="00AF44E5" w:rsidRPr="00AF44E5" w:rsidRDefault="00AF44E5" w:rsidP="00AF44E5">
      <w:pPr>
        <w:rPr>
          <w:rFonts w:asciiTheme="minorHAnsi" w:hAnsiTheme="minorHAnsi" w:cstheme="minorHAnsi"/>
          <w:sz w:val="24"/>
          <w:szCs w:val="24"/>
        </w:rPr>
      </w:pPr>
    </w:p>
    <w:p w14:paraId="314AAA9D" w14:textId="77777777" w:rsid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If I was to be in a similar situation again, I would not have re-entered the property alone. This is based on the details of the initial call and because the female became aggressive towards me very quickly after I re-entered the property. Although the female did not become physically violent, it was an enclosed space and there were two people for me to deal with. I would have felt safer with the support of my colleague who could have helped deescalate the situation quicker. I also would have asked the female to leave the room or take the male to a separate room to speak about his intentions and what type of actions he wished for the police to take in this matter. This would have helped reduce the amount of time spent at the call as the female’s obstructive nature meant it took longer than necessary to establish that they only wanted us to help fix the window and were not fully committed to helping the investigation of the damage. </w:t>
      </w:r>
    </w:p>
    <w:p w14:paraId="0F722FEE" w14:textId="77777777" w:rsidR="00AF44E5" w:rsidRPr="00AF44E5" w:rsidRDefault="00AF44E5" w:rsidP="00AF44E5">
      <w:pPr>
        <w:rPr>
          <w:rFonts w:asciiTheme="minorHAnsi" w:hAnsiTheme="minorHAnsi" w:cstheme="minorHAnsi"/>
          <w:sz w:val="24"/>
          <w:szCs w:val="24"/>
        </w:rPr>
      </w:pPr>
    </w:p>
    <w:p w14:paraId="18801949" w14:textId="77777777" w:rsidR="00AF44E5" w:rsidRPr="00AF44E5" w:rsidRDefault="00AF44E5" w:rsidP="00AF44E5">
      <w:pPr>
        <w:rPr>
          <w:rFonts w:asciiTheme="minorHAnsi" w:hAnsiTheme="minorHAnsi" w:cstheme="minorHAnsi"/>
          <w:sz w:val="24"/>
          <w:szCs w:val="24"/>
        </w:rPr>
      </w:pPr>
      <w:r w:rsidRPr="00AF44E5">
        <w:rPr>
          <w:rFonts w:asciiTheme="minorHAnsi" w:hAnsiTheme="minorHAnsi" w:cstheme="minorHAnsi"/>
          <w:sz w:val="24"/>
          <w:szCs w:val="24"/>
        </w:rPr>
        <w:t xml:space="preserve">When I attend incidents in future where the people present do not have full capacity due to being under the influence of alcohol or any other substance, I will not be as hesitant to be assertive. The majority of calls I have been to the people I have been dealing with have been cooperative, however this was the first call I attended where the reporting person was not cooperative. I have now established it is better to find out the outcome they desire as soon as possible to reduce the time wasted. </w:t>
      </w:r>
    </w:p>
    <w:p w14:paraId="0556CD9B" w14:textId="77777777" w:rsidR="00AF44E5" w:rsidRDefault="00AF44E5" w:rsidP="00AF44E5"/>
    <w:p w14:paraId="6E1A5CBE" w14:textId="77777777" w:rsidR="00AF44E5" w:rsidRDefault="00AF44E5" w:rsidP="00AF44E5"/>
    <w:p w14:paraId="21430354" w14:textId="3628ACF9" w:rsidR="00AF44E5" w:rsidRDefault="00AF44E5" w:rsidP="00AF44E5">
      <w:pPr>
        <w:rPr>
          <w:b/>
          <w:bCs/>
        </w:rPr>
      </w:pPr>
      <w:r>
        <w:rPr>
          <w:b/>
          <w:bCs/>
        </w:rPr>
        <w:t>Word count: 2120</w:t>
      </w:r>
    </w:p>
    <w:p w14:paraId="0D39E654" w14:textId="77777777" w:rsidR="00AF44E5" w:rsidRDefault="00AF44E5" w:rsidP="00AF44E5">
      <w:pPr>
        <w:rPr>
          <w:b/>
          <w:bCs/>
        </w:rPr>
      </w:pPr>
    </w:p>
    <w:p w14:paraId="722AFE09" w14:textId="77777777" w:rsidR="00AF44E5" w:rsidRDefault="00AF44E5" w:rsidP="00AF44E5">
      <w:pPr>
        <w:rPr>
          <w:b/>
          <w:bCs/>
        </w:rPr>
      </w:pPr>
    </w:p>
    <w:p w14:paraId="6FE1CF8F" w14:textId="77777777" w:rsidR="00AF44E5" w:rsidRDefault="00AF44E5" w:rsidP="00AF44E5">
      <w:pPr>
        <w:rPr>
          <w:b/>
          <w:bCs/>
        </w:rPr>
      </w:pPr>
    </w:p>
    <w:p w14:paraId="101E7CE7" w14:textId="77777777" w:rsidR="00AF44E5" w:rsidRDefault="00AF44E5" w:rsidP="00AF44E5">
      <w:pPr>
        <w:rPr>
          <w:b/>
          <w:bCs/>
        </w:rPr>
      </w:pPr>
    </w:p>
    <w:p w14:paraId="314900C9" w14:textId="77777777" w:rsidR="00AF44E5" w:rsidRDefault="00AF44E5" w:rsidP="00AF44E5">
      <w:pPr>
        <w:rPr>
          <w:b/>
          <w:bCs/>
        </w:rPr>
      </w:pPr>
    </w:p>
    <w:p w14:paraId="6D9B1341" w14:textId="77777777" w:rsidR="00AF44E5" w:rsidRDefault="00AF44E5" w:rsidP="00AF44E5">
      <w:pPr>
        <w:rPr>
          <w:b/>
          <w:bCs/>
        </w:rPr>
      </w:pPr>
    </w:p>
    <w:p w14:paraId="06E4AA1D" w14:textId="77777777" w:rsidR="00AF44E5" w:rsidRDefault="00AF44E5" w:rsidP="00AF44E5">
      <w:pPr>
        <w:rPr>
          <w:b/>
          <w:bCs/>
        </w:rPr>
      </w:pPr>
    </w:p>
    <w:p w14:paraId="0973D65E" w14:textId="77777777" w:rsidR="00AF44E5" w:rsidRDefault="00AF44E5" w:rsidP="00AF44E5">
      <w:pPr>
        <w:rPr>
          <w:b/>
          <w:bCs/>
        </w:rPr>
      </w:pPr>
    </w:p>
    <w:p w14:paraId="0A95408E" w14:textId="77777777" w:rsidR="00AF44E5" w:rsidRDefault="00AF44E5" w:rsidP="00AF44E5">
      <w:pPr>
        <w:rPr>
          <w:b/>
          <w:bCs/>
        </w:rPr>
      </w:pPr>
    </w:p>
    <w:p w14:paraId="4409C49A" w14:textId="77777777" w:rsidR="00AF44E5" w:rsidRDefault="00AF44E5" w:rsidP="00AF44E5">
      <w:pPr>
        <w:rPr>
          <w:b/>
          <w:bCs/>
        </w:rPr>
      </w:pPr>
    </w:p>
    <w:p w14:paraId="28DEF80A" w14:textId="77777777" w:rsidR="00AF44E5" w:rsidRDefault="00AF44E5" w:rsidP="00AF44E5">
      <w:pPr>
        <w:rPr>
          <w:b/>
          <w:bCs/>
        </w:rPr>
      </w:pPr>
    </w:p>
    <w:p w14:paraId="4A4CDC4E" w14:textId="77777777" w:rsidR="00AF44E5" w:rsidRDefault="00AF44E5" w:rsidP="00AF44E5">
      <w:pPr>
        <w:rPr>
          <w:b/>
          <w:bCs/>
        </w:rPr>
      </w:pPr>
    </w:p>
    <w:p w14:paraId="501BEF92" w14:textId="77777777" w:rsidR="00AF44E5" w:rsidRDefault="00AF44E5" w:rsidP="00AF44E5">
      <w:pPr>
        <w:rPr>
          <w:b/>
          <w:bCs/>
        </w:rPr>
      </w:pPr>
    </w:p>
    <w:p w14:paraId="7662070C" w14:textId="77777777" w:rsidR="00AF44E5" w:rsidRDefault="00AF44E5" w:rsidP="00AF44E5">
      <w:pPr>
        <w:rPr>
          <w:b/>
          <w:bCs/>
        </w:rPr>
      </w:pPr>
    </w:p>
    <w:p w14:paraId="2A0A425F" w14:textId="77777777" w:rsidR="00AF44E5" w:rsidRDefault="00AF44E5" w:rsidP="00AF44E5">
      <w:pPr>
        <w:rPr>
          <w:b/>
          <w:bCs/>
        </w:rPr>
      </w:pPr>
    </w:p>
    <w:p w14:paraId="4BC0C115" w14:textId="77777777" w:rsidR="00AF44E5" w:rsidRDefault="00AF44E5" w:rsidP="00AF44E5">
      <w:pPr>
        <w:rPr>
          <w:b/>
          <w:bCs/>
        </w:rPr>
      </w:pPr>
    </w:p>
    <w:p w14:paraId="1904491A" w14:textId="77777777" w:rsidR="00AF44E5" w:rsidRDefault="00AF44E5" w:rsidP="00AF44E5">
      <w:pPr>
        <w:rPr>
          <w:b/>
          <w:bCs/>
        </w:rPr>
      </w:pPr>
    </w:p>
    <w:p w14:paraId="2F42B34B" w14:textId="77777777" w:rsidR="00AF44E5" w:rsidRDefault="00AF44E5" w:rsidP="00AF44E5">
      <w:pPr>
        <w:rPr>
          <w:b/>
          <w:bCs/>
        </w:rPr>
      </w:pPr>
    </w:p>
    <w:p w14:paraId="7E6E9EE5" w14:textId="77777777" w:rsidR="00AF44E5" w:rsidRDefault="00AF44E5" w:rsidP="00AF44E5">
      <w:pPr>
        <w:rPr>
          <w:b/>
          <w:bCs/>
        </w:rPr>
      </w:pPr>
    </w:p>
    <w:p w14:paraId="26C5460D" w14:textId="77777777" w:rsidR="00AF44E5" w:rsidRDefault="00AF44E5" w:rsidP="00AF44E5">
      <w:pPr>
        <w:rPr>
          <w:b/>
          <w:bCs/>
        </w:rPr>
      </w:pPr>
    </w:p>
    <w:p w14:paraId="0464D006" w14:textId="26935D4A" w:rsidR="00AF44E5" w:rsidRPr="004422DB" w:rsidRDefault="00AF44E5" w:rsidP="00AF44E5">
      <w:pPr>
        <w:rPr>
          <w:rFonts w:asciiTheme="minorHAnsi" w:hAnsiTheme="minorHAnsi" w:cstheme="minorBidi"/>
          <w:b/>
          <w:bCs/>
        </w:rPr>
      </w:pPr>
      <w:r w:rsidRPr="00206CC3">
        <w:rPr>
          <w:b/>
          <w:bCs/>
        </w:rPr>
        <w:lastRenderedPageBreak/>
        <w:t>References</w:t>
      </w:r>
    </w:p>
    <w:p w14:paraId="2A8D3858" w14:textId="77777777" w:rsidR="00AF44E5" w:rsidRDefault="00AF44E5" w:rsidP="00AF44E5">
      <w:pPr>
        <w:pStyle w:val="NormalWeb"/>
        <w:ind w:left="567" w:hanging="567"/>
        <w:rPr>
          <w:rFonts w:asciiTheme="minorHAnsi" w:hAnsiTheme="minorHAnsi" w:cstheme="minorHAnsi"/>
        </w:rPr>
      </w:pPr>
      <w:r w:rsidRPr="00331423">
        <w:rPr>
          <w:rFonts w:asciiTheme="minorHAnsi" w:hAnsiTheme="minorHAnsi" w:cstheme="minorHAnsi"/>
        </w:rPr>
        <w:t xml:space="preserve">Beck, A. and Heinz, A. (2013) ‘Alcohol-related aggression’, </w:t>
      </w:r>
      <w:proofErr w:type="spellStart"/>
      <w:r w:rsidRPr="00331423">
        <w:rPr>
          <w:rFonts w:asciiTheme="minorHAnsi" w:hAnsiTheme="minorHAnsi" w:cstheme="minorHAnsi"/>
          <w:i/>
          <w:iCs/>
        </w:rPr>
        <w:t>Deutsches</w:t>
      </w:r>
      <w:proofErr w:type="spellEnd"/>
      <w:r w:rsidRPr="00331423">
        <w:rPr>
          <w:rFonts w:asciiTheme="minorHAnsi" w:hAnsiTheme="minorHAnsi" w:cstheme="minorHAnsi"/>
          <w:i/>
          <w:iCs/>
        </w:rPr>
        <w:t xml:space="preserve"> </w:t>
      </w:r>
      <w:proofErr w:type="spellStart"/>
      <w:r w:rsidRPr="00331423">
        <w:rPr>
          <w:rFonts w:asciiTheme="minorHAnsi" w:hAnsiTheme="minorHAnsi" w:cstheme="minorHAnsi"/>
          <w:i/>
          <w:iCs/>
        </w:rPr>
        <w:t>Ärzteblatt</w:t>
      </w:r>
      <w:proofErr w:type="spellEnd"/>
      <w:r w:rsidRPr="00331423">
        <w:rPr>
          <w:rFonts w:asciiTheme="minorHAnsi" w:hAnsiTheme="minorHAnsi" w:cstheme="minorHAnsi"/>
          <w:i/>
          <w:iCs/>
        </w:rPr>
        <w:t xml:space="preserve"> international</w:t>
      </w:r>
      <w:r w:rsidRPr="00331423">
        <w:rPr>
          <w:rFonts w:asciiTheme="minorHAnsi" w:hAnsiTheme="minorHAnsi" w:cstheme="minorHAnsi"/>
        </w:rPr>
        <w:t xml:space="preserve"> [Preprint]. doi:10.3238/arztebl.2013.0711. </w:t>
      </w:r>
    </w:p>
    <w:p w14:paraId="605311BA" w14:textId="77777777" w:rsidR="00C51F10" w:rsidRPr="00331423" w:rsidRDefault="00C51F10" w:rsidP="00AF44E5">
      <w:pPr>
        <w:pStyle w:val="NormalWeb"/>
        <w:ind w:left="567" w:hanging="567"/>
        <w:rPr>
          <w:rFonts w:asciiTheme="minorHAnsi" w:hAnsiTheme="minorHAnsi" w:cstheme="minorHAnsi"/>
        </w:rPr>
      </w:pPr>
    </w:p>
    <w:p w14:paraId="06B74A5C" w14:textId="77777777" w:rsidR="00AF44E5" w:rsidRDefault="00AF44E5" w:rsidP="00AF44E5">
      <w:pPr>
        <w:pStyle w:val="NormalWeb"/>
        <w:ind w:left="567" w:hanging="567"/>
        <w:rPr>
          <w:rFonts w:asciiTheme="minorHAnsi" w:hAnsiTheme="minorHAnsi" w:cstheme="minorHAnsi"/>
        </w:rPr>
      </w:pPr>
      <w:proofErr w:type="spellStart"/>
      <w:r w:rsidRPr="00331423">
        <w:rPr>
          <w:rFonts w:asciiTheme="minorHAnsi" w:hAnsiTheme="minorHAnsi" w:cstheme="minorHAnsi"/>
        </w:rPr>
        <w:t>Cafasso</w:t>
      </w:r>
      <w:proofErr w:type="spellEnd"/>
      <w:r w:rsidRPr="00331423">
        <w:rPr>
          <w:rFonts w:asciiTheme="minorHAnsi" w:hAnsiTheme="minorHAnsi" w:cstheme="minorHAnsi"/>
        </w:rPr>
        <w:t xml:space="preserve">, J. (2023) </w:t>
      </w:r>
      <w:r w:rsidRPr="00331423">
        <w:rPr>
          <w:rFonts w:asciiTheme="minorHAnsi" w:hAnsiTheme="minorHAnsi" w:cstheme="minorHAnsi"/>
          <w:i/>
          <w:iCs/>
        </w:rPr>
        <w:t>Adrenaline rush: Symptoms, causes, at night, and anxiety</w:t>
      </w:r>
      <w:r w:rsidRPr="00331423">
        <w:rPr>
          <w:rFonts w:asciiTheme="minorHAnsi" w:hAnsiTheme="minorHAnsi" w:cstheme="minorHAnsi"/>
        </w:rPr>
        <w:t xml:space="preserve">, </w:t>
      </w:r>
      <w:r w:rsidRPr="00331423">
        <w:rPr>
          <w:rFonts w:asciiTheme="minorHAnsi" w:hAnsiTheme="minorHAnsi" w:cstheme="minorHAnsi"/>
          <w:i/>
          <w:iCs/>
        </w:rPr>
        <w:t>Healthline</w:t>
      </w:r>
      <w:r w:rsidRPr="00331423">
        <w:rPr>
          <w:rFonts w:asciiTheme="minorHAnsi" w:hAnsiTheme="minorHAnsi" w:cstheme="minorHAnsi"/>
        </w:rPr>
        <w:t xml:space="preserve">. Available at: https://www.healthline.com/health/adrenaline-rush (Accessed: 10 September 2023). </w:t>
      </w:r>
    </w:p>
    <w:p w14:paraId="28317B2C" w14:textId="77777777" w:rsidR="00C51F10" w:rsidRPr="00331423" w:rsidRDefault="00C51F10" w:rsidP="00AF44E5">
      <w:pPr>
        <w:pStyle w:val="NormalWeb"/>
        <w:ind w:left="567" w:hanging="567"/>
        <w:rPr>
          <w:rFonts w:asciiTheme="minorHAnsi" w:hAnsiTheme="minorHAnsi" w:cstheme="minorHAnsi"/>
        </w:rPr>
      </w:pPr>
    </w:p>
    <w:p w14:paraId="40AC5C5A" w14:textId="77777777" w:rsidR="00AF44E5" w:rsidRDefault="00AF44E5" w:rsidP="00AF44E5">
      <w:pPr>
        <w:pStyle w:val="NormalWeb"/>
        <w:ind w:left="567" w:hanging="567"/>
        <w:rPr>
          <w:rFonts w:asciiTheme="minorHAnsi" w:hAnsiTheme="minorHAnsi" w:cstheme="minorHAnsi"/>
        </w:rPr>
      </w:pPr>
      <w:r w:rsidRPr="00331423">
        <w:rPr>
          <w:rFonts w:asciiTheme="minorHAnsi" w:hAnsiTheme="minorHAnsi" w:cstheme="minorHAnsi"/>
          <w:i/>
          <w:iCs/>
        </w:rPr>
        <w:t>Conflict management skills</w:t>
      </w:r>
      <w:r w:rsidRPr="00331423">
        <w:rPr>
          <w:rFonts w:asciiTheme="minorHAnsi" w:hAnsiTheme="minorHAnsi" w:cstheme="minorHAnsi"/>
        </w:rPr>
        <w:t xml:space="preserve"> (2020) </w:t>
      </w:r>
      <w:r w:rsidRPr="00331423">
        <w:rPr>
          <w:rFonts w:asciiTheme="minorHAnsi" w:hAnsiTheme="minorHAnsi" w:cstheme="minorHAnsi"/>
          <w:i/>
          <w:iCs/>
        </w:rPr>
        <w:t>College of Policing</w:t>
      </w:r>
      <w:r w:rsidRPr="00331423">
        <w:rPr>
          <w:rFonts w:asciiTheme="minorHAnsi" w:hAnsiTheme="minorHAnsi" w:cstheme="minorHAnsi"/>
        </w:rPr>
        <w:t xml:space="preserve">. Available at: https://www.college.police.uk/guidance/conflict-management/conflict-management-skills (Accessed: 10 September 2023). </w:t>
      </w:r>
    </w:p>
    <w:p w14:paraId="2C863489" w14:textId="77777777" w:rsidR="00C51F10" w:rsidRPr="00331423" w:rsidRDefault="00C51F10" w:rsidP="00AF44E5">
      <w:pPr>
        <w:pStyle w:val="NormalWeb"/>
        <w:ind w:left="567" w:hanging="567"/>
        <w:rPr>
          <w:rFonts w:asciiTheme="minorHAnsi" w:hAnsiTheme="minorHAnsi" w:cstheme="minorHAnsi"/>
        </w:rPr>
      </w:pPr>
    </w:p>
    <w:p w14:paraId="2F5FB3A0" w14:textId="77777777" w:rsidR="00AF44E5" w:rsidRDefault="00AF44E5" w:rsidP="00AF44E5">
      <w:pPr>
        <w:pStyle w:val="NormalWeb"/>
        <w:ind w:left="567" w:hanging="567"/>
        <w:rPr>
          <w:rFonts w:asciiTheme="minorHAnsi" w:hAnsiTheme="minorHAnsi" w:cstheme="minorHAnsi"/>
          <w:color w:val="222222"/>
          <w:shd w:val="clear" w:color="auto" w:fill="FFFFFF"/>
        </w:rPr>
      </w:pPr>
      <w:r w:rsidRPr="00331423">
        <w:rPr>
          <w:rFonts w:asciiTheme="minorHAnsi" w:hAnsiTheme="minorHAnsi" w:cstheme="minorHAnsi"/>
          <w:color w:val="222222"/>
          <w:shd w:val="clear" w:color="auto" w:fill="FFFFFF"/>
        </w:rPr>
        <w:t>Dryer-Beers, E., Braddock, R. and Wire, J., 2020. Conflict Management: What works and risk factors. </w:t>
      </w:r>
      <w:r w:rsidRPr="00331423">
        <w:rPr>
          <w:rFonts w:asciiTheme="minorHAnsi" w:hAnsiTheme="minorHAnsi" w:cstheme="minorHAnsi"/>
          <w:i/>
          <w:iCs/>
          <w:color w:val="222222"/>
          <w:shd w:val="clear" w:color="auto" w:fill="FFFFFF"/>
        </w:rPr>
        <w:t>College of Policing</w:t>
      </w:r>
      <w:r w:rsidRPr="00331423">
        <w:rPr>
          <w:rFonts w:asciiTheme="minorHAnsi" w:hAnsiTheme="minorHAnsi" w:cstheme="minorHAnsi"/>
          <w:color w:val="222222"/>
          <w:shd w:val="clear" w:color="auto" w:fill="FFFFFF"/>
        </w:rPr>
        <w:t>, pp.1-65.</w:t>
      </w:r>
    </w:p>
    <w:p w14:paraId="40CEFEF2" w14:textId="77777777" w:rsidR="00C51F10" w:rsidRPr="00331423" w:rsidRDefault="00C51F10" w:rsidP="00AF44E5">
      <w:pPr>
        <w:pStyle w:val="NormalWeb"/>
        <w:ind w:left="567" w:hanging="567"/>
        <w:rPr>
          <w:rFonts w:asciiTheme="minorHAnsi" w:hAnsiTheme="minorHAnsi" w:cstheme="minorHAnsi"/>
          <w:color w:val="222222"/>
          <w:shd w:val="clear" w:color="auto" w:fill="FFFFFF"/>
        </w:rPr>
      </w:pPr>
    </w:p>
    <w:p w14:paraId="057ACD2E" w14:textId="77777777" w:rsidR="00AF44E5" w:rsidRDefault="00AF44E5" w:rsidP="00AF44E5">
      <w:pPr>
        <w:pStyle w:val="NormalWeb"/>
        <w:ind w:left="567" w:hanging="567"/>
        <w:rPr>
          <w:rFonts w:asciiTheme="minorHAnsi" w:hAnsiTheme="minorHAnsi" w:cstheme="minorHAnsi"/>
          <w:color w:val="222222"/>
          <w:shd w:val="clear" w:color="auto" w:fill="FFFFFF"/>
        </w:rPr>
      </w:pPr>
      <w:r w:rsidRPr="00331423">
        <w:rPr>
          <w:rFonts w:asciiTheme="minorHAnsi" w:hAnsiTheme="minorHAnsi" w:cstheme="minorHAnsi"/>
          <w:color w:val="222222"/>
          <w:shd w:val="clear" w:color="auto" w:fill="FFFFFF"/>
        </w:rPr>
        <w:t>Engel, R.S., 2003. Explaining suspects' resistance and disrespect toward police. </w:t>
      </w:r>
      <w:r w:rsidRPr="00331423">
        <w:rPr>
          <w:rFonts w:asciiTheme="minorHAnsi" w:hAnsiTheme="minorHAnsi" w:cstheme="minorHAnsi"/>
          <w:i/>
          <w:iCs/>
          <w:color w:val="222222"/>
          <w:shd w:val="clear" w:color="auto" w:fill="FFFFFF"/>
        </w:rPr>
        <w:t>Journal of Criminal Justice</w:t>
      </w:r>
      <w:r w:rsidRPr="00331423">
        <w:rPr>
          <w:rFonts w:asciiTheme="minorHAnsi" w:hAnsiTheme="minorHAnsi" w:cstheme="minorHAnsi"/>
          <w:color w:val="222222"/>
          <w:shd w:val="clear" w:color="auto" w:fill="FFFFFF"/>
        </w:rPr>
        <w:t>, </w:t>
      </w:r>
      <w:r w:rsidRPr="00331423">
        <w:rPr>
          <w:rFonts w:asciiTheme="minorHAnsi" w:hAnsiTheme="minorHAnsi" w:cstheme="minorHAnsi"/>
          <w:i/>
          <w:iCs/>
          <w:color w:val="222222"/>
          <w:shd w:val="clear" w:color="auto" w:fill="FFFFFF"/>
        </w:rPr>
        <w:t>31</w:t>
      </w:r>
      <w:r w:rsidRPr="00331423">
        <w:rPr>
          <w:rFonts w:asciiTheme="minorHAnsi" w:hAnsiTheme="minorHAnsi" w:cstheme="minorHAnsi"/>
          <w:color w:val="222222"/>
          <w:shd w:val="clear" w:color="auto" w:fill="FFFFFF"/>
        </w:rPr>
        <w:t>(5), pp.475-492.</w:t>
      </w:r>
    </w:p>
    <w:p w14:paraId="7E491E8A" w14:textId="77777777" w:rsidR="00C51F10" w:rsidRPr="00331423" w:rsidRDefault="00C51F10" w:rsidP="00AF44E5">
      <w:pPr>
        <w:pStyle w:val="NormalWeb"/>
        <w:ind w:left="567" w:hanging="567"/>
        <w:rPr>
          <w:rFonts w:asciiTheme="minorHAnsi" w:hAnsiTheme="minorHAnsi" w:cstheme="minorHAnsi"/>
          <w:color w:val="222222"/>
          <w:shd w:val="clear" w:color="auto" w:fill="FFFFFF"/>
        </w:rPr>
      </w:pPr>
    </w:p>
    <w:p w14:paraId="531E1F33" w14:textId="77777777" w:rsidR="00AF44E5" w:rsidRDefault="00AF44E5" w:rsidP="00AF44E5">
      <w:pPr>
        <w:pStyle w:val="NormalWeb"/>
        <w:ind w:left="567" w:hanging="567"/>
        <w:rPr>
          <w:rFonts w:asciiTheme="minorHAnsi" w:hAnsiTheme="minorHAnsi" w:cstheme="minorHAnsi"/>
          <w:color w:val="222222"/>
          <w:shd w:val="clear" w:color="auto" w:fill="FFFFFF"/>
        </w:rPr>
      </w:pPr>
      <w:r w:rsidRPr="00331423">
        <w:rPr>
          <w:rFonts w:asciiTheme="minorHAnsi" w:hAnsiTheme="minorHAnsi" w:cstheme="minorHAnsi"/>
          <w:color w:val="222222"/>
          <w:shd w:val="clear" w:color="auto" w:fill="FFFFFF"/>
        </w:rPr>
        <w:t>Gibbs, G., 1988. Learning by doing: A guide to teaching and learning methods. </w:t>
      </w:r>
      <w:r w:rsidRPr="00331423">
        <w:rPr>
          <w:rFonts w:asciiTheme="minorHAnsi" w:hAnsiTheme="minorHAnsi" w:cstheme="minorHAnsi"/>
          <w:i/>
          <w:iCs/>
          <w:color w:val="222222"/>
          <w:shd w:val="clear" w:color="auto" w:fill="FFFFFF"/>
        </w:rPr>
        <w:t>Further Education Unit</w:t>
      </w:r>
      <w:r w:rsidRPr="00331423">
        <w:rPr>
          <w:rFonts w:asciiTheme="minorHAnsi" w:hAnsiTheme="minorHAnsi" w:cstheme="minorHAnsi"/>
          <w:color w:val="222222"/>
          <w:shd w:val="clear" w:color="auto" w:fill="FFFFFF"/>
        </w:rPr>
        <w:t>.</w:t>
      </w:r>
    </w:p>
    <w:p w14:paraId="77E9D951" w14:textId="77777777" w:rsidR="00C51F10" w:rsidRPr="00331423" w:rsidRDefault="00C51F10" w:rsidP="00AF44E5">
      <w:pPr>
        <w:pStyle w:val="NormalWeb"/>
        <w:ind w:left="567" w:hanging="567"/>
        <w:rPr>
          <w:rFonts w:asciiTheme="minorHAnsi" w:hAnsiTheme="minorHAnsi" w:cstheme="minorHAnsi"/>
        </w:rPr>
      </w:pPr>
    </w:p>
    <w:p w14:paraId="459FB7ED" w14:textId="77777777" w:rsidR="00AF44E5" w:rsidRDefault="00AF44E5" w:rsidP="00AF44E5">
      <w:pPr>
        <w:pStyle w:val="NormalWeb"/>
        <w:ind w:left="567" w:hanging="567"/>
        <w:rPr>
          <w:rFonts w:asciiTheme="minorHAnsi" w:hAnsiTheme="minorHAnsi" w:cstheme="minorHAnsi"/>
        </w:rPr>
      </w:pPr>
      <w:r w:rsidRPr="00331423">
        <w:rPr>
          <w:rFonts w:asciiTheme="minorHAnsi" w:hAnsiTheme="minorHAnsi" w:cstheme="minorHAnsi"/>
        </w:rPr>
        <w:t xml:space="preserve">Glass, D. (2007) ‘Getting the balance right: The use of firearms in British policing’, </w:t>
      </w:r>
      <w:r w:rsidRPr="00331423">
        <w:rPr>
          <w:rFonts w:asciiTheme="minorHAnsi" w:hAnsiTheme="minorHAnsi" w:cstheme="minorHAnsi"/>
          <w:i/>
          <w:iCs/>
        </w:rPr>
        <w:t>Policing</w:t>
      </w:r>
      <w:r w:rsidRPr="00331423">
        <w:rPr>
          <w:rFonts w:asciiTheme="minorHAnsi" w:hAnsiTheme="minorHAnsi" w:cstheme="minorHAnsi"/>
        </w:rPr>
        <w:t xml:space="preserve">, 1(3), pp. 293–299. doi:10.1093/police/pam044. </w:t>
      </w:r>
    </w:p>
    <w:p w14:paraId="616E687A" w14:textId="77777777" w:rsidR="00C51F10" w:rsidRPr="00331423" w:rsidRDefault="00C51F10" w:rsidP="00AF44E5">
      <w:pPr>
        <w:pStyle w:val="NormalWeb"/>
        <w:ind w:left="567" w:hanging="567"/>
        <w:rPr>
          <w:rFonts w:asciiTheme="minorHAnsi" w:hAnsiTheme="minorHAnsi" w:cstheme="minorHAnsi"/>
        </w:rPr>
      </w:pPr>
    </w:p>
    <w:p w14:paraId="1B5FD51E" w14:textId="77777777" w:rsidR="00AF44E5" w:rsidRDefault="00AF44E5" w:rsidP="00AF44E5">
      <w:pPr>
        <w:pStyle w:val="NormalWeb"/>
        <w:ind w:left="567" w:hanging="567"/>
        <w:rPr>
          <w:rFonts w:asciiTheme="minorHAnsi" w:hAnsiTheme="minorHAnsi" w:cstheme="minorHAnsi"/>
        </w:rPr>
      </w:pPr>
      <w:proofErr w:type="spellStart"/>
      <w:proofErr w:type="gramStart"/>
      <w:r w:rsidRPr="00331423">
        <w:rPr>
          <w:rFonts w:asciiTheme="minorHAnsi" w:hAnsiTheme="minorHAnsi" w:cstheme="minorHAnsi"/>
        </w:rPr>
        <w:t>Hinsliff</w:t>
      </w:r>
      <w:proofErr w:type="spellEnd"/>
      <w:r w:rsidRPr="00331423">
        <w:rPr>
          <w:rFonts w:asciiTheme="minorHAnsi" w:hAnsiTheme="minorHAnsi" w:cstheme="minorHAnsi"/>
        </w:rPr>
        <w:t xml:space="preserve"> ,</w:t>
      </w:r>
      <w:proofErr w:type="gramEnd"/>
      <w:r w:rsidRPr="00331423">
        <w:rPr>
          <w:rFonts w:asciiTheme="minorHAnsi" w:hAnsiTheme="minorHAnsi" w:cstheme="minorHAnsi"/>
        </w:rPr>
        <w:t xml:space="preserve"> G. (2022) ‘As the scandals keep coming, distrust of the police has gone mainstream’, </w:t>
      </w:r>
      <w:r w:rsidRPr="00331423">
        <w:rPr>
          <w:rFonts w:asciiTheme="minorHAnsi" w:hAnsiTheme="minorHAnsi" w:cstheme="minorHAnsi"/>
          <w:i/>
          <w:iCs/>
        </w:rPr>
        <w:t xml:space="preserve">The Guardian </w:t>
      </w:r>
      <w:r w:rsidRPr="00331423">
        <w:rPr>
          <w:rFonts w:asciiTheme="minorHAnsi" w:hAnsiTheme="minorHAnsi" w:cstheme="minorHAnsi"/>
        </w:rPr>
        <w:t xml:space="preserve">, 3 February. </w:t>
      </w:r>
    </w:p>
    <w:p w14:paraId="324CF162" w14:textId="77777777" w:rsidR="00C51F10" w:rsidRPr="00331423" w:rsidRDefault="00C51F10" w:rsidP="00AF44E5">
      <w:pPr>
        <w:pStyle w:val="NormalWeb"/>
        <w:ind w:left="567" w:hanging="567"/>
        <w:rPr>
          <w:rFonts w:asciiTheme="minorHAnsi" w:hAnsiTheme="minorHAnsi" w:cstheme="minorHAnsi"/>
        </w:rPr>
      </w:pPr>
    </w:p>
    <w:p w14:paraId="467FA774" w14:textId="77777777" w:rsidR="00AF44E5" w:rsidRDefault="00AF44E5" w:rsidP="00AF44E5">
      <w:pPr>
        <w:pStyle w:val="NormalWeb"/>
        <w:ind w:left="567" w:hanging="567"/>
        <w:rPr>
          <w:rFonts w:asciiTheme="minorHAnsi" w:hAnsiTheme="minorHAnsi" w:cstheme="minorHAnsi"/>
          <w:color w:val="222222"/>
          <w:shd w:val="clear" w:color="auto" w:fill="FFFFFF"/>
        </w:rPr>
      </w:pPr>
      <w:proofErr w:type="spellStart"/>
      <w:r w:rsidRPr="00331423">
        <w:rPr>
          <w:rFonts w:asciiTheme="minorHAnsi" w:hAnsiTheme="minorHAnsi" w:cstheme="minorHAnsi"/>
          <w:color w:val="222222"/>
          <w:shd w:val="clear" w:color="auto" w:fill="FFFFFF"/>
        </w:rPr>
        <w:t>Karpman</w:t>
      </w:r>
      <w:proofErr w:type="spellEnd"/>
      <w:r w:rsidRPr="00331423">
        <w:rPr>
          <w:rFonts w:asciiTheme="minorHAnsi" w:hAnsiTheme="minorHAnsi" w:cstheme="minorHAnsi"/>
          <w:color w:val="222222"/>
          <w:shd w:val="clear" w:color="auto" w:fill="FFFFFF"/>
        </w:rPr>
        <w:t>, S., 1968. Fairy tales and script drama analysis. </w:t>
      </w:r>
      <w:r w:rsidRPr="00331423">
        <w:rPr>
          <w:rFonts w:asciiTheme="minorHAnsi" w:hAnsiTheme="minorHAnsi" w:cstheme="minorHAnsi"/>
          <w:i/>
          <w:iCs/>
          <w:color w:val="222222"/>
          <w:shd w:val="clear" w:color="auto" w:fill="FFFFFF"/>
        </w:rPr>
        <w:t>Transactional analysis bulletin</w:t>
      </w:r>
      <w:r w:rsidRPr="00331423">
        <w:rPr>
          <w:rFonts w:asciiTheme="minorHAnsi" w:hAnsiTheme="minorHAnsi" w:cstheme="minorHAnsi"/>
          <w:color w:val="222222"/>
          <w:shd w:val="clear" w:color="auto" w:fill="FFFFFF"/>
        </w:rPr>
        <w:t>, </w:t>
      </w:r>
      <w:r w:rsidRPr="00331423">
        <w:rPr>
          <w:rFonts w:asciiTheme="minorHAnsi" w:hAnsiTheme="minorHAnsi" w:cstheme="minorHAnsi"/>
          <w:i/>
          <w:iCs/>
          <w:color w:val="222222"/>
          <w:shd w:val="clear" w:color="auto" w:fill="FFFFFF"/>
        </w:rPr>
        <w:t>7</w:t>
      </w:r>
      <w:r w:rsidRPr="00331423">
        <w:rPr>
          <w:rFonts w:asciiTheme="minorHAnsi" w:hAnsiTheme="minorHAnsi" w:cstheme="minorHAnsi"/>
          <w:color w:val="222222"/>
          <w:shd w:val="clear" w:color="auto" w:fill="FFFFFF"/>
        </w:rPr>
        <w:t>(26), pp.39-43.</w:t>
      </w:r>
    </w:p>
    <w:p w14:paraId="2291C3D7" w14:textId="77777777" w:rsidR="00C51F10" w:rsidRPr="00331423" w:rsidRDefault="00C51F10" w:rsidP="00AF44E5">
      <w:pPr>
        <w:pStyle w:val="NormalWeb"/>
        <w:ind w:left="567" w:hanging="567"/>
        <w:rPr>
          <w:rFonts w:asciiTheme="minorHAnsi" w:hAnsiTheme="minorHAnsi" w:cstheme="minorHAnsi"/>
          <w:color w:val="222222"/>
          <w:shd w:val="clear" w:color="auto" w:fill="FFFFFF"/>
        </w:rPr>
      </w:pPr>
    </w:p>
    <w:p w14:paraId="2A47F8E4" w14:textId="77777777" w:rsidR="00AF44E5" w:rsidRDefault="00AF44E5" w:rsidP="00AF44E5">
      <w:pPr>
        <w:pStyle w:val="NormalWeb"/>
        <w:ind w:left="567" w:hanging="567"/>
        <w:rPr>
          <w:rFonts w:asciiTheme="minorHAnsi" w:hAnsiTheme="minorHAnsi" w:cstheme="minorHAnsi"/>
        </w:rPr>
      </w:pPr>
      <w:r w:rsidRPr="00331423">
        <w:rPr>
          <w:rFonts w:asciiTheme="minorHAnsi" w:hAnsiTheme="minorHAnsi" w:cstheme="minorHAnsi"/>
        </w:rPr>
        <w:t xml:space="preserve">Milan, A. (2022) ‘“I would never ever call them if I was in trouble”: The complex question of trusting the police’, </w:t>
      </w:r>
      <w:r w:rsidRPr="00331423">
        <w:rPr>
          <w:rFonts w:asciiTheme="minorHAnsi" w:hAnsiTheme="minorHAnsi" w:cstheme="minorHAnsi"/>
          <w:i/>
          <w:iCs/>
        </w:rPr>
        <w:t>Metro.co.uk</w:t>
      </w:r>
      <w:r w:rsidRPr="00331423">
        <w:rPr>
          <w:rFonts w:asciiTheme="minorHAnsi" w:hAnsiTheme="minorHAnsi" w:cstheme="minorHAnsi"/>
        </w:rPr>
        <w:t xml:space="preserve">, 29 March. </w:t>
      </w:r>
    </w:p>
    <w:p w14:paraId="6874099C" w14:textId="77777777" w:rsidR="00C51F10" w:rsidRPr="00331423" w:rsidRDefault="00C51F10" w:rsidP="00AF44E5">
      <w:pPr>
        <w:pStyle w:val="NormalWeb"/>
        <w:ind w:left="567" w:hanging="567"/>
        <w:rPr>
          <w:rFonts w:asciiTheme="minorHAnsi" w:hAnsiTheme="minorHAnsi" w:cstheme="minorHAnsi"/>
        </w:rPr>
      </w:pPr>
    </w:p>
    <w:p w14:paraId="2623FDF3" w14:textId="77777777" w:rsidR="00AF44E5" w:rsidRPr="00331423" w:rsidRDefault="00AF44E5" w:rsidP="00AF44E5">
      <w:pPr>
        <w:rPr>
          <w:rFonts w:asciiTheme="minorHAnsi" w:hAnsiTheme="minorHAnsi" w:cstheme="minorHAnsi"/>
          <w:b/>
          <w:bCs/>
          <w:sz w:val="24"/>
          <w:szCs w:val="24"/>
        </w:rPr>
      </w:pPr>
      <w:r w:rsidRPr="00331423">
        <w:rPr>
          <w:rFonts w:asciiTheme="minorHAnsi" w:hAnsiTheme="minorHAnsi" w:cstheme="minorHAnsi"/>
          <w:color w:val="222222"/>
          <w:sz w:val="24"/>
          <w:szCs w:val="24"/>
          <w:shd w:val="clear" w:color="auto" w:fill="FFFFFF"/>
        </w:rPr>
        <w:t>Peacock, J., 2000. </w:t>
      </w:r>
      <w:r w:rsidRPr="00331423">
        <w:rPr>
          <w:rFonts w:asciiTheme="minorHAnsi" w:hAnsiTheme="minorHAnsi" w:cstheme="minorHAnsi"/>
          <w:i/>
          <w:iCs/>
          <w:color w:val="222222"/>
          <w:sz w:val="24"/>
          <w:szCs w:val="24"/>
          <w:shd w:val="clear" w:color="auto" w:fill="FFFFFF"/>
        </w:rPr>
        <w:t>Anger management</w:t>
      </w:r>
      <w:r w:rsidRPr="00331423">
        <w:rPr>
          <w:rFonts w:asciiTheme="minorHAnsi" w:hAnsiTheme="minorHAnsi" w:cstheme="minorHAnsi"/>
          <w:color w:val="222222"/>
          <w:sz w:val="24"/>
          <w:szCs w:val="24"/>
          <w:shd w:val="clear" w:color="auto" w:fill="FFFFFF"/>
        </w:rPr>
        <w:t>. Capstone.</w:t>
      </w:r>
    </w:p>
    <w:p w14:paraId="4DD212D1" w14:textId="77777777" w:rsidR="00AF44E5" w:rsidRPr="00331423" w:rsidRDefault="00AF44E5" w:rsidP="00AF44E5">
      <w:pPr>
        <w:pStyle w:val="NormalWeb"/>
        <w:ind w:left="567" w:hanging="567"/>
        <w:rPr>
          <w:rFonts w:asciiTheme="minorHAnsi" w:hAnsiTheme="minorHAnsi" w:cstheme="minorHAnsi"/>
        </w:rPr>
      </w:pPr>
      <w:r w:rsidRPr="00331423">
        <w:rPr>
          <w:rFonts w:asciiTheme="minorHAnsi" w:hAnsiTheme="minorHAnsi" w:cstheme="minorHAnsi"/>
        </w:rPr>
        <w:lastRenderedPageBreak/>
        <w:t xml:space="preserve">Tangney, J.P. </w:t>
      </w:r>
      <w:r w:rsidRPr="00331423">
        <w:rPr>
          <w:rFonts w:asciiTheme="minorHAnsi" w:hAnsiTheme="minorHAnsi" w:cstheme="minorHAnsi"/>
          <w:i/>
          <w:iCs/>
        </w:rPr>
        <w:t>et al.</w:t>
      </w:r>
      <w:r w:rsidRPr="00331423">
        <w:rPr>
          <w:rFonts w:asciiTheme="minorHAnsi" w:hAnsiTheme="minorHAnsi" w:cstheme="minorHAnsi"/>
        </w:rPr>
        <w:t xml:space="preserve"> (1996) ‘Relation of shame and guilt to constructive versus destructive responses to anger across the lifespan.’, </w:t>
      </w:r>
      <w:r w:rsidRPr="00331423">
        <w:rPr>
          <w:rFonts w:asciiTheme="minorHAnsi" w:hAnsiTheme="minorHAnsi" w:cstheme="minorHAnsi"/>
          <w:i/>
          <w:iCs/>
        </w:rPr>
        <w:t>Journal of Personality and Social Psychology</w:t>
      </w:r>
      <w:r w:rsidRPr="00331423">
        <w:rPr>
          <w:rFonts w:asciiTheme="minorHAnsi" w:hAnsiTheme="minorHAnsi" w:cstheme="minorHAnsi"/>
        </w:rPr>
        <w:t xml:space="preserve">, 70(4), pp. 797–809. doi:10.1037/0022-3514.70.4.797.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494960D1"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755D76">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163D4" w14:textId="77777777" w:rsidR="00DB54E2" w:rsidRDefault="00DB54E2">
      <w:r>
        <w:separator/>
      </w:r>
    </w:p>
  </w:endnote>
  <w:endnote w:type="continuationSeparator" w:id="0">
    <w:p w14:paraId="2C9A5263" w14:textId="77777777" w:rsidR="00DB54E2" w:rsidRDefault="00DB5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AF5D" w14:textId="77777777" w:rsidR="00DB54E2" w:rsidRDefault="00DB54E2">
      <w:r>
        <w:separator/>
      </w:r>
    </w:p>
  </w:footnote>
  <w:footnote w:type="continuationSeparator" w:id="0">
    <w:p w14:paraId="26C47C32" w14:textId="77777777" w:rsidR="00DB54E2" w:rsidRDefault="00DB5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2374628">
    <w:abstractNumId w:val="38"/>
  </w:num>
  <w:num w:numId="2" w16cid:durableId="1975209929">
    <w:abstractNumId w:val="31"/>
  </w:num>
  <w:num w:numId="3" w16cid:durableId="1455170849">
    <w:abstractNumId w:val="23"/>
  </w:num>
  <w:num w:numId="4" w16cid:durableId="65155603">
    <w:abstractNumId w:val="1"/>
    <w:lvlOverride w:ilvl="0">
      <w:lvl w:ilvl="0">
        <w:start w:val="1"/>
        <w:numFmt w:val="bullet"/>
        <w:lvlText w:val=""/>
        <w:lvlJc w:val="left"/>
        <w:pPr>
          <w:ind w:left="720" w:hanging="360"/>
        </w:pPr>
        <w:rPr>
          <w:rFonts w:ascii="Symbol" w:hAnsi="Symbol" w:hint="default"/>
        </w:rPr>
      </w:lvl>
    </w:lvlOverride>
  </w:num>
  <w:num w:numId="5" w16cid:durableId="587079135">
    <w:abstractNumId w:val="21"/>
  </w:num>
  <w:num w:numId="6" w16cid:durableId="853151514">
    <w:abstractNumId w:val="45"/>
  </w:num>
  <w:num w:numId="7" w16cid:durableId="574166947">
    <w:abstractNumId w:val="47"/>
  </w:num>
  <w:num w:numId="8" w16cid:durableId="576790193">
    <w:abstractNumId w:val="34"/>
  </w:num>
  <w:num w:numId="9" w16cid:durableId="852300231">
    <w:abstractNumId w:val="32"/>
  </w:num>
  <w:num w:numId="10" w16cid:durableId="1191337349">
    <w:abstractNumId w:val="28"/>
  </w:num>
  <w:num w:numId="11" w16cid:durableId="1568608049">
    <w:abstractNumId w:val="29"/>
  </w:num>
  <w:num w:numId="12" w16cid:durableId="262881147">
    <w:abstractNumId w:val="9"/>
  </w:num>
  <w:num w:numId="13" w16cid:durableId="1141194628">
    <w:abstractNumId w:val="33"/>
  </w:num>
  <w:num w:numId="14" w16cid:durableId="246887764">
    <w:abstractNumId w:val="16"/>
  </w:num>
  <w:num w:numId="15" w16cid:durableId="896933740">
    <w:abstractNumId w:val="15"/>
  </w:num>
  <w:num w:numId="16" w16cid:durableId="967665148">
    <w:abstractNumId w:val="26"/>
  </w:num>
  <w:num w:numId="17" w16cid:durableId="775711220">
    <w:abstractNumId w:val="7"/>
  </w:num>
  <w:num w:numId="18" w16cid:durableId="2032144174">
    <w:abstractNumId w:val="25"/>
  </w:num>
  <w:num w:numId="19" w16cid:durableId="1003320919">
    <w:abstractNumId w:val="14"/>
  </w:num>
  <w:num w:numId="20" w16cid:durableId="543098488">
    <w:abstractNumId w:val="12"/>
  </w:num>
  <w:num w:numId="21" w16cid:durableId="18307045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9680544">
    <w:abstractNumId w:val="22"/>
  </w:num>
  <w:num w:numId="23" w16cid:durableId="1237977385">
    <w:abstractNumId w:val="17"/>
  </w:num>
  <w:num w:numId="24" w16cid:durableId="1068769154">
    <w:abstractNumId w:val="13"/>
  </w:num>
  <w:num w:numId="25" w16cid:durableId="957301509">
    <w:abstractNumId w:val="10"/>
  </w:num>
  <w:num w:numId="26" w16cid:durableId="927540910">
    <w:abstractNumId w:val="27"/>
  </w:num>
  <w:num w:numId="27" w16cid:durableId="713701571">
    <w:abstractNumId w:val="18"/>
  </w:num>
  <w:num w:numId="28" w16cid:durableId="2135098819">
    <w:abstractNumId w:val="41"/>
  </w:num>
  <w:num w:numId="29" w16cid:durableId="193614163">
    <w:abstractNumId w:val="35"/>
  </w:num>
  <w:num w:numId="30" w16cid:durableId="699089210">
    <w:abstractNumId w:val="40"/>
  </w:num>
  <w:num w:numId="31" w16cid:durableId="175777932">
    <w:abstractNumId w:val="19"/>
  </w:num>
  <w:num w:numId="32" w16cid:durableId="218245610">
    <w:abstractNumId w:val="43"/>
  </w:num>
  <w:num w:numId="33" w16cid:durableId="1289315524">
    <w:abstractNumId w:val="30"/>
  </w:num>
  <w:num w:numId="34" w16cid:durableId="780106039">
    <w:abstractNumId w:val="11"/>
  </w:num>
  <w:num w:numId="35" w16cid:durableId="1675961779">
    <w:abstractNumId w:val="44"/>
  </w:num>
  <w:num w:numId="36" w16cid:durableId="781653340">
    <w:abstractNumId w:val="39"/>
  </w:num>
  <w:num w:numId="37" w16cid:durableId="427043720">
    <w:abstractNumId w:val="4"/>
  </w:num>
  <w:num w:numId="38" w16cid:durableId="1640644118">
    <w:abstractNumId w:val="46"/>
  </w:num>
  <w:num w:numId="39" w16cid:durableId="1149784168">
    <w:abstractNumId w:val="42"/>
  </w:num>
  <w:num w:numId="40" w16cid:durableId="791481588">
    <w:abstractNumId w:val="36"/>
  </w:num>
  <w:num w:numId="41" w16cid:durableId="384525458">
    <w:abstractNumId w:val="37"/>
  </w:num>
  <w:num w:numId="42" w16cid:durableId="1393506831">
    <w:abstractNumId w:val="3"/>
  </w:num>
  <w:num w:numId="43" w16cid:durableId="302320625">
    <w:abstractNumId w:val="5"/>
  </w:num>
  <w:num w:numId="44" w16cid:durableId="651065052">
    <w:abstractNumId w:val="24"/>
  </w:num>
  <w:num w:numId="45" w16cid:durableId="526408883">
    <w:abstractNumId w:val="6"/>
  </w:num>
  <w:num w:numId="46" w16cid:durableId="278996075">
    <w:abstractNumId w:val="2"/>
  </w:num>
  <w:num w:numId="47" w16cid:durableId="197937314">
    <w:abstractNumId w:val="0"/>
  </w:num>
  <w:num w:numId="48" w16cid:durableId="63382054">
    <w:abstractNumId w:val="20"/>
  </w:num>
  <w:num w:numId="49" w16cid:durableId="211851868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8CC"/>
    <w:rsid w:val="00020EEC"/>
    <w:rsid w:val="00025650"/>
    <w:rsid w:val="00027B1F"/>
    <w:rsid w:val="0003088B"/>
    <w:rsid w:val="000325D9"/>
    <w:rsid w:val="000372B2"/>
    <w:rsid w:val="00040705"/>
    <w:rsid w:val="0004079F"/>
    <w:rsid w:val="00044BC2"/>
    <w:rsid w:val="00045B87"/>
    <w:rsid w:val="00045C07"/>
    <w:rsid w:val="00054483"/>
    <w:rsid w:val="00055D43"/>
    <w:rsid w:val="00056FAC"/>
    <w:rsid w:val="00057751"/>
    <w:rsid w:val="00062E39"/>
    <w:rsid w:val="00080E58"/>
    <w:rsid w:val="00081AA6"/>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FCF"/>
    <w:rsid w:val="00106DC7"/>
    <w:rsid w:val="00112391"/>
    <w:rsid w:val="00112751"/>
    <w:rsid w:val="00114F52"/>
    <w:rsid w:val="00123059"/>
    <w:rsid w:val="00133FB8"/>
    <w:rsid w:val="001347F8"/>
    <w:rsid w:val="00137BB5"/>
    <w:rsid w:val="00137E05"/>
    <w:rsid w:val="001447F6"/>
    <w:rsid w:val="00147DE3"/>
    <w:rsid w:val="00150193"/>
    <w:rsid w:val="001505BB"/>
    <w:rsid w:val="00150794"/>
    <w:rsid w:val="001608C4"/>
    <w:rsid w:val="001678DD"/>
    <w:rsid w:val="00171418"/>
    <w:rsid w:val="00175D38"/>
    <w:rsid w:val="001961CF"/>
    <w:rsid w:val="001A59BB"/>
    <w:rsid w:val="001A6A51"/>
    <w:rsid w:val="001A79C4"/>
    <w:rsid w:val="001B331A"/>
    <w:rsid w:val="001C0C77"/>
    <w:rsid w:val="001C0E74"/>
    <w:rsid w:val="001D229F"/>
    <w:rsid w:val="001D5185"/>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2282"/>
    <w:rsid w:val="002657E9"/>
    <w:rsid w:val="00265976"/>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1CF8"/>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1A09"/>
    <w:rsid w:val="0044223A"/>
    <w:rsid w:val="00450C83"/>
    <w:rsid w:val="00451851"/>
    <w:rsid w:val="00453343"/>
    <w:rsid w:val="004608B9"/>
    <w:rsid w:val="00465947"/>
    <w:rsid w:val="00470BB1"/>
    <w:rsid w:val="004718F7"/>
    <w:rsid w:val="00472B5C"/>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5F67"/>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2AD3"/>
    <w:rsid w:val="005A0FE8"/>
    <w:rsid w:val="005A130C"/>
    <w:rsid w:val="005A1B4C"/>
    <w:rsid w:val="005A545C"/>
    <w:rsid w:val="005B26CD"/>
    <w:rsid w:val="005B67C1"/>
    <w:rsid w:val="005C028A"/>
    <w:rsid w:val="005C1567"/>
    <w:rsid w:val="005C6CE5"/>
    <w:rsid w:val="005C6E3A"/>
    <w:rsid w:val="005D3F07"/>
    <w:rsid w:val="005D6686"/>
    <w:rsid w:val="005E13EA"/>
    <w:rsid w:val="006033EF"/>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4B49"/>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E7D01"/>
    <w:rsid w:val="006F44EE"/>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5D76"/>
    <w:rsid w:val="0075704F"/>
    <w:rsid w:val="00763B2D"/>
    <w:rsid w:val="00772924"/>
    <w:rsid w:val="00772C15"/>
    <w:rsid w:val="00785CA8"/>
    <w:rsid w:val="007872F2"/>
    <w:rsid w:val="007908E0"/>
    <w:rsid w:val="00792181"/>
    <w:rsid w:val="00793EB3"/>
    <w:rsid w:val="00794205"/>
    <w:rsid w:val="007A1F6A"/>
    <w:rsid w:val="007B0DE3"/>
    <w:rsid w:val="007B491F"/>
    <w:rsid w:val="007B702B"/>
    <w:rsid w:val="007B70E1"/>
    <w:rsid w:val="007B7191"/>
    <w:rsid w:val="007C1634"/>
    <w:rsid w:val="007C1D94"/>
    <w:rsid w:val="007C2879"/>
    <w:rsid w:val="007C6A87"/>
    <w:rsid w:val="007C705D"/>
    <w:rsid w:val="007D0A07"/>
    <w:rsid w:val="007D133D"/>
    <w:rsid w:val="007D3EB4"/>
    <w:rsid w:val="007D3F16"/>
    <w:rsid w:val="007F0796"/>
    <w:rsid w:val="007F371B"/>
    <w:rsid w:val="007F3F7E"/>
    <w:rsid w:val="007F5497"/>
    <w:rsid w:val="007F6AE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64CD"/>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0234"/>
    <w:rsid w:val="008F22BD"/>
    <w:rsid w:val="009079BD"/>
    <w:rsid w:val="00910B43"/>
    <w:rsid w:val="00912BD9"/>
    <w:rsid w:val="00920E5B"/>
    <w:rsid w:val="00926436"/>
    <w:rsid w:val="0093018C"/>
    <w:rsid w:val="00932AFF"/>
    <w:rsid w:val="009544C0"/>
    <w:rsid w:val="00954FA4"/>
    <w:rsid w:val="00956AE9"/>
    <w:rsid w:val="009624C3"/>
    <w:rsid w:val="00964CC6"/>
    <w:rsid w:val="009807C6"/>
    <w:rsid w:val="00991FDA"/>
    <w:rsid w:val="009927A1"/>
    <w:rsid w:val="009979A8"/>
    <w:rsid w:val="009A5F3B"/>
    <w:rsid w:val="009B0B61"/>
    <w:rsid w:val="009B28C0"/>
    <w:rsid w:val="009B32A9"/>
    <w:rsid w:val="009B7136"/>
    <w:rsid w:val="009B7806"/>
    <w:rsid w:val="009C1142"/>
    <w:rsid w:val="009C3AC2"/>
    <w:rsid w:val="009D25B4"/>
    <w:rsid w:val="009D4365"/>
    <w:rsid w:val="009D4E3B"/>
    <w:rsid w:val="009D7BC9"/>
    <w:rsid w:val="009E1982"/>
    <w:rsid w:val="009E4D2C"/>
    <w:rsid w:val="009F0978"/>
    <w:rsid w:val="009F1452"/>
    <w:rsid w:val="009F3AEC"/>
    <w:rsid w:val="00A00081"/>
    <w:rsid w:val="00A10D56"/>
    <w:rsid w:val="00A11EB7"/>
    <w:rsid w:val="00A12AAE"/>
    <w:rsid w:val="00A15BF1"/>
    <w:rsid w:val="00A16DD1"/>
    <w:rsid w:val="00A22441"/>
    <w:rsid w:val="00A23F3B"/>
    <w:rsid w:val="00A24406"/>
    <w:rsid w:val="00A25F64"/>
    <w:rsid w:val="00A27CC2"/>
    <w:rsid w:val="00A40ED6"/>
    <w:rsid w:val="00A414C1"/>
    <w:rsid w:val="00A470EE"/>
    <w:rsid w:val="00A47621"/>
    <w:rsid w:val="00A479CD"/>
    <w:rsid w:val="00A50CFC"/>
    <w:rsid w:val="00A50D4E"/>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44E5"/>
    <w:rsid w:val="00AF5609"/>
    <w:rsid w:val="00AF5D6A"/>
    <w:rsid w:val="00AF61C2"/>
    <w:rsid w:val="00AF6CC6"/>
    <w:rsid w:val="00B0296A"/>
    <w:rsid w:val="00B03185"/>
    <w:rsid w:val="00B12295"/>
    <w:rsid w:val="00B137BE"/>
    <w:rsid w:val="00B17FA0"/>
    <w:rsid w:val="00B2349C"/>
    <w:rsid w:val="00B24344"/>
    <w:rsid w:val="00B26769"/>
    <w:rsid w:val="00B31C91"/>
    <w:rsid w:val="00B32026"/>
    <w:rsid w:val="00B32BC2"/>
    <w:rsid w:val="00B3747F"/>
    <w:rsid w:val="00B43194"/>
    <w:rsid w:val="00B47734"/>
    <w:rsid w:val="00B50FBA"/>
    <w:rsid w:val="00B558EB"/>
    <w:rsid w:val="00B55BC3"/>
    <w:rsid w:val="00B577D3"/>
    <w:rsid w:val="00B60466"/>
    <w:rsid w:val="00B6548F"/>
    <w:rsid w:val="00B7502A"/>
    <w:rsid w:val="00B77305"/>
    <w:rsid w:val="00B82CC2"/>
    <w:rsid w:val="00B84A89"/>
    <w:rsid w:val="00B85357"/>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F10"/>
    <w:rsid w:val="00C54AED"/>
    <w:rsid w:val="00C63D00"/>
    <w:rsid w:val="00C6441B"/>
    <w:rsid w:val="00C7108B"/>
    <w:rsid w:val="00C8089F"/>
    <w:rsid w:val="00C836CC"/>
    <w:rsid w:val="00C87A74"/>
    <w:rsid w:val="00C92C71"/>
    <w:rsid w:val="00C93F8F"/>
    <w:rsid w:val="00CA03D9"/>
    <w:rsid w:val="00CA3593"/>
    <w:rsid w:val="00CB143A"/>
    <w:rsid w:val="00CB258E"/>
    <w:rsid w:val="00CB3C8F"/>
    <w:rsid w:val="00CC02F1"/>
    <w:rsid w:val="00CC11A6"/>
    <w:rsid w:val="00CC135E"/>
    <w:rsid w:val="00CC4414"/>
    <w:rsid w:val="00CD3D58"/>
    <w:rsid w:val="00CD5D3F"/>
    <w:rsid w:val="00CD655F"/>
    <w:rsid w:val="00CF3DB3"/>
    <w:rsid w:val="00D052BC"/>
    <w:rsid w:val="00D07026"/>
    <w:rsid w:val="00D11888"/>
    <w:rsid w:val="00D22C8F"/>
    <w:rsid w:val="00D33491"/>
    <w:rsid w:val="00D41A93"/>
    <w:rsid w:val="00D44F8E"/>
    <w:rsid w:val="00D607EF"/>
    <w:rsid w:val="00D60BC6"/>
    <w:rsid w:val="00D60F88"/>
    <w:rsid w:val="00D625E7"/>
    <w:rsid w:val="00D646BD"/>
    <w:rsid w:val="00D7018A"/>
    <w:rsid w:val="00D71201"/>
    <w:rsid w:val="00D720C7"/>
    <w:rsid w:val="00D876E6"/>
    <w:rsid w:val="00D93E61"/>
    <w:rsid w:val="00D95F5D"/>
    <w:rsid w:val="00DA1025"/>
    <w:rsid w:val="00DA22EC"/>
    <w:rsid w:val="00DA5860"/>
    <w:rsid w:val="00DB2767"/>
    <w:rsid w:val="00DB54E2"/>
    <w:rsid w:val="00DC4729"/>
    <w:rsid w:val="00DF6A96"/>
    <w:rsid w:val="00E162FB"/>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D9B"/>
    <w:rsid w:val="00E91F62"/>
    <w:rsid w:val="00E929FD"/>
    <w:rsid w:val="00E93240"/>
    <w:rsid w:val="00E9479B"/>
    <w:rsid w:val="00EA10DA"/>
    <w:rsid w:val="00EA4D48"/>
    <w:rsid w:val="00EB0162"/>
    <w:rsid w:val="00EB2173"/>
    <w:rsid w:val="00EB62E6"/>
    <w:rsid w:val="00ED05B8"/>
    <w:rsid w:val="00ED1B30"/>
    <w:rsid w:val="00ED250E"/>
    <w:rsid w:val="00ED6516"/>
    <w:rsid w:val="00EE1AC1"/>
    <w:rsid w:val="00EE39D6"/>
    <w:rsid w:val="00EE52AD"/>
    <w:rsid w:val="00F01F92"/>
    <w:rsid w:val="00F0686F"/>
    <w:rsid w:val="00F10A08"/>
    <w:rsid w:val="00F15C80"/>
    <w:rsid w:val="00F22AC5"/>
    <w:rsid w:val="00F254D1"/>
    <w:rsid w:val="00F32B82"/>
    <w:rsid w:val="00F4043E"/>
    <w:rsid w:val="00F41BBC"/>
    <w:rsid w:val="00F43B9D"/>
    <w:rsid w:val="00F444F0"/>
    <w:rsid w:val="00F50847"/>
    <w:rsid w:val="00F50F89"/>
    <w:rsid w:val="00F53F27"/>
    <w:rsid w:val="00F546D1"/>
    <w:rsid w:val="00F66272"/>
    <w:rsid w:val="00F709C0"/>
    <w:rsid w:val="00F7698A"/>
    <w:rsid w:val="00F927A1"/>
    <w:rsid w:val="00F92E4D"/>
    <w:rsid w:val="00FA2BC2"/>
    <w:rsid w:val="00FA3764"/>
    <w:rsid w:val="00FA56ED"/>
    <w:rsid w:val="00FB4993"/>
    <w:rsid w:val="00FB5471"/>
    <w:rsid w:val="00FB5FA6"/>
    <w:rsid w:val="00FB603D"/>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320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6585">
      <w:bodyDiv w:val="1"/>
      <w:marLeft w:val="0"/>
      <w:marRight w:val="0"/>
      <w:marTop w:val="0"/>
      <w:marBottom w:val="0"/>
      <w:divBdr>
        <w:top w:val="none" w:sz="0" w:space="0" w:color="auto"/>
        <w:left w:val="none" w:sz="0" w:space="0" w:color="auto"/>
        <w:bottom w:val="none" w:sz="0" w:space="0" w:color="auto"/>
        <w:right w:val="none" w:sz="0" w:space="0" w:color="auto"/>
      </w:divBdr>
    </w:div>
    <w:div w:id="54938023">
      <w:bodyDiv w:val="1"/>
      <w:marLeft w:val="0"/>
      <w:marRight w:val="0"/>
      <w:marTop w:val="0"/>
      <w:marBottom w:val="0"/>
      <w:divBdr>
        <w:top w:val="none" w:sz="0" w:space="0" w:color="auto"/>
        <w:left w:val="none" w:sz="0" w:space="0" w:color="auto"/>
        <w:bottom w:val="none" w:sz="0" w:space="0" w:color="auto"/>
        <w:right w:val="none" w:sz="0" w:space="0" w:color="auto"/>
      </w:divBdr>
    </w:div>
    <w:div w:id="171652978">
      <w:bodyDiv w:val="1"/>
      <w:marLeft w:val="0"/>
      <w:marRight w:val="0"/>
      <w:marTop w:val="0"/>
      <w:marBottom w:val="0"/>
      <w:divBdr>
        <w:top w:val="none" w:sz="0" w:space="0" w:color="auto"/>
        <w:left w:val="none" w:sz="0" w:space="0" w:color="auto"/>
        <w:bottom w:val="none" w:sz="0" w:space="0" w:color="auto"/>
        <w:right w:val="none" w:sz="0" w:space="0" w:color="auto"/>
      </w:divBdr>
    </w:div>
    <w:div w:id="210311833">
      <w:bodyDiv w:val="1"/>
      <w:marLeft w:val="0"/>
      <w:marRight w:val="0"/>
      <w:marTop w:val="0"/>
      <w:marBottom w:val="0"/>
      <w:divBdr>
        <w:top w:val="none" w:sz="0" w:space="0" w:color="auto"/>
        <w:left w:val="none" w:sz="0" w:space="0" w:color="auto"/>
        <w:bottom w:val="none" w:sz="0" w:space="0" w:color="auto"/>
        <w:right w:val="none" w:sz="0" w:space="0" w:color="auto"/>
      </w:divBdr>
    </w:div>
    <w:div w:id="271936127">
      <w:bodyDiv w:val="1"/>
      <w:marLeft w:val="0"/>
      <w:marRight w:val="0"/>
      <w:marTop w:val="0"/>
      <w:marBottom w:val="0"/>
      <w:divBdr>
        <w:top w:val="none" w:sz="0" w:space="0" w:color="auto"/>
        <w:left w:val="none" w:sz="0" w:space="0" w:color="auto"/>
        <w:bottom w:val="none" w:sz="0" w:space="0" w:color="auto"/>
        <w:right w:val="none" w:sz="0" w:space="0" w:color="auto"/>
      </w:divBdr>
    </w:div>
    <w:div w:id="374623453">
      <w:bodyDiv w:val="1"/>
      <w:marLeft w:val="0"/>
      <w:marRight w:val="0"/>
      <w:marTop w:val="0"/>
      <w:marBottom w:val="0"/>
      <w:divBdr>
        <w:top w:val="none" w:sz="0" w:space="0" w:color="auto"/>
        <w:left w:val="none" w:sz="0" w:space="0" w:color="auto"/>
        <w:bottom w:val="none" w:sz="0" w:space="0" w:color="auto"/>
        <w:right w:val="none" w:sz="0" w:space="0" w:color="auto"/>
      </w:divBdr>
    </w:div>
    <w:div w:id="399714055">
      <w:bodyDiv w:val="1"/>
      <w:marLeft w:val="0"/>
      <w:marRight w:val="0"/>
      <w:marTop w:val="0"/>
      <w:marBottom w:val="0"/>
      <w:divBdr>
        <w:top w:val="none" w:sz="0" w:space="0" w:color="auto"/>
        <w:left w:val="none" w:sz="0" w:space="0" w:color="auto"/>
        <w:bottom w:val="none" w:sz="0" w:space="0" w:color="auto"/>
        <w:right w:val="none" w:sz="0" w:space="0" w:color="auto"/>
      </w:divBdr>
    </w:div>
    <w:div w:id="647126278">
      <w:bodyDiv w:val="1"/>
      <w:marLeft w:val="0"/>
      <w:marRight w:val="0"/>
      <w:marTop w:val="0"/>
      <w:marBottom w:val="0"/>
      <w:divBdr>
        <w:top w:val="none" w:sz="0" w:space="0" w:color="auto"/>
        <w:left w:val="none" w:sz="0" w:space="0" w:color="auto"/>
        <w:bottom w:val="none" w:sz="0" w:space="0" w:color="auto"/>
        <w:right w:val="none" w:sz="0" w:space="0" w:color="auto"/>
      </w:divBdr>
    </w:div>
    <w:div w:id="832647814">
      <w:bodyDiv w:val="1"/>
      <w:marLeft w:val="0"/>
      <w:marRight w:val="0"/>
      <w:marTop w:val="0"/>
      <w:marBottom w:val="0"/>
      <w:divBdr>
        <w:top w:val="none" w:sz="0" w:space="0" w:color="auto"/>
        <w:left w:val="none" w:sz="0" w:space="0" w:color="auto"/>
        <w:bottom w:val="none" w:sz="0" w:space="0" w:color="auto"/>
        <w:right w:val="none" w:sz="0" w:space="0" w:color="auto"/>
      </w:divBdr>
    </w:div>
    <w:div w:id="10995277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058416">
      <w:bodyDiv w:val="1"/>
      <w:marLeft w:val="0"/>
      <w:marRight w:val="0"/>
      <w:marTop w:val="0"/>
      <w:marBottom w:val="0"/>
      <w:divBdr>
        <w:top w:val="none" w:sz="0" w:space="0" w:color="auto"/>
        <w:left w:val="none" w:sz="0" w:space="0" w:color="auto"/>
        <w:bottom w:val="none" w:sz="0" w:space="0" w:color="auto"/>
        <w:right w:val="none" w:sz="0" w:space="0" w:color="auto"/>
      </w:divBdr>
    </w:div>
    <w:div w:id="1374386666">
      <w:bodyDiv w:val="1"/>
      <w:marLeft w:val="0"/>
      <w:marRight w:val="0"/>
      <w:marTop w:val="0"/>
      <w:marBottom w:val="0"/>
      <w:divBdr>
        <w:top w:val="none" w:sz="0" w:space="0" w:color="auto"/>
        <w:left w:val="none" w:sz="0" w:space="0" w:color="auto"/>
        <w:bottom w:val="none" w:sz="0" w:space="0" w:color="auto"/>
        <w:right w:val="none" w:sz="0" w:space="0" w:color="auto"/>
      </w:divBdr>
    </w:div>
    <w:div w:id="1618020673">
      <w:bodyDiv w:val="1"/>
      <w:marLeft w:val="0"/>
      <w:marRight w:val="0"/>
      <w:marTop w:val="0"/>
      <w:marBottom w:val="0"/>
      <w:divBdr>
        <w:top w:val="none" w:sz="0" w:space="0" w:color="auto"/>
        <w:left w:val="none" w:sz="0" w:space="0" w:color="auto"/>
        <w:bottom w:val="none" w:sz="0" w:space="0" w:color="auto"/>
        <w:right w:val="none" w:sz="0" w:space="0" w:color="auto"/>
      </w:divBdr>
    </w:div>
    <w:div w:id="16525583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15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5132</Words>
  <Characters>27838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Morris,Ellen swp8633</cp:lastModifiedBy>
  <cp:revision>2</cp:revision>
  <cp:lastPrinted>2019-08-13T11:47:00Z</cp:lastPrinted>
  <dcterms:created xsi:type="dcterms:W3CDTF">2023-09-18T13:08:00Z</dcterms:created>
  <dcterms:modified xsi:type="dcterms:W3CDTF">2023-09-18T13:08:00Z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