
<file path=[Content_Types].xml><?xml version="1.0" encoding="utf-8"?>
<Types xmlns="http://schemas.openxmlformats.org/package/2006/content-types">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lang w:val="en-GB" w:eastAsia="en-GB"/>
        </w:rPr>
        <w:id w:val="36042097"/>
        <w:docPartObj>
          <w:docPartGallery w:val="Cover Pages"/>
          <w:docPartUnique/>
        </w:docPartObj>
      </w:sdtPr>
      <w:sdtEndPr>
        <w:rPr>
          <w:rFonts w:ascii="Times New Roman" w:eastAsia="Times New Roman" w:hAnsi="Times New Roman" w:cs="Times New Roman"/>
          <w:caps w:val="0"/>
          <w:sz w:val="24"/>
          <w:szCs w:val="24"/>
        </w:rPr>
      </w:sdtEndPr>
      <w:sdtContent>
        <w:tbl>
          <w:tblPr>
            <w:tblW w:w="5000" w:type="pct"/>
            <w:jc w:val="center"/>
            <w:tblLook w:val="04A0"/>
          </w:tblPr>
          <w:tblGrid>
            <w:gridCol w:w="9242"/>
          </w:tblGrid>
          <w:tr w:rsidR="007240E4">
            <w:trPr>
              <w:trHeight w:val="2880"/>
              <w:jc w:val="center"/>
            </w:trPr>
            <w:sdt>
              <w:sdtPr>
                <w:rPr>
                  <w:rFonts w:asciiTheme="majorHAnsi" w:eastAsiaTheme="majorEastAsia" w:hAnsiTheme="majorHAnsi" w:cstheme="majorBidi"/>
                  <w:caps/>
                  <w:lang w:val="en-GB" w:eastAsia="en-GB"/>
                </w:rPr>
                <w:alias w:val="Company"/>
                <w:id w:val="15524243"/>
                <w:placeholder>
                  <w:docPart w:val="11B216A4B9E549E8B580C8587FD666D8"/>
                </w:placeholder>
                <w:dataBinding w:prefixMappings="xmlns:ns0='http://schemas.openxmlformats.org/officeDocument/2006/extended-properties'" w:xpath="/ns0:Properties[1]/ns0:Company[1]" w:storeItemID="{6668398D-A668-4E3E-A5EB-62B293D839F1}"/>
                <w:text/>
              </w:sdtPr>
              <w:sdtEndPr>
                <w:rPr>
                  <w:rFonts w:ascii="Arial" w:hAnsi="Arial" w:cs="Arial"/>
                  <w:b/>
                  <w:i/>
                  <w:sz w:val="24"/>
                  <w:szCs w:val="24"/>
                  <w:u w:val="single"/>
                  <w:lang w:val="en-US" w:eastAsia="en-US"/>
                </w:rPr>
              </w:sdtEndPr>
              <w:sdtContent>
                <w:tc>
                  <w:tcPr>
                    <w:tcW w:w="5000" w:type="pct"/>
                  </w:tcPr>
                  <w:p w:rsidR="007240E4" w:rsidRDefault="007240E4" w:rsidP="007240E4">
                    <w:pPr>
                      <w:pStyle w:val="NoSpacing"/>
                      <w:jc w:val="center"/>
                      <w:rPr>
                        <w:rFonts w:asciiTheme="majorHAnsi" w:eastAsiaTheme="majorEastAsia" w:hAnsiTheme="majorHAnsi" w:cstheme="majorBidi"/>
                        <w:caps/>
                      </w:rPr>
                    </w:pPr>
                    <w:r w:rsidRPr="007240E4">
                      <w:rPr>
                        <w:rFonts w:ascii="Arial" w:eastAsiaTheme="majorEastAsia" w:hAnsi="Arial" w:cs="Arial"/>
                        <w:b/>
                        <w:i/>
                        <w:caps/>
                        <w:sz w:val="24"/>
                        <w:szCs w:val="24"/>
                        <w:u w:val="single"/>
                        <w:lang w:val="en-GB"/>
                      </w:rPr>
                      <w:t>UNIVERSITY OF WALES TRINITY SAINT DAVID</w:t>
                    </w:r>
                  </w:p>
                </w:tc>
              </w:sdtContent>
            </w:sdt>
          </w:tr>
          <w:tr w:rsidR="007240E4">
            <w:trPr>
              <w:trHeight w:val="1440"/>
              <w:jc w:val="center"/>
            </w:trPr>
            <w:tc>
              <w:tcPr>
                <w:tcW w:w="5000" w:type="pct"/>
                <w:tcBorders>
                  <w:bottom w:val="single" w:sz="4" w:space="0" w:color="4F81BD" w:themeColor="accent1"/>
                </w:tcBorders>
                <w:vAlign w:val="center"/>
              </w:tcPr>
              <w:p w:rsidR="00685D60" w:rsidRPr="00685D60" w:rsidRDefault="007240E4" w:rsidP="007240E4">
                <w:pPr>
                  <w:pStyle w:val="NoSpacing"/>
                  <w:jc w:val="center"/>
                  <w:rPr>
                    <w:rFonts w:ascii="Arial" w:hAnsi="Arial" w:cs="Arial"/>
                    <w:color w:val="000000"/>
                    <w:sz w:val="36"/>
                    <w:szCs w:val="36"/>
                    <w:lang w:val="en-GB"/>
                  </w:rPr>
                </w:pPr>
                <w:r w:rsidRPr="00685D60">
                  <w:rPr>
                    <w:rFonts w:ascii="Arial" w:hAnsi="Arial" w:cs="Arial"/>
                    <w:color w:val="000000"/>
                    <w:sz w:val="36"/>
                    <w:szCs w:val="36"/>
                    <w:lang w:val="en-GB"/>
                  </w:rPr>
                  <w:t xml:space="preserve">Critically Evaluate the Processes and Procedures Adopted by the First Attending Officer (FAO) at a Crime Scene in Order to Reduce the Possibilities of Cross Contamination </w:t>
                </w:r>
              </w:p>
              <w:p w:rsidR="00685D60" w:rsidRPr="00685D60" w:rsidRDefault="007240E4" w:rsidP="007240E4">
                <w:pPr>
                  <w:pStyle w:val="NoSpacing"/>
                  <w:jc w:val="center"/>
                  <w:rPr>
                    <w:rFonts w:ascii="Arial" w:hAnsi="Arial" w:cs="Arial"/>
                    <w:color w:val="000000"/>
                    <w:sz w:val="36"/>
                    <w:szCs w:val="36"/>
                    <w:lang w:val="en-GB"/>
                  </w:rPr>
                </w:pPr>
                <w:r w:rsidRPr="00685D60">
                  <w:rPr>
                    <w:rFonts w:ascii="Arial" w:hAnsi="Arial" w:cs="Arial"/>
                    <w:b/>
                    <w:color w:val="000000"/>
                    <w:sz w:val="36"/>
                    <w:szCs w:val="36"/>
                    <w:lang w:val="en-GB"/>
                  </w:rPr>
                  <w:t>&amp;</w:t>
                </w:r>
                <w:r w:rsidRPr="00685D60">
                  <w:rPr>
                    <w:rFonts w:ascii="Arial" w:hAnsi="Arial" w:cs="Arial"/>
                    <w:color w:val="000000"/>
                    <w:sz w:val="36"/>
                    <w:szCs w:val="36"/>
                    <w:lang w:val="en-GB"/>
                  </w:rPr>
                  <w:t xml:space="preserve"> </w:t>
                </w:r>
              </w:p>
              <w:p w:rsidR="007240E4" w:rsidRPr="00685D60" w:rsidRDefault="007240E4" w:rsidP="007240E4">
                <w:pPr>
                  <w:pStyle w:val="NoSpacing"/>
                  <w:jc w:val="center"/>
                  <w:rPr>
                    <w:rFonts w:ascii="Arial" w:hAnsi="Arial" w:cs="Arial"/>
                    <w:color w:val="000000"/>
                    <w:sz w:val="40"/>
                    <w:szCs w:val="40"/>
                    <w:lang w:val="en-GB"/>
                  </w:rPr>
                </w:pPr>
                <w:r w:rsidRPr="00685D60">
                  <w:rPr>
                    <w:rFonts w:ascii="Arial" w:hAnsi="Arial" w:cs="Arial"/>
                    <w:color w:val="000000"/>
                    <w:sz w:val="36"/>
                    <w:szCs w:val="36"/>
                    <w:lang w:val="en-GB"/>
                  </w:rPr>
                  <w:t>Critically Analyse the Methods in Practice for the Recovery and Examination of Forensic Evidence at Crime Scenes, Evaluating the Legislation, Strategies, Policies and Procedures with Regard to Forensic Recovery and Examination</w:t>
                </w:r>
              </w:p>
              <w:p w:rsidR="00685D60" w:rsidRPr="007240E4" w:rsidRDefault="00685D60" w:rsidP="007240E4">
                <w:pPr>
                  <w:pStyle w:val="NoSpacing"/>
                  <w:jc w:val="center"/>
                  <w:rPr>
                    <w:rFonts w:asciiTheme="majorHAnsi" w:eastAsiaTheme="majorEastAsia" w:hAnsiTheme="majorHAnsi" w:cstheme="majorBidi"/>
                    <w:sz w:val="48"/>
                    <w:szCs w:val="48"/>
                  </w:rPr>
                </w:pPr>
              </w:p>
            </w:tc>
          </w:tr>
          <w:tr w:rsidR="007240E4">
            <w:trPr>
              <w:trHeight w:val="720"/>
              <w:jc w:val="center"/>
            </w:trPr>
            <w:sdt>
              <w:sdtPr>
                <w:rPr>
                  <w:rFonts w:ascii="Arial" w:eastAsiaTheme="majorEastAsia" w:hAnsi="Arial" w:cs="Arial"/>
                  <w:sz w:val="40"/>
                  <w:szCs w:val="40"/>
                </w:rPr>
                <w:alias w:val="Subtitle"/>
                <w:id w:val="15524255"/>
                <w:placeholder>
                  <w:docPart w:val="AE0E2BEDF7B44F48BD517E0797490CFE"/>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7240E4" w:rsidRPr="007240E4" w:rsidRDefault="007240E4" w:rsidP="007240E4">
                    <w:pPr>
                      <w:pStyle w:val="NoSpacing"/>
                      <w:jc w:val="center"/>
                      <w:rPr>
                        <w:rFonts w:asciiTheme="majorHAnsi" w:eastAsiaTheme="majorEastAsia" w:hAnsiTheme="majorHAnsi" w:cstheme="majorBidi"/>
                        <w:sz w:val="48"/>
                        <w:szCs w:val="48"/>
                      </w:rPr>
                    </w:pPr>
                    <w:r w:rsidRPr="00685D60">
                      <w:rPr>
                        <w:rFonts w:ascii="Arial" w:eastAsiaTheme="majorEastAsia" w:hAnsi="Arial" w:cs="Arial"/>
                        <w:sz w:val="40"/>
                        <w:szCs w:val="40"/>
                      </w:rPr>
                      <w:t>Forensic Recovery and Examination - Assignment 1 - Lecturer: Wynne Jones</w:t>
                    </w:r>
                  </w:p>
                </w:tc>
              </w:sdtContent>
            </w:sdt>
          </w:tr>
          <w:tr w:rsidR="007240E4">
            <w:trPr>
              <w:trHeight w:val="360"/>
              <w:jc w:val="center"/>
            </w:trPr>
            <w:tc>
              <w:tcPr>
                <w:tcW w:w="5000" w:type="pct"/>
                <w:vAlign w:val="center"/>
              </w:tcPr>
              <w:p w:rsidR="007240E4" w:rsidRDefault="007240E4">
                <w:pPr>
                  <w:pStyle w:val="NoSpacing"/>
                  <w:jc w:val="center"/>
                </w:pPr>
              </w:p>
            </w:tc>
          </w:tr>
          <w:tr w:rsidR="007240E4">
            <w:trPr>
              <w:trHeight w:val="360"/>
              <w:jc w:val="center"/>
            </w:trPr>
            <w:sdt>
              <w:sdtPr>
                <w:rPr>
                  <w:rFonts w:ascii="Arial" w:hAnsi="Arial" w:cs="Arial"/>
                  <w:b/>
                  <w:bCs/>
                  <w:sz w:val="24"/>
                  <w:szCs w:val="24"/>
                </w:rPr>
                <w:alias w:val="Author"/>
                <w:id w:val="15524260"/>
                <w:placeholder>
                  <w:docPart w:val="2A81FBC592CA4DC3A43961E8909864BD"/>
                </w:placeholder>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7240E4" w:rsidRDefault="007240E4" w:rsidP="007240E4">
                    <w:pPr>
                      <w:pStyle w:val="NoSpacing"/>
                      <w:jc w:val="center"/>
                      <w:rPr>
                        <w:b/>
                        <w:bCs/>
                      </w:rPr>
                    </w:pPr>
                    <w:r w:rsidRPr="007240E4">
                      <w:rPr>
                        <w:rFonts w:ascii="Arial" w:hAnsi="Arial" w:cs="Arial"/>
                        <w:b/>
                        <w:bCs/>
                        <w:sz w:val="24"/>
                        <w:szCs w:val="24"/>
                        <w:lang w:val="en-GB"/>
                      </w:rPr>
                      <w:t>Callum Samuel - ID : 1801402</w:t>
                    </w:r>
                  </w:p>
                </w:tc>
              </w:sdtContent>
            </w:sdt>
          </w:tr>
          <w:tr w:rsidR="007240E4">
            <w:trPr>
              <w:trHeight w:val="360"/>
              <w:jc w:val="center"/>
            </w:trPr>
            <w:tc>
              <w:tcPr>
                <w:tcW w:w="5000" w:type="pct"/>
                <w:vAlign w:val="center"/>
              </w:tcPr>
              <w:p w:rsidR="007240E4" w:rsidRPr="007240E4" w:rsidRDefault="007240E4">
                <w:pPr>
                  <w:pStyle w:val="NoSpacing"/>
                  <w:jc w:val="center"/>
                  <w:rPr>
                    <w:rFonts w:ascii="Arial" w:hAnsi="Arial" w:cs="Arial"/>
                    <w:b/>
                    <w:bCs/>
                    <w:sz w:val="24"/>
                    <w:szCs w:val="24"/>
                  </w:rPr>
                </w:pPr>
                <w:r w:rsidRPr="007240E4">
                  <w:rPr>
                    <w:rFonts w:ascii="Arial" w:hAnsi="Arial" w:cs="Arial"/>
                    <w:b/>
                    <w:bCs/>
                    <w:sz w:val="24"/>
                    <w:szCs w:val="24"/>
                  </w:rPr>
                  <w:t>Deadline - 06.11.20</w:t>
                </w:r>
              </w:p>
            </w:tc>
          </w:tr>
        </w:tbl>
        <w:p w:rsidR="007240E4" w:rsidRDefault="007240E4"/>
        <w:p w:rsidR="007240E4" w:rsidRDefault="007240E4"/>
        <w:tbl>
          <w:tblPr>
            <w:tblpPr w:leftFromText="187" w:rightFromText="187" w:horzAnchor="margin" w:tblpXSpec="center" w:tblpYSpec="bottom"/>
            <w:tblW w:w="5000" w:type="pct"/>
            <w:tblLook w:val="04A0"/>
          </w:tblPr>
          <w:tblGrid>
            <w:gridCol w:w="9242"/>
          </w:tblGrid>
          <w:tr w:rsidR="007240E4">
            <w:tc>
              <w:tcPr>
                <w:tcW w:w="5000" w:type="pct"/>
              </w:tcPr>
              <w:p w:rsidR="007240E4" w:rsidRDefault="007240E4">
                <w:pPr>
                  <w:pStyle w:val="NoSpacing"/>
                </w:pPr>
              </w:p>
            </w:tc>
          </w:tr>
        </w:tbl>
        <w:p w:rsidR="007240E4" w:rsidRDefault="007240E4"/>
        <w:p w:rsidR="007240E4" w:rsidRDefault="007240E4">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sdtContent>
    </w:sdt>
    <w:p w:rsidR="008F6EFE" w:rsidRPr="008F6EFE" w:rsidRDefault="008F6EFE" w:rsidP="008F6EFE">
      <w:pPr>
        <w:spacing w:after="0" w:line="240" w:lineRule="auto"/>
        <w:rPr>
          <w:rFonts w:ascii="Times New Roman" w:eastAsia="Times New Roman" w:hAnsi="Times New Roman" w:cs="Times New Roman"/>
          <w:sz w:val="24"/>
          <w:szCs w:val="24"/>
        </w:rPr>
      </w:pPr>
    </w:p>
    <w:p w:rsidR="008F6EFE" w:rsidRPr="008F6EFE" w:rsidRDefault="008F6EFE" w:rsidP="008F6EFE">
      <w:pPr>
        <w:spacing w:line="480" w:lineRule="auto"/>
        <w:rPr>
          <w:rFonts w:ascii="Times New Roman" w:eastAsia="Times New Roman" w:hAnsi="Times New Roman" w:cs="Times New Roman"/>
          <w:sz w:val="24"/>
          <w:szCs w:val="24"/>
        </w:rPr>
      </w:pPr>
      <w:r w:rsidRPr="00761B15">
        <w:rPr>
          <w:rFonts w:ascii="Arial" w:hAnsi="Arial" w:cs="Arial"/>
          <w:b/>
          <w:color w:val="000000"/>
          <w:sz w:val="24"/>
          <w:szCs w:val="24"/>
        </w:rPr>
        <w:t>Part A. Critically Evaluate the Processes and Procedures Adopted by the First Attending Officer (FAO) at a Crime Scene in Order to Reduce the Possibilities of Cross Contamination.</w:t>
      </w:r>
      <w:r w:rsidR="008A07A2" w:rsidRPr="008A07A2">
        <w:rPr>
          <w:rFonts w:ascii="Times New Roman" w:eastAsia="Times New Roman" w:hAnsi="Times New Roman" w:cs="Times New Roman"/>
          <w:sz w:val="24"/>
          <w:szCs w:val="24"/>
        </w:rPr>
        <w:pict>
          <v:rect id="_x0000_i1025" style="width:0;height:1.5pt" o:hralign="center" o:hrstd="t" o:hr="t" fillcolor="#a0a0a0" stroked="f"/>
        </w:pict>
      </w:r>
    </w:p>
    <w:p w:rsidR="008F6EFE" w:rsidRPr="008F6EFE" w:rsidRDefault="008F6EFE" w:rsidP="008F6EFE">
      <w:pPr>
        <w:spacing w:after="0" w:line="480" w:lineRule="auto"/>
        <w:rPr>
          <w:rFonts w:ascii="Times New Roman" w:eastAsia="Times New Roman" w:hAnsi="Times New Roman" w:cs="Times New Roman"/>
          <w:sz w:val="24"/>
          <w:szCs w:val="24"/>
        </w:rPr>
      </w:pPr>
      <w:r w:rsidRPr="008F6EFE">
        <w:rPr>
          <w:rFonts w:ascii="Arial" w:eastAsia="Times New Roman" w:hAnsi="Arial" w:cs="Arial"/>
          <w:color w:val="000000"/>
          <w:sz w:val="24"/>
          <w:szCs w:val="24"/>
        </w:rPr>
        <w:t>The role of the First Attending Officer - FAO - when responding to crime is arguably both the most difficult and one of the most crucial responsibilities with regards to the possible criminal investigation that may occur following an incident. Although as stated by the College of Policing (2016), the first priority for every officer is to preserve and protect life and prevent harm or further injury of all individuals present - including potential suspects themselves -, it is also the important responsibility of the FAO to control and preserve the crime scene and secure evidence.</w:t>
      </w:r>
    </w:p>
    <w:p w:rsidR="008F6EFE" w:rsidRPr="008F6EFE" w:rsidRDefault="008F6EFE" w:rsidP="008F6EFE">
      <w:pPr>
        <w:spacing w:after="0" w:line="480" w:lineRule="auto"/>
        <w:rPr>
          <w:rFonts w:ascii="Times New Roman" w:eastAsia="Times New Roman" w:hAnsi="Times New Roman" w:cs="Times New Roman"/>
          <w:sz w:val="24"/>
          <w:szCs w:val="24"/>
        </w:rPr>
      </w:pPr>
    </w:p>
    <w:p w:rsidR="008F6EFE" w:rsidRPr="008F6EFE" w:rsidRDefault="008F6EFE" w:rsidP="008F6EFE">
      <w:pPr>
        <w:spacing w:after="0" w:line="480" w:lineRule="auto"/>
        <w:rPr>
          <w:rFonts w:ascii="Times New Roman" w:eastAsia="Times New Roman" w:hAnsi="Times New Roman" w:cs="Times New Roman"/>
          <w:sz w:val="24"/>
          <w:szCs w:val="24"/>
        </w:rPr>
      </w:pPr>
      <w:r w:rsidRPr="008F6EFE">
        <w:rPr>
          <w:rFonts w:ascii="Arial" w:eastAsia="Times New Roman" w:hAnsi="Arial" w:cs="Arial"/>
          <w:color w:val="000000"/>
          <w:sz w:val="24"/>
          <w:szCs w:val="24"/>
        </w:rPr>
        <w:t>The first attending officer after prioritising the preservation of life and after an initial scene assessment given to the control room following METHANE or the most likely alternative for most crime scenes, ETHANE principles (JESIP, 2020), would then have the responsibility of scene management and a variety of fast track actions ensuring evidence, victims, suspects and witnesses, all of which have important value for an investigation, are managed (College of Policing, 2019).</w:t>
      </w:r>
    </w:p>
    <w:p w:rsidR="008F6EFE" w:rsidRPr="008F6EFE" w:rsidRDefault="008F6EFE" w:rsidP="008F6EFE">
      <w:pPr>
        <w:spacing w:after="0" w:line="480" w:lineRule="auto"/>
        <w:rPr>
          <w:rFonts w:ascii="Times New Roman" w:eastAsia="Times New Roman" w:hAnsi="Times New Roman" w:cs="Times New Roman"/>
          <w:sz w:val="24"/>
          <w:szCs w:val="24"/>
        </w:rPr>
      </w:pPr>
    </w:p>
    <w:p w:rsidR="008F6EFE" w:rsidRPr="008F6EFE" w:rsidRDefault="008F6EFE" w:rsidP="008F6EFE">
      <w:pPr>
        <w:spacing w:after="0" w:line="480" w:lineRule="auto"/>
        <w:rPr>
          <w:rFonts w:ascii="Times New Roman" w:eastAsia="Times New Roman" w:hAnsi="Times New Roman" w:cs="Times New Roman"/>
          <w:sz w:val="24"/>
          <w:szCs w:val="24"/>
        </w:rPr>
      </w:pPr>
      <w:r w:rsidRPr="008F6EFE">
        <w:rPr>
          <w:rFonts w:ascii="Arial" w:eastAsia="Times New Roman" w:hAnsi="Arial" w:cs="Arial"/>
          <w:color w:val="000000"/>
          <w:sz w:val="24"/>
          <w:szCs w:val="24"/>
        </w:rPr>
        <w:t xml:space="preserve">The College of Policing (2019) and Metropolitan Police (2019) state that positive and fast track actions carried out within what’s referred to as the ‘Golden Hour’ - which HMICFRS (2017) defines as the first hour of a crime being committed and the time where there is the most potential for forensic evidence recovery - can prevent cross contamination of evidence and minimise the risk of evidence that could be lost and </w:t>
      </w:r>
      <w:r w:rsidRPr="008F6EFE">
        <w:rPr>
          <w:rFonts w:ascii="Arial" w:eastAsia="Times New Roman" w:hAnsi="Arial" w:cs="Arial"/>
          <w:color w:val="000000"/>
          <w:sz w:val="24"/>
          <w:szCs w:val="24"/>
        </w:rPr>
        <w:lastRenderedPageBreak/>
        <w:t>therefore, maximise the likelihood of obtaining crucial evidence that may be required as admissible evidence in court. </w:t>
      </w:r>
    </w:p>
    <w:p w:rsidR="008F6EFE" w:rsidRPr="008F6EFE" w:rsidRDefault="008F6EFE" w:rsidP="008F6EFE">
      <w:pPr>
        <w:spacing w:after="0" w:line="480" w:lineRule="auto"/>
        <w:rPr>
          <w:rFonts w:ascii="Times New Roman" w:eastAsia="Times New Roman" w:hAnsi="Times New Roman" w:cs="Times New Roman"/>
          <w:sz w:val="24"/>
          <w:szCs w:val="24"/>
        </w:rPr>
      </w:pPr>
    </w:p>
    <w:p w:rsidR="008F6EFE" w:rsidRPr="008F6EFE" w:rsidRDefault="008F6EFE" w:rsidP="008F6EFE">
      <w:pPr>
        <w:spacing w:after="0" w:line="480" w:lineRule="auto"/>
        <w:rPr>
          <w:rFonts w:ascii="Times New Roman" w:eastAsia="Times New Roman" w:hAnsi="Times New Roman" w:cs="Times New Roman"/>
          <w:sz w:val="24"/>
          <w:szCs w:val="24"/>
        </w:rPr>
      </w:pPr>
      <w:r w:rsidRPr="008F6EFE">
        <w:rPr>
          <w:rFonts w:ascii="Arial" w:eastAsia="Times New Roman" w:hAnsi="Arial" w:cs="Arial"/>
          <w:color w:val="000000"/>
          <w:sz w:val="24"/>
          <w:szCs w:val="24"/>
        </w:rPr>
        <w:t xml:space="preserve">According to Fowler and </w:t>
      </w:r>
      <w:proofErr w:type="spellStart"/>
      <w:r w:rsidRPr="008F6EFE">
        <w:rPr>
          <w:rFonts w:ascii="Arial" w:eastAsia="Times New Roman" w:hAnsi="Arial" w:cs="Arial"/>
          <w:color w:val="000000"/>
          <w:sz w:val="24"/>
          <w:szCs w:val="24"/>
        </w:rPr>
        <w:t>Horswell</w:t>
      </w:r>
      <w:proofErr w:type="spellEnd"/>
      <w:r w:rsidRPr="008F6EFE">
        <w:rPr>
          <w:rFonts w:ascii="Arial" w:eastAsia="Times New Roman" w:hAnsi="Arial" w:cs="Arial"/>
          <w:color w:val="000000"/>
          <w:sz w:val="24"/>
          <w:szCs w:val="24"/>
        </w:rPr>
        <w:t xml:space="preserve"> (2004) the reason for such containment and the importance of cross contamination prevention can be found when looking at E</w:t>
      </w:r>
      <w:r w:rsidR="003766FA">
        <w:rPr>
          <w:rFonts w:ascii="Arial" w:eastAsia="Times New Roman" w:hAnsi="Arial" w:cs="Arial"/>
          <w:color w:val="000000"/>
          <w:sz w:val="24"/>
          <w:szCs w:val="24"/>
        </w:rPr>
        <w:t>d</w:t>
      </w:r>
      <w:r w:rsidRPr="008F6EFE">
        <w:rPr>
          <w:rFonts w:ascii="Arial" w:eastAsia="Times New Roman" w:hAnsi="Arial" w:cs="Arial"/>
          <w:color w:val="000000"/>
          <w:sz w:val="24"/>
          <w:szCs w:val="24"/>
        </w:rPr>
        <w:t xml:space="preserve">mond </w:t>
      </w:r>
      <w:proofErr w:type="spellStart"/>
      <w:r w:rsidRPr="008F6EFE">
        <w:rPr>
          <w:rFonts w:ascii="Arial" w:eastAsia="Times New Roman" w:hAnsi="Arial" w:cs="Arial"/>
          <w:color w:val="000000"/>
          <w:sz w:val="24"/>
          <w:szCs w:val="24"/>
        </w:rPr>
        <w:t>Locard’s</w:t>
      </w:r>
      <w:proofErr w:type="spellEnd"/>
      <w:r w:rsidRPr="008F6EFE">
        <w:rPr>
          <w:rFonts w:ascii="Arial" w:eastAsia="Times New Roman" w:hAnsi="Arial" w:cs="Arial"/>
          <w:color w:val="000000"/>
          <w:sz w:val="24"/>
          <w:szCs w:val="24"/>
        </w:rPr>
        <w:t xml:space="preserve"> principle of exchange. Fowler and </w:t>
      </w:r>
      <w:proofErr w:type="spellStart"/>
      <w:r w:rsidRPr="008F6EFE">
        <w:rPr>
          <w:rFonts w:ascii="Arial" w:eastAsia="Times New Roman" w:hAnsi="Arial" w:cs="Arial"/>
          <w:color w:val="000000"/>
          <w:sz w:val="24"/>
          <w:szCs w:val="24"/>
        </w:rPr>
        <w:t>Horswell</w:t>
      </w:r>
      <w:proofErr w:type="spellEnd"/>
      <w:r w:rsidRPr="008F6EFE">
        <w:rPr>
          <w:rFonts w:ascii="Arial" w:eastAsia="Times New Roman" w:hAnsi="Arial" w:cs="Arial"/>
          <w:color w:val="000000"/>
          <w:sz w:val="24"/>
          <w:szCs w:val="24"/>
        </w:rPr>
        <w:t xml:space="preserve"> (2004) state that </w:t>
      </w:r>
      <w:proofErr w:type="spellStart"/>
      <w:r w:rsidRPr="008F6EFE">
        <w:rPr>
          <w:rFonts w:ascii="Arial" w:eastAsia="Times New Roman" w:hAnsi="Arial" w:cs="Arial"/>
          <w:color w:val="000000"/>
          <w:sz w:val="24"/>
          <w:szCs w:val="24"/>
        </w:rPr>
        <w:t>Locard’s</w:t>
      </w:r>
      <w:proofErr w:type="spellEnd"/>
      <w:r w:rsidRPr="008F6EFE">
        <w:rPr>
          <w:rFonts w:ascii="Arial" w:eastAsia="Times New Roman" w:hAnsi="Arial" w:cs="Arial"/>
          <w:color w:val="000000"/>
          <w:sz w:val="24"/>
          <w:szCs w:val="24"/>
        </w:rPr>
        <w:t xml:space="preserve"> principle is best explained when </w:t>
      </w:r>
      <w:proofErr w:type="spellStart"/>
      <w:r w:rsidRPr="008F6EFE">
        <w:rPr>
          <w:rFonts w:ascii="Arial" w:eastAsia="Times New Roman" w:hAnsi="Arial" w:cs="Arial"/>
          <w:color w:val="000000"/>
          <w:sz w:val="24"/>
          <w:szCs w:val="24"/>
        </w:rPr>
        <w:t>Locard</w:t>
      </w:r>
      <w:proofErr w:type="spellEnd"/>
      <w:r w:rsidRPr="008F6EFE">
        <w:rPr>
          <w:rFonts w:ascii="Arial" w:eastAsia="Times New Roman" w:hAnsi="Arial" w:cs="Arial"/>
          <w:color w:val="000000"/>
          <w:sz w:val="24"/>
          <w:szCs w:val="24"/>
        </w:rPr>
        <w:t xml:space="preserve"> surmised that “every contact leaves a trace”, a statement supported by Kirk (1952) when they stated “Wherever he steps, wherever he touches, whatever he leaves, even without consciousness, will serve as a silent witness against him.”. The Forensic Science Regulator (2015) defines contamination as “the introduction</w:t>
      </w:r>
      <w:r w:rsidR="001E45E8">
        <w:rPr>
          <w:rFonts w:ascii="Times New Roman" w:eastAsia="Times New Roman" w:hAnsi="Times New Roman" w:cs="Times New Roman"/>
          <w:sz w:val="24"/>
          <w:szCs w:val="24"/>
        </w:rPr>
        <w:t xml:space="preserve"> </w:t>
      </w:r>
      <w:r w:rsidRPr="008F6EFE">
        <w:rPr>
          <w:rFonts w:ascii="Arial" w:eastAsia="Times New Roman" w:hAnsi="Arial" w:cs="Arial"/>
          <w:color w:val="000000"/>
          <w:sz w:val="24"/>
          <w:szCs w:val="24"/>
        </w:rPr>
        <w:t>of DNA, or biological material containing DNA, to an exhibit at or after the point</w:t>
      </w:r>
      <w:r w:rsidR="001E45E8">
        <w:rPr>
          <w:rFonts w:ascii="Times New Roman" w:eastAsia="Times New Roman" w:hAnsi="Times New Roman" w:cs="Times New Roman"/>
          <w:sz w:val="24"/>
          <w:szCs w:val="24"/>
        </w:rPr>
        <w:t xml:space="preserve"> </w:t>
      </w:r>
      <w:r w:rsidRPr="008F6EFE">
        <w:rPr>
          <w:rFonts w:ascii="Arial" w:eastAsia="Times New Roman" w:hAnsi="Arial" w:cs="Arial"/>
          <w:color w:val="000000"/>
          <w:sz w:val="24"/>
          <w:szCs w:val="24"/>
        </w:rPr>
        <w:t xml:space="preserve">when a controlled forensic process starts”. Both statements made by </w:t>
      </w:r>
      <w:proofErr w:type="spellStart"/>
      <w:r w:rsidRPr="008F6EFE">
        <w:rPr>
          <w:rFonts w:ascii="Arial" w:eastAsia="Times New Roman" w:hAnsi="Arial" w:cs="Arial"/>
          <w:color w:val="000000"/>
          <w:sz w:val="24"/>
          <w:szCs w:val="24"/>
        </w:rPr>
        <w:t>Locard</w:t>
      </w:r>
      <w:proofErr w:type="spellEnd"/>
      <w:r w:rsidRPr="008F6EFE">
        <w:rPr>
          <w:rFonts w:ascii="Arial" w:eastAsia="Times New Roman" w:hAnsi="Arial" w:cs="Arial"/>
          <w:color w:val="000000"/>
          <w:sz w:val="24"/>
          <w:szCs w:val="24"/>
        </w:rPr>
        <w:t xml:space="preserve"> (Fowler and </w:t>
      </w:r>
      <w:proofErr w:type="spellStart"/>
      <w:r w:rsidRPr="008F6EFE">
        <w:rPr>
          <w:rFonts w:ascii="Arial" w:eastAsia="Times New Roman" w:hAnsi="Arial" w:cs="Arial"/>
          <w:color w:val="000000"/>
          <w:sz w:val="24"/>
          <w:szCs w:val="24"/>
        </w:rPr>
        <w:t>Horswell</w:t>
      </w:r>
      <w:proofErr w:type="spellEnd"/>
      <w:r w:rsidRPr="008F6EFE">
        <w:rPr>
          <w:rFonts w:ascii="Arial" w:eastAsia="Times New Roman" w:hAnsi="Arial" w:cs="Arial"/>
          <w:color w:val="000000"/>
          <w:sz w:val="24"/>
          <w:szCs w:val="24"/>
        </w:rPr>
        <w:t>, 2004) and Kirk (1952) reinforce the idea and importance of securing a crime scene as Kirk (1952) further stated that physical evidence cannot be wrong, simply human failure to find or understand it can diminish the value of it (Kirk, 1952), therefore, it becomes clear as to why the ‘Golden Hour’ is important and a major priority for the FAO to secure the scene.</w:t>
      </w:r>
    </w:p>
    <w:p w:rsidR="008F6EFE" w:rsidRPr="008F6EFE" w:rsidRDefault="008F6EFE" w:rsidP="008F6EFE">
      <w:pPr>
        <w:spacing w:after="0" w:line="480" w:lineRule="auto"/>
        <w:rPr>
          <w:rFonts w:ascii="Times New Roman" w:eastAsia="Times New Roman" w:hAnsi="Times New Roman" w:cs="Times New Roman"/>
          <w:sz w:val="24"/>
          <w:szCs w:val="24"/>
        </w:rPr>
      </w:pPr>
    </w:p>
    <w:p w:rsidR="008F6EFE" w:rsidRPr="008F6EFE" w:rsidRDefault="008F6EFE" w:rsidP="008F6EFE">
      <w:pPr>
        <w:spacing w:after="0" w:line="480" w:lineRule="auto"/>
        <w:rPr>
          <w:rFonts w:ascii="Times New Roman" w:eastAsia="Times New Roman" w:hAnsi="Times New Roman" w:cs="Times New Roman"/>
          <w:sz w:val="24"/>
          <w:szCs w:val="24"/>
        </w:rPr>
      </w:pPr>
      <w:r w:rsidRPr="008F6EFE">
        <w:rPr>
          <w:rFonts w:ascii="Arial" w:eastAsia="Times New Roman" w:hAnsi="Arial" w:cs="Arial"/>
          <w:color w:val="000000"/>
          <w:sz w:val="24"/>
          <w:szCs w:val="24"/>
        </w:rPr>
        <w:t xml:space="preserve">The procedures and actions or ‘control measures’ taken by the FAO to reduce the possibility of cross contamination are quite extensive, with ENSFI (2012) stating that one the first scene management actions should be to establish a cordon and lock down the crime scene with an inner, outer, and potentially a traffic cordon should the area be large enough to require diversions. The College of Policing (2019) highlights the importance and purpose of cordons when they state they help control sightseers, protect the public and preserve the scene from any potential interference with the </w:t>
      </w:r>
      <w:r w:rsidRPr="008F6EFE">
        <w:rPr>
          <w:rFonts w:ascii="Arial" w:eastAsia="Times New Roman" w:hAnsi="Arial" w:cs="Arial"/>
          <w:color w:val="000000"/>
          <w:sz w:val="24"/>
          <w:szCs w:val="24"/>
        </w:rPr>
        <w:lastRenderedPageBreak/>
        <w:t xml:space="preserve">forensic evidence. Furthermore, </w:t>
      </w:r>
      <w:proofErr w:type="spellStart"/>
      <w:r w:rsidRPr="008F6EFE">
        <w:rPr>
          <w:rFonts w:ascii="Arial" w:eastAsia="Times New Roman" w:hAnsi="Arial" w:cs="Arial"/>
          <w:color w:val="000000"/>
          <w:sz w:val="24"/>
          <w:szCs w:val="24"/>
        </w:rPr>
        <w:t>Gehl</w:t>
      </w:r>
      <w:proofErr w:type="spellEnd"/>
      <w:r w:rsidRPr="008F6EFE">
        <w:rPr>
          <w:rFonts w:ascii="Arial" w:eastAsia="Times New Roman" w:hAnsi="Arial" w:cs="Arial"/>
          <w:color w:val="000000"/>
          <w:sz w:val="24"/>
          <w:szCs w:val="24"/>
        </w:rPr>
        <w:t xml:space="preserve"> and </w:t>
      </w:r>
      <w:proofErr w:type="spellStart"/>
      <w:r w:rsidRPr="008F6EFE">
        <w:rPr>
          <w:rFonts w:ascii="Arial" w:eastAsia="Times New Roman" w:hAnsi="Arial" w:cs="Arial"/>
          <w:color w:val="000000"/>
          <w:sz w:val="24"/>
          <w:szCs w:val="24"/>
        </w:rPr>
        <w:t>Plecas</w:t>
      </w:r>
      <w:proofErr w:type="spellEnd"/>
      <w:r w:rsidRPr="008F6EFE">
        <w:rPr>
          <w:rFonts w:ascii="Arial" w:eastAsia="Times New Roman" w:hAnsi="Arial" w:cs="Arial"/>
          <w:color w:val="000000"/>
          <w:sz w:val="24"/>
          <w:szCs w:val="24"/>
        </w:rPr>
        <w:t xml:space="preserve"> (2016) state that note taking in the form of sketches, and most importantly the creation and maintenance of a crime scene log is crucial for when the continuity of evidence may be brought into question at a later date or when information is handed over to the CID and CSI’s. ENSFI (2012) argues that it is the responsibility of all attending personnel as well as the FAO to guarantee their actions do not in any way comprise the recovery of forensic evidence, therefore, adherence to the crime scene log as well as the mandatory requirement of personal protective equipment - PPE - is crucial, even in the form of basic gloves for the first attending officer of any rank, as well as them being responsible for enforcing the same or higher standards even for senior officers attempting to enter the scene.</w:t>
      </w:r>
    </w:p>
    <w:p w:rsidR="008F6EFE" w:rsidRPr="008F6EFE" w:rsidRDefault="008F6EFE" w:rsidP="008F6EFE">
      <w:pPr>
        <w:spacing w:after="0" w:line="480" w:lineRule="auto"/>
        <w:rPr>
          <w:rFonts w:ascii="Times New Roman" w:eastAsia="Times New Roman" w:hAnsi="Times New Roman" w:cs="Times New Roman"/>
          <w:sz w:val="24"/>
          <w:szCs w:val="24"/>
        </w:rPr>
      </w:pPr>
    </w:p>
    <w:p w:rsidR="008F6EFE" w:rsidRPr="008F6EFE" w:rsidRDefault="008F6EFE" w:rsidP="008F6EFE">
      <w:pPr>
        <w:spacing w:after="0" w:line="480" w:lineRule="auto"/>
        <w:rPr>
          <w:rFonts w:ascii="Times New Roman" w:eastAsia="Times New Roman" w:hAnsi="Times New Roman" w:cs="Times New Roman"/>
          <w:sz w:val="24"/>
          <w:szCs w:val="24"/>
        </w:rPr>
      </w:pPr>
      <w:r w:rsidRPr="008F6EFE">
        <w:rPr>
          <w:rFonts w:ascii="Arial" w:eastAsia="Times New Roman" w:hAnsi="Arial" w:cs="Arial"/>
          <w:color w:val="000000"/>
          <w:sz w:val="24"/>
          <w:szCs w:val="24"/>
        </w:rPr>
        <w:t xml:space="preserve">ENSFI (2012) states that following the securing of the scene by the FAO, sometimes onlookers may still be present and offer assistance to the FAO in the form of stating or identifying other witnesses, relatives or contacts of the victim, or identify suspects if they are still present at the scene, furthermore, </w:t>
      </w:r>
      <w:proofErr w:type="spellStart"/>
      <w:r w:rsidRPr="008F6EFE">
        <w:rPr>
          <w:rFonts w:ascii="Arial" w:eastAsia="Times New Roman" w:hAnsi="Arial" w:cs="Arial"/>
          <w:color w:val="000000"/>
          <w:sz w:val="24"/>
          <w:szCs w:val="24"/>
        </w:rPr>
        <w:t>Gehl</w:t>
      </w:r>
      <w:proofErr w:type="spellEnd"/>
      <w:r w:rsidRPr="008F6EFE">
        <w:rPr>
          <w:rFonts w:ascii="Arial" w:eastAsia="Times New Roman" w:hAnsi="Arial" w:cs="Arial"/>
          <w:color w:val="000000"/>
          <w:sz w:val="24"/>
          <w:szCs w:val="24"/>
        </w:rPr>
        <w:t xml:space="preserve"> and </w:t>
      </w:r>
      <w:proofErr w:type="spellStart"/>
      <w:r w:rsidRPr="008F6EFE">
        <w:rPr>
          <w:rFonts w:ascii="Arial" w:eastAsia="Times New Roman" w:hAnsi="Arial" w:cs="Arial"/>
          <w:color w:val="000000"/>
          <w:sz w:val="24"/>
          <w:szCs w:val="24"/>
        </w:rPr>
        <w:t>Plecas</w:t>
      </w:r>
      <w:proofErr w:type="spellEnd"/>
      <w:r w:rsidRPr="008F6EFE">
        <w:rPr>
          <w:rFonts w:ascii="Arial" w:eastAsia="Times New Roman" w:hAnsi="Arial" w:cs="Arial"/>
          <w:color w:val="000000"/>
          <w:sz w:val="24"/>
          <w:szCs w:val="24"/>
        </w:rPr>
        <w:t xml:space="preserve"> (2016) state that</w:t>
      </w:r>
      <w:r w:rsidR="007240E4">
        <w:rPr>
          <w:rFonts w:ascii="Arial" w:eastAsia="Times New Roman" w:hAnsi="Arial" w:cs="Arial"/>
          <w:color w:val="000000"/>
          <w:sz w:val="24"/>
          <w:szCs w:val="24"/>
        </w:rPr>
        <w:t xml:space="preserve"> it is the role of the FAO to </w:t>
      </w:r>
      <w:r w:rsidRPr="008F6EFE">
        <w:rPr>
          <w:rFonts w:ascii="Arial" w:eastAsia="Times New Roman" w:hAnsi="Arial" w:cs="Arial"/>
          <w:color w:val="000000"/>
          <w:sz w:val="24"/>
          <w:szCs w:val="24"/>
        </w:rPr>
        <w:t>paint a picture and preserve as much detail as possible, with the possibility of locating victims, suspects, witnesses and obtaining any local CCTV or witness camera footage being of great help to establish what happened at the scene of the crime. </w:t>
      </w:r>
    </w:p>
    <w:p w:rsidR="008F6EFE" w:rsidRPr="008F6EFE" w:rsidRDefault="008F6EFE" w:rsidP="008F6EFE">
      <w:pPr>
        <w:spacing w:after="0" w:line="480" w:lineRule="auto"/>
        <w:rPr>
          <w:rFonts w:ascii="Times New Roman" w:eastAsia="Times New Roman" w:hAnsi="Times New Roman" w:cs="Times New Roman"/>
          <w:sz w:val="24"/>
          <w:szCs w:val="24"/>
        </w:rPr>
      </w:pPr>
    </w:p>
    <w:p w:rsidR="008F6EFE" w:rsidRPr="008F6EFE" w:rsidRDefault="008F6EFE" w:rsidP="008F6EFE">
      <w:pPr>
        <w:spacing w:after="0" w:line="480" w:lineRule="auto"/>
        <w:rPr>
          <w:rFonts w:ascii="Times New Roman" w:eastAsia="Times New Roman" w:hAnsi="Times New Roman" w:cs="Times New Roman"/>
          <w:sz w:val="24"/>
          <w:szCs w:val="24"/>
        </w:rPr>
      </w:pPr>
      <w:r w:rsidRPr="008F6EFE">
        <w:rPr>
          <w:rFonts w:ascii="Arial" w:eastAsia="Times New Roman" w:hAnsi="Arial" w:cs="Arial"/>
          <w:color w:val="000000"/>
          <w:sz w:val="24"/>
          <w:szCs w:val="24"/>
        </w:rPr>
        <w:t xml:space="preserve">The College of Policing (2016) notes that important considerations for FAO include: Victims - identify, support and sensitively preserve evidence - Crime Scene - identify, preserve and carry out scene log - Suspects - identify, arrest, preserve potential evidence - Witnesses - similar to victims in that they should be identified, supported </w:t>
      </w:r>
      <w:r w:rsidRPr="008F6EFE">
        <w:rPr>
          <w:rFonts w:ascii="Arial" w:eastAsia="Times New Roman" w:hAnsi="Arial" w:cs="Arial"/>
          <w:color w:val="000000"/>
          <w:sz w:val="24"/>
          <w:szCs w:val="24"/>
        </w:rPr>
        <w:lastRenderedPageBreak/>
        <w:t>and sensitively have evidence preserved - Log - including any decisions backed by rationale at the time, can include thought process behind active and ongoing risk assessments, as well as identify resources, circumstances and conditions such as weather that may inform decisions - Family / Community - identify and inform as well as potentially identify any primary support required, such as referrals for assistance - Physical Evidence - preservation of evidence at risk of exposure, identify important factors such as escape routes or any local CCTV being present and potentially be of assistance - Intelligence - identify assets for what they are, prioritise and maximise focus on those assets and consider sources of information from the community or remaining onlookers as they can easily be a help or hindrance - Prevent Contamination - safeguard of victims, scene itself, witnesses and suspects are paramount - Line of Responsibility - identify, inform, brief and coordinate actions with other officers at the scene and regularly regroup to review current process and ascertain if more officers, resources or assistance is needed from the control room (College of Policing, 2016).</w:t>
      </w:r>
    </w:p>
    <w:p w:rsidR="008F6EFE" w:rsidRPr="008F6EFE" w:rsidRDefault="008F6EFE" w:rsidP="008F6EFE">
      <w:pPr>
        <w:spacing w:after="0" w:line="480" w:lineRule="auto"/>
        <w:rPr>
          <w:rFonts w:ascii="Times New Roman" w:eastAsia="Times New Roman" w:hAnsi="Times New Roman" w:cs="Times New Roman"/>
          <w:sz w:val="24"/>
          <w:szCs w:val="24"/>
        </w:rPr>
      </w:pPr>
    </w:p>
    <w:p w:rsidR="008F6EFE" w:rsidRPr="008F6EFE" w:rsidRDefault="008F6EFE" w:rsidP="008F6EFE">
      <w:pPr>
        <w:spacing w:after="0" w:line="480" w:lineRule="auto"/>
        <w:rPr>
          <w:rFonts w:ascii="Times New Roman" w:eastAsia="Times New Roman" w:hAnsi="Times New Roman" w:cs="Times New Roman"/>
          <w:sz w:val="24"/>
          <w:szCs w:val="24"/>
        </w:rPr>
      </w:pPr>
      <w:r w:rsidRPr="008F6EFE">
        <w:rPr>
          <w:rFonts w:ascii="Arial" w:eastAsia="Times New Roman" w:hAnsi="Arial" w:cs="Arial"/>
          <w:color w:val="000000"/>
          <w:sz w:val="24"/>
          <w:szCs w:val="24"/>
        </w:rPr>
        <w:t xml:space="preserve">The importance of all these actions are demonstrated by Metropolitan Police (2019) when they state the actions of the FAO are invaluable, as the early fast track actions to secure evidence and prevent cross contamination lay the groundwork for investigations and assist in establishing basic and non-forensic facts that will later inform the more detailed aspects of the investigative process. Simple information such as date, time and location, as well as general description of the scene alongside identifying who is present and why, along with any important details such as points of entry or exit, any injuries present for any suspects, victims or witnesses, as well as basic description of potential evidence, descriptions include what the </w:t>
      </w:r>
      <w:r w:rsidRPr="008F6EFE">
        <w:rPr>
          <w:rFonts w:ascii="Arial" w:eastAsia="Times New Roman" w:hAnsi="Arial" w:cs="Arial"/>
          <w:color w:val="000000"/>
          <w:sz w:val="24"/>
          <w:szCs w:val="24"/>
        </w:rPr>
        <w:lastRenderedPageBreak/>
        <w:t>evidence may be and where it was located or found, all assist with the investigation (Metropolitan Police, 2019).</w:t>
      </w:r>
    </w:p>
    <w:p w:rsidR="008F6EFE" w:rsidRPr="008F6EFE" w:rsidRDefault="008F6EFE" w:rsidP="008F6EFE">
      <w:pPr>
        <w:spacing w:after="0" w:line="480" w:lineRule="auto"/>
        <w:rPr>
          <w:rFonts w:ascii="Times New Roman" w:eastAsia="Times New Roman" w:hAnsi="Times New Roman" w:cs="Times New Roman"/>
          <w:sz w:val="24"/>
          <w:szCs w:val="24"/>
        </w:rPr>
      </w:pPr>
    </w:p>
    <w:p w:rsidR="008F6EFE" w:rsidRPr="008F6EFE" w:rsidRDefault="008F6EFE" w:rsidP="008F6EFE">
      <w:pPr>
        <w:spacing w:after="0" w:line="480" w:lineRule="auto"/>
        <w:rPr>
          <w:rFonts w:ascii="Times New Roman" w:eastAsia="Times New Roman" w:hAnsi="Times New Roman" w:cs="Times New Roman"/>
          <w:sz w:val="24"/>
          <w:szCs w:val="24"/>
        </w:rPr>
      </w:pPr>
      <w:r w:rsidRPr="008F6EFE">
        <w:rPr>
          <w:rFonts w:ascii="Arial" w:eastAsia="Times New Roman" w:hAnsi="Arial" w:cs="Arial"/>
          <w:color w:val="000000"/>
          <w:sz w:val="24"/>
          <w:szCs w:val="24"/>
        </w:rPr>
        <w:t xml:space="preserve">Although the methods of cross contamination prevention as well as the role of FAO has been established, the reasoning behind such actions as well as the importance of why the procedures are used can be found when looking at historic and famous cases that have failed either at an investigative outcome or at court, and resulted in the measures that are used by the police today to be far stricter. Essex Police (2020) comments that serious mistakes at the crime scene of the death of </w:t>
      </w:r>
      <w:r w:rsidR="001E45E8">
        <w:rPr>
          <w:rFonts w:ascii="Arial" w:eastAsia="Times New Roman" w:hAnsi="Arial" w:cs="Arial"/>
          <w:color w:val="000000"/>
          <w:sz w:val="24"/>
          <w:szCs w:val="24"/>
        </w:rPr>
        <w:t xml:space="preserve">Mr </w:t>
      </w:r>
      <w:r w:rsidRPr="008F6EFE">
        <w:rPr>
          <w:rFonts w:ascii="Arial" w:eastAsia="Times New Roman" w:hAnsi="Arial" w:cs="Arial"/>
          <w:color w:val="000000"/>
          <w:sz w:val="24"/>
          <w:szCs w:val="24"/>
        </w:rPr>
        <w:t>Stuart Lubbock were made, first of all conside</w:t>
      </w:r>
      <w:r w:rsidR="001E45E8">
        <w:rPr>
          <w:rFonts w:ascii="Arial" w:eastAsia="Times New Roman" w:hAnsi="Arial" w:cs="Arial"/>
          <w:color w:val="000000"/>
          <w:sz w:val="24"/>
          <w:szCs w:val="24"/>
        </w:rPr>
        <w:t>ring the death of the victim</w:t>
      </w:r>
      <w:r w:rsidRPr="008F6EFE">
        <w:rPr>
          <w:rFonts w:ascii="Arial" w:eastAsia="Times New Roman" w:hAnsi="Arial" w:cs="Arial"/>
          <w:color w:val="000000"/>
          <w:sz w:val="24"/>
          <w:szCs w:val="24"/>
        </w:rPr>
        <w:t xml:space="preserve"> as initially non-suspicious and simply an accident, and then later allowing guests who were at the actual party, as well as guests who were not supposedly there, to come and go from the crime scene premise as and when they pleased, a situation the force believes resulted in key items of forensic interest disappearing and other remaining items being compromised due to a lack of continuity and therefore being permanently lost as an asset for the investigation. Following a post-mortem examination, Essex Police (2020) found that the victim suffered what was described as “horrific anal injuries” which occurred as a result of a serious sexual assault prior to the victim’s death, with vital information and forensic evidence being lost as the FAO and the investigation team present at the scene of the crime, did not carry out their duties as extensively as they arguably should have, resulting in the rape and murder still being unsolved, despite taking place over 19 years ago (Essex Police,</w:t>
      </w:r>
      <w:r w:rsidR="001E45E8">
        <w:rPr>
          <w:rFonts w:ascii="Arial" w:eastAsia="Times New Roman" w:hAnsi="Arial" w:cs="Arial"/>
          <w:color w:val="000000"/>
          <w:sz w:val="24"/>
          <w:szCs w:val="24"/>
        </w:rPr>
        <w:t xml:space="preserve"> 2020). The awful case of Mr</w:t>
      </w:r>
      <w:r w:rsidRPr="008F6EFE">
        <w:rPr>
          <w:rFonts w:ascii="Arial" w:eastAsia="Times New Roman" w:hAnsi="Arial" w:cs="Arial"/>
          <w:color w:val="000000"/>
          <w:sz w:val="24"/>
          <w:szCs w:val="24"/>
        </w:rPr>
        <w:t xml:space="preserve"> Lubbock and the subsequent investigative errors demonstrate clearly why processes and procedures adopted by the FAO are vital in preventing and reducing the possibilities of cross contamination.</w:t>
      </w:r>
    </w:p>
    <w:p w:rsidR="008F6EFE" w:rsidRPr="008F6EFE" w:rsidRDefault="008F6EFE" w:rsidP="008F6EFE">
      <w:pPr>
        <w:spacing w:after="0" w:line="480" w:lineRule="auto"/>
        <w:rPr>
          <w:rFonts w:ascii="Times New Roman" w:eastAsia="Times New Roman" w:hAnsi="Times New Roman" w:cs="Times New Roman"/>
          <w:sz w:val="24"/>
          <w:szCs w:val="24"/>
        </w:rPr>
      </w:pPr>
    </w:p>
    <w:p w:rsidR="008F6EFE" w:rsidRPr="008F6EFE" w:rsidRDefault="008F6EFE" w:rsidP="008F6EFE">
      <w:pPr>
        <w:spacing w:after="0" w:line="480" w:lineRule="auto"/>
        <w:rPr>
          <w:rFonts w:ascii="Times New Roman" w:eastAsia="Times New Roman" w:hAnsi="Times New Roman" w:cs="Times New Roman"/>
          <w:sz w:val="24"/>
          <w:szCs w:val="24"/>
        </w:rPr>
      </w:pPr>
      <w:r w:rsidRPr="008F6EFE">
        <w:rPr>
          <w:rFonts w:ascii="Arial" w:eastAsia="Times New Roman" w:hAnsi="Arial" w:cs="Arial"/>
          <w:color w:val="000000"/>
          <w:sz w:val="24"/>
          <w:szCs w:val="24"/>
        </w:rPr>
        <w:t>Although many actions are taken by the FAO to prevent cross contamination, the Forensic Science Regulator (2015) notes that complications may arise that deter or reduce such efforts. For example, the regulator (Forensic Science Regulator, 2015) notes that a FAO will not be equipped to wear adequate PPE such as the usual full suit, gloves, masks and overshoes, as expected for the CSI, with the</w:t>
      </w:r>
      <w:r w:rsidR="001E330F">
        <w:rPr>
          <w:rFonts w:ascii="Arial" w:eastAsia="Times New Roman" w:hAnsi="Arial" w:cs="Arial"/>
          <w:color w:val="000000"/>
          <w:sz w:val="24"/>
          <w:szCs w:val="24"/>
        </w:rPr>
        <w:t xml:space="preserve"> only likelihood being the F</w:t>
      </w:r>
      <w:r w:rsidRPr="008F6EFE">
        <w:rPr>
          <w:rFonts w:ascii="Arial" w:eastAsia="Times New Roman" w:hAnsi="Arial" w:cs="Arial"/>
          <w:color w:val="000000"/>
          <w:sz w:val="24"/>
          <w:szCs w:val="24"/>
        </w:rPr>
        <w:t>AO possibly possessing gloves, and at a greater push, maybe a mask but this is still not adequate enough to prevent contamination, with similar issues seen for medical personnel as they would also not have full PPE required to prevent contamination. Additionally, the UNODC (2009) note that complications such as weather conditions can provide issues for FAO’s with regards to preserving evidence, as evidence outside may be lost due to the downfall of rain or snow, potentially losing vital information such as blood for DNA or objects and impressions potentially losing evidential potency or general markings that may assist in an investigation (UNODC, 2009).</w:t>
      </w:r>
    </w:p>
    <w:p w:rsidR="008F6EFE" w:rsidRPr="008F6EFE" w:rsidRDefault="008F6EFE" w:rsidP="008F6EFE">
      <w:pPr>
        <w:spacing w:after="0" w:line="480" w:lineRule="auto"/>
        <w:rPr>
          <w:rFonts w:ascii="Times New Roman" w:eastAsia="Times New Roman" w:hAnsi="Times New Roman" w:cs="Times New Roman"/>
          <w:sz w:val="24"/>
          <w:szCs w:val="24"/>
        </w:rPr>
      </w:pPr>
    </w:p>
    <w:p w:rsidR="00761B15" w:rsidRDefault="008F6EFE" w:rsidP="008F6EFE">
      <w:pPr>
        <w:spacing w:after="0" w:line="480" w:lineRule="auto"/>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Furthermore, in incidents such as terror attacks similar to the Manchester Arena Bombing or the more recent London Bridge incident where a suspect was shot for wearing a fake suicide vest, the first attending officers may be armed response and not routine or forensic specialists, therefore, the priorities of these officers are towards the preservation of life or to stop a terrorist, as opposed to the preservation of evidence, meaning first aid may first be given without PPE, or other procedures in mind, rendering the prospect and probability of cross contamination being incredibly high. However, overall the procedures in place to minimise the loss of forensic evidence and the actions taken by the FAO are clearly designed to be </w:t>
      </w:r>
      <w:r w:rsidRPr="008F6EFE">
        <w:rPr>
          <w:rFonts w:ascii="Arial" w:eastAsia="Times New Roman" w:hAnsi="Arial" w:cs="Arial"/>
          <w:color w:val="000000"/>
          <w:sz w:val="24"/>
          <w:szCs w:val="24"/>
        </w:rPr>
        <w:lastRenderedPageBreak/>
        <w:t>simultaneously the most practical, as well as the most considerate with regards to respect for the investigative process, therefore, the processes and procedures when carried out correctly seem entirely justified when considering their effectiveness in a successful criminal trial at court.</w:t>
      </w:r>
    </w:p>
    <w:p w:rsidR="00761B15" w:rsidRDefault="00761B15">
      <w:pPr>
        <w:rPr>
          <w:rFonts w:ascii="Arial" w:eastAsia="Times New Roman" w:hAnsi="Arial" w:cs="Arial"/>
          <w:color w:val="000000"/>
          <w:sz w:val="24"/>
          <w:szCs w:val="24"/>
        </w:rPr>
      </w:pPr>
      <w:r>
        <w:rPr>
          <w:rFonts w:ascii="Arial" w:eastAsia="Times New Roman" w:hAnsi="Arial" w:cs="Arial"/>
          <w:color w:val="000000"/>
          <w:sz w:val="24"/>
          <w:szCs w:val="24"/>
        </w:rPr>
        <w:br w:type="page"/>
      </w:r>
    </w:p>
    <w:p w:rsidR="008F6EFE" w:rsidRPr="008F6EFE" w:rsidRDefault="008F6EFE" w:rsidP="008F6EFE">
      <w:pPr>
        <w:spacing w:after="0" w:line="480" w:lineRule="auto"/>
        <w:rPr>
          <w:rFonts w:ascii="Times New Roman" w:eastAsia="Times New Roman" w:hAnsi="Times New Roman" w:cs="Times New Roman"/>
          <w:sz w:val="24"/>
          <w:szCs w:val="24"/>
        </w:rPr>
      </w:pPr>
    </w:p>
    <w:p w:rsidR="008F6EFE" w:rsidRPr="008F6EFE" w:rsidRDefault="008A07A2" w:rsidP="008F6EFE">
      <w:pPr>
        <w:spacing w:after="0" w:line="240" w:lineRule="auto"/>
        <w:rPr>
          <w:rFonts w:ascii="Times New Roman" w:eastAsia="Times New Roman" w:hAnsi="Times New Roman" w:cs="Times New Roman"/>
          <w:sz w:val="24"/>
          <w:szCs w:val="24"/>
        </w:rPr>
      </w:pPr>
      <w:r w:rsidRPr="008A07A2">
        <w:rPr>
          <w:rFonts w:ascii="Times New Roman" w:eastAsia="Times New Roman" w:hAnsi="Times New Roman" w:cs="Times New Roman"/>
          <w:sz w:val="24"/>
          <w:szCs w:val="24"/>
        </w:rPr>
        <w:pict>
          <v:rect id="_x0000_i1026" style="width:0;height:1.5pt" o:hralign="center" o:hrstd="t" o:hr="t" fillcolor="#a0a0a0" stroked="f"/>
        </w:pict>
      </w:r>
    </w:p>
    <w:p w:rsidR="008F6EFE" w:rsidRDefault="008F6EFE">
      <w:pPr>
        <w:rPr>
          <w:rFonts w:ascii="Arial" w:hAnsi="Arial" w:cs="Arial"/>
          <w:color w:val="000000"/>
          <w:sz w:val="24"/>
          <w:szCs w:val="24"/>
        </w:rPr>
      </w:pPr>
    </w:p>
    <w:p w:rsidR="008F6EFE" w:rsidRPr="00761B15" w:rsidRDefault="008F6EFE" w:rsidP="008F6EFE">
      <w:pPr>
        <w:spacing w:line="480" w:lineRule="auto"/>
        <w:rPr>
          <w:rFonts w:ascii="Arial" w:hAnsi="Arial" w:cs="Arial"/>
          <w:b/>
          <w:color w:val="000000"/>
          <w:sz w:val="24"/>
          <w:szCs w:val="24"/>
        </w:rPr>
      </w:pPr>
      <w:r w:rsidRPr="00761B15">
        <w:rPr>
          <w:rFonts w:ascii="Arial" w:hAnsi="Arial" w:cs="Arial"/>
          <w:b/>
          <w:color w:val="000000"/>
          <w:sz w:val="24"/>
          <w:szCs w:val="24"/>
        </w:rPr>
        <w:t>Part B. Critically Analyse the Methods in Practice for the Recovery and Examination of Forensic Evidence at Crime Scenes, Evaluating the Legislation, Strategies, Policies and Procedures with Regard to Forensic Recovery and Examination.</w:t>
      </w:r>
    </w:p>
    <w:p w:rsidR="008F6EFE" w:rsidRPr="008F6EFE" w:rsidRDefault="008A07A2" w:rsidP="008F6EFE">
      <w:pPr>
        <w:spacing w:after="0" w:line="240" w:lineRule="auto"/>
        <w:rPr>
          <w:rFonts w:ascii="Times New Roman" w:eastAsia="Times New Roman" w:hAnsi="Times New Roman" w:cs="Times New Roman"/>
          <w:sz w:val="24"/>
          <w:szCs w:val="24"/>
        </w:rPr>
      </w:pPr>
      <w:r w:rsidRPr="008A07A2">
        <w:rPr>
          <w:rFonts w:ascii="Times New Roman" w:eastAsia="Times New Roman" w:hAnsi="Times New Roman" w:cs="Times New Roman"/>
          <w:sz w:val="24"/>
          <w:szCs w:val="24"/>
        </w:rPr>
        <w:pict>
          <v:rect id="_x0000_i1027" style="width:0;height:1.5pt" o:hralign="center" o:hrstd="t" o:hr="t" fillcolor="#a0a0a0" stroked="f"/>
        </w:pict>
      </w:r>
    </w:p>
    <w:p w:rsidR="008F6EFE" w:rsidRDefault="008F6EFE">
      <w:pPr>
        <w:rPr>
          <w:rFonts w:ascii="Arial" w:hAnsi="Arial" w:cs="Arial"/>
          <w:color w:val="000000"/>
          <w:sz w:val="24"/>
          <w:szCs w:val="24"/>
        </w:rPr>
      </w:pPr>
    </w:p>
    <w:p w:rsidR="008F6EFE" w:rsidRPr="008F6EFE" w:rsidRDefault="008F6EFE" w:rsidP="008F6EFE">
      <w:pPr>
        <w:spacing w:after="0" w:line="480" w:lineRule="auto"/>
        <w:rPr>
          <w:rFonts w:ascii="Times New Roman" w:eastAsia="Times New Roman" w:hAnsi="Times New Roman" w:cs="Times New Roman"/>
          <w:sz w:val="24"/>
          <w:szCs w:val="24"/>
        </w:rPr>
      </w:pPr>
      <w:r w:rsidRPr="008F6EFE">
        <w:rPr>
          <w:rFonts w:ascii="Arial" w:eastAsia="Times New Roman" w:hAnsi="Arial" w:cs="Arial"/>
          <w:color w:val="000000"/>
          <w:sz w:val="24"/>
          <w:szCs w:val="24"/>
        </w:rPr>
        <w:t>The College of Policing (2017) state that carrying out a forensic analysis and investigating a crime scene can provide evidence of the following: that a crime has been committed, a suspect was either present or not present, establish identities of victims, suspects or witnesses, corroborate or disprove witness accounts, as well as interpret the scene at which events transpired and potentially link two separate scenes together. Furthermore, with regards to the recovery and examination of forensic evidence at crime scenes, the police use a variety of methods to carefully extract delicate information from a variety of sources, including the way in which evidence is packaged. </w:t>
      </w:r>
    </w:p>
    <w:p w:rsidR="008F6EFE" w:rsidRPr="008F6EFE" w:rsidRDefault="008F6EFE" w:rsidP="008F6EFE">
      <w:pPr>
        <w:spacing w:after="0" w:line="480" w:lineRule="auto"/>
        <w:rPr>
          <w:rFonts w:ascii="Times New Roman" w:eastAsia="Times New Roman" w:hAnsi="Times New Roman" w:cs="Times New Roman"/>
          <w:sz w:val="24"/>
          <w:szCs w:val="24"/>
        </w:rPr>
      </w:pPr>
    </w:p>
    <w:p w:rsidR="008F6EFE" w:rsidRPr="008F6EFE" w:rsidRDefault="008F6EFE" w:rsidP="008F6EFE">
      <w:pPr>
        <w:spacing w:after="0" w:line="480" w:lineRule="auto"/>
        <w:rPr>
          <w:rFonts w:ascii="Times New Roman" w:eastAsia="Times New Roman" w:hAnsi="Times New Roman" w:cs="Times New Roman"/>
          <w:sz w:val="24"/>
          <w:szCs w:val="24"/>
        </w:rPr>
      </w:pPr>
      <w:r w:rsidRPr="008F6EFE">
        <w:rPr>
          <w:rFonts w:ascii="Arial" w:eastAsia="Times New Roman" w:hAnsi="Arial" w:cs="Arial"/>
          <w:color w:val="000000"/>
          <w:sz w:val="24"/>
          <w:szCs w:val="24"/>
        </w:rPr>
        <w:t xml:space="preserve">The Forensic Science Regulator (2015) highlights the importance of proper evidence handling and collection when they state consumable resources such as tamper evident containers and swabs, or any form of evidential packaging should be considered as single-use commodities to prevent any possibility of cross contamination, a factor famously made known by </w:t>
      </w:r>
      <w:proofErr w:type="spellStart"/>
      <w:r w:rsidRPr="008F6EFE">
        <w:rPr>
          <w:rFonts w:ascii="Arial" w:eastAsia="Times New Roman" w:hAnsi="Arial" w:cs="Arial"/>
          <w:color w:val="000000"/>
          <w:sz w:val="24"/>
          <w:szCs w:val="24"/>
        </w:rPr>
        <w:t>Locard’s</w:t>
      </w:r>
      <w:proofErr w:type="spellEnd"/>
      <w:r w:rsidRPr="008F6EFE">
        <w:rPr>
          <w:rFonts w:ascii="Arial" w:eastAsia="Times New Roman" w:hAnsi="Arial" w:cs="Arial"/>
          <w:color w:val="000000"/>
          <w:sz w:val="24"/>
          <w:szCs w:val="24"/>
        </w:rPr>
        <w:t xml:space="preserve"> principle of exchange (Fowler and </w:t>
      </w:r>
      <w:proofErr w:type="spellStart"/>
      <w:r w:rsidRPr="008F6EFE">
        <w:rPr>
          <w:rFonts w:ascii="Arial" w:eastAsia="Times New Roman" w:hAnsi="Arial" w:cs="Arial"/>
          <w:color w:val="000000"/>
          <w:sz w:val="24"/>
          <w:szCs w:val="24"/>
        </w:rPr>
        <w:t>Horswell</w:t>
      </w:r>
      <w:proofErr w:type="spellEnd"/>
      <w:r w:rsidRPr="008F6EFE">
        <w:rPr>
          <w:rFonts w:ascii="Arial" w:eastAsia="Times New Roman" w:hAnsi="Arial" w:cs="Arial"/>
          <w:color w:val="000000"/>
          <w:sz w:val="24"/>
          <w:szCs w:val="24"/>
        </w:rPr>
        <w:t xml:space="preserve">, 2004). To combat this, ENFSI (2012) state that any recovered material should be packaged at the earliest opportunity and handled as little as </w:t>
      </w:r>
      <w:r w:rsidRPr="008F6EFE">
        <w:rPr>
          <w:rFonts w:ascii="Arial" w:eastAsia="Times New Roman" w:hAnsi="Arial" w:cs="Arial"/>
          <w:color w:val="000000"/>
          <w:sz w:val="24"/>
          <w:szCs w:val="24"/>
        </w:rPr>
        <w:lastRenderedPageBreak/>
        <w:t xml:space="preserve">possible, with the avoidance of placing evidence on surfaces, clothing or any individuals that may be involved with the incident, to prevent what’s known as secondary transfer (ENFSI, 2012). ENFSI (2012) continue and state that evidence after recovery must be protected from both alteration and interference as well as the possibility of the previously mentioned cross contamination but also any material degradation as a result of poor packaging or any other inappropriate actions. Additionally, the regulator (Forensic Science Regulator, 2015) comments that credibility of such evidence when under these conditions are supported by the need of constant protection in containers when transporting material, as well as being held in safe location when housed, and is further illustrated by their packaged designed nature, such as a tamper proof seals on the evidential bags that prevent discreet openings of evidence, as a new bag with dates and information is required after every evidential examination due to the bag being unable to </w:t>
      </w:r>
      <w:proofErr w:type="spellStart"/>
      <w:r w:rsidRPr="008F6EFE">
        <w:rPr>
          <w:rFonts w:ascii="Arial" w:eastAsia="Times New Roman" w:hAnsi="Arial" w:cs="Arial"/>
          <w:color w:val="000000"/>
          <w:sz w:val="24"/>
          <w:szCs w:val="24"/>
        </w:rPr>
        <w:t>reseal</w:t>
      </w:r>
      <w:proofErr w:type="spellEnd"/>
      <w:r w:rsidRPr="008F6EFE">
        <w:rPr>
          <w:rFonts w:ascii="Arial" w:eastAsia="Times New Roman" w:hAnsi="Arial" w:cs="Arial"/>
          <w:color w:val="000000"/>
          <w:sz w:val="24"/>
          <w:szCs w:val="24"/>
        </w:rPr>
        <w:t xml:space="preserve"> itself, therefore, the procedure ensures clear continuity of evidence throughout the exhibit’s investigative experience. </w:t>
      </w:r>
    </w:p>
    <w:p w:rsidR="008F6EFE" w:rsidRPr="008F6EFE" w:rsidRDefault="008F6EFE" w:rsidP="008F6EFE">
      <w:pPr>
        <w:spacing w:after="0" w:line="480" w:lineRule="auto"/>
        <w:rPr>
          <w:rFonts w:ascii="Times New Roman" w:eastAsia="Times New Roman" w:hAnsi="Times New Roman" w:cs="Times New Roman"/>
          <w:sz w:val="24"/>
          <w:szCs w:val="24"/>
        </w:rPr>
      </w:pPr>
    </w:p>
    <w:p w:rsidR="008F6EFE" w:rsidRPr="008F6EFE" w:rsidRDefault="008F6EFE" w:rsidP="008F6EFE">
      <w:pPr>
        <w:spacing w:after="0" w:line="480" w:lineRule="auto"/>
        <w:rPr>
          <w:rFonts w:ascii="Times New Roman" w:eastAsia="Times New Roman" w:hAnsi="Times New Roman" w:cs="Times New Roman"/>
          <w:sz w:val="24"/>
          <w:szCs w:val="24"/>
        </w:rPr>
      </w:pPr>
      <w:r w:rsidRPr="008F6EFE">
        <w:rPr>
          <w:rFonts w:ascii="Arial" w:eastAsia="Times New Roman" w:hAnsi="Arial" w:cs="Arial"/>
          <w:color w:val="000000"/>
          <w:sz w:val="24"/>
          <w:szCs w:val="24"/>
        </w:rPr>
        <w:t xml:space="preserve">When analysing a crime scene </w:t>
      </w:r>
      <w:r w:rsidR="00FF6019">
        <w:rPr>
          <w:rFonts w:ascii="Arial" w:eastAsia="Times New Roman" w:hAnsi="Arial" w:cs="Arial"/>
          <w:color w:val="000000"/>
          <w:sz w:val="24"/>
          <w:szCs w:val="24"/>
        </w:rPr>
        <w:t xml:space="preserve">in full PPE </w:t>
      </w:r>
      <w:r w:rsidRPr="008F6EFE">
        <w:rPr>
          <w:rFonts w:ascii="Arial" w:eastAsia="Times New Roman" w:hAnsi="Arial" w:cs="Arial"/>
          <w:color w:val="000000"/>
          <w:sz w:val="24"/>
          <w:szCs w:val="24"/>
        </w:rPr>
        <w:t xml:space="preserve">there are various considerations for the scene investigators with regards to evidential categories. UNODC (2009) states that ‘physical evidence’ can be any object ranging from microscopic to huge that is considered or suspected to be linked to a scene of a crime with this category of evidence including aspects such as: objects, body materials, and impressions. UNODC (2009) continues and notes that the use of physical evidence is often for identification or for a comparison with other materials which can evolve as an investigation progresses as being classified as either conclusive or corroborative evidence, should it match or contradict either the defence or prosecution’s theory </w:t>
      </w:r>
      <w:r w:rsidRPr="008F6EFE">
        <w:rPr>
          <w:rFonts w:ascii="Arial" w:eastAsia="Times New Roman" w:hAnsi="Arial" w:cs="Arial"/>
          <w:color w:val="000000"/>
          <w:sz w:val="24"/>
          <w:szCs w:val="24"/>
        </w:rPr>
        <w:lastRenderedPageBreak/>
        <w:t>and version of events. As previously stated, the handling of these evidentiary exhibits are vital to be admissible in court as evidence can be lost if the continuity or chain-of-custody is lost or not effectively maintained (Forensic Science Regulator, 2015).</w:t>
      </w:r>
    </w:p>
    <w:p w:rsidR="008F6EFE" w:rsidRPr="008F6EFE" w:rsidRDefault="008F6EFE" w:rsidP="008F6EFE">
      <w:pPr>
        <w:spacing w:after="0" w:line="480" w:lineRule="auto"/>
        <w:rPr>
          <w:rFonts w:ascii="Times New Roman" w:eastAsia="Times New Roman" w:hAnsi="Times New Roman" w:cs="Times New Roman"/>
          <w:sz w:val="24"/>
          <w:szCs w:val="24"/>
        </w:rPr>
      </w:pPr>
    </w:p>
    <w:p w:rsidR="008F6EFE" w:rsidRPr="008F6EFE" w:rsidRDefault="008F6EFE" w:rsidP="008F6EFE">
      <w:pPr>
        <w:spacing w:after="0" w:line="480" w:lineRule="auto"/>
        <w:rPr>
          <w:rFonts w:ascii="Times New Roman" w:eastAsia="Times New Roman" w:hAnsi="Times New Roman" w:cs="Times New Roman"/>
          <w:sz w:val="24"/>
          <w:szCs w:val="24"/>
        </w:rPr>
      </w:pPr>
      <w:r w:rsidRPr="008F6EFE">
        <w:rPr>
          <w:rFonts w:ascii="Arial" w:eastAsia="Times New Roman" w:hAnsi="Arial" w:cs="Arial"/>
          <w:color w:val="000000"/>
          <w:sz w:val="24"/>
          <w:szCs w:val="24"/>
        </w:rPr>
        <w:t xml:space="preserve">Additionally, another category of evidence that investigators retrieve from crime scenes and examine is referred to as ‘Trace Evidence’. Forensics Library (2019) states that </w:t>
      </w:r>
      <w:proofErr w:type="spellStart"/>
      <w:r w:rsidRPr="008F6EFE">
        <w:rPr>
          <w:rFonts w:ascii="Arial" w:eastAsia="Times New Roman" w:hAnsi="Arial" w:cs="Arial"/>
          <w:color w:val="000000"/>
          <w:sz w:val="24"/>
          <w:szCs w:val="24"/>
        </w:rPr>
        <w:t>Locard’s</w:t>
      </w:r>
      <w:proofErr w:type="spellEnd"/>
      <w:r w:rsidRPr="008F6EFE">
        <w:rPr>
          <w:rFonts w:ascii="Arial" w:eastAsia="Times New Roman" w:hAnsi="Arial" w:cs="Arial"/>
          <w:color w:val="000000"/>
          <w:sz w:val="24"/>
          <w:szCs w:val="24"/>
        </w:rPr>
        <w:t xml:space="preserve"> principle of exchange is best demonstrated when it comes to trace evidence as this type of evidence is often gathered after a perpetrator unconsciously comes into contact with different surfaces or fibres that may either leave behind traces or pick up traces from the particular exhibit they made contact with. Furthermore, Bull (Bull, et al, 2009) and Forensics Library (2019) states that the types of trace evidence are: fibres, glass, hair, paint, and soil, with each type of substance having had experiments carried out on them by Bull (Bull, et al, 2009) to conclude that the retention of each type is largely impacted by four main factors such as: washing, activity, time, and texture</w:t>
      </w:r>
      <w:r w:rsidR="004B6682">
        <w:rPr>
          <w:rFonts w:ascii="Arial" w:eastAsia="Times New Roman" w:hAnsi="Arial" w:cs="Arial"/>
          <w:color w:val="000000"/>
          <w:sz w:val="24"/>
          <w:szCs w:val="24"/>
        </w:rPr>
        <w:t>, making the recovery and examination of exhibits to be required both urgently and as carefully as possible.</w:t>
      </w:r>
    </w:p>
    <w:p w:rsidR="008F6EFE" w:rsidRPr="008F6EFE" w:rsidRDefault="008F6EFE" w:rsidP="008F6EFE">
      <w:pPr>
        <w:spacing w:after="0" w:line="480" w:lineRule="auto"/>
        <w:rPr>
          <w:rFonts w:ascii="Times New Roman" w:eastAsia="Times New Roman" w:hAnsi="Times New Roman" w:cs="Times New Roman"/>
          <w:sz w:val="24"/>
          <w:szCs w:val="24"/>
        </w:rPr>
      </w:pPr>
    </w:p>
    <w:p w:rsidR="008F6EFE" w:rsidRPr="008F6EFE" w:rsidRDefault="008F6EFE" w:rsidP="008F6EFE">
      <w:pPr>
        <w:spacing w:after="0" w:line="480" w:lineRule="auto"/>
        <w:rPr>
          <w:rFonts w:ascii="Times New Roman" w:eastAsia="Times New Roman" w:hAnsi="Times New Roman" w:cs="Times New Roman"/>
          <w:sz w:val="24"/>
          <w:szCs w:val="24"/>
        </w:rPr>
      </w:pPr>
      <w:r w:rsidRPr="008F6EFE">
        <w:rPr>
          <w:rFonts w:ascii="Arial" w:eastAsia="Times New Roman" w:hAnsi="Arial" w:cs="Arial"/>
          <w:color w:val="000000"/>
          <w:sz w:val="24"/>
          <w:szCs w:val="24"/>
        </w:rPr>
        <w:t xml:space="preserve">The final method of evidential examination that will be looked at is ‘Blood’ and ‘Deoxyribonucleic Acid’, also known as ‘DNA’. Kunz (Kunz, et al, 2010) states that blood pattern analysis is the process that the police and CSI use to interpret events and provide a theoretical reconstruction of a crime based on the size, position, location and condition of blood located at a particular crime scene. Furthermore, Kunz (Kunz, et al, 2010) states that the visual appearance of blood for example, being an elongated drip or a somewhat thick blob, can give immediate indicators to </w:t>
      </w:r>
      <w:r w:rsidRPr="008F6EFE">
        <w:rPr>
          <w:rFonts w:ascii="Arial" w:eastAsia="Times New Roman" w:hAnsi="Arial" w:cs="Arial"/>
          <w:color w:val="000000"/>
          <w:sz w:val="24"/>
          <w:szCs w:val="24"/>
        </w:rPr>
        <w:lastRenderedPageBreak/>
        <w:t>investigators to establish whether the blood was projected, what type of velocity impact - low, medium or high - as well as any other contact the blood may or may not have had based on the scene itself, with the potential of a large wall of blood having a section with no impact of blood, potentially implying or proving something stopped it from colliding with the wall, possibly a key evidential item or the perpetrator themselves having been covered instead (Kunz, et al, 2010).</w:t>
      </w:r>
    </w:p>
    <w:p w:rsidR="008F6EFE" w:rsidRPr="008F6EFE" w:rsidRDefault="008F6EFE" w:rsidP="008F6EFE">
      <w:pPr>
        <w:spacing w:after="0" w:line="480" w:lineRule="auto"/>
        <w:rPr>
          <w:rFonts w:ascii="Times New Roman" w:eastAsia="Times New Roman" w:hAnsi="Times New Roman" w:cs="Times New Roman"/>
          <w:sz w:val="24"/>
          <w:szCs w:val="24"/>
        </w:rPr>
      </w:pPr>
    </w:p>
    <w:p w:rsidR="008F6EFE" w:rsidRPr="008F6EFE" w:rsidRDefault="008F6EFE" w:rsidP="008F6EFE">
      <w:pPr>
        <w:spacing w:after="0" w:line="480" w:lineRule="auto"/>
        <w:rPr>
          <w:rFonts w:ascii="Times New Roman" w:eastAsia="Times New Roman" w:hAnsi="Times New Roman" w:cs="Times New Roman"/>
          <w:sz w:val="24"/>
          <w:szCs w:val="24"/>
        </w:rPr>
      </w:pPr>
      <w:proofErr w:type="spellStart"/>
      <w:r w:rsidRPr="008F6EFE">
        <w:rPr>
          <w:rFonts w:ascii="Arial" w:eastAsia="Times New Roman" w:hAnsi="Arial" w:cs="Arial"/>
          <w:color w:val="000000"/>
          <w:sz w:val="24"/>
          <w:szCs w:val="24"/>
        </w:rPr>
        <w:t>Grine</w:t>
      </w:r>
      <w:proofErr w:type="spellEnd"/>
      <w:r w:rsidRPr="008F6EFE">
        <w:rPr>
          <w:rFonts w:ascii="Arial" w:eastAsia="Times New Roman" w:hAnsi="Arial" w:cs="Arial"/>
          <w:color w:val="000000"/>
          <w:sz w:val="24"/>
          <w:szCs w:val="24"/>
        </w:rPr>
        <w:t xml:space="preserve"> and </w:t>
      </w:r>
      <w:proofErr w:type="spellStart"/>
      <w:r w:rsidRPr="008F6EFE">
        <w:rPr>
          <w:rFonts w:ascii="Arial" w:eastAsia="Times New Roman" w:hAnsi="Arial" w:cs="Arial"/>
          <w:color w:val="000000"/>
          <w:sz w:val="24"/>
          <w:szCs w:val="24"/>
        </w:rPr>
        <w:t>Rackley</w:t>
      </w:r>
      <w:proofErr w:type="spellEnd"/>
      <w:r w:rsidRPr="008F6EFE">
        <w:rPr>
          <w:rFonts w:ascii="Arial" w:eastAsia="Times New Roman" w:hAnsi="Arial" w:cs="Arial"/>
          <w:color w:val="000000"/>
          <w:sz w:val="24"/>
          <w:szCs w:val="24"/>
        </w:rPr>
        <w:t xml:space="preserve"> (2018) discuss how presumptive tests can assist investigators to potentially detect bodily tissue or fluid such as blood, unseen to the human eye as the tests also enable analysts to decide which forensic tests to do next in an investigation or in what order, as well as prioritise exhibits that show signs of evidence, as opposed to analysing every single exhibit within a specific building of a crime scene. Despite the tests potentially showing signs of </w:t>
      </w:r>
      <w:proofErr w:type="spellStart"/>
      <w:r w:rsidRPr="008F6EFE">
        <w:rPr>
          <w:rFonts w:ascii="Arial" w:eastAsia="Times New Roman" w:hAnsi="Arial" w:cs="Arial"/>
          <w:color w:val="000000"/>
          <w:sz w:val="24"/>
          <w:szCs w:val="24"/>
        </w:rPr>
        <w:t>Luminol</w:t>
      </w:r>
      <w:proofErr w:type="spellEnd"/>
      <w:r w:rsidRPr="008F6EFE">
        <w:rPr>
          <w:rFonts w:ascii="Arial" w:eastAsia="Times New Roman" w:hAnsi="Arial" w:cs="Arial"/>
          <w:color w:val="000000"/>
          <w:sz w:val="24"/>
          <w:szCs w:val="24"/>
        </w:rPr>
        <w:t xml:space="preserve"> which is the substance that often reacts to traces of blood, </w:t>
      </w:r>
      <w:proofErr w:type="spellStart"/>
      <w:r w:rsidRPr="008F6EFE">
        <w:rPr>
          <w:rFonts w:ascii="Arial" w:eastAsia="Times New Roman" w:hAnsi="Arial" w:cs="Arial"/>
          <w:color w:val="000000"/>
          <w:sz w:val="24"/>
          <w:szCs w:val="24"/>
        </w:rPr>
        <w:t>Halkides</w:t>
      </w:r>
      <w:proofErr w:type="spellEnd"/>
      <w:r w:rsidRPr="008F6EFE">
        <w:rPr>
          <w:rFonts w:ascii="Arial" w:eastAsia="Times New Roman" w:hAnsi="Arial" w:cs="Arial"/>
          <w:color w:val="000000"/>
          <w:sz w:val="24"/>
          <w:szCs w:val="24"/>
        </w:rPr>
        <w:t xml:space="preserve"> (2013) states that results </w:t>
      </w:r>
      <w:r w:rsidR="003C1008">
        <w:rPr>
          <w:rFonts w:ascii="Arial" w:eastAsia="Times New Roman" w:hAnsi="Arial" w:cs="Arial"/>
          <w:color w:val="000000"/>
          <w:sz w:val="24"/>
          <w:szCs w:val="24"/>
        </w:rPr>
        <w:t xml:space="preserve">by the forensic recovery team </w:t>
      </w:r>
      <w:r w:rsidRPr="008F6EFE">
        <w:rPr>
          <w:rFonts w:ascii="Arial" w:eastAsia="Times New Roman" w:hAnsi="Arial" w:cs="Arial"/>
          <w:color w:val="000000"/>
          <w:sz w:val="24"/>
          <w:szCs w:val="24"/>
        </w:rPr>
        <w:t xml:space="preserve">should not be reported as a positive test for blood, only positive test for </w:t>
      </w:r>
      <w:proofErr w:type="spellStart"/>
      <w:r w:rsidRPr="008F6EFE">
        <w:rPr>
          <w:rFonts w:ascii="Arial" w:eastAsia="Times New Roman" w:hAnsi="Arial" w:cs="Arial"/>
          <w:color w:val="000000"/>
          <w:sz w:val="24"/>
          <w:szCs w:val="24"/>
        </w:rPr>
        <w:t>Luminol</w:t>
      </w:r>
      <w:proofErr w:type="spellEnd"/>
      <w:r w:rsidRPr="008F6EFE">
        <w:rPr>
          <w:rFonts w:ascii="Arial" w:eastAsia="Times New Roman" w:hAnsi="Arial" w:cs="Arial"/>
          <w:color w:val="000000"/>
          <w:sz w:val="24"/>
          <w:szCs w:val="24"/>
        </w:rPr>
        <w:t xml:space="preserve">, as many cases including the conviction and later exoneration of Amanda Knox prove that evidence provided by the presumptive tests do not always return with evidence of DNA, as other substances can trigger the substance to find </w:t>
      </w:r>
      <w:proofErr w:type="spellStart"/>
      <w:r w:rsidRPr="008F6EFE">
        <w:rPr>
          <w:rFonts w:ascii="Arial" w:eastAsia="Times New Roman" w:hAnsi="Arial" w:cs="Arial"/>
          <w:color w:val="000000"/>
          <w:sz w:val="24"/>
          <w:szCs w:val="24"/>
        </w:rPr>
        <w:t>Luminol</w:t>
      </w:r>
      <w:proofErr w:type="spellEnd"/>
      <w:r w:rsidRPr="008F6EFE">
        <w:rPr>
          <w:rFonts w:ascii="Arial" w:eastAsia="Times New Roman" w:hAnsi="Arial" w:cs="Arial"/>
          <w:color w:val="000000"/>
          <w:sz w:val="24"/>
          <w:szCs w:val="24"/>
        </w:rPr>
        <w:t>, such as animals blood or similar chemicals, therefore it is not always accurate and should be used as a basic guide before thorough tests are carried out (</w:t>
      </w:r>
      <w:proofErr w:type="spellStart"/>
      <w:r w:rsidRPr="008F6EFE">
        <w:rPr>
          <w:rFonts w:ascii="Arial" w:eastAsia="Times New Roman" w:hAnsi="Arial" w:cs="Arial"/>
          <w:color w:val="000000"/>
          <w:sz w:val="24"/>
          <w:szCs w:val="24"/>
        </w:rPr>
        <w:t>Halkides</w:t>
      </w:r>
      <w:proofErr w:type="spellEnd"/>
      <w:r w:rsidRPr="008F6EFE">
        <w:rPr>
          <w:rFonts w:ascii="Arial" w:eastAsia="Times New Roman" w:hAnsi="Arial" w:cs="Arial"/>
          <w:color w:val="000000"/>
          <w:sz w:val="24"/>
          <w:szCs w:val="24"/>
        </w:rPr>
        <w:t>, 2013 and Injustice Anywhere, 2016).</w:t>
      </w:r>
    </w:p>
    <w:p w:rsidR="008F6EFE" w:rsidRPr="008F6EFE" w:rsidRDefault="008F6EFE" w:rsidP="008F6EFE">
      <w:pPr>
        <w:spacing w:after="0" w:line="480" w:lineRule="auto"/>
        <w:rPr>
          <w:rFonts w:ascii="Times New Roman" w:eastAsia="Times New Roman" w:hAnsi="Times New Roman" w:cs="Times New Roman"/>
          <w:sz w:val="24"/>
          <w:szCs w:val="24"/>
        </w:rPr>
      </w:pPr>
    </w:p>
    <w:p w:rsidR="008F6EFE" w:rsidRPr="008F6EFE" w:rsidRDefault="008F6EFE" w:rsidP="008F6EFE">
      <w:pPr>
        <w:spacing w:after="0" w:line="480" w:lineRule="auto"/>
        <w:rPr>
          <w:rFonts w:ascii="Times New Roman" w:eastAsia="Times New Roman" w:hAnsi="Times New Roman" w:cs="Times New Roman"/>
          <w:sz w:val="24"/>
          <w:szCs w:val="24"/>
        </w:rPr>
      </w:pPr>
      <w:r w:rsidRPr="008F6EFE">
        <w:rPr>
          <w:rFonts w:ascii="Arial" w:eastAsia="Times New Roman" w:hAnsi="Arial" w:cs="Arial"/>
          <w:color w:val="000000"/>
          <w:sz w:val="24"/>
          <w:szCs w:val="24"/>
        </w:rPr>
        <w:t xml:space="preserve">RSE (2017) discuss how analysts and forensic scientists when investigating DNA, should independently interpret samples for individual exhibits, before making correlations towards a wider picture, with this individual strategy reducing the risk of </w:t>
      </w:r>
      <w:r w:rsidRPr="008F6EFE">
        <w:rPr>
          <w:rFonts w:ascii="Arial" w:eastAsia="Times New Roman" w:hAnsi="Arial" w:cs="Arial"/>
          <w:color w:val="000000"/>
          <w:sz w:val="24"/>
          <w:szCs w:val="24"/>
        </w:rPr>
        <w:lastRenderedPageBreak/>
        <w:t xml:space="preserve">confirmation bias stated as a possibility by RSE (2017). Following DNA </w:t>
      </w:r>
      <w:r w:rsidR="00ED49A0">
        <w:rPr>
          <w:rFonts w:ascii="Arial" w:eastAsia="Times New Roman" w:hAnsi="Arial" w:cs="Arial"/>
          <w:color w:val="000000"/>
          <w:sz w:val="24"/>
          <w:szCs w:val="24"/>
        </w:rPr>
        <w:t xml:space="preserve">examinations and </w:t>
      </w:r>
      <w:r w:rsidRPr="008F6EFE">
        <w:rPr>
          <w:rFonts w:ascii="Arial" w:eastAsia="Times New Roman" w:hAnsi="Arial" w:cs="Arial"/>
          <w:color w:val="000000"/>
          <w:sz w:val="24"/>
          <w:szCs w:val="24"/>
        </w:rPr>
        <w:t>interpretations being made in isolation, RSE (2017) states that comparisons between multiple sources are made to determine if DNA exhibits are from the same source, or a different source, which in turn can determine the source of an individual's DNA if they are indeed the same</w:t>
      </w:r>
      <w:r w:rsidR="00D977F4">
        <w:rPr>
          <w:rFonts w:ascii="Arial" w:eastAsia="Times New Roman" w:hAnsi="Arial" w:cs="Arial"/>
          <w:color w:val="000000"/>
          <w:sz w:val="24"/>
          <w:szCs w:val="24"/>
        </w:rPr>
        <w:t>.</w:t>
      </w:r>
    </w:p>
    <w:p w:rsidR="008F6EFE" w:rsidRPr="008F6EFE" w:rsidRDefault="008F6EFE" w:rsidP="008F6EFE">
      <w:pPr>
        <w:spacing w:after="0" w:line="480" w:lineRule="auto"/>
        <w:rPr>
          <w:rFonts w:ascii="Times New Roman" w:eastAsia="Times New Roman" w:hAnsi="Times New Roman" w:cs="Times New Roman"/>
          <w:sz w:val="24"/>
          <w:szCs w:val="24"/>
        </w:rPr>
      </w:pPr>
    </w:p>
    <w:p w:rsidR="008F6EFE" w:rsidRDefault="008F6EFE" w:rsidP="008F6EFE">
      <w:pPr>
        <w:spacing w:after="0" w:line="480" w:lineRule="auto"/>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RSE (2017) concludes by stating DNA is not an exact science, as match probability despite being relatively low, the organisation states that in cases where DNA may be statistically similar and for example, if a suspect’s DNA has a probability of being found in 20 people across the UK, RSE (2017) states the defence would argue there is therefore a 1 in 20 or a 5% chance the DNA is actually the suspect’s, a statistic too low to be considered conclusive evidence or anything of value, whereas the prosecution would supposedly argue that the statistic implies there is a 1 in 3 million chance that is the suspect is innocent, a number too high and likely to ignore. RSE (2017) therefore states that </w:t>
      </w:r>
      <w:r w:rsidR="00D977F4">
        <w:rPr>
          <w:rFonts w:ascii="Arial" w:eastAsia="Times New Roman" w:hAnsi="Arial" w:cs="Arial"/>
          <w:color w:val="000000"/>
          <w:sz w:val="24"/>
          <w:szCs w:val="24"/>
        </w:rPr>
        <w:t>the recovery and handling of this delicate evidence is important to demonstrate objective facts, and not be misinterpreted from incorrect handling or cross contamination.</w:t>
      </w:r>
    </w:p>
    <w:p w:rsidR="00D977F4" w:rsidRPr="008F6EFE" w:rsidRDefault="00D977F4" w:rsidP="008F6EFE">
      <w:pPr>
        <w:spacing w:after="0" w:line="480" w:lineRule="auto"/>
        <w:rPr>
          <w:rFonts w:ascii="Times New Roman" w:eastAsia="Times New Roman" w:hAnsi="Times New Roman" w:cs="Times New Roman"/>
          <w:sz w:val="24"/>
          <w:szCs w:val="24"/>
        </w:rPr>
      </w:pPr>
    </w:p>
    <w:p w:rsidR="008F6EFE" w:rsidRPr="008F6EFE" w:rsidRDefault="008F6EFE" w:rsidP="008F6EFE">
      <w:pPr>
        <w:spacing w:after="0" w:line="480" w:lineRule="auto"/>
        <w:rPr>
          <w:rFonts w:ascii="Times New Roman" w:eastAsia="Times New Roman" w:hAnsi="Times New Roman" w:cs="Times New Roman"/>
          <w:sz w:val="24"/>
          <w:szCs w:val="24"/>
        </w:rPr>
      </w:pPr>
      <w:r w:rsidRPr="008F6EFE">
        <w:rPr>
          <w:rFonts w:ascii="Arial" w:eastAsia="Times New Roman" w:hAnsi="Arial" w:cs="Arial"/>
          <w:color w:val="000000"/>
          <w:sz w:val="24"/>
          <w:szCs w:val="24"/>
        </w:rPr>
        <w:t xml:space="preserve">Although entertainment media may portray DNA or associated items suspected to hold DNA to be the holy grail of an investigation, Cole (2013) states that unfortunately in reality DNA isn’t as full proof or crucial to an investigation as it seems. Cole (2013) notes that this misconception on the accuracy of DNA obtained by crime scene investigators may give victims a sense of false hope, as despite the investigators trying to obtain as much evidence as possible, exhibits such as a suspect's saliva only has a DNA match success rate of 40%, although a low success </w:t>
      </w:r>
      <w:r w:rsidRPr="008F6EFE">
        <w:rPr>
          <w:rFonts w:ascii="Arial" w:eastAsia="Times New Roman" w:hAnsi="Arial" w:cs="Arial"/>
          <w:color w:val="000000"/>
          <w:sz w:val="24"/>
          <w:szCs w:val="24"/>
        </w:rPr>
        <w:lastRenderedPageBreak/>
        <w:t>rate, this is an aspect of a trial that might convince a jury if they are told DNA does or does not match a suspect</w:t>
      </w:r>
      <w:r w:rsidR="00D977F4">
        <w:rPr>
          <w:rFonts w:ascii="Arial" w:eastAsia="Times New Roman" w:hAnsi="Arial" w:cs="Arial"/>
          <w:color w:val="000000"/>
          <w:sz w:val="24"/>
          <w:szCs w:val="24"/>
        </w:rPr>
        <w:t>, this further justifies</w:t>
      </w:r>
      <w:r w:rsidR="00ED49A0">
        <w:rPr>
          <w:rFonts w:ascii="Arial" w:eastAsia="Times New Roman" w:hAnsi="Arial" w:cs="Arial"/>
          <w:color w:val="000000"/>
          <w:sz w:val="24"/>
          <w:szCs w:val="24"/>
        </w:rPr>
        <w:t xml:space="preserve"> the </w:t>
      </w:r>
      <w:r w:rsidR="00D977F4">
        <w:rPr>
          <w:rFonts w:ascii="Arial" w:eastAsia="Times New Roman" w:hAnsi="Arial" w:cs="Arial"/>
          <w:color w:val="000000"/>
          <w:sz w:val="24"/>
          <w:szCs w:val="24"/>
        </w:rPr>
        <w:t xml:space="preserve">actions of the CSI and the </w:t>
      </w:r>
      <w:r w:rsidR="00D443FB">
        <w:rPr>
          <w:rFonts w:ascii="Arial" w:eastAsia="Times New Roman" w:hAnsi="Arial" w:cs="Arial"/>
          <w:color w:val="000000"/>
          <w:sz w:val="24"/>
          <w:szCs w:val="24"/>
        </w:rPr>
        <w:t>need to correctly</w:t>
      </w:r>
      <w:r w:rsidR="00ED49A0">
        <w:rPr>
          <w:rFonts w:ascii="Arial" w:eastAsia="Times New Roman" w:hAnsi="Arial" w:cs="Arial"/>
          <w:color w:val="000000"/>
          <w:sz w:val="24"/>
          <w:szCs w:val="24"/>
        </w:rPr>
        <w:t xml:space="preserve"> extract evidence of all types, and not just DNA</w:t>
      </w:r>
      <w:r w:rsidRPr="008F6EFE">
        <w:rPr>
          <w:rFonts w:ascii="Arial" w:eastAsia="Times New Roman" w:hAnsi="Arial" w:cs="Arial"/>
          <w:color w:val="000000"/>
          <w:sz w:val="24"/>
          <w:szCs w:val="24"/>
        </w:rPr>
        <w:t xml:space="preserve"> (Cole, 2013).</w:t>
      </w:r>
    </w:p>
    <w:p w:rsidR="008F6EFE" w:rsidRPr="008F6EFE" w:rsidRDefault="008F6EFE" w:rsidP="008F6EFE">
      <w:pPr>
        <w:spacing w:after="0" w:line="480" w:lineRule="auto"/>
        <w:rPr>
          <w:rFonts w:ascii="Times New Roman" w:eastAsia="Times New Roman" w:hAnsi="Times New Roman" w:cs="Times New Roman"/>
          <w:sz w:val="24"/>
          <w:szCs w:val="24"/>
        </w:rPr>
      </w:pPr>
    </w:p>
    <w:p w:rsidR="008F6EFE" w:rsidRPr="008F6EFE" w:rsidRDefault="008F6EFE" w:rsidP="008F6EFE">
      <w:pPr>
        <w:spacing w:after="0" w:line="480" w:lineRule="auto"/>
        <w:rPr>
          <w:rFonts w:ascii="Times New Roman" w:eastAsia="Times New Roman" w:hAnsi="Times New Roman" w:cs="Times New Roman"/>
          <w:sz w:val="24"/>
          <w:szCs w:val="24"/>
        </w:rPr>
      </w:pPr>
      <w:r w:rsidRPr="008F6EFE">
        <w:rPr>
          <w:rFonts w:ascii="Arial" w:eastAsia="Times New Roman" w:hAnsi="Arial" w:cs="Arial"/>
          <w:color w:val="000000"/>
          <w:sz w:val="24"/>
          <w:szCs w:val="24"/>
        </w:rPr>
        <w:t xml:space="preserve">Unfortunately despite procedures, legislation and thorough protocols being placed with regards to the forensic recovery and examination of forensic evidence, investigative errors can occur that may result in prosecutions failing despite having relatively strong evidence to convict, such was the case with OJ Simpson. </w:t>
      </w:r>
      <w:proofErr w:type="spellStart"/>
      <w:r w:rsidRPr="008F6EFE">
        <w:rPr>
          <w:rFonts w:ascii="Arial" w:eastAsia="Times New Roman" w:hAnsi="Arial" w:cs="Arial"/>
          <w:color w:val="000000"/>
          <w:sz w:val="24"/>
          <w:szCs w:val="24"/>
        </w:rPr>
        <w:t>Aizman</w:t>
      </w:r>
      <w:proofErr w:type="spellEnd"/>
      <w:r w:rsidRPr="008F6EFE">
        <w:rPr>
          <w:rFonts w:ascii="Arial" w:eastAsia="Times New Roman" w:hAnsi="Arial" w:cs="Arial"/>
          <w:color w:val="000000"/>
          <w:sz w:val="24"/>
          <w:szCs w:val="24"/>
        </w:rPr>
        <w:t xml:space="preserve"> (2014) states some of the various errors in the case include: no documentation for some evidence, lack of continuity of evidence which prevented large quantities of evidence from being used, evidential neglect as blood was only found on a pair of socks 2 months after recovery, improperly sealed evidential packages being left in warm van on a hot day, and blood samples placed in an officer’s pocket accidentally being taken back to the crime scene after its removal due to the officer supposedly forgetting he had the vials on him (Associated Press, 2014).</w:t>
      </w:r>
    </w:p>
    <w:p w:rsidR="008F6EFE" w:rsidRPr="008F6EFE" w:rsidRDefault="008F6EFE" w:rsidP="008F6EFE">
      <w:pPr>
        <w:spacing w:after="0" w:line="480" w:lineRule="auto"/>
        <w:rPr>
          <w:rFonts w:ascii="Times New Roman" w:eastAsia="Times New Roman" w:hAnsi="Times New Roman" w:cs="Times New Roman"/>
          <w:sz w:val="24"/>
          <w:szCs w:val="24"/>
        </w:rPr>
      </w:pPr>
    </w:p>
    <w:p w:rsidR="008F6EFE" w:rsidRDefault="008F6EFE" w:rsidP="008F6EFE">
      <w:pPr>
        <w:spacing w:after="0" w:line="480" w:lineRule="auto"/>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To conclude, despite the many processes and procedures the police carry out to correctly handle, find and investigate forensic evidence, human error can unfortunately lead to investigations and prosecutions failing. Furthermore, although the actions of the police at every stage of the investigative process is often recorded, the defence and individuals such as Michael Mansfield can sometimes convince a jury that although evidence may be present, how the evidence got there is important, further stating that interpretation of facts is something that is subjective, and an aspect of evidence that might bring into question the potential of confirmation bias as researched by Bowers and </w:t>
      </w:r>
      <w:proofErr w:type="spellStart"/>
      <w:r w:rsidRPr="008F6EFE">
        <w:rPr>
          <w:rFonts w:ascii="Arial" w:eastAsia="Times New Roman" w:hAnsi="Arial" w:cs="Arial"/>
          <w:color w:val="000000"/>
          <w:sz w:val="24"/>
          <w:szCs w:val="24"/>
        </w:rPr>
        <w:t>Koen</w:t>
      </w:r>
      <w:proofErr w:type="spellEnd"/>
      <w:r w:rsidRPr="008F6EFE">
        <w:rPr>
          <w:rFonts w:ascii="Arial" w:eastAsia="Times New Roman" w:hAnsi="Arial" w:cs="Arial"/>
          <w:color w:val="000000"/>
          <w:sz w:val="24"/>
          <w:szCs w:val="24"/>
        </w:rPr>
        <w:t xml:space="preserve"> (2018) stating various examples of convictions </w:t>
      </w:r>
      <w:r w:rsidRPr="008F6EFE">
        <w:rPr>
          <w:rFonts w:ascii="Arial" w:eastAsia="Times New Roman" w:hAnsi="Arial" w:cs="Arial"/>
          <w:color w:val="000000"/>
          <w:sz w:val="24"/>
          <w:szCs w:val="24"/>
        </w:rPr>
        <w:lastRenderedPageBreak/>
        <w:t>overturned are due to apparent interpretation bias being identified, as well as Morgan (2019) stating that 22% of cases taken to the Court of Appeal relied on forensic evidence that was argued by lawyers to have been misinterpreted. Although as made clear by experts and previously stated throughout, forensic evidence is not always reliant on DNA, there is always a variety of evidential proof sourced from different avenues, and it is from all of these avenues and due to the correct application of policy with regards to both recovery and examination, the reason why many investigations end with a suspect being arrested, and eventually successfully convicted.</w:t>
      </w:r>
    </w:p>
    <w:p w:rsidR="008F6EFE" w:rsidRDefault="008F6EFE">
      <w:pPr>
        <w:rPr>
          <w:rFonts w:ascii="Arial" w:eastAsia="Times New Roman" w:hAnsi="Arial" w:cs="Arial"/>
          <w:color w:val="000000"/>
          <w:sz w:val="24"/>
          <w:szCs w:val="24"/>
        </w:rPr>
      </w:pPr>
      <w:r>
        <w:rPr>
          <w:rFonts w:ascii="Arial" w:eastAsia="Times New Roman" w:hAnsi="Arial" w:cs="Arial"/>
          <w:color w:val="000000"/>
          <w:sz w:val="24"/>
          <w:szCs w:val="24"/>
        </w:rPr>
        <w:br w:type="page"/>
      </w:r>
    </w:p>
    <w:p w:rsidR="008F6EFE" w:rsidRDefault="008F6EFE" w:rsidP="008F6EFE">
      <w:pPr>
        <w:spacing w:after="0" w:line="480" w:lineRule="auto"/>
        <w:rPr>
          <w:rFonts w:ascii="Arial" w:eastAsia="Times New Roman" w:hAnsi="Arial" w:cs="Arial"/>
          <w:sz w:val="24"/>
          <w:szCs w:val="24"/>
        </w:rPr>
      </w:pPr>
      <w:r w:rsidRPr="008F6EFE">
        <w:rPr>
          <w:rFonts w:ascii="Arial" w:eastAsia="Times New Roman" w:hAnsi="Arial" w:cs="Arial"/>
          <w:sz w:val="24"/>
          <w:szCs w:val="24"/>
          <w:u w:val="single"/>
        </w:rPr>
        <w:lastRenderedPageBreak/>
        <w:t>Reference List</w:t>
      </w: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proofErr w:type="spellStart"/>
      <w:r w:rsidRPr="008F6EFE">
        <w:rPr>
          <w:rFonts w:ascii="Arial" w:eastAsia="Times New Roman" w:hAnsi="Arial" w:cs="Arial"/>
          <w:color w:val="000000"/>
          <w:sz w:val="24"/>
          <w:szCs w:val="24"/>
        </w:rPr>
        <w:t>Aizman</w:t>
      </w:r>
      <w:proofErr w:type="spellEnd"/>
      <w:r w:rsidRPr="008F6EFE">
        <w:rPr>
          <w:rFonts w:ascii="Arial" w:eastAsia="Times New Roman" w:hAnsi="Arial" w:cs="Arial"/>
          <w:color w:val="000000"/>
          <w:sz w:val="24"/>
          <w:szCs w:val="24"/>
        </w:rPr>
        <w:t xml:space="preserve">, D. (2014). </w:t>
      </w:r>
      <w:r w:rsidRPr="008F6EFE">
        <w:rPr>
          <w:rFonts w:ascii="Arial" w:eastAsia="Times New Roman" w:hAnsi="Arial" w:cs="Arial"/>
          <w:i/>
          <w:iCs/>
          <w:color w:val="000000"/>
          <w:sz w:val="24"/>
          <w:szCs w:val="24"/>
        </w:rPr>
        <w:t>Lessons Learned From Evidence Gathering Mistakes In OJ Simpson Case</w:t>
      </w:r>
      <w:r w:rsidRPr="008F6EFE">
        <w:rPr>
          <w:rFonts w:ascii="Arial" w:eastAsia="Times New Roman" w:hAnsi="Arial" w:cs="Arial"/>
          <w:color w:val="000000"/>
          <w:sz w:val="24"/>
          <w:szCs w:val="24"/>
        </w:rPr>
        <w:t xml:space="preserve">. [online] </w:t>
      </w:r>
      <w:proofErr w:type="spellStart"/>
      <w:r w:rsidRPr="008F6EFE">
        <w:rPr>
          <w:rFonts w:ascii="Arial" w:eastAsia="Times New Roman" w:hAnsi="Arial" w:cs="Arial"/>
          <w:color w:val="000000"/>
          <w:sz w:val="24"/>
          <w:szCs w:val="24"/>
        </w:rPr>
        <w:t>Aizman</w:t>
      </w:r>
      <w:proofErr w:type="spellEnd"/>
      <w:r w:rsidRPr="008F6EFE">
        <w:rPr>
          <w:rFonts w:ascii="Arial" w:eastAsia="Times New Roman" w:hAnsi="Arial" w:cs="Arial"/>
          <w:color w:val="000000"/>
          <w:sz w:val="24"/>
          <w:szCs w:val="24"/>
        </w:rPr>
        <w:t xml:space="preserve"> Law Firm. Available at: </w:t>
      </w:r>
      <w:hyperlink r:id="rId5" w:history="1">
        <w:r w:rsidRPr="008F6EFE">
          <w:rPr>
            <w:rFonts w:ascii="Arial" w:eastAsia="Times New Roman" w:hAnsi="Arial" w:cs="Arial"/>
            <w:color w:val="1155CC"/>
            <w:sz w:val="24"/>
            <w:szCs w:val="24"/>
            <w:u w:val="single"/>
          </w:rPr>
          <w:t>https://aizmanlaw.com/lessons-learned-evidence-gathering-mistakes-simpson-case/</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Arnaud, C. (2017). </w:t>
      </w:r>
      <w:r w:rsidRPr="008F6EFE">
        <w:rPr>
          <w:rFonts w:ascii="Arial" w:eastAsia="Times New Roman" w:hAnsi="Arial" w:cs="Arial"/>
          <w:i/>
          <w:iCs/>
          <w:color w:val="000000"/>
          <w:sz w:val="24"/>
          <w:szCs w:val="24"/>
        </w:rPr>
        <w:t>Thirty years of DNA Forensics: How DNA has Revolutionized Criminal Investigations</w:t>
      </w:r>
      <w:r w:rsidRPr="008F6EFE">
        <w:rPr>
          <w:rFonts w:ascii="Arial" w:eastAsia="Times New Roman" w:hAnsi="Arial" w:cs="Arial"/>
          <w:color w:val="000000"/>
          <w:sz w:val="24"/>
          <w:szCs w:val="24"/>
        </w:rPr>
        <w:t xml:space="preserve">. Science &amp; Technology Analytical Chemistry, [online] 95(37). Available at: </w:t>
      </w:r>
      <w:hyperlink r:id="rId6" w:history="1">
        <w:r w:rsidRPr="008F6EFE">
          <w:rPr>
            <w:rFonts w:ascii="Arial" w:eastAsia="Times New Roman" w:hAnsi="Arial" w:cs="Arial"/>
            <w:color w:val="1155CC"/>
            <w:sz w:val="24"/>
            <w:szCs w:val="24"/>
            <w:u w:val="single"/>
          </w:rPr>
          <w:t>https://cen.acs.org/articles/95/i37/Thirty-years-DNA-forensics-DNA.html</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Associated Press. (2014). </w:t>
      </w:r>
      <w:r w:rsidRPr="008F6EFE">
        <w:rPr>
          <w:rFonts w:ascii="Arial" w:eastAsia="Times New Roman" w:hAnsi="Arial" w:cs="Arial"/>
          <w:i/>
          <w:iCs/>
          <w:color w:val="000000"/>
          <w:sz w:val="24"/>
          <w:szCs w:val="24"/>
        </w:rPr>
        <w:t>O.J. Simpson Case Taught Police What Not To Do At A Crime Scene</w:t>
      </w:r>
      <w:r w:rsidRPr="008F6EFE">
        <w:rPr>
          <w:rFonts w:ascii="Arial" w:eastAsia="Times New Roman" w:hAnsi="Arial" w:cs="Arial"/>
          <w:color w:val="000000"/>
          <w:sz w:val="24"/>
          <w:szCs w:val="24"/>
        </w:rPr>
        <w:t xml:space="preserve">. [online] Associated Press. Available at: </w:t>
      </w:r>
      <w:hyperlink r:id="rId7" w:history="1">
        <w:r w:rsidRPr="008F6EFE">
          <w:rPr>
            <w:rFonts w:ascii="Arial" w:eastAsia="Times New Roman" w:hAnsi="Arial" w:cs="Arial"/>
            <w:color w:val="1155CC"/>
            <w:sz w:val="24"/>
            <w:szCs w:val="24"/>
            <w:u w:val="single"/>
          </w:rPr>
          <w:t>https://www.pasadenastarnews.com/2014/06/08/oj-simpson-case-taught-police-what-not-to-do-at-a-crime-scene/</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Baldwin, H. and May, C. (2017). </w:t>
      </w:r>
      <w:r w:rsidRPr="008F6EFE">
        <w:rPr>
          <w:rFonts w:ascii="Arial" w:eastAsia="Times New Roman" w:hAnsi="Arial" w:cs="Arial"/>
          <w:i/>
          <w:iCs/>
          <w:color w:val="000000"/>
          <w:sz w:val="24"/>
          <w:szCs w:val="24"/>
        </w:rPr>
        <w:t>Crime Scene Contamination Issues</w:t>
      </w:r>
      <w:r w:rsidRPr="008F6EFE">
        <w:rPr>
          <w:rFonts w:ascii="Arial" w:eastAsia="Times New Roman" w:hAnsi="Arial" w:cs="Arial"/>
          <w:color w:val="000000"/>
          <w:sz w:val="24"/>
          <w:szCs w:val="24"/>
        </w:rPr>
        <w:t xml:space="preserve">. [online] Crime Scene Investigator Network. Available at: </w:t>
      </w:r>
      <w:hyperlink r:id="rId8" w:history="1">
        <w:r w:rsidRPr="008F6EFE">
          <w:rPr>
            <w:rFonts w:ascii="Arial" w:eastAsia="Times New Roman" w:hAnsi="Arial" w:cs="Arial"/>
            <w:color w:val="1155CC"/>
            <w:sz w:val="24"/>
            <w:szCs w:val="24"/>
            <w:u w:val="single"/>
          </w:rPr>
          <w:t>https://www.crime-scene-investigator.net/crime-scene-contamination-issues.html</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BBC News. (2020). </w:t>
      </w:r>
      <w:r w:rsidRPr="008F6EFE">
        <w:rPr>
          <w:rFonts w:ascii="Arial" w:eastAsia="Times New Roman" w:hAnsi="Arial" w:cs="Arial"/>
          <w:i/>
          <w:iCs/>
          <w:color w:val="000000"/>
          <w:sz w:val="24"/>
          <w:szCs w:val="24"/>
        </w:rPr>
        <w:t>Michael Barrymore Pool Death: Police Made 'Crime Scene Mistakes'</w:t>
      </w:r>
      <w:r w:rsidRPr="008F6EFE">
        <w:rPr>
          <w:rFonts w:ascii="Arial" w:eastAsia="Times New Roman" w:hAnsi="Arial" w:cs="Arial"/>
          <w:color w:val="000000"/>
          <w:sz w:val="24"/>
          <w:szCs w:val="24"/>
        </w:rPr>
        <w:t xml:space="preserve">. [online] BBC News. Available at: </w:t>
      </w:r>
      <w:hyperlink r:id="rId9" w:history="1">
        <w:r w:rsidRPr="008F6EFE">
          <w:rPr>
            <w:rFonts w:ascii="Arial" w:eastAsia="Times New Roman" w:hAnsi="Arial" w:cs="Arial"/>
            <w:color w:val="1155CC"/>
            <w:sz w:val="24"/>
            <w:szCs w:val="24"/>
            <w:u w:val="single"/>
          </w:rPr>
          <w:t>https://www.bbc.co.uk/news/uk-england-essex-51315670</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Bowers, M. and </w:t>
      </w:r>
      <w:proofErr w:type="spellStart"/>
      <w:r w:rsidRPr="008F6EFE">
        <w:rPr>
          <w:rFonts w:ascii="Arial" w:eastAsia="Times New Roman" w:hAnsi="Arial" w:cs="Arial"/>
          <w:color w:val="000000"/>
          <w:sz w:val="24"/>
          <w:szCs w:val="24"/>
        </w:rPr>
        <w:t>Koen</w:t>
      </w:r>
      <w:proofErr w:type="spellEnd"/>
      <w:r w:rsidRPr="008F6EFE">
        <w:rPr>
          <w:rFonts w:ascii="Arial" w:eastAsia="Times New Roman" w:hAnsi="Arial" w:cs="Arial"/>
          <w:color w:val="000000"/>
          <w:sz w:val="24"/>
          <w:szCs w:val="24"/>
        </w:rPr>
        <w:t xml:space="preserve">, W. (2018). </w:t>
      </w:r>
      <w:r w:rsidRPr="008F6EFE">
        <w:rPr>
          <w:rFonts w:ascii="Arial" w:eastAsia="Times New Roman" w:hAnsi="Arial" w:cs="Arial"/>
          <w:i/>
          <w:iCs/>
          <w:color w:val="000000"/>
          <w:sz w:val="24"/>
          <w:szCs w:val="24"/>
        </w:rPr>
        <w:t>The Psychology And Sociology Of Wrongful Convictions: Forensic Science Reform</w:t>
      </w:r>
      <w:r w:rsidRPr="008F6EFE">
        <w:rPr>
          <w:rFonts w:ascii="Arial" w:eastAsia="Times New Roman" w:hAnsi="Arial" w:cs="Arial"/>
          <w:color w:val="000000"/>
          <w:sz w:val="24"/>
          <w:szCs w:val="24"/>
        </w:rPr>
        <w:t>. [</w:t>
      </w:r>
      <w:proofErr w:type="spellStart"/>
      <w:r w:rsidRPr="008F6EFE">
        <w:rPr>
          <w:rFonts w:ascii="Arial" w:eastAsia="Times New Roman" w:hAnsi="Arial" w:cs="Arial"/>
          <w:color w:val="000000"/>
          <w:sz w:val="24"/>
          <w:szCs w:val="24"/>
        </w:rPr>
        <w:t>ebook</w:t>
      </w:r>
      <w:proofErr w:type="spellEnd"/>
      <w:r w:rsidRPr="008F6EFE">
        <w:rPr>
          <w:rFonts w:ascii="Arial" w:eastAsia="Times New Roman" w:hAnsi="Arial" w:cs="Arial"/>
          <w:color w:val="000000"/>
          <w:sz w:val="24"/>
          <w:szCs w:val="24"/>
        </w:rPr>
        <w:t xml:space="preserve">] Elsevier. Available at: </w:t>
      </w:r>
      <w:hyperlink r:id="rId10" w:history="1">
        <w:r w:rsidRPr="008F6EFE">
          <w:rPr>
            <w:rFonts w:ascii="Arial" w:eastAsia="Times New Roman" w:hAnsi="Arial" w:cs="Arial"/>
            <w:color w:val="1155CC"/>
            <w:sz w:val="24"/>
            <w:szCs w:val="24"/>
            <w:u w:val="single"/>
          </w:rPr>
          <w:t>https://www.sciencedirect.com/science/article/pii/B9780128026557000071</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Bradbury, S. and </w:t>
      </w:r>
      <w:proofErr w:type="spellStart"/>
      <w:r w:rsidRPr="008F6EFE">
        <w:rPr>
          <w:rFonts w:ascii="Arial" w:eastAsia="Times New Roman" w:hAnsi="Arial" w:cs="Arial"/>
          <w:color w:val="000000"/>
          <w:sz w:val="24"/>
          <w:szCs w:val="24"/>
        </w:rPr>
        <w:t>Feist</w:t>
      </w:r>
      <w:proofErr w:type="spellEnd"/>
      <w:r w:rsidRPr="008F6EFE">
        <w:rPr>
          <w:rFonts w:ascii="Arial" w:eastAsia="Times New Roman" w:hAnsi="Arial" w:cs="Arial"/>
          <w:color w:val="000000"/>
          <w:sz w:val="24"/>
          <w:szCs w:val="24"/>
        </w:rPr>
        <w:t xml:space="preserve">, A. (2005). </w:t>
      </w:r>
      <w:r w:rsidRPr="008F6EFE">
        <w:rPr>
          <w:rFonts w:ascii="Arial" w:eastAsia="Times New Roman" w:hAnsi="Arial" w:cs="Arial"/>
          <w:i/>
          <w:iCs/>
          <w:color w:val="000000"/>
          <w:sz w:val="24"/>
          <w:szCs w:val="24"/>
        </w:rPr>
        <w:t>The Use Of Forensic Science In Volume Crime Investigations: A Review Of The Research Literature</w:t>
      </w:r>
      <w:r w:rsidRPr="008F6EFE">
        <w:rPr>
          <w:rFonts w:ascii="Arial" w:eastAsia="Times New Roman" w:hAnsi="Arial" w:cs="Arial"/>
          <w:color w:val="000000"/>
          <w:sz w:val="24"/>
          <w:szCs w:val="24"/>
        </w:rPr>
        <w:t>. [</w:t>
      </w:r>
      <w:proofErr w:type="spellStart"/>
      <w:r w:rsidRPr="008F6EFE">
        <w:rPr>
          <w:rFonts w:ascii="Arial" w:eastAsia="Times New Roman" w:hAnsi="Arial" w:cs="Arial"/>
          <w:color w:val="000000"/>
          <w:sz w:val="24"/>
          <w:szCs w:val="24"/>
        </w:rPr>
        <w:t>ebook</w:t>
      </w:r>
      <w:proofErr w:type="spellEnd"/>
      <w:r w:rsidRPr="008F6EFE">
        <w:rPr>
          <w:rFonts w:ascii="Arial" w:eastAsia="Times New Roman" w:hAnsi="Arial" w:cs="Arial"/>
          <w:color w:val="000000"/>
          <w:sz w:val="24"/>
          <w:szCs w:val="24"/>
        </w:rPr>
        <w:t xml:space="preserve">] London: Home Office. Available at: </w:t>
      </w:r>
      <w:hyperlink r:id="rId11" w:history="1">
        <w:r w:rsidRPr="008F6EFE">
          <w:rPr>
            <w:rFonts w:ascii="Arial" w:eastAsia="Times New Roman" w:hAnsi="Arial" w:cs="Arial"/>
            <w:color w:val="1155CC"/>
            <w:sz w:val="24"/>
            <w:szCs w:val="24"/>
            <w:u w:val="single"/>
          </w:rPr>
          <w:t>https://assets.publishing.service.gov.uk/government/uploads/system/uploads/attachment_data/file/115849/hoor4305.pdf</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Bull, R., Holliday, R. and Smith, L. (2011). </w:t>
      </w:r>
      <w:r w:rsidRPr="008F6EFE">
        <w:rPr>
          <w:rFonts w:ascii="Arial" w:eastAsia="Times New Roman" w:hAnsi="Arial" w:cs="Arial"/>
          <w:i/>
          <w:iCs/>
          <w:color w:val="000000"/>
          <w:sz w:val="24"/>
          <w:szCs w:val="24"/>
        </w:rPr>
        <w:t>Understanding Juror Perceptions of Forensic Evidence: Investigating the Impact of Case Context on Perceptions of Forensic Evidence Strength</w:t>
      </w:r>
      <w:r w:rsidRPr="008F6EFE">
        <w:rPr>
          <w:rFonts w:ascii="Arial" w:eastAsia="Times New Roman" w:hAnsi="Arial" w:cs="Arial"/>
          <w:color w:val="000000"/>
          <w:sz w:val="24"/>
          <w:szCs w:val="24"/>
        </w:rPr>
        <w:t xml:space="preserve">. Journal of Forensic Sciences, [online] 56(2). Available at: </w:t>
      </w:r>
      <w:hyperlink r:id="rId12" w:history="1">
        <w:r w:rsidRPr="008F6EFE">
          <w:rPr>
            <w:rFonts w:ascii="Arial" w:eastAsia="Times New Roman" w:hAnsi="Arial" w:cs="Arial"/>
            <w:color w:val="1155CC"/>
            <w:sz w:val="24"/>
            <w:szCs w:val="24"/>
            <w:u w:val="single"/>
          </w:rPr>
          <w:t>https://onlinelibrary.wiley.com/doi/full/10.1111/j.1556-4029.2010.01671.x?casa_token=PSQq6yrT26oAAAAA%3ATxmId34rMbGaCIIBnMq46xxP0wjXsPK6OLn1R8Ap5Ghlf9kBSeN89WdMvG3xna8TN6ulxtns6Ce1Z2rl3A</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Bull, R. and Smith, L. (2013). </w:t>
      </w:r>
      <w:r w:rsidRPr="008F6EFE">
        <w:rPr>
          <w:rFonts w:ascii="Arial" w:eastAsia="Times New Roman" w:hAnsi="Arial" w:cs="Arial"/>
          <w:i/>
          <w:iCs/>
          <w:color w:val="000000"/>
          <w:sz w:val="24"/>
          <w:szCs w:val="24"/>
        </w:rPr>
        <w:t>Exploring the Disclosure of Forensic Evidence in Police Interviews with Suspects</w:t>
      </w:r>
      <w:r w:rsidRPr="008F6EFE">
        <w:rPr>
          <w:rFonts w:ascii="Arial" w:eastAsia="Times New Roman" w:hAnsi="Arial" w:cs="Arial"/>
          <w:color w:val="000000"/>
          <w:sz w:val="24"/>
          <w:szCs w:val="24"/>
        </w:rPr>
        <w:t xml:space="preserve">. Journal of Police and Criminal Psychology, [online] 29(2), pp.81-86. Available at: </w:t>
      </w:r>
      <w:hyperlink r:id="rId13" w:history="1">
        <w:r w:rsidRPr="008F6EFE">
          <w:rPr>
            <w:rFonts w:ascii="Arial" w:eastAsia="Times New Roman" w:hAnsi="Arial" w:cs="Arial"/>
            <w:color w:val="1155CC"/>
            <w:sz w:val="24"/>
            <w:szCs w:val="24"/>
            <w:u w:val="single"/>
          </w:rPr>
          <w:t>https://idp.springer.com/authorize/casa?redirect_uri=https://link.springer.com/content/pdf/10.1007/s11896-013-9131-0.pdf&amp;casa_token=_Dq2-jvRHkAAAAAA:1D78JkElldtzkQyvUQWClWB4owze4UhiiJSssOqyWPaJc7UcyTQ04TuPvHFO_O8t0wQaQ9DT_zCMwyKVDGg</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Bull, P., Cohen, J., </w:t>
      </w:r>
      <w:proofErr w:type="spellStart"/>
      <w:r w:rsidRPr="008F6EFE">
        <w:rPr>
          <w:rFonts w:ascii="Arial" w:eastAsia="Times New Roman" w:hAnsi="Arial" w:cs="Arial"/>
          <w:color w:val="000000"/>
          <w:sz w:val="24"/>
          <w:szCs w:val="24"/>
        </w:rPr>
        <w:t>Freudiger-Bonzon</w:t>
      </w:r>
      <w:proofErr w:type="spellEnd"/>
      <w:r w:rsidRPr="008F6EFE">
        <w:rPr>
          <w:rFonts w:ascii="Arial" w:eastAsia="Times New Roman" w:hAnsi="Arial" w:cs="Arial"/>
          <w:color w:val="000000"/>
          <w:sz w:val="24"/>
          <w:szCs w:val="24"/>
        </w:rPr>
        <w:t xml:space="preserve">, J., </w:t>
      </w:r>
      <w:proofErr w:type="spellStart"/>
      <w:r w:rsidRPr="008F6EFE">
        <w:rPr>
          <w:rFonts w:ascii="Arial" w:eastAsia="Times New Roman" w:hAnsi="Arial" w:cs="Arial"/>
          <w:color w:val="000000"/>
          <w:sz w:val="24"/>
          <w:szCs w:val="24"/>
        </w:rPr>
        <w:t>McGookin</w:t>
      </w:r>
      <w:proofErr w:type="spellEnd"/>
      <w:r w:rsidRPr="008F6EFE">
        <w:rPr>
          <w:rFonts w:ascii="Arial" w:eastAsia="Times New Roman" w:hAnsi="Arial" w:cs="Arial"/>
          <w:color w:val="000000"/>
          <w:sz w:val="24"/>
          <w:szCs w:val="24"/>
        </w:rPr>
        <w:t xml:space="preserve">, I., </w:t>
      </w:r>
      <w:proofErr w:type="spellStart"/>
      <w:r w:rsidRPr="008F6EFE">
        <w:rPr>
          <w:rFonts w:ascii="Arial" w:eastAsia="Times New Roman" w:hAnsi="Arial" w:cs="Arial"/>
          <w:color w:val="000000"/>
          <w:sz w:val="24"/>
          <w:szCs w:val="24"/>
        </w:rPr>
        <w:t>Muress</w:t>
      </w:r>
      <w:proofErr w:type="spellEnd"/>
      <w:r w:rsidRPr="008F6EFE">
        <w:rPr>
          <w:rFonts w:ascii="Arial" w:eastAsia="Times New Roman" w:hAnsi="Arial" w:cs="Arial"/>
          <w:color w:val="000000"/>
          <w:sz w:val="24"/>
          <w:szCs w:val="24"/>
        </w:rPr>
        <w:t xml:space="preserve">, S., </w:t>
      </w:r>
      <w:proofErr w:type="spellStart"/>
      <w:r w:rsidRPr="008F6EFE">
        <w:rPr>
          <w:rFonts w:ascii="Arial" w:eastAsia="Times New Roman" w:hAnsi="Arial" w:cs="Arial"/>
          <w:color w:val="000000"/>
          <w:sz w:val="24"/>
          <w:szCs w:val="24"/>
        </w:rPr>
        <w:t>Murly-Gotto</w:t>
      </w:r>
      <w:proofErr w:type="spellEnd"/>
      <w:r w:rsidRPr="008F6EFE">
        <w:rPr>
          <w:rFonts w:ascii="Arial" w:eastAsia="Times New Roman" w:hAnsi="Arial" w:cs="Arial"/>
          <w:color w:val="000000"/>
          <w:sz w:val="24"/>
          <w:szCs w:val="24"/>
        </w:rPr>
        <w:t xml:space="preserve">, J. and O'Connor, R. (2009). </w:t>
      </w:r>
      <w:r w:rsidRPr="008F6EFE">
        <w:rPr>
          <w:rFonts w:ascii="Arial" w:eastAsia="Times New Roman" w:hAnsi="Arial" w:cs="Arial"/>
          <w:i/>
          <w:iCs/>
          <w:color w:val="000000"/>
          <w:sz w:val="24"/>
          <w:szCs w:val="24"/>
        </w:rPr>
        <w:t>The Relevance of the Evolution of Experimental Studies for the Interpretation and Evaluation of some Trace Physical Evidence</w:t>
      </w:r>
      <w:r w:rsidRPr="008F6EFE">
        <w:rPr>
          <w:rFonts w:ascii="Arial" w:eastAsia="Times New Roman" w:hAnsi="Arial" w:cs="Arial"/>
          <w:color w:val="000000"/>
          <w:sz w:val="24"/>
          <w:szCs w:val="24"/>
        </w:rPr>
        <w:t xml:space="preserve">. Science &amp; Justice, [online] 49(4). Available at: </w:t>
      </w:r>
      <w:hyperlink r:id="rId14" w:history="1">
        <w:r w:rsidRPr="008F6EFE">
          <w:rPr>
            <w:rFonts w:ascii="Arial" w:eastAsia="Times New Roman" w:hAnsi="Arial" w:cs="Arial"/>
            <w:color w:val="1155CC"/>
            <w:sz w:val="24"/>
            <w:szCs w:val="24"/>
            <w:u w:val="single"/>
          </w:rPr>
          <w:t>https://core.ac.uk/download/pdf/1752938.pdf</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proofErr w:type="spellStart"/>
      <w:r w:rsidRPr="008F6EFE">
        <w:rPr>
          <w:rFonts w:ascii="Arial" w:eastAsia="Times New Roman" w:hAnsi="Arial" w:cs="Arial"/>
          <w:color w:val="000000"/>
          <w:sz w:val="24"/>
          <w:szCs w:val="24"/>
        </w:rPr>
        <w:t>Burril</w:t>
      </w:r>
      <w:proofErr w:type="spellEnd"/>
      <w:r w:rsidRPr="008F6EFE">
        <w:rPr>
          <w:rFonts w:ascii="Arial" w:eastAsia="Times New Roman" w:hAnsi="Arial" w:cs="Arial"/>
          <w:color w:val="000000"/>
          <w:sz w:val="24"/>
          <w:szCs w:val="24"/>
        </w:rPr>
        <w:t xml:space="preserve">, J., Daniel, B. and </w:t>
      </w:r>
      <w:proofErr w:type="spellStart"/>
      <w:r w:rsidRPr="008F6EFE">
        <w:rPr>
          <w:rFonts w:ascii="Arial" w:eastAsia="Times New Roman" w:hAnsi="Arial" w:cs="Arial"/>
          <w:color w:val="000000"/>
          <w:sz w:val="24"/>
          <w:szCs w:val="24"/>
        </w:rPr>
        <w:t>Frascione</w:t>
      </w:r>
      <w:proofErr w:type="spellEnd"/>
      <w:r w:rsidRPr="008F6EFE">
        <w:rPr>
          <w:rFonts w:ascii="Arial" w:eastAsia="Times New Roman" w:hAnsi="Arial" w:cs="Arial"/>
          <w:color w:val="000000"/>
          <w:sz w:val="24"/>
          <w:szCs w:val="24"/>
        </w:rPr>
        <w:t xml:space="preserve">, N. (2018). </w:t>
      </w:r>
      <w:r w:rsidRPr="008F6EFE">
        <w:rPr>
          <w:rFonts w:ascii="Arial" w:eastAsia="Times New Roman" w:hAnsi="Arial" w:cs="Arial"/>
          <w:i/>
          <w:iCs/>
          <w:color w:val="000000"/>
          <w:sz w:val="24"/>
          <w:szCs w:val="24"/>
        </w:rPr>
        <w:t>A Review of Trace “Touch DNA” Deposits: Variability Factors and An Exploration of Cellular Composition</w:t>
      </w:r>
      <w:r w:rsidRPr="008F6EFE">
        <w:rPr>
          <w:rFonts w:ascii="Arial" w:eastAsia="Times New Roman" w:hAnsi="Arial" w:cs="Arial"/>
          <w:color w:val="000000"/>
          <w:sz w:val="24"/>
          <w:szCs w:val="24"/>
        </w:rPr>
        <w:t xml:space="preserve">. Forensic Science International: Genetics, [online] 39, pp.8-18. Available at: </w:t>
      </w:r>
      <w:hyperlink r:id="rId15" w:history="1">
        <w:r w:rsidRPr="008F6EFE">
          <w:rPr>
            <w:rFonts w:ascii="Arial" w:eastAsia="Times New Roman" w:hAnsi="Arial" w:cs="Arial"/>
            <w:color w:val="1155CC"/>
            <w:sz w:val="24"/>
            <w:szCs w:val="24"/>
            <w:u w:val="single"/>
          </w:rPr>
          <w:t>https://www.sciencedirect.com/science/article/pii/S1872497318302746?casa_token=e0scblmfsMoAAAAA:GyeIHf34QV9fRCzucD3tTQoXt6ub-VhiYuKDzAUucj0n_5y2QYRilfvvLoz6PayW70IVLJzR9fsAYw</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Cole, S. (2013). </w:t>
      </w:r>
      <w:r w:rsidRPr="008F6EFE">
        <w:rPr>
          <w:rFonts w:ascii="Arial" w:eastAsia="Times New Roman" w:hAnsi="Arial" w:cs="Arial"/>
          <w:i/>
          <w:iCs/>
          <w:color w:val="000000"/>
          <w:sz w:val="24"/>
          <w:szCs w:val="24"/>
        </w:rPr>
        <w:t>A Surfeit of Science: The "CSI Effect" and the Media Appropriation of the Public Understanding of Science</w:t>
      </w:r>
      <w:r w:rsidRPr="008F6EFE">
        <w:rPr>
          <w:rFonts w:ascii="Arial" w:eastAsia="Times New Roman" w:hAnsi="Arial" w:cs="Arial"/>
          <w:color w:val="000000"/>
          <w:sz w:val="24"/>
          <w:szCs w:val="24"/>
        </w:rPr>
        <w:t xml:space="preserve">. Public Understanding of Science, [online] 24(2). Available at: </w:t>
      </w:r>
      <w:hyperlink r:id="rId16" w:history="1">
        <w:r w:rsidRPr="008F6EFE">
          <w:rPr>
            <w:rFonts w:ascii="Arial" w:eastAsia="Times New Roman" w:hAnsi="Arial" w:cs="Arial"/>
            <w:color w:val="1155CC"/>
            <w:sz w:val="24"/>
            <w:szCs w:val="24"/>
            <w:u w:val="single"/>
          </w:rPr>
          <w:t>https://journals.sagepub.com/doi/full/10.1177/0963662513481294?casa_toke</w:t>
        </w:r>
        <w:r w:rsidRPr="008F6EFE">
          <w:rPr>
            <w:rFonts w:ascii="Arial" w:eastAsia="Times New Roman" w:hAnsi="Arial" w:cs="Arial"/>
            <w:color w:val="1155CC"/>
            <w:sz w:val="24"/>
            <w:szCs w:val="24"/>
            <w:u w:val="single"/>
          </w:rPr>
          <w:lastRenderedPageBreak/>
          <w:t>n=90XL5s6tsa8AAAAA%3AwaS-zw7wsS18aF1c-SukxhTwBUYRbNgTPESVZmDNfSXMBrLTU-XLvJbL8KhasTWHt4SGKPs25ZsRh_c</w:t>
        </w:r>
      </w:hyperlink>
      <w:r w:rsidRPr="008F6EFE">
        <w:rPr>
          <w:rFonts w:ascii="Arial" w:eastAsia="Times New Roman" w:hAnsi="Arial" w:cs="Arial"/>
          <w:color w:val="000000"/>
          <w:sz w:val="24"/>
          <w:szCs w:val="24"/>
        </w:rPr>
        <w:t xml:space="preserve"> [Accessed 4 November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College of Policing. (2016). </w:t>
      </w:r>
      <w:r w:rsidRPr="008F6EFE">
        <w:rPr>
          <w:rFonts w:ascii="Arial" w:eastAsia="Times New Roman" w:hAnsi="Arial" w:cs="Arial"/>
          <w:i/>
          <w:iCs/>
          <w:color w:val="000000"/>
          <w:sz w:val="24"/>
          <w:szCs w:val="24"/>
        </w:rPr>
        <w:t>First Response</w:t>
      </w:r>
      <w:r w:rsidRPr="008F6EFE">
        <w:rPr>
          <w:rFonts w:ascii="Arial" w:eastAsia="Times New Roman" w:hAnsi="Arial" w:cs="Arial"/>
          <w:color w:val="000000"/>
          <w:sz w:val="24"/>
          <w:szCs w:val="24"/>
        </w:rPr>
        <w:t xml:space="preserve">. [online] College of Policing. Available at: </w:t>
      </w:r>
      <w:hyperlink r:id="rId17" w:history="1">
        <w:r w:rsidRPr="008F6EFE">
          <w:rPr>
            <w:rFonts w:ascii="Arial" w:eastAsia="Times New Roman" w:hAnsi="Arial" w:cs="Arial"/>
            <w:color w:val="1155CC"/>
            <w:sz w:val="24"/>
            <w:szCs w:val="24"/>
            <w:u w:val="single"/>
          </w:rPr>
          <w:t>https://www.app.college.police.uk/app-content/major-investigation-and-public-protection/domestic-abuse/first-response/</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College of Policing. (2017). </w:t>
      </w:r>
      <w:r w:rsidRPr="008F6EFE">
        <w:rPr>
          <w:rFonts w:ascii="Arial" w:eastAsia="Times New Roman" w:hAnsi="Arial" w:cs="Arial"/>
          <w:i/>
          <w:iCs/>
          <w:color w:val="000000"/>
          <w:sz w:val="24"/>
          <w:szCs w:val="24"/>
        </w:rPr>
        <w:t>Forensics</w:t>
      </w:r>
      <w:r w:rsidRPr="008F6EFE">
        <w:rPr>
          <w:rFonts w:ascii="Arial" w:eastAsia="Times New Roman" w:hAnsi="Arial" w:cs="Arial"/>
          <w:color w:val="000000"/>
          <w:sz w:val="24"/>
          <w:szCs w:val="24"/>
        </w:rPr>
        <w:t xml:space="preserve">. [online] College of Policing. Available at: </w:t>
      </w:r>
      <w:hyperlink r:id="rId18" w:history="1">
        <w:r w:rsidRPr="008F6EFE">
          <w:rPr>
            <w:rFonts w:ascii="Arial" w:eastAsia="Times New Roman" w:hAnsi="Arial" w:cs="Arial"/>
            <w:color w:val="1155CC"/>
            <w:sz w:val="24"/>
            <w:szCs w:val="24"/>
            <w:u w:val="single"/>
          </w:rPr>
          <w:t>https://www.app.college.police.uk/app-content/investigations/forensics/</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College of Policing. (2019). </w:t>
      </w:r>
      <w:r w:rsidRPr="008F6EFE">
        <w:rPr>
          <w:rFonts w:ascii="Arial" w:eastAsia="Times New Roman" w:hAnsi="Arial" w:cs="Arial"/>
          <w:i/>
          <w:iCs/>
          <w:color w:val="000000"/>
          <w:sz w:val="24"/>
          <w:szCs w:val="24"/>
        </w:rPr>
        <w:t>Investigation Process</w:t>
      </w:r>
      <w:r w:rsidRPr="008F6EFE">
        <w:rPr>
          <w:rFonts w:ascii="Arial" w:eastAsia="Times New Roman" w:hAnsi="Arial" w:cs="Arial"/>
          <w:color w:val="000000"/>
          <w:sz w:val="24"/>
          <w:szCs w:val="24"/>
        </w:rPr>
        <w:t xml:space="preserve">. [online] College of Policing. Available at: </w:t>
      </w:r>
      <w:hyperlink r:id="rId19" w:history="1">
        <w:r w:rsidRPr="008F6EFE">
          <w:rPr>
            <w:rFonts w:ascii="Arial" w:eastAsia="Times New Roman" w:hAnsi="Arial" w:cs="Arial"/>
            <w:color w:val="1155CC"/>
            <w:sz w:val="24"/>
            <w:szCs w:val="24"/>
            <w:u w:val="single"/>
          </w:rPr>
          <w:t>https://www.app.college.police.uk/app-content/investigations/investigation-process/</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Connor, P., Hutton, G., Johnston, D. and McKinnon, G. (2020). </w:t>
      </w:r>
      <w:r w:rsidRPr="008F6EFE">
        <w:rPr>
          <w:rFonts w:ascii="Arial" w:eastAsia="Times New Roman" w:hAnsi="Arial" w:cs="Arial"/>
          <w:i/>
          <w:iCs/>
          <w:color w:val="000000"/>
          <w:sz w:val="24"/>
          <w:szCs w:val="24"/>
        </w:rPr>
        <w:t>Blackstone's Police Investigators' Manual 2020</w:t>
      </w:r>
      <w:r w:rsidRPr="008F6EFE">
        <w:rPr>
          <w:rFonts w:ascii="Arial" w:eastAsia="Times New Roman" w:hAnsi="Arial" w:cs="Arial"/>
          <w:color w:val="000000"/>
          <w:sz w:val="24"/>
          <w:szCs w:val="24"/>
        </w:rPr>
        <w:t>. [</w:t>
      </w:r>
      <w:proofErr w:type="spellStart"/>
      <w:r w:rsidRPr="008F6EFE">
        <w:rPr>
          <w:rFonts w:ascii="Arial" w:eastAsia="Times New Roman" w:hAnsi="Arial" w:cs="Arial"/>
          <w:color w:val="000000"/>
          <w:sz w:val="24"/>
          <w:szCs w:val="24"/>
        </w:rPr>
        <w:t>ebook</w:t>
      </w:r>
      <w:proofErr w:type="spellEnd"/>
      <w:r w:rsidRPr="008F6EFE">
        <w:rPr>
          <w:rFonts w:ascii="Arial" w:eastAsia="Times New Roman" w:hAnsi="Arial" w:cs="Arial"/>
          <w:color w:val="000000"/>
          <w:sz w:val="24"/>
          <w:szCs w:val="24"/>
        </w:rPr>
        <w:t xml:space="preserve">] Oxford: Oxford University Press. Available at: </w:t>
      </w:r>
      <w:hyperlink r:id="rId20" w:history="1">
        <w:r w:rsidRPr="008F6EFE">
          <w:rPr>
            <w:rFonts w:ascii="Arial" w:eastAsia="Times New Roman" w:hAnsi="Arial" w:cs="Arial"/>
            <w:color w:val="1155CC"/>
            <w:sz w:val="24"/>
            <w:szCs w:val="24"/>
            <w:u w:val="single"/>
          </w:rPr>
          <w:t>https://moodle.uwtsd.ac.uk/pluginfile.php/426333/mod_resource/content/1/Blackstones%20FAO.pdf</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Cook, T., </w:t>
      </w:r>
      <w:proofErr w:type="spellStart"/>
      <w:r w:rsidRPr="008F6EFE">
        <w:rPr>
          <w:rFonts w:ascii="Arial" w:eastAsia="Times New Roman" w:hAnsi="Arial" w:cs="Arial"/>
          <w:color w:val="000000"/>
          <w:sz w:val="24"/>
          <w:szCs w:val="24"/>
        </w:rPr>
        <w:t>Hibbit</w:t>
      </w:r>
      <w:proofErr w:type="spellEnd"/>
      <w:r w:rsidRPr="008F6EFE">
        <w:rPr>
          <w:rFonts w:ascii="Arial" w:eastAsia="Times New Roman" w:hAnsi="Arial" w:cs="Arial"/>
          <w:color w:val="000000"/>
          <w:sz w:val="24"/>
          <w:szCs w:val="24"/>
        </w:rPr>
        <w:t xml:space="preserve">, S. and Hill, M. (2013). </w:t>
      </w:r>
      <w:r w:rsidRPr="008F6EFE">
        <w:rPr>
          <w:rFonts w:ascii="Arial" w:eastAsia="Times New Roman" w:hAnsi="Arial" w:cs="Arial"/>
          <w:i/>
          <w:iCs/>
          <w:color w:val="000000"/>
          <w:sz w:val="24"/>
          <w:szCs w:val="24"/>
        </w:rPr>
        <w:t>Blackstone’s Crime Investigator's Handbook</w:t>
      </w:r>
      <w:r w:rsidRPr="008F6EFE">
        <w:rPr>
          <w:rFonts w:ascii="Arial" w:eastAsia="Times New Roman" w:hAnsi="Arial" w:cs="Arial"/>
          <w:color w:val="000000"/>
          <w:sz w:val="24"/>
          <w:szCs w:val="24"/>
        </w:rPr>
        <w:t>. [</w:t>
      </w:r>
      <w:proofErr w:type="spellStart"/>
      <w:r w:rsidRPr="008F6EFE">
        <w:rPr>
          <w:rFonts w:ascii="Arial" w:eastAsia="Times New Roman" w:hAnsi="Arial" w:cs="Arial"/>
          <w:color w:val="000000"/>
          <w:sz w:val="24"/>
          <w:szCs w:val="24"/>
        </w:rPr>
        <w:t>ebook</w:t>
      </w:r>
      <w:proofErr w:type="spellEnd"/>
      <w:r w:rsidRPr="008F6EFE">
        <w:rPr>
          <w:rFonts w:ascii="Arial" w:eastAsia="Times New Roman" w:hAnsi="Arial" w:cs="Arial"/>
          <w:color w:val="000000"/>
          <w:sz w:val="24"/>
          <w:szCs w:val="24"/>
        </w:rPr>
        <w:t xml:space="preserve">] Oxford: Oxford University Press. Preview Used and </w:t>
      </w:r>
      <w:r w:rsidRPr="008F6EFE">
        <w:rPr>
          <w:rFonts w:ascii="Arial" w:eastAsia="Times New Roman" w:hAnsi="Arial" w:cs="Arial"/>
          <w:color w:val="000000"/>
          <w:sz w:val="24"/>
          <w:szCs w:val="24"/>
        </w:rPr>
        <w:lastRenderedPageBreak/>
        <w:t xml:space="preserve">Available at: </w:t>
      </w:r>
      <w:hyperlink r:id="rId21" w:history="1">
        <w:r w:rsidRPr="008F6EFE">
          <w:rPr>
            <w:rFonts w:ascii="Arial" w:eastAsia="Times New Roman" w:hAnsi="Arial" w:cs="Arial"/>
            <w:color w:val="1155CC"/>
            <w:sz w:val="24"/>
            <w:szCs w:val="24"/>
            <w:u w:val="single"/>
          </w:rPr>
          <w:t>https://www.amazon.co.uk/Blackstones-Crime-Investigators-Handbook-Tony/dp/0199662932</w:t>
        </w:r>
      </w:hyperlink>
      <w:r w:rsidRPr="008F6EFE">
        <w:rPr>
          <w:rFonts w:ascii="Arial" w:eastAsia="Times New Roman" w:hAnsi="Arial" w:cs="Arial"/>
          <w:color w:val="000000"/>
          <w:sz w:val="24"/>
          <w:szCs w:val="24"/>
        </w:rPr>
        <w:t>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CPS. (2017). </w:t>
      </w:r>
      <w:r w:rsidRPr="008F6EFE">
        <w:rPr>
          <w:rFonts w:ascii="Arial" w:eastAsia="Times New Roman" w:hAnsi="Arial" w:cs="Arial"/>
          <w:i/>
          <w:iCs/>
          <w:color w:val="000000"/>
          <w:sz w:val="24"/>
          <w:szCs w:val="24"/>
        </w:rPr>
        <w:t>Reporting A Crime</w:t>
      </w:r>
      <w:r w:rsidRPr="008F6EFE">
        <w:rPr>
          <w:rFonts w:ascii="Arial" w:eastAsia="Times New Roman" w:hAnsi="Arial" w:cs="Arial"/>
          <w:color w:val="000000"/>
          <w:sz w:val="24"/>
          <w:szCs w:val="24"/>
        </w:rPr>
        <w:t xml:space="preserve">. [online] CPS - Crown Prosecution Service. Available at: </w:t>
      </w:r>
      <w:hyperlink r:id="rId22" w:history="1">
        <w:r w:rsidRPr="008F6EFE">
          <w:rPr>
            <w:rFonts w:ascii="Arial" w:eastAsia="Times New Roman" w:hAnsi="Arial" w:cs="Arial"/>
            <w:color w:val="1155CC"/>
            <w:sz w:val="24"/>
            <w:szCs w:val="24"/>
            <w:u w:val="single"/>
          </w:rPr>
          <w:t>https://www.cps.gov.uk/reporting-crime</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Crime Museum. (2010). </w:t>
      </w:r>
      <w:r w:rsidRPr="008F6EFE">
        <w:rPr>
          <w:rFonts w:ascii="Arial" w:eastAsia="Times New Roman" w:hAnsi="Arial" w:cs="Arial"/>
          <w:i/>
          <w:iCs/>
          <w:color w:val="000000"/>
          <w:sz w:val="24"/>
          <w:szCs w:val="24"/>
        </w:rPr>
        <w:t>Forensics At The OJ Simpson Trial</w:t>
      </w:r>
      <w:r w:rsidRPr="008F6EFE">
        <w:rPr>
          <w:rFonts w:ascii="Arial" w:eastAsia="Times New Roman" w:hAnsi="Arial" w:cs="Arial"/>
          <w:color w:val="000000"/>
          <w:sz w:val="24"/>
          <w:szCs w:val="24"/>
        </w:rPr>
        <w:t xml:space="preserve">. [online] Crime Museum. Available at: </w:t>
      </w:r>
      <w:hyperlink r:id="rId23" w:history="1">
        <w:r w:rsidRPr="008F6EFE">
          <w:rPr>
            <w:rFonts w:ascii="Arial" w:eastAsia="Times New Roman" w:hAnsi="Arial" w:cs="Arial"/>
            <w:color w:val="1155CC"/>
            <w:sz w:val="24"/>
            <w:szCs w:val="24"/>
            <w:u w:val="single"/>
          </w:rPr>
          <w:t>https://www.crimemuseum.org/crime-library/famous-murders/forensic-investigation-of-the-oj-simpson-trial/</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Criminal Procedure and Investigations Act 1996. Available at: </w:t>
      </w:r>
      <w:hyperlink r:id="rId24" w:history="1">
        <w:r w:rsidRPr="008F6EFE">
          <w:rPr>
            <w:rFonts w:ascii="Arial" w:eastAsia="Times New Roman" w:hAnsi="Arial" w:cs="Arial"/>
            <w:color w:val="1155CC"/>
            <w:sz w:val="24"/>
            <w:szCs w:val="24"/>
            <w:u w:val="single"/>
          </w:rPr>
          <w:t>https://www.legislation.gov.uk/ukpga/1996/25/contents</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Dawson, L. and </w:t>
      </w:r>
      <w:proofErr w:type="spellStart"/>
      <w:r w:rsidRPr="008F6EFE">
        <w:rPr>
          <w:rFonts w:ascii="Arial" w:eastAsia="Times New Roman" w:hAnsi="Arial" w:cs="Arial"/>
          <w:color w:val="000000"/>
          <w:sz w:val="24"/>
          <w:szCs w:val="24"/>
        </w:rPr>
        <w:t>Gannicliffe</w:t>
      </w:r>
      <w:proofErr w:type="spellEnd"/>
      <w:r w:rsidRPr="008F6EFE">
        <w:rPr>
          <w:rFonts w:ascii="Arial" w:eastAsia="Times New Roman" w:hAnsi="Arial" w:cs="Arial"/>
          <w:color w:val="000000"/>
          <w:sz w:val="24"/>
          <w:szCs w:val="24"/>
        </w:rPr>
        <w:t xml:space="preserve">, C. (2017). </w:t>
      </w:r>
      <w:r w:rsidRPr="008F6EFE">
        <w:rPr>
          <w:rFonts w:ascii="Arial" w:eastAsia="Times New Roman" w:hAnsi="Arial" w:cs="Arial"/>
          <w:i/>
          <w:iCs/>
          <w:color w:val="000000"/>
          <w:sz w:val="24"/>
          <w:szCs w:val="24"/>
        </w:rPr>
        <w:t>Managing The Myths - The CSI Effect In Forensic Science</w:t>
      </w:r>
      <w:r w:rsidRPr="008F6EFE">
        <w:rPr>
          <w:rFonts w:ascii="Arial" w:eastAsia="Times New Roman" w:hAnsi="Arial" w:cs="Arial"/>
          <w:color w:val="000000"/>
          <w:sz w:val="24"/>
          <w:szCs w:val="24"/>
        </w:rPr>
        <w:t>. [</w:t>
      </w:r>
      <w:proofErr w:type="spellStart"/>
      <w:r w:rsidRPr="008F6EFE">
        <w:rPr>
          <w:rFonts w:ascii="Arial" w:eastAsia="Times New Roman" w:hAnsi="Arial" w:cs="Arial"/>
          <w:color w:val="000000"/>
          <w:sz w:val="24"/>
          <w:szCs w:val="24"/>
        </w:rPr>
        <w:t>ebook</w:t>
      </w:r>
      <w:proofErr w:type="spellEnd"/>
      <w:r w:rsidRPr="008F6EFE">
        <w:rPr>
          <w:rFonts w:ascii="Arial" w:eastAsia="Times New Roman" w:hAnsi="Arial" w:cs="Arial"/>
          <w:color w:val="000000"/>
          <w:sz w:val="24"/>
          <w:szCs w:val="24"/>
        </w:rPr>
        <w:t xml:space="preserve">] Aberdeen: Microbiology Society. Available at: </w:t>
      </w:r>
      <w:hyperlink r:id="rId25" w:history="1">
        <w:r w:rsidRPr="008F6EFE">
          <w:rPr>
            <w:rFonts w:ascii="Arial" w:eastAsia="Times New Roman" w:hAnsi="Arial" w:cs="Arial"/>
            <w:color w:val="1155CC"/>
            <w:sz w:val="24"/>
            <w:szCs w:val="24"/>
            <w:u w:val="single"/>
          </w:rPr>
          <w:t>https://microbiologysociety.org/publication/past-issues/microbiology-in-popular-culture/article/managing-the-myths-the-csi-effect-in-forensic-science.html</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Duke Law. (2017). </w:t>
      </w:r>
      <w:r w:rsidRPr="008F6EFE">
        <w:rPr>
          <w:rFonts w:ascii="Arial" w:eastAsia="Times New Roman" w:hAnsi="Arial" w:cs="Arial"/>
          <w:i/>
          <w:iCs/>
          <w:color w:val="000000"/>
          <w:sz w:val="24"/>
          <w:szCs w:val="24"/>
        </w:rPr>
        <w:t>An Overview Of Presumptive And Confirmatory Testing In The Forensic Sciences.</w:t>
      </w:r>
      <w:r w:rsidRPr="008F6EFE">
        <w:rPr>
          <w:rFonts w:ascii="Arial" w:eastAsia="Times New Roman" w:hAnsi="Arial" w:cs="Arial"/>
          <w:color w:val="000000"/>
          <w:sz w:val="24"/>
          <w:szCs w:val="24"/>
        </w:rPr>
        <w:t xml:space="preserve"> [online] Duke University School of Law. Available at: </w:t>
      </w:r>
      <w:hyperlink r:id="rId26" w:history="1">
        <w:r w:rsidRPr="008F6EFE">
          <w:rPr>
            <w:rFonts w:ascii="Arial" w:eastAsia="Times New Roman" w:hAnsi="Arial" w:cs="Arial"/>
            <w:color w:val="1155CC"/>
            <w:sz w:val="24"/>
            <w:szCs w:val="24"/>
            <w:u w:val="single"/>
          </w:rPr>
          <w:t>https://sites.law.duke.edu/forensicsforum/2017/03/17/an-overview-of-</w:t>
        </w:r>
        <w:r w:rsidRPr="008F6EFE">
          <w:rPr>
            <w:rFonts w:ascii="Arial" w:eastAsia="Times New Roman" w:hAnsi="Arial" w:cs="Arial"/>
            <w:color w:val="1155CC"/>
            <w:sz w:val="24"/>
            <w:szCs w:val="24"/>
            <w:u w:val="single"/>
          </w:rPr>
          <w:lastRenderedPageBreak/>
          <w:t>presumptive-and-confirmatory-testing-in-the-forensic-sciences/</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ENFSI. (2012). </w:t>
      </w:r>
      <w:r w:rsidRPr="008F6EFE">
        <w:rPr>
          <w:rFonts w:ascii="Arial" w:eastAsia="Times New Roman" w:hAnsi="Arial" w:cs="Arial"/>
          <w:i/>
          <w:iCs/>
          <w:color w:val="000000"/>
          <w:sz w:val="24"/>
          <w:szCs w:val="24"/>
        </w:rPr>
        <w:t>Scenes Of Crime Examination - Best Practice Manual</w:t>
      </w:r>
      <w:r w:rsidRPr="008F6EFE">
        <w:rPr>
          <w:rFonts w:ascii="Arial" w:eastAsia="Times New Roman" w:hAnsi="Arial" w:cs="Arial"/>
          <w:color w:val="000000"/>
          <w:sz w:val="24"/>
          <w:szCs w:val="24"/>
        </w:rPr>
        <w:t>. [</w:t>
      </w:r>
      <w:proofErr w:type="spellStart"/>
      <w:r w:rsidRPr="008F6EFE">
        <w:rPr>
          <w:rFonts w:ascii="Arial" w:eastAsia="Times New Roman" w:hAnsi="Arial" w:cs="Arial"/>
          <w:color w:val="000000"/>
          <w:sz w:val="24"/>
          <w:szCs w:val="24"/>
        </w:rPr>
        <w:t>ebook</w:t>
      </w:r>
      <w:proofErr w:type="spellEnd"/>
      <w:r w:rsidRPr="008F6EFE">
        <w:rPr>
          <w:rFonts w:ascii="Arial" w:eastAsia="Times New Roman" w:hAnsi="Arial" w:cs="Arial"/>
          <w:color w:val="000000"/>
          <w:sz w:val="24"/>
          <w:szCs w:val="24"/>
        </w:rPr>
        <w:t xml:space="preserve">] Wiesbaden: ENFSI - European Network of Forensic Science Institutes. Available at: </w:t>
      </w:r>
      <w:hyperlink r:id="rId27" w:history="1">
        <w:r w:rsidRPr="008F6EFE">
          <w:rPr>
            <w:rFonts w:ascii="Arial" w:eastAsia="Times New Roman" w:hAnsi="Arial" w:cs="Arial"/>
            <w:color w:val="1155CC"/>
            <w:sz w:val="24"/>
            <w:szCs w:val="24"/>
            <w:u w:val="single"/>
          </w:rPr>
          <w:t>https://moodle.uwtsd.ac.uk/pluginfile.php/354373/mod_resource/content/1/ENFSI%20forensic.pdf</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Essex Police. (2020). </w:t>
      </w:r>
      <w:r w:rsidRPr="008F6EFE">
        <w:rPr>
          <w:rFonts w:ascii="Arial" w:eastAsia="Times New Roman" w:hAnsi="Arial" w:cs="Arial"/>
          <w:i/>
          <w:iCs/>
          <w:color w:val="000000"/>
          <w:sz w:val="24"/>
          <w:szCs w:val="24"/>
        </w:rPr>
        <w:t>Detectives Appeal For Fresh Information About The Rape And Murder Of Stuart Lubbock</w:t>
      </w:r>
      <w:r w:rsidRPr="008F6EFE">
        <w:rPr>
          <w:rFonts w:ascii="Arial" w:eastAsia="Times New Roman" w:hAnsi="Arial" w:cs="Arial"/>
          <w:color w:val="000000"/>
          <w:sz w:val="24"/>
          <w:szCs w:val="24"/>
        </w:rPr>
        <w:t xml:space="preserve">. [online] Essex Police. Available at: </w:t>
      </w:r>
      <w:hyperlink r:id="rId28" w:history="1">
        <w:r w:rsidRPr="008F6EFE">
          <w:rPr>
            <w:rFonts w:ascii="Arial" w:eastAsia="Times New Roman" w:hAnsi="Arial" w:cs="Arial"/>
            <w:color w:val="1155CC"/>
            <w:sz w:val="24"/>
            <w:szCs w:val="24"/>
            <w:u w:val="single"/>
          </w:rPr>
          <w:t>https://www.essex.police.uk/news/essex/news/news/2020/february/detectives-appeal-for-fresh-information-about-the-rape-and-murder-of-stuart-lubbock/</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Forensic Evidence. (2020). </w:t>
      </w:r>
      <w:r w:rsidRPr="008F6EFE">
        <w:rPr>
          <w:rFonts w:ascii="Arial" w:eastAsia="Times New Roman" w:hAnsi="Arial" w:cs="Arial"/>
          <w:i/>
          <w:iCs/>
          <w:color w:val="000000"/>
          <w:sz w:val="24"/>
          <w:szCs w:val="24"/>
        </w:rPr>
        <w:t>Forensic Evidence: UK's Premier Expert Witness Service</w:t>
      </w:r>
      <w:r w:rsidRPr="008F6EFE">
        <w:rPr>
          <w:rFonts w:ascii="Arial" w:eastAsia="Times New Roman" w:hAnsi="Arial" w:cs="Arial"/>
          <w:color w:val="000000"/>
          <w:sz w:val="24"/>
          <w:szCs w:val="24"/>
        </w:rPr>
        <w:t xml:space="preserve">. [online] Forensic Evidence. Available at: </w:t>
      </w:r>
      <w:hyperlink r:id="rId29" w:history="1">
        <w:r w:rsidRPr="008F6EFE">
          <w:rPr>
            <w:rFonts w:ascii="Arial" w:eastAsia="Times New Roman" w:hAnsi="Arial" w:cs="Arial"/>
            <w:color w:val="1155CC"/>
            <w:sz w:val="24"/>
            <w:szCs w:val="24"/>
            <w:u w:val="single"/>
          </w:rPr>
          <w:t>http://www.forensic-evidence.co.uk/</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Forensic Library. (2018). </w:t>
      </w:r>
      <w:r w:rsidRPr="008F6EFE">
        <w:rPr>
          <w:rFonts w:ascii="Arial" w:eastAsia="Times New Roman" w:hAnsi="Arial" w:cs="Arial"/>
          <w:i/>
          <w:iCs/>
          <w:color w:val="000000"/>
          <w:sz w:val="24"/>
          <w:szCs w:val="24"/>
        </w:rPr>
        <w:t>Crime Scenes - First Attending Officer</w:t>
      </w:r>
      <w:r w:rsidRPr="008F6EFE">
        <w:rPr>
          <w:rFonts w:ascii="Arial" w:eastAsia="Times New Roman" w:hAnsi="Arial" w:cs="Arial"/>
          <w:color w:val="000000"/>
          <w:sz w:val="24"/>
          <w:szCs w:val="24"/>
        </w:rPr>
        <w:t xml:space="preserve">. [online] The Forensics Library. Available at: </w:t>
      </w:r>
      <w:hyperlink r:id="rId30" w:history="1">
        <w:r w:rsidRPr="008F6EFE">
          <w:rPr>
            <w:rFonts w:ascii="Arial" w:eastAsia="Times New Roman" w:hAnsi="Arial" w:cs="Arial"/>
            <w:color w:val="1155CC"/>
            <w:sz w:val="24"/>
            <w:szCs w:val="24"/>
            <w:u w:val="single"/>
          </w:rPr>
          <w:t>https://aboutforensics.co.uk/crime-scenes/</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lastRenderedPageBreak/>
        <w:t xml:space="preserve">Forensic Library. (2019). </w:t>
      </w:r>
      <w:r w:rsidRPr="008F6EFE">
        <w:rPr>
          <w:rFonts w:ascii="Arial" w:eastAsia="Times New Roman" w:hAnsi="Arial" w:cs="Arial"/>
          <w:i/>
          <w:iCs/>
          <w:color w:val="000000"/>
          <w:sz w:val="24"/>
          <w:szCs w:val="24"/>
        </w:rPr>
        <w:t>Trace Evidence</w:t>
      </w:r>
      <w:r w:rsidRPr="008F6EFE">
        <w:rPr>
          <w:rFonts w:ascii="Arial" w:eastAsia="Times New Roman" w:hAnsi="Arial" w:cs="Arial"/>
          <w:color w:val="000000"/>
          <w:sz w:val="24"/>
          <w:szCs w:val="24"/>
        </w:rPr>
        <w:t xml:space="preserve">. [online] The Forensics Library. Available at: </w:t>
      </w:r>
      <w:hyperlink r:id="rId31" w:history="1">
        <w:r w:rsidRPr="008F6EFE">
          <w:rPr>
            <w:rFonts w:ascii="Arial" w:eastAsia="Times New Roman" w:hAnsi="Arial" w:cs="Arial"/>
            <w:color w:val="1155CC"/>
            <w:sz w:val="24"/>
            <w:szCs w:val="24"/>
            <w:u w:val="single"/>
          </w:rPr>
          <w:t>https://aboutforensics.co.uk/trace-evidence/</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Forensic Science Regulator. (2015). </w:t>
      </w:r>
      <w:r w:rsidRPr="008F6EFE">
        <w:rPr>
          <w:rFonts w:ascii="Arial" w:eastAsia="Times New Roman" w:hAnsi="Arial" w:cs="Arial"/>
          <w:i/>
          <w:iCs/>
          <w:color w:val="000000"/>
          <w:sz w:val="24"/>
          <w:szCs w:val="24"/>
        </w:rPr>
        <w:t>The Control And Avoidance Of Contamination In Crime Scene Examination Involving DNA Evidence Recovery</w:t>
      </w:r>
      <w:r w:rsidRPr="008F6EFE">
        <w:rPr>
          <w:rFonts w:ascii="Arial" w:eastAsia="Times New Roman" w:hAnsi="Arial" w:cs="Arial"/>
          <w:color w:val="000000"/>
          <w:sz w:val="24"/>
          <w:szCs w:val="24"/>
        </w:rPr>
        <w:t>. [</w:t>
      </w:r>
      <w:proofErr w:type="spellStart"/>
      <w:r w:rsidRPr="008F6EFE">
        <w:rPr>
          <w:rFonts w:ascii="Arial" w:eastAsia="Times New Roman" w:hAnsi="Arial" w:cs="Arial"/>
          <w:color w:val="000000"/>
          <w:sz w:val="24"/>
          <w:szCs w:val="24"/>
        </w:rPr>
        <w:t>ebook</w:t>
      </w:r>
      <w:proofErr w:type="spellEnd"/>
      <w:r w:rsidRPr="008F6EFE">
        <w:rPr>
          <w:rFonts w:ascii="Arial" w:eastAsia="Times New Roman" w:hAnsi="Arial" w:cs="Arial"/>
          <w:color w:val="000000"/>
          <w:sz w:val="24"/>
          <w:szCs w:val="24"/>
        </w:rPr>
        <w:t xml:space="preserve">] London: Forensic Science Regulator. Available at: </w:t>
      </w:r>
      <w:hyperlink r:id="rId32" w:history="1">
        <w:r w:rsidRPr="008F6EFE">
          <w:rPr>
            <w:rFonts w:ascii="Arial" w:eastAsia="Times New Roman" w:hAnsi="Arial" w:cs="Arial"/>
            <w:color w:val="1155CC"/>
            <w:sz w:val="24"/>
            <w:szCs w:val="24"/>
            <w:u w:val="single"/>
          </w:rPr>
          <w:t>https://assets.publishing.service.gov.uk/government/uploads/system/uploads/attachment_data/file/393866/206_FSR_SOC_contamination_consultation.pdf</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Fowler, C. and </w:t>
      </w:r>
      <w:proofErr w:type="spellStart"/>
      <w:r w:rsidRPr="008F6EFE">
        <w:rPr>
          <w:rFonts w:ascii="Arial" w:eastAsia="Times New Roman" w:hAnsi="Arial" w:cs="Arial"/>
          <w:color w:val="000000"/>
          <w:sz w:val="24"/>
          <w:szCs w:val="24"/>
        </w:rPr>
        <w:t>Horswell</w:t>
      </w:r>
      <w:proofErr w:type="spellEnd"/>
      <w:r w:rsidRPr="008F6EFE">
        <w:rPr>
          <w:rFonts w:ascii="Arial" w:eastAsia="Times New Roman" w:hAnsi="Arial" w:cs="Arial"/>
          <w:color w:val="000000"/>
          <w:sz w:val="24"/>
          <w:szCs w:val="24"/>
        </w:rPr>
        <w:t xml:space="preserve">, J. (2004). </w:t>
      </w:r>
      <w:r w:rsidRPr="008F6EFE">
        <w:rPr>
          <w:rFonts w:ascii="Arial" w:eastAsia="Times New Roman" w:hAnsi="Arial" w:cs="Arial"/>
          <w:i/>
          <w:iCs/>
          <w:color w:val="000000"/>
          <w:sz w:val="24"/>
          <w:szCs w:val="24"/>
        </w:rPr>
        <w:t>The Practice Of Crime Scene Investigation - International Forensic Science And Investigation</w:t>
      </w:r>
      <w:r w:rsidRPr="008F6EFE">
        <w:rPr>
          <w:rFonts w:ascii="Arial" w:eastAsia="Times New Roman" w:hAnsi="Arial" w:cs="Arial"/>
          <w:color w:val="000000"/>
          <w:sz w:val="24"/>
          <w:szCs w:val="24"/>
        </w:rPr>
        <w:t>. [</w:t>
      </w:r>
      <w:proofErr w:type="spellStart"/>
      <w:r w:rsidRPr="008F6EFE">
        <w:rPr>
          <w:rFonts w:ascii="Arial" w:eastAsia="Times New Roman" w:hAnsi="Arial" w:cs="Arial"/>
          <w:color w:val="000000"/>
          <w:sz w:val="24"/>
          <w:szCs w:val="24"/>
        </w:rPr>
        <w:t>ebook</w:t>
      </w:r>
      <w:proofErr w:type="spellEnd"/>
      <w:r w:rsidRPr="008F6EFE">
        <w:rPr>
          <w:rFonts w:ascii="Arial" w:eastAsia="Times New Roman" w:hAnsi="Arial" w:cs="Arial"/>
          <w:color w:val="000000"/>
          <w:sz w:val="24"/>
          <w:szCs w:val="24"/>
        </w:rPr>
        <w:t xml:space="preserve">] London: CRC Press. Available at: </w:t>
      </w:r>
      <w:hyperlink r:id="rId33" w:anchor="v=onepage&amp;q&amp;f=false" w:history="1">
        <w:r w:rsidRPr="008F6EFE">
          <w:rPr>
            <w:rFonts w:ascii="Arial" w:eastAsia="Times New Roman" w:hAnsi="Arial" w:cs="Arial"/>
            <w:color w:val="1155CC"/>
            <w:sz w:val="24"/>
            <w:szCs w:val="24"/>
            <w:u w:val="single"/>
          </w:rPr>
          <w:t>https://books.google.co.uk/books?hl=en&amp;lr=&amp;id=Ai7wOMS1z0EC&amp;oi=fnd&amp;pg=PA45&amp;dq=%27s&amp;ots=rp18cMasFK&amp;sig=l1jGr96o9CaP1FS2wAqTDdYMgV8#v=onepage&amp;q&amp;f=false</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proofErr w:type="spellStart"/>
      <w:r w:rsidRPr="008F6EFE">
        <w:rPr>
          <w:rFonts w:ascii="Arial" w:eastAsia="Times New Roman" w:hAnsi="Arial" w:cs="Arial"/>
          <w:color w:val="000000"/>
          <w:sz w:val="24"/>
          <w:szCs w:val="24"/>
        </w:rPr>
        <w:t>Gehl</w:t>
      </w:r>
      <w:proofErr w:type="spellEnd"/>
      <w:r w:rsidRPr="008F6EFE">
        <w:rPr>
          <w:rFonts w:ascii="Arial" w:eastAsia="Times New Roman" w:hAnsi="Arial" w:cs="Arial"/>
          <w:color w:val="000000"/>
          <w:sz w:val="24"/>
          <w:szCs w:val="24"/>
        </w:rPr>
        <w:t xml:space="preserve">, R. and </w:t>
      </w:r>
      <w:proofErr w:type="spellStart"/>
      <w:r w:rsidRPr="008F6EFE">
        <w:rPr>
          <w:rFonts w:ascii="Arial" w:eastAsia="Times New Roman" w:hAnsi="Arial" w:cs="Arial"/>
          <w:color w:val="000000"/>
          <w:sz w:val="24"/>
          <w:szCs w:val="24"/>
        </w:rPr>
        <w:t>Plecas</w:t>
      </w:r>
      <w:proofErr w:type="spellEnd"/>
      <w:r w:rsidRPr="008F6EFE">
        <w:rPr>
          <w:rFonts w:ascii="Arial" w:eastAsia="Times New Roman" w:hAnsi="Arial" w:cs="Arial"/>
          <w:color w:val="000000"/>
          <w:sz w:val="24"/>
          <w:szCs w:val="24"/>
        </w:rPr>
        <w:t xml:space="preserve">, D. (2016). </w:t>
      </w:r>
      <w:r w:rsidRPr="008F6EFE">
        <w:rPr>
          <w:rFonts w:ascii="Arial" w:eastAsia="Times New Roman" w:hAnsi="Arial" w:cs="Arial"/>
          <w:i/>
          <w:iCs/>
          <w:color w:val="000000"/>
          <w:sz w:val="24"/>
          <w:szCs w:val="24"/>
        </w:rPr>
        <w:t>Introduction To Criminal Investigation: Processes, Practices And Thinking</w:t>
      </w:r>
      <w:r w:rsidRPr="008F6EFE">
        <w:rPr>
          <w:rFonts w:ascii="Arial" w:eastAsia="Times New Roman" w:hAnsi="Arial" w:cs="Arial"/>
          <w:color w:val="000000"/>
          <w:sz w:val="24"/>
          <w:szCs w:val="24"/>
        </w:rPr>
        <w:t>. [</w:t>
      </w:r>
      <w:proofErr w:type="spellStart"/>
      <w:r w:rsidRPr="008F6EFE">
        <w:rPr>
          <w:rFonts w:ascii="Arial" w:eastAsia="Times New Roman" w:hAnsi="Arial" w:cs="Arial"/>
          <w:color w:val="000000"/>
          <w:sz w:val="24"/>
          <w:szCs w:val="24"/>
        </w:rPr>
        <w:t>ebook</w:t>
      </w:r>
      <w:proofErr w:type="spellEnd"/>
      <w:r w:rsidRPr="008F6EFE">
        <w:rPr>
          <w:rFonts w:ascii="Arial" w:eastAsia="Times New Roman" w:hAnsi="Arial" w:cs="Arial"/>
          <w:color w:val="000000"/>
          <w:sz w:val="24"/>
          <w:szCs w:val="24"/>
        </w:rPr>
        <w:t xml:space="preserve">] New Westminster: Justice Institute of British Columbia. Available at: </w:t>
      </w:r>
      <w:hyperlink r:id="rId34" w:history="1">
        <w:r w:rsidRPr="008F6EFE">
          <w:rPr>
            <w:rFonts w:ascii="Arial" w:eastAsia="Times New Roman" w:hAnsi="Arial" w:cs="Arial"/>
            <w:color w:val="1155CC"/>
            <w:sz w:val="24"/>
            <w:szCs w:val="24"/>
            <w:u w:val="single"/>
          </w:rPr>
          <w:t>http://solr.bccampus.ca:8001/bcc/file/0c9b47a1-9309-470c-b83c-ed55f5e2a9ea/1/Introduction-to-Criminal-Investigation-Processes-Practices-and-Thinking.pdf</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lastRenderedPageBreak/>
        <w:t xml:space="preserve">Gill, P. (2016). </w:t>
      </w:r>
      <w:r w:rsidRPr="008F6EFE">
        <w:rPr>
          <w:rFonts w:ascii="Arial" w:eastAsia="Times New Roman" w:hAnsi="Arial" w:cs="Arial"/>
          <w:i/>
          <w:iCs/>
          <w:color w:val="000000"/>
          <w:sz w:val="24"/>
          <w:szCs w:val="24"/>
        </w:rPr>
        <w:t xml:space="preserve">Analysis and Implications of the Miscarriages of Justice of Amanda Knox and </w:t>
      </w:r>
      <w:proofErr w:type="spellStart"/>
      <w:r w:rsidRPr="008F6EFE">
        <w:rPr>
          <w:rFonts w:ascii="Arial" w:eastAsia="Times New Roman" w:hAnsi="Arial" w:cs="Arial"/>
          <w:i/>
          <w:iCs/>
          <w:color w:val="000000"/>
          <w:sz w:val="24"/>
          <w:szCs w:val="24"/>
        </w:rPr>
        <w:t>Raffaele</w:t>
      </w:r>
      <w:proofErr w:type="spellEnd"/>
      <w:r w:rsidRPr="008F6EFE">
        <w:rPr>
          <w:rFonts w:ascii="Arial" w:eastAsia="Times New Roman" w:hAnsi="Arial" w:cs="Arial"/>
          <w:i/>
          <w:iCs/>
          <w:color w:val="000000"/>
          <w:sz w:val="24"/>
          <w:szCs w:val="24"/>
        </w:rPr>
        <w:t xml:space="preserve"> </w:t>
      </w:r>
      <w:proofErr w:type="spellStart"/>
      <w:r w:rsidRPr="008F6EFE">
        <w:rPr>
          <w:rFonts w:ascii="Arial" w:eastAsia="Times New Roman" w:hAnsi="Arial" w:cs="Arial"/>
          <w:i/>
          <w:iCs/>
          <w:color w:val="000000"/>
          <w:sz w:val="24"/>
          <w:szCs w:val="24"/>
        </w:rPr>
        <w:t>Sollecito</w:t>
      </w:r>
      <w:proofErr w:type="spellEnd"/>
      <w:r w:rsidRPr="008F6EFE">
        <w:rPr>
          <w:rFonts w:ascii="Arial" w:eastAsia="Times New Roman" w:hAnsi="Arial" w:cs="Arial"/>
          <w:color w:val="000000"/>
          <w:sz w:val="24"/>
          <w:szCs w:val="24"/>
        </w:rPr>
        <w:t xml:space="preserve">. Forensic Science International: Genetics, [online] 23, pp.9-18. Available at: </w:t>
      </w:r>
      <w:hyperlink r:id="rId35" w:history="1">
        <w:r w:rsidRPr="008F6EFE">
          <w:rPr>
            <w:rFonts w:ascii="Arial" w:eastAsia="Times New Roman" w:hAnsi="Arial" w:cs="Arial"/>
            <w:color w:val="1155CC"/>
            <w:sz w:val="24"/>
            <w:szCs w:val="24"/>
            <w:u w:val="single"/>
          </w:rPr>
          <w:t>https://www.sciencedirect.com/science/article/pii/S1872497316300333</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proofErr w:type="spellStart"/>
      <w:r w:rsidRPr="008F6EFE">
        <w:rPr>
          <w:rFonts w:ascii="Arial" w:eastAsia="Times New Roman" w:hAnsi="Arial" w:cs="Arial"/>
          <w:color w:val="000000"/>
          <w:sz w:val="24"/>
          <w:szCs w:val="24"/>
        </w:rPr>
        <w:t>Grine</w:t>
      </w:r>
      <w:proofErr w:type="spellEnd"/>
      <w:r w:rsidRPr="008F6EFE">
        <w:rPr>
          <w:rFonts w:ascii="Arial" w:eastAsia="Times New Roman" w:hAnsi="Arial" w:cs="Arial"/>
          <w:color w:val="000000"/>
          <w:sz w:val="24"/>
          <w:szCs w:val="24"/>
        </w:rPr>
        <w:t xml:space="preserve">, A. and </w:t>
      </w:r>
      <w:proofErr w:type="spellStart"/>
      <w:r w:rsidRPr="008F6EFE">
        <w:rPr>
          <w:rFonts w:ascii="Arial" w:eastAsia="Times New Roman" w:hAnsi="Arial" w:cs="Arial"/>
          <w:color w:val="000000"/>
          <w:sz w:val="24"/>
          <w:szCs w:val="24"/>
        </w:rPr>
        <w:t>Rackley</w:t>
      </w:r>
      <w:proofErr w:type="spellEnd"/>
      <w:r w:rsidRPr="008F6EFE">
        <w:rPr>
          <w:rFonts w:ascii="Arial" w:eastAsia="Times New Roman" w:hAnsi="Arial" w:cs="Arial"/>
          <w:color w:val="000000"/>
          <w:sz w:val="24"/>
          <w:szCs w:val="24"/>
        </w:rPr>
        <w:t xml:space="preserve">, S. (2018). </w:t>
      </w:r>
      <w:r w:rsidRPr="008F6EFE">
        <w:rPr>
          <w:rFonts w:ascii="Arial" w:eastAsia="Times New Roman" w:hAnsi="Arial" w:cs="Arial"/>
          <w:i/>
          <w:iCs/>
          <w:color w:val="000000"/>
          <w:sz w:val="24"/>
          <w:szCs w:val="24"/>
        </w:rPr>
        <w:t>Presumptive And Confirmatory Forensics Tests</w:t>
      </w:r>
      <w:r w:rsidRPr="008F6EFE">
        <w:rPr>
          <w:rFonts w:ascii="Arial" w:eastAsia="Times New Roman" w:hAnsi="Arial" w:cs="Arial"/>
          <w:color w:val="000000"/>
          <w:sz w:val="24"/>
          <w:szCs w:val="24"/>
        </w:rPr>
        <w:t xml:space="preserve">. [online] University of North Carolina. Available at: </w:t>
      </w:r>
      <w:hyperlink r:id="rId36" w:history="1">
        <w:r w:rsidRPr="008F6EFE">
          <w:rPr>
            <w:rFonts w:ascii="Arial" w:eastAsia="Times New Roman" w:hAnsi="Arial" w:cs="Arial"/>
            <w:color w:val="1155CC"/>
            <w:sz w:val="24"/>
            <w:szCs w:val="24"/>
            <w:u w:val="single"/>
          </w:rPr>
          <w:t>https://www.sog.unc.edu/sites/www.sog.unc.edu/files/course_materials/Presumptive%20and%20Confirmatory%20Forensic%20Tests.pdf</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proofErr w:type="spellStart"/>
      <w:r w:rsidRPr="008F6EFE">
        <w:rPr>
          <w:rFonts w:ascii="Arial" w:eastAsia="Times New Roman" w:hAnsi="Arial" w:cs="Arial"/>
          <w:color w:val="000000"/>
          <w:sz w:val="24"/>
          <w:szCs w:val="24"/>
        </w:rPr>
        <w:t>Halkides</w:t>
      </w:r>
      <w:proofErr w:type="spellEnd"/>
      <w:r w:rsidRPr="008F6EFE">
        <w:rPr>
          <w:rFonts w:ascii="Arial" w:eastAsia="Times New Roman" w:hAnsi="Arial" w:cs="Arial"/>
          <w:color w:val="000000"/>
          <w:sz w:val="24"/>
          <w:szCs w:val="24"/>
        </w:rPr>
        <w:t xml:space="preserve">, C. (2012). </w:t>
      </w:r>
      <w:r w:rsidRPr="008F6EFE">
        <w:rPr>
          <w:rFonts w:ascii="Arial" w:eastAsia="Times New Roman" w:hAnsi="Arial" w:cs="Arial"/>
          <w:i/>
          <w:iCs/>
          <w:color w:val="000000"/>
          <w:sz w:val="24"/>
          <w:szCs w:val="24"/>
        </w:rPr>
        <w:t>Presumptive Blood Testing In The Chamberlain, Taylor, Lovejoy, And Knox/</w:t>
      </w:r>
      <w:proofErr w:type="spellStart"/>
      <w:r w:rsidRPr="008F6EFE">
        <w:rPr>
          <w:rFonts w:ascii="Arial" w:eastAsia="Times New Roman" w:hAnsi="Arial" w:cs="Arial"/>
          <w:i/>
          <w:iCs/>
          <w:color w:val="000000"/>
          <w:sz w:val="24"/>
          <w:szCs w:val="24"/>
        </w:rPr>
        <w:t>Sollecito</w:t>
      </w:r>
      <w:proofErr w:type="spellEnd"/>
      <w:r w:rsidRPr="008F6EFE">
        <w:rPr>
          <w:rFonts w:ascii="Arial" w:eastAsia="Times New Roman" w:hAnsi="Arial" w:cs="Arial"/>
          <w:i/>
          <w:iCs/>
          <w:color w:val="000000"/>
          <w:sz w:val="24"/>
          <w:szCs w:val="24"/>
        </w:rPr>
        <w:t xml:space="preserve"> Cases</w:t>
      </w:r>
      <w:r w:rsidRPr="008F6EFE">
        <w:rPr>
          <w:rFonts w:ascii="Arial" w:eastAsia="Times New Roman" w:hAnsi="Arial" w:cs="Arial"/>
          <w:color w:val="000000"/>
          <w:sz w:val="24"/>
          <w:szCs w:val="24"/>
        </w:rPr>
        <w:t xml:space="preserve">. [online] University of North Carolina Wilmington. Available at: </w:t>
      </w:r>
      <w:hyperlink r:id="rId37" w:anchor=":~:text=Amanda%20Knox%20and%20Raffaele%20Sollecito&amp;text=A%20second%20presumptive%20field%20test,only%20positive%20indications%20of%20blood" w:history="1">
        <w:r w:rsidRPr="008F6EFE">
          <w:rPr>
            <w:rFonts w:ascii="Arial" w:eastAsia="Times New Roman" w:hAnsi="Arial" w:cs="Arial"/>
            <w:color w:val="1155CC"/>
            <w:sz w:val="24"/>
            <w:szCs w:val="24"/>
            <w:u w:val="single"/>
          </w:rPr>
          <w:t>http://viewfromwilmington.blogspot.com/2012/07/presumptive-blood-testing-in.html#:~:text=Amanda%20Knox%20and%20Raffaele%20Sollecito&amp;text=A%20second%20presumptive%20field%20test,only%20positive%20indications%20of%20blood</w:t>
        </w:r>
      </w:hyperlink>
      <w:r w:rsidRPr="008F6EFE">
        <w:rPr>
          <w:rFonts w:ascii="Arial" w:eastAsia="Times New Roman" w:hAnsi="Arial" w:cs="Arial"/>
          <w:color w:val="000000"/>
          <w:sz w:val="24"/>
          <w:szCs w:val="24"/>
        </w:rPr>
        <w:t>.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HMICFRS. (2017). </w:t>
      </w:r>
      <w:r w:rsidRPr="008F6EFE">
        <w:rPr>
          <w:rFonts w:ascii="Arial" w:eastAsia="Times New Roman" w:hAnsi="Arial" w:cs="Arial"/>
          <w:i/>
          <w:iCs/>
          <w:color w:val="000000"/>
          <w:sz w:val="24"/>
          <w:szCs w:val="24"/>
        </w:rPr>
        <w:t>Annual Police Effectiveness, Efficiency And Legitimacy Inspection: Police Effectiveness - An Inspection Of The Police Service Of Northern Ireland</w:t>
      </w:r>
      <w:r w:rsidRPr="008F6EFE">
        <w:rPr>
          <w:rFonts w:ascii="Arial" w:eastAsia="Times New Roman" w:hAnsi="Arial" w:cs="Arial"/>
          <w:color w:val="000000"/>
          <w:sz w:val="24"/>
          <w:szCs w:val="24"/>
        </w:rPr>
        <w:t>. [</w:t>
      </w:r>
      <w:proofErr w:type="spellStart"/>
      <w:r w:rsidRPr="008F6EFE">
        <w:rPr>
          <w:rFonts w:ascii="Arial" w:eastAsia="Times New Roman" w:hAnsi="Arial" w:cs="Arial"/>
          <w:color w:val="000000"/>
          <w:sz w:val="24"/>
          <w:szCs w:val="24"/>
        </w:rPr>
        <w:t>ebook</w:t>
      </w:r>
      <w:proofErr w:type="spellEnd"/>
      <w:r w:rsidRPr="008F6EFE">
        <w:rPr>
          <w:rFonts w:ascii="Arial" w:eastAsia="Times New Roman" w:hAnsi="Arial" w:cs="Arial"/>
          <w:color w:val="000000"/>
          <w:sz w:val="24"/>
          <w:szCs w:val="24"/>
        </w:rPr>
        <w:t xml:space="preserve">] Belfast: HMICFRS - Her Majesty's Inspectorate of Constabulary and Fire &amp; Rescue Services. Available at: </w:t>
      </w:r>
      <w:hyperlink r:id="rId38" w:history="1">
        <w:r w:rsidRPr="008F6EFE">
          <w:rPr>
            <w:rFonts w:ascii="Arial" w:eastAsia="Times New Roman" w:hAnsi="Arial" w:cs="Arial"/>
            <w:color w:val="1155CC"/>
            <w:sz w:val="24"/>
            <w:szCs w:val="24"/>
            <w:u w:val="single"/>
          </w:rPr>
          <w:t>https://www.justiceinspectorates.gov.uk/hmicfrs/wp-content/uploads/peel-police-effectiveness-2017-psni.pdf</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Injustice Anywhere. (2016). </w:t>
      </w:r>
      <w:r w:rsidRPr="008F6EFE">
        <w:rPr>
          <w:rFonts w:ascii="Arial" w:eastAsia="Times New Roman" w:hAnsi="Arial" w:cs="Arial"/>
          <w:i/>
          <w:iCs/>
          <w:color w:val="000000"/>
          <w:sz w:val="24"/>
          <w:szCs w:val="24"/>
        </w:rPr>
        <w:t xml:space="preserve">Injustice Anywhere: The Amanda Knox &amp; </w:t>
      </w:r>
      <w:proofErr w:type="spellStart"/>
      <w:r w:rsidRPr="008F6EFE">
        <w:rPr>
          <w:rFonts w:ascii="Arial" w:eastAsia="Times New Roman" w:hAnsi="Arial" w:cs="Arial"/>
          <w:i/>
          <w:iCs/>
          <w:color w:val="000000"/>
          <w:sz w:val="24"/>
          <w:szCs w:val="24"/>
        </w:rPr>
        <w:t>Raffaele</w:t>
      </w:r>
      <w:proofErr w:type="spellEnd"/>
      <w:r w:rsidRPr="008F6EFE">
        <w:rPr>
          <w:rFonts w:ascii="Arial" w:eastAsia="Times New Roman" w:hAnsi="Arial" w:cs="Arial"/>
          <w:i/>
          <w:iCs/>
          <w:color w:val="000000"/>
          <w:sz w:val="24"/>
          <w:szCs w:val="24"/>
        </w:rPr>
        <w:t xml:space="preserve"> </w:t>
      </w:r>
      <w:proofErr w:type="spellStart"/>
      <w:r w:rsidRPr="008F6EFE">
        <w:rPr>
          <w:rFonts w:ascii="Arial" w:eastAsia="Times New Roman" w:hAnsi="Arial" w:cs="Arial"/>
          <w:i/>
          <w:iCs/>
          <w:color w:val="000000"/>
          <w:sz w:val="24"/>
          <w:szCs w:val="24"/>
        </w:rPr>
        <w:t>Sollecito</w:t>
      </w:r>
      <w:proofErr w:type="spellEnd"/>
      <w:r w:rsidRPr="008F6EFE">
        <w:rPr>
          <w:rFonts w:ascii="Arial" w:eastAsia="Times New Roman" w:hAnsi="Arial" w:cs="Arial"/>
          <w:i/>
          <w:iCs/>
          <w:color w:val="000000"/>
          <w:sz w:val="24"/>
          <w:szCs w:val="24"/>
        </w:rPr>
        <w:t xml:space="preserve"> Case - </w:t>
      </w:r>
      <w:proofErr w:type="spellStart"/>
      <w:r w:rsidRPr="008F6EFE">
        <w:rPr>
          <w:rFonts w:ascii="Arial" w:eastAsia="Times New Roman" w:hAnsi="Arial" w:cs="Arial"/>
          <w:i/>
          <w:iCs/>
          <w:color w:val="000000"/>
          <w:sz w:val="24"/>
          <w:szCs w:val="24"/>
        </w:rPr>
        <w:t>Luminol</w:t>
      </w:r>
      <w:proofErr w:type="spellEnd"/>
      <w:r w:rsidRPr="008F6EFE">
        <w:rPr>
          <w:rFonts w:ascii="Arial" w:eastAsia="Times New Roman" w:hAnsi="Arial" w:cs="Arial"/>
          <w:i/>
          <w:iCs/>
          <w:color w:val="000000"/>
          <w:sz w:val="24"/>
          <w:szCs w:val="24"/>
        </w:rPr>
        <w:t xml:space="preserve"> Tests Negative For Blood</w:t>
      </w:r>
      <w:r w:rsidRPr="008F6EFE">
        <w:rPr>
          <w:rFonts w:ascii="Arial" w:eastAsia="Times New Roman" w:hAnsi="Arial" w:cs="Arial"/>
          <w:color w:val="000000"/>
          <w:sz w:val="24"/>
          <w:szCs w:val="24"/>
        </w:rPr>
        <w:t xml:space="preserve">. [online] Injustice Anywhere. Available at: </w:t>
      </w:r>
      <w:hyperlink r:id="rId39" w:history="1">
        <w:r w:rsidRPr="008F6EFE">
          <w:rPr>
            <w:rFonts w:ascii="Arial" w:eastAsia="Times New Roman" w:hAnsi="Arial" w:cs="Arial"/>
            <w:color w:val="1155CC"/>
            <w:sz w:val="24"/>
            <w:szCs w:val="24"/>
            <w:u w:val="single"/>
          </w:rPr>
          <w:t>http://www.amandaknoxcase.net/luminol/</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JESIP. (2020). </w:t>
      </w:r>
      <w:r w:rsidRPr="008F6EFE">
        <w:rPr>
          <w:rFonts w:ascii="Arial" w:eastAsia="Times New Roman" w:hAnsi="Arial" w:cs="Arial"/>
          <w:i/>
          <w:iCs/>
          <w:color w:val="000000"/>
          <w:sz w:val="24"/>
          <w:szCs w:val="24"/>
        </w:rPr>
        <w:t>Early Stages Of An Incident &amp; M/ETHANE</w:t>
      </w:r>
      <w:r w:rsidRPr="008F6EFE">
        <w:rPr>
          <w:rFonts w:ascii="Arial" w:eastAsia="Times New Roman" w:hAnsi="Arial" w:cs="Arial"/>
          <w:color w:val="000000"/>
          <w:sz w:val="24"/>
          <w:szCs w:val="24"/>
        </w:rPr>
        <w:t xml:space="preserve">. [online] JESIP - Joint Emergency Services Interoperability Principles. Available at: </w:t>
      </w:r>
      <w:hyperlink r:id="rId40" w:history="1">
        <w:r w:rsidRPr="008F6EFE">
          <w:rPr>
            <w:rFonts w:ascii="Arial" w:eastAsia="Times New Roman" w:hAnsi="Arial" w:cs="Arial"/>
            <w:color w:val="1155CC"/>
            <w:sz w:val="24"/>
            <w:szCs w:val="24"/>
            <w:u w:val="single"/>
          </w:rPr>
          <w:t>https://www.jesip.org.uk/early-stages-methane</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Kirk, P. (1953). </w:t>
      </w:r>
      <w:r w:rsidRPr="008F6EFE">
        <w:rPr>
          <w:rFonts w:ascii="Arial" w:eastAsia="Times New Roman" w:hAnsi="Arial" w:cs="Arial"/>
          <w:i/>
          <w:iCs/>
          <w:color w:val="000000"/>
          <w:sz w:val="24"/>
          <w:szCs w:val="24"/>
        </w:rPr>
        <w:t>Crime Investigation: Physical Evidence And The Police Laboratory</w:t>
      </w:r>
      <w:r w:rsidRPr="008F6EFE">
        <w:rPr>
          <w:rFonts w:ascii="Arial" w:eastAsia="Times New Roman" w:hAnsi="Arial" w:cs="Arial"/>
          <w:color w:val="000000"/>
          <w:sz w:val="24"/>
          <w:szCs w:val="24"/>
        </w:rPr>
        <w:t xml:space="preserve">. New York: </w:t>
      </w:r>
      <w:proofErr w:type="spellStart"/>
      <w:r w:rsidRPr="008F6EFE">
        <w:rPr>
          <w:rFonts w:ascii="Arial" w:eastAsia="Times New Roman" w:hAnsi="Arial" w:cs="Arial"/>
          <w:color w:val="000000"/>
          <w:sz w:val="24"/>
          <w:szCs w:val="24"/>
        </w:rPr>
        <w:t>Interscience</w:t>
      </w:r>
      <w:proofErr w:type="spellEnd"/>
      <w:r w:rsidRPr="008F6EFE">
        <w:rPr>
          <w:rFonts w:ascii="Arial" w:eastAsia="Times New Roman" w:hAnsi="Arial" w:cs="Arial"/>
          <w:color w:val="000000"/>
          <w:sz w:val="24"/>
          <w:szCs w:val="24"/>
        </w:rPr>
        <w:t xml:space="preserve"> Publishers.</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Kunz, S., </w:t>
      </w:r>
      <w:proofErr w:type="spellStart"/>
      <w:r w:rsidRPr="008F6EFE">
        <w:rPr>
          <w:rFonts w:ascii="Arial" w:eastAsia="Times New Roman" w:hAnsi="Arial" w:cs="Arial"/>
          <w:color w:val="000000"/>
          <w:sz w:val="24"/>
          <w:szCs w:val="24"/>
        </w:rPr>
        <w:t>Mützel</w:t>
      </w:r>
      <w:proofErr w:type="spellEnd"/>
      <w:r w:rsidRPr="008F6EFE">
        <w:rPr>
          <w:rFonts w:ascii="Arial" w:eastAsia="Times New Roman" w:hAnsi="Arial" w:cs="Arial"/>
          <w:color w:val="000000"/>
          <w:sz w:val="24"/>
          <w:szCs w:val="24"/>
        </w:rPr>
        <w:t xml:space="preserve">, E., </w:t>
      </w:r>
      <w:proofErr w:type="spellStart"/>
      <w:r w:rsidRPr="008F6EFE">
        <w:rPr>
          <w:rFonts w:ascii="Arial" w:eastAsia="Times New Roman" w:hAnsi="Arial" w:cs="Arial"/>
          <w:color w:val="000000"/>
          <w:sz w:val="24"/>
          <w:szCs w:val="24"/>
        </w:rPr>
        <w:t>Peschel</w:t>
      </w:r>
      <w:proofErr w:type="spellEnd"/>
      <w:r w:rsidRPr="008F6EFE">
        <w:rPr>
          <w:rFonts w:ascii="Arial" w:eastAsia="Times New Roman" w:hAnsi="Arial" w:cs="Arial"/>
          <w:color w:val="000000"/>
          <w:sz w:val="24"/>
          <w:szCs w:val="24"/>
        </w:rPr>
        <w:t xml:space="preserve">, O. and Rothschild, M. (2010). </w:t>
      </w:r>
      <w:r w:rsidRPr="008F6EFE">
        <w:rPr>
          <w:rFonts w:ascii="Arial" w:eastAsia="Times New Roman" w:hAnsi="Arial" w:cs="Arial"/>
          <w:i/>
          <w:iCs/>
          <w:color w:val="000000"/>
          <w:sz w:val="24"/>
          <w:szCs w:val="24"/>
        </w:rPr>
        <w:t>Blood Stain Pattern Analysis</w:t>
      </w:r>
      <w:r w:rsidRPr="008F6EFE">
        <w:rPr>
          <w:rFonts w:ascii="Arial" w:eastAsia="Times New Roman" w:hAnsi="Arial" w:cs="Arial"/>
          <w:color w:val="000000"/>
          <w:sz w:val="24"/>
          <w:szCs w:val="24"/>
        </w:rPr>
        <w:t xml:space="preserve">. Forensic Science, Medicine, and Pathology, [online] 7(3), pp.257-270. Available at: </w:t>
      </w:r>
      <w:hyperlink r:id="rId41" w:history="1">
        <w:r w:rsidRPr="008F6EFE">
          <w:rPr>
            <w:rFonts w:ascii="Arial" w:eastAsia="Times New Roman" w:hAnsi="Arial" w:cs="Arial"/>
            <w:color w:val="1155CC"/>
            <w:sz w:val="24"/>
            <w:szCs w:val="24"/>
            <w:u w:val="single"/>
          </w:rPr>
          <w:t>https://link.springer.com/article/10.1007/s12024-010-9198-1</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Kwok, R., Lim, Z., Lim, W., Lim, Z., </w:t>
      </w:r>
      <w:proofErr w:type="spellStart"/>
      <w:r w:rsidRPr="008F6EFE">
        <w:rPr>
          <w:rFonts w:ascii="Arial" w:eastAsia="Times New Roman" w:hAnsi="Arial" w:cs="Arial"/>
          <w:color w:val="000000"/>
          <w:sz w:val="24"/>
          <w:szCs w:val="24"/>
        </w:rPr>
        <w:t>Syn</w:t>
      </w:r>
      <w:proofErr w:type="spellEnd"/>
      <w:r w:rsidRPr="008F6EFE">
        <w:rPr>
          <w:rFonts w:ascii="Arial" w:eastAsia="Times New Roman" w:hAnsi="Arial" w:cs="Arial"/>
          <w:color w:val="000000"/>
          <w:sz w:val="24"/>
          <w:szCs w:val="24"/>
        </w:rPr>
        <w:t xml:space="preserve">, C., Tan, J. and Wong, H. (2019). </w:t>
      </w:r>
      <w:r w:rsidRPr="008F6EFE">
        <w:rPr>
          <w:rFonts w:ascii="Arial" w:eastAsia="Times New Roman" w:hAnsi="Arial" w:cs="Arial"/>
          <w:i/>
          <w:iCs/>
          <w:color w:val="000000"/>
          <w:sz w:val="24"/>
          <w:szCs w:val="24"/>
        </w:rPr>
        <w:t>DNA Profiling Success Rates of Commonly Submitted Crime Scene Items</w:t>
      </w:r>
      <w:r w:rsidRPr="008F6EFE">
        <w:rPr>
          <w:rFonts w:ascii="Arial" w:eastAsia="Times New Roman" w:hAnsi="Arial" w:cs="Arial"/>
          <w:color w:val="000000"/>
          <w:sz w:val="24"/>
          <w:szCs w:val="24"/>
        </w:rPr>
        <w:t xml:space="preserve">. Forensic Science International: Genetics Supplement Series, [online] 7(1), pp.597-599. Available at: </w:t>
      </w:r>
      <w:hyperlink r:id="rId42" w:anchor=":~:text=The%20average%20DNA%20profiling%20success,%25%20and%2070.7%25%2C%20respectively" w:history="1">
        <w:r w:rsidRPr="008F6EFE">
          <w:rPr>
            <w:rFonts w:ascii="Arial" w:eastAsia="Times New Roman" w:hAnsi="Arial" w:cs="Arial"/>
            <w:color w:val="1155CC"/>
            <w:sz w:val="24"/>
            <w:szCs w:val="24"/>
            <w:u w:val="single"/>
          </w:rPr>
          <w:t>https://www.sciencedirect.com/science/article/pii/S1875176819301647#:~:text</w:t>
        </w:r>
        <w:r w:rsidRPr="008F6EFE">
          <w:rPr>
            <w:rFonts w:ascii="Arial" w:eastAsia="Times New Roman" w:hAnsi="Arial" w:cs="Arial"/>
            <w:color w:val="1155CC"/>
            <w:sz w:val="24"/>
            <w:szCs w:val="24"/>
            <w:u w:val="single"/>
          </w:rPr>
          <w:lastRenderedPageBreak/>
          <w:t>=The%20average%20DNA%20profiling%20success,%25%20and%2070.7%25%2C%20respectively</w:t>
        </w:r>
      </w:hyperlink>
      <w:r w:rsidRPr="008F6EFE">
        <w:rPr>
          <w:rFonts w:ascii="Arial" w:eastAsia="Times New Roman" w:hAnsi="Arial" w:cs="Arial"/>
          <w:color w:val="000000"/>
          <w:sz w:val="24"/>
          <w:szCs w:val="24"/>
        </w:rPr>
        <w:t>.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Metropolitan Police. (2019). </w:t>
      </w:r>
      <w:r w:rsidRPr="008F6EFE">
        <w:rPr>
          <w:rFonts w:ascii="Arial" w:eastAsia="Times New Roman" w:hAnsi="Arial" w:cs="Arial"/>
          <w:i/>
          <w:iCs/>
          <w:color w:val="000000"/>
          <w:sz w:val="24"/>
          <w:szCs w:val="24"/>
        </w:rPr>
        <w:t>Homicide Investigation Policy</w:t>
      </w:r>
      <w:r w:rsidRPr="008F6EFE">
        <w:rPr>
          <w:rFonts w:ascii="Arial" w:eastAsia="Times New Roman" w:hAnsi="Arial" w:cs="Arial"/>
          <w:color w:val="000000"/>
          <w:sz w:val="24"/>
          <w:szCs w:val="24"/>
        </w:rPr>
        <w:t>. [</w:t>
      </w:r>
      <w:proofErr w:type="spellStart"/>
      <w:r w:rsidRPr="008F6EFE">
        <w:rPr>
          <w:rFonts w:ascii="Arial" w:eastAsia="Times New Roman" w:hAnsi="Arial" w:cs="Arial"/>
          <w:color w:val="000000"/>
          <w:sz w:val="24"/>
          <w:szCs w:val="24"/>
        </w:rPr>
        <w:t>ebook</w:t>
      </w:r>
      <w:proofErr w:type="spellEnd"/>
      <w:r w:rsidRPr="008F6EFE">
        <w:rPr>
          <w:rFonts w:ascii="Arial" w:eastAsia="Times New Roman" w:hAnsi="Arial" w:cs="Arial"/>
          <w:color w:val="000000"/>
          <w:sz w:val="24"/>
          <w:szCs w:val="24"/>
        </w:rPr>
        <w:t xml:space="preserve">] London: Metropolitan Police. Available at: </w:t>
      </w:r>
      <w:hyperlink r:id="rId43" w:history="1">
        <w:r w:rsidRPr="008F6EFE">
          <w:rPr>
            <w:rFonts w:ascii="Arial" w:eastAsia="Times New Roman" w:hAnsi="Arial" w:cs="Arial"/>
            <w:color w:val="1155CC"/>
            <w:sz w:val="24"/>
            <w:szCs w:val="24"/>
            <w:u w:val="single"/>
          </w:rPr>
          <w:t>https://www.met.police.uk/SysSiteAssets/foi-media/metropolitan-police/disclosure_2019/january_2019/information-rights-unit---london-homicide-manual</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Morgan, R. (2019). </w:t>
      </w:r>
      <w:r w:rsidRPr="008F6EFE">
        <w:rPr>
          <w:rFonts w:ascii="Arial" w:eastAsia="Times New Roman" w:hAnsi="Arial" w:cs="Arial"/>
          <w:i/>
          <w:iCs/>
          <w:color w:val="000000"/>
          <w:sz w:val="24"/>
          <w:szCs w:val="24"/>
        </w:rPr>
        <w:t>Forensic Science: The Dangers Of Misinterpreted Evidence</w:t>
      </w:r>
      <w:r w:rsidRPr="008F6EFE">
        <w:rPr>
          <w:rFonts w:ascii="Arial" w:eastAsia="Times New Roman" w:hAnsi="Arial" w:cs="Arial"/>
          <w:color w:val="000000"/>
          <w:sz w:val="24"/>
          <w:szCs w:val="24"/>
        </w:rPr>
        <w:t xml:space="preserve">. [online] University College London. Available at: </w:t>
      </w:r>
      <w:hyperlink r:id="rId44" w:history="1">
        <w:r w:rsidRPr="008F6EFE">
          <w:rPr>
            <w:rFonts w:ascii="Arial" w:eastAsia="Times New Roman" w:hAnsi="Arial" w:cs="Arial"/>
            <w:color w:val="1155CC"/>
            <w:sz w:val="24"/>
            <w:szCs w:val="24"/>
            <w:u w:val="single"/>
          </w:rPr>
          <w:t>https://www.ucl.ac.uk/made-at-ucl/stories/forensic-science-dangers-misinterpreted-evidence</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NFSTC. (2013). </w:t>
      </w:r>
      <w:r w:rsidRPr="008F6EFE">
        <w:rPr>
          <w:rFonts w:ascii="Arial" w:eastAsia="Times New Roman" w:hAnsi="Arial" w:cs="Arial"/>
          <w:i/>
          <w:iCs/>
          <w:color w:val="000000"/>
          <w:sz w:val="24"/>
          <w:szCs w:val="24"/>
        </w:rPr>
        <w:t>Crime Scene Investigation: How It's Done</w:t>
      </w:r>
      <w:r w:rsidRPr="008F6EFE">
        <w:rPr>
          <w:rFonts w:ascii="Arial" w:eastAsia="Times New Roman" w:hAnsi="Arial" w:cs="Arial"/>
          <w:color w:val="000000"/>
          <w:sz w:val="24"/>
          <w:szCs w:val="24"/>
        </w:rPr>
        <w:t>. [</w:t>
      </w:r>
      <w:proofErr w:type="spellStart"/>
      <w:r w:rsidRPr="008F6EFE">
        <w:rPr>
          <w:rFonts w:ascii="Arial" w:eastAsia="Times New Roman" w:hAnsi="Arial" w:cs="Arial"/>
          <w:color w:val="000000"/>
          <w:sz w:val="24"/>
          <w:szCs w:val="24"/>
        </w:rPr>
        <w:t>ebook</w:t>
      </w:r>
      <w:proofErr w:type="spellEnd"/>
      <w:r w:rsidRPr="008F6EFE">
        <w:rPr>
          <w:rFonts w:ascii="Arial" w:eastAsia="Times New Roman" w:hAnsi="Arial" w:cs="Arial"/>
          <w:color w:val="000000"/>
          <w:sz w:val="24"/>
          <w:szCs w:val="24"/>
        </w:rPr>
        <w:t xml:space="preserve">] Tallahassee: NFSTC - National Forensic Science Technology Centre. Available at: </w:t>
      </w:r>
      <w:hyperlink r:id="rId45" w:history="1">
        <w:r w:rsidRPr="008F6EFE">
          <w:rPr>
            <w:rFonts w:ascii="Arial" w:eastAsia="Times New Roman" w:hAnsi="Arial" w:cs="Arial"/>
            <w:color w:val="1155CC"/>
            <w:sz w:val="24"/>
            <w:szCs w:val="24"/>
            <w:u w:val="single"/>
          </w:rPr>
          <w:t>http://www.forensicsciencesimplified.org/csi/how.html</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proofErr w:type="spellStart"/>
      <w:r w:rsidRPr="008F6EFE">
        <w:rPr>
          <w:rFonts w:ascii="Arial" w:eastAsia="Times New Roman" w:hAnsi="Arial" w:cs="Arial"/>
          <w:color w:val="000000"/>
          <w:sz w:val="24"/>
          <w:szCs w:val="24"/>
        </w:rPr>
        <w:t>Podlas</w:t>
      </w:r>
      <w:proofErr w:type="spellEnd"/>
      <w:r w:rsidRPr="008F6EFE">
        <w:rPr>
          <w:rFonts w:ascii="Arial" w:eastAsia="Times New Roman" w:hAnsi="Arial" w:cs="Arial"/>
          <w:color w:val="000000"/>
          <w:sz w:val="24"/>
          <w:szCs w:val="24"/>
        </w:rPr>
        <w:t xml:space="preserve">, K. (2005). </w:t>
      </w:r>
      <w:r w:rsidRPr="008F6EFE">
        <w:rPr>
          <w:rFonts w:ascii="Arial" w:eastAsia="Times New Roman" w:hAnsi="Arial" w:cs="Arial"/>
          <w:i/>
          <w:iCs/>
          <w:color w:val="000000"/>
          <w:sz w:val="24"/>
          <w:szCs w:val="24"/>
        </w:rPr>
        <w:t>"The CSI Effect": Exposing the Media Myth</w:t>
      </w:r>
      <w:r w:rsidRPr="008F6EFE">
        <w:rPr>
          <w:rFonts w:ascii="Arial" w:eastAsia="Times New Roman" w:hAnsi="Arial" w:cs="Arial"/>
          <w:color w:val="000000"/>
          <w:sz w:val="24"/>
          <w:szCs w:val="24"/>
        </w:rPr>
        <w:t xml:space="preserve">. Media and Entertainment Law Journal, [online] 16(2). Available at: </w:t>
      </w:r>
      <w:hyperlink r:id="rId46" w:history="1">
        <w:r w:rsidRPr="008F6EFE">
          <w:rPr>
            <w:rFonts w:ascii="Arial" w:eastAsia="Times New Roman" w:hAnsi="Arial" w:cs="Arial"/>
            <w:color w:val="1155CC"/>
            <w:sz w:val="24"/>
            <w:szCs w:val="24"/>
            <w:u w:val="single"/>
          </w:rPr>
          <w:t>https://core.ac.uk/download/pdf/144229758.pdf</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Police and Criminal Evidence Act 1984. Available at: </w:t>
      </w:r>
      <w:hyperlink r:id="rId47" w:history="1">
        <w:r w:rsidRPr="008F6EFE">
          <w:rPr>
            <w:rFonts w:ascii="Arial" w:eastAsia="Times New Roman" w:hAnsi="Arial" w:cs="Arial"/>
            <w:color w:val="1155CC"/>
            <w:sz w:val="24"/>
            <w:szCs w:val="24"/>
            <w:u w:val="single"/>
          </w:rPr>
          <w:t>https://www.legislation.gov.uk/ukpga/1984/60/contents</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RSE. (2017). </w:t>
      </w:r>
      <w:r w:rsidRPr="008F6EFE">
        <w:rPr>
          <w:rFonts w:ascii="Arial" w:eastAsia="Times New Roman" w:hAnsi="Arial" w:cs="Arial"/>
          <w:i/>
          <w:iCs/>
          <w:color w:val="000000"/>
          <w:sz w:val="24"/>
          <w:szCs w:val="24"/>
        </w:rPr>
        <w:t>Forensic DNA Analysis</w:t>
      </w:r>
      <w:r w:rsidRPr="008F6EFE">
        <w:rPr>
          <w:rFonts w:ascii="Arial" w:eastAsia="Times New Roman" w:hAnsi="Arial" w:cs="Arial"/>
          <w:color w:val="000000"/>
          <w:sz w:val="24"/>
          <w:szCs w:val="24"/>
        </w:rPr>
        <w:t>. [</w:t>
      </w:r>
      <w:proofErr w:type="spellStart"/>
      <w:r w:rsidRPr="008F6EFE">
        <w:rPr>
          <w:rFonts w:ascii="Arial" w:eastAsia="Times New Roman" w:hAnsi="Arial" w:cs="Arial"/>
          <w:color w:val="000000"/>
          <w:sz w:val="24"/>
          <w:szCs w:val="24"/>
        </w:rPr>
        <w:t>ebook</w:t>
      </w:r>
      <w:proofErr w:type="spellEnd"/>
      <w:r w:rsidRPr="008F6EFE">
        <w:rPr>
          <w:rFonts w:ascii="Arial" w:eastAsia="Times New Roman" w:hAnsi="Arial" w:cs="Arial"/>
          <w:color w:val="000000"/>
          <w:sz w:val="24"/>
          <w:szCs w:val="24"/>
        </w:rPr>
        <w:t xml:space="preserve">] Edinburgh: RSE - The Royal Society of Edinburgh. Available at: </w:t>
      </w:r>
      <w:hyperlink r:id="rId48" w:history="1">
        <w:r w:rsidRPr="008F6EFE">
          <w:rPr>
            <w:rFonts w:ascii="Arial" w:eastAsia="Times New Roman" w:hAnsi="Arial" w:cs="Arial"/>
            <w:color w:val="1155CC"/>
            <w:sz w:val="24"/>
            <w:szCs w:val="24"/>
            <w:u w:val="single"/>
          </w:rPr>
          <w:t>https://royalsociety.org/-/media/about-us/programmes/science-and-law/royal-society-forensic-dna-analysis-primer-for-courts.pdf</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proofErr w:type="spellStart"/>
      <w:r w:rsidRPr="008F6EFE">
        <w:rPr>
          <w:rFonts w:ascii="Arial" w:eastAsia="Times New Roman" w:hAnsi="Arial" w:cs="Arial"/>
          <w:color w:val="000000"/>
          <w:sz w:val="24"/>
          <w:szCs w:val="24"/>
        </w:rPr>
        <w:t>Soham</w:t>
      </w:r>
      <w:proofErr w:type="spellEnd"/>
      <w:r w:rsidRPr="008F6EFE">
        <w:rPr>
          <w:rFonts w:ascii="Arial" w:eastAsia="Times New Roman" w:hAnsi="Arial" w:cs="Arial"/>
          <w:color w:val="000000"/>
          <w:sz w:val="24"/>
          <w:szCs w:val="24"/>
        </w:rPr>
        <w:t xml:space="preserve"> Murders. (2015). </w:t>
      </w:r>
      <w:r w:rsidRPr="008F6EFE">
        <w:rPr>
          <w:rFonts w:ascii="Arial" w:eastAsia="Times New Roman" w:hAnsi="Arial" w:cs="Arial"/>
          <w:i/>
          <w:iCs/>
          <w:color w:val="000000"/>
          <w:sz w:val="24"/>
          <w:szCs w:val="24"/>
        </w:rPr>
        <w:t>FAO (First Attending Officer)</w:t>
      </w:r>
      <w:r w:rsidRPr="008F6EFE">
        <w:rPr>
          <w:rFonts w:ascii="Arial" w:eastAsia="Times New Roman" w:hAnsi="Arial" w:cs="Arial"/>
          <w:color w:val="000000"/>
          <w:sz w:val="24"/>
          <w:szCs w:val="24"/>
        </w:rPr>
        <w:t xml:space="preserve">. [online] The </w:t>
      </w:r>
      <w:proofErr w:type="spellStart"/>
      <w:r w:rsidRPr="008F6EFE">
        <w:rPr>
          <w:rFonts w:ascii="Arial" w:eastAsia="Times New Roman" w:hAnsi="Arial" w:cs="Arial"/>
          <w:color w:val="000000"/>
          <w:sz w:val="24"/>
          <w:szCs w:val="24"/>
        </w:rPr>
        <w:t>Soham</w:t>
      </w:r>
      <w:proofErr w:type="spellEnd"/>
      <w:r w:rsidRPr="008F6EFE">
        <w:rPr>
          <w:rFonts w:ascii="Arial" w:eastAsia="Times New Roman" w:hAnsi="Arial" w:cs="Arial"/>
          <w:color w:val="000000"/>
          <w:sz w:val="24"/>
          <w:szCs w:val="24"/>
        </w:rPr>
        <w:t xml:space="preserve"> Murders. Available at: </w:t>
      </w:r>
      <w:hyperlink r:id="rId49" w:history="1">
        <w:r w:rsidRPr="008F6EFE">
          <w:rPr>
            <w:rFonts w:ascii="Arial" w:eastAsia="Times New Roman" w:hAnsi="Arial" w:cs="Arial"/>
            <w:color w:val="1155CC"/>
            <w:sz w:val="24"/>
            <w:szCs w:val="24"/>
            <w:u w:val="single"/>
          </w:rPr>
          <w:t>https://thesohammurderantoniasumner.weebly.com/fao-first-attending-officer.html#</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UNODC. (2009). </w:t>
      </w:r>
      <w:r w:rsidRPr="008F6EFE">
        <w:rPr>
          <w:rFonts w:ascii="Arial" w:eastAsia="Times New Roman" w:hAnsi="Arial" w:cs="Arial"/>
          <w:i/>
          <w:iCs/>
          <w:color w:val="000000"/>
          <w:sz w:val="24"/>
          <w:szCs w:val="24"/>
        </w:rPr>
        <w:t>Crime Scene And Physical Evidence Awareness For Non-Forensic Personnel</w:t>
      </w:r>
      <w:r w:rsidRPr="008F6EFE">
        <w:rPr>
          <w:rFonts w:ascii="Arial" w:eastAsia="Times New Roman" w:hAnsi="Arial" w:cs="Arial"/>
          <w:color w:val="000000"/>
          <w:sz w:val="24"/>
          <w:szCs w:val="24"/>
        </w:rPr>
        <w:t>. [</w:t>
      </w:r>
      <w:proofErr w:type="spellStart"/>
      <w:r w:rsidRPr="008F6EFE">
        <w:rPr>
          <w:rFonts w:ascii="Arial" w:eastAsia="Times New Roman" w:hAnsi="Arial" w:cs="Arial"/>
          <w:color w:val="000000"/>
          <w:sz w:val="24"/>
          <w:szCs w:val="24"/>
        </w:rPr>
        <w:t>ebook</w:t>
      </w:r>
      <w:proofErr w:type="spellEnd"/>
      <w:r w:rsidRPr="008F6EFE">
        <w:rPr>
          <w:rFonts w:ascii="Arial" w:eastAsia="Times New Roman" w:hAnsi="Arial" w:cs="Arial"/>
          <w:color w:val="000000"/>
          <w:sz w:val="24"/>
          <w:szCs w:val="24"/>
        </w:rPr>
        <w:t xml:space="preserve">] Vienna: UNODC - United Nations Office on Drugs and Crime. Available at: </w:t>
      </w:r>
      <w:hyperlink r:id="rId50" w:history="1">
        <w:r w:rsidRPr="008F6EFE">
          <w:rPr>
            <w:rFonts w:ascii="Arial" w:eastAsia="Times New Roman" w:hAnsi="Arial" w:cs="Arial"/>
            <w:color w:val="1155CC"/>
            <w:sz w:val="24"/>
            <w:szCs w:val="24"/>
            <w:u w:val="single"/>
          </w:rPr>
          <w:t>https://www.unodc.org/documents/scientific/Crime_scene_awareness__Ebook.pdf</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Weir, B. (2008). </w:t>
      </w:r>
      <w:r w:rsidRPr="008F6EFE">
        <w:rPr>
          <w:rFonts w:ascii="Arial" w:eastAsia="Times New Roman" w:hAnsi="Arial" w:cs="Arial"/>
          <w:i/>
          <w:iCs/>
          <w:color w:val="000000"/>
          <w:sz w:val="24"/>
          <w:szCs w:val="24"/>
        </w:rPr>
        <w:t>The Rarity of DNA Profiles</w:t>
      </w:r>
      <w:r w:rsidRPr="008F6EFE">
        <w:rPr>
          <w:rFonts w:ascii="Arial" w:eastAsia="Times New Roman" w:hAnsi="Arial" w:cs="Arial"/>
          <w:color w:val="000000"/>
          <w:sz w:val="24"/>
          <w:szCs w:val="24"/>
        </w:rPr>
        <w:t xml:space="preserve">. Annals of Applied Statistics, [online] 1(2), pp.358-370. Available at: </w:t>
      </w:r>
      <w:hyperlink r:id="rId51" w:history="1">
        <w:r w:rsidRPr="008F6EFE">
          <w:rPr>
            <w:rFonts w:ascii="Arial" w:eastAsia="Times New Roman" w:hAnsi="Arial" w:cs="Arial"/>
            <w:color w:val="1155CC"/>
            <w:sz w:val="24"/>
            <w:szCs w:val="24"/>
            <w:u w:val="single"/>
          </w:rPr>
          <w:t>https://www.ncbi.nlm.nih.gov/pmc/articles/PMC2585748/</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textAlignment w:val="baseline"/>
        <w:rPr>
          <w:rFonts w:ascii="Arial" w:eastAsia="Times New Roman" w:hAnsi="Arial" w:cs="Arial"/>
          <w:color w:val="000000"/>
          <w:sz w:val="24"/>
          <w:szCs w:val="24"/>
        </w:rPr>
      </w:pPr>
    </w:p>
    <w:p w:rsidR="008F6EFE" w:rsidRPr="008F6EFE" w:rsidRDefault="008F6EFE" w:rsidP="00474D1E">
      <w:pPr>
        <w:pStyle w:val="ListParagraph"/>
        <w:numPr>
          <w:ilvl w:val="0"/>
          <w:numId w:val="49"/>
        </w:numPr>
        <w:spacing w:after="0" w:line="480" w:lineRule="auto"/>
        <w:rPr>
          <w:rFonts w:ascii="Arial" w:eastAsia="Times New Roman" w:hAnsi="Arial" w:cs="Arial"/>
          <w:sz w:val="24"/>
          <w:szCs w:val="24"/>
        </w:rPr>
      </w:pPr>
      <w:r w:rsidRPr="008F6EFE">
        <w:rPr>
          <w:rFonts w:ascii="Arial" w:eastAsia="Times New Roman" w:hAnsi="Arial" w:cs="Arial"/>
          <w:color w:val="000000"/>
          <w:sz w:val="24"/>
          <w:szCs w:val="24"/>
        </w:rPr>
        <w:t xml:space="preserve">Your Genome. (2014). </w:t>
      </w:r>
      <w:r w:rsidRPr="008F6EFE">
        <w:rPr>
          <w:rFonts w:ascii="Arial" w:eastAsia="Times New Roman" w:hAnsi="Arial" w:cs="Arial"/>
          <w:i/>
          <w:iCs/>
          <w:color w:val="000000"/>
          <w:sz w:val="24"/>
          <w:szCs w:val="24"/>
        </w:rPr>
        <w:t>What Is The UK National DNA Database? (NDNAD)</w:t>
      </w:r>
      <w:r w:rsidRPr="008F6EFE">
        <w:rPr>
          <w:rFonts w:ascii="Arial" w:eastAsia="Times New Roman" w:hAnsi="Arial" w:cs="Arial"/>
          <w:color w:val="000000"/>
          <w:sz w:val="24"/>
          <w:szCs w:val="24"/>
        </w:rPr>
        <w:t xml:space="preserve">. [online] Your Genome. Available at: </w:t>
      </w:r>
      <w:hyperlink r:id="rId52" w:history="1">
        <w:r w:rsidRPr="008F6EFE">
          <w:rPr>
            <w:rFonts w:ascii="Arial" w:eastAsia="Times New Roman" w:hAnsi="Arial" w:cs="Arial"/>
            <w:color w:val="1155CC"/>
            <w:sz w:val="24"/>
            <w:szCs w:val="24"/>
            <w:u w:val="single"/>
          </w:rPr>
          <w:t>https://www.yourgenome.org/facts/what-is-the-uk-national-dna-database</w:t>
        </w:r>
      </w:hyperlink>
      <w:r w:rsidRPr="008F6EFE">
        <w:rPr>
          <w:rFonts w:ascii="Arial" w:eastAsia="Times New Roman" w:hAnsi="Arial" w:cs="Arial"/>
          <w:color w:val="000000"/>
          <w:sz w:val="24"/>
          <w:szCs w:val="24"/>
        </w:rPr>
        <w:t xml:space="preserve"> [Accessed 17 October 2020].</w:t>
      </w:r>
    </w:p>
    <w:sectPr w:rsidR="008F6EFE" w:rsidRPr="008F6EFE" w:rsidSect="007240E4">
      <w:pgSz w:w="11906" w:h="16838"/>
      <w:pgMar w:top="1440" w:right="1440" w:bottom="1440" w:left="1440" w:header="708" w:footer="708"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55575"/>
    <w:multiLevelType w:val="multilevel"/>
    <w:tmpl w:val="74B82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1E116E"/>
    <w:multiLevelType w:val="multilevel"/>
    <w:tmpl w:val="ACEEA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5067FC"/>
    <w:multiLevelType w:val="multilevel"/>
    <w:tmpl w:val="145EA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0570CE"/>
    <w:multiLevelType w:val="multilevel"/>
    <w:tmpl w:val="C4B25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605604"/>
    <w:multiLevelType w:val="multilevel"/>
    <w:tmpl w:val="2D44E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9E40FF0"/>
    <w:multiLevelType w:val="multilevel"/>
    <w:tmpl w:val="3FF87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D192385"/>
    <w:multiLevelType w:val="multilevel"/>
    <w:tmpl w:val="B4C43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5D71EB"/>
    <w:multiLevelType w:val="multilevel"/>
    <w:tmpl w:val="0FAA6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15F265C"/>
    <w:multiLevelType w:val="multilevel"/>
    <w:tmpl w:val="9B628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16F75F9"/>
    <w:multiLevelType w:val="multilevel"/>
    <w:tmpl w:val="2CEA7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6865347"/>
    <w:multiLevelType w:val="multilevel"/>
    <w:tmpl w:val="1AAA6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9A16165"/>
    <w:multiLevelType w:val="multilevel"/>
    <w:tmpl w:val="66D8E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A4925F5"/>
    <w:multiLevelType w:val="multilevel"/>
    <w:tmpl w:val="BF50F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D126E8D"/>
    <w:multiLevelType w:val="multilevel"/>
    <w:tmpl w:val="B3CAF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DBB4E57"/>
    <w:multiLevelType w:val="multilevel"/>
    <w:tmpl w:val="2F8C5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DCB2FB9"/>
    <w:multiLevelType w:val="multilevel"/>
    <w:tmpl w:val="FC0C0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2595EC7"/>
    <w:multiLevelType w:val="multilevel"/>
    <w:tmpl w:val="79B4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39F3AC2"/>
    <w:multiLevelType w:val="multilevel"/>
    <w:tmpl w:val="B4C0D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7290743"/>
    <w:multiLevelType w:val="multilevel"/>
    <w:tmpl w:val="ABF43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828497B"/>
    <w:multiLevelType w:val="multilevel"/>
    <w:tmpl w:val="6DB2B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FAD4950"/>
    <w:multiLevelType w:val="multilevel"/>
    <w:tmpl w:val="8EC20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085123F"/>
    <w:multiLevelType w:val="multilevel"/>
    <w:tmpl w:val="683C3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0C82458"/>
    <w:multiLevelType w:val="multilevel"/>
    <w:tmpl w:val="D8A84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157233A"/>
    <w:multiLevelType w:val="multilevel"/>
    <w:tmpl w:val="4C76E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8071E70"/>
    <w:multiLevelType w:val="multilevel"/>
    <w:tmpl w:val="E5E4F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809626B"/>
    <w:multiLevelType w:val="multilevel"/>
    <w:tmpl w:val="C6A08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FEE54B9"/>
    <w:multiLevelType w:val="multilevel"/>
    <w:tmpl w:val="F5509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015387C"/>
    <w:multiLevelType w:val="multilevel"/>
    <w:tmpl w:val="434E5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54B19A4"/>
    <w:multiLevelType w:val="multilevel"/>
    <w:tmpl w:val="98CEA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02B4635"/>
    <w:multiLevelType w:val="multilevel"/>
    <w:tmpl w:val="204A0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0631C56"/>
    <w:multiLevelType w:val="multilevel"/>
    <w:tmpl w:val="73BED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2670828"/>
    <w:multiLevelType w:val="multilevel"/>
    <w:tmpl w:val="0CF8F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279336E"/>
    <w:multiLevelType w:val="multilevel"/>
    <w:tmpl w:val="8DA8F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36A5D72"/>
    <w:multiLevelType w:val="multilevel"/>
    <w:tmpl w:val="45BEE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39261DB"/>
    <w:multiLevelType w:val="multilevel"/>
    <w:tmpl w:val="AE022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D9B3D08"/>
    <w:multiLevelType w:val="multilevel"/>
    <w:tmpl w:val="415A9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DD7593A"/>
    <w:multiLevelType w:val="multilevel"/>
    <w:tmpl w:val="A2089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1C46ABE"/>
    <w:multiLevelType w:val="multilevel"/>
    <w:tmpl w:val="6F7A2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1DD2FE2"/>
    <w:multiLevelType w:val="multilevel"/>
    <w:tmpl w:val="5C6AE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3532C60"/>
    <w:multiLevelType w:val="multilevel"/>
    <w:tmpl w:val="53F2E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6CE346C"/>
    <w:multiLevelType w:val="multilevel"/>
    <w:tmpl w:val="92D20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C1959D1"/>
    <w:multiLevelType w:val="multilevel"/>
    <w:tmpl w:val="E9C00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E1319D4"/>
    <w:multiLevelType w:val="multilevel"/>
    <w:tmpl w:val="290C2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F3B0344"/>
    <w:multiLevelType w:val="multilevel"/>
    <w:tmpl w:val="12EC6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14357C0"/>
    <w:multiLevelType w:val="multilevel"/>
    <w:tmpl w:val="2EAE4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70660EA"/>
    <w:multiLevelType w:val="multilevel"/>
    <w:tmpl w:val="56F0C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B5B21FB"/>
    <w:multiLevelType w:val="multilevel"/>
    <w:tmpl w:val="83361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B8A2184"/>
    <w:multiLevelType w:val="multilevel"/>
    <w:tmpl w:val="E8B2A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E420BDC"/>
    <w:multiLevelType w:val="multilevel"/>
    <w:tmpl w:val="434E5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4"/>
  </w:num>
  <w:num w:numId="2">
    <w:abstractNumId w:val="16"/>
  </w:num>
  <w:num w:numId="3">
    <w:abstractNumId w:val="20"/>
  </w:num>
  <w:num w:numId="4">
    <w:abstractNumId w:val="2"/>
  </w:num>
  <w:num w:numId="5">
    <w:abstractNumId w:val="23"/>
  </w:num>
  <w:num w:numId="6">
    <w:abstractNumId w:val="11"/>
  </w:num>
  <w:num w:numId="7">
    <w:abstractNumId w:val="7"/>
  </w:num>
  <w:num w:numId="8">
    <w:abstractNumId w:val="19"/>
  </w:num>
  <w:num w:numId="9">
    <w:abstractNumId w:val="47"/>
  </w:num>
  <w:num w:numId="10">
    <w:abstractNumId w:val="38"/>
  </w:num>
  <w:num w:numId="11">
    <w:abstractNumId w:val="12"/>
  </w:num>
  <w:num w:numId="12">
    <w:abstractNumId w:val="32"/>
  </w:num>
  <w:num w:numId="13">
    <w:abstractNumId w:val="30"/>
  </w:num>
  <w:num w:numId="14">
    <w:abstractNumId w:val="0"/>
  </w:num>
  <w:num w:numId="15">
    <w:abstractNumId w:val="1"/>
  </w:num>
  <w:num w:numId="16">
    <w:abstractNumId w:val="15"/>
  </w:num>
  <w:num w:numId="17">
    <w:abstractNumId w:val="4"/>
  </w:num>
  <w:num w:numId="18">
    <w:abstractNumId w:val="33"/>
  </w:num>
  <w:num w:numId="19">
    <w:abstractNumId w:val="17"/>
  </w:num>
  <w:num w:numId="20">
    <w:abstractNumId w:val="25"/>
  </w:num>
  <w:num w:numId="21">
    <w:abstractNumId w:val="8"/>
  </w:num>
  <w:num w:numId="22">
    <w:abstractNumId w:val="9"/>
  </w:num>
  <w:num w:numId="23">
    <w:abstractNumId w:val="31"/>
  </w:num>
  <w:num w:numId="24">
    <w:abstractNumId w:val="44"/>
  </w:num>
  <w:num w:numId="25">
    <w:abstractNumId w:val="18"/>
  </w:num>
  <w:num w:numId="26">
    <w:abstractNumId w:val="5"/>
  </w:num>
  <w:num w:numId="27">
    <w:abstractNumId w:val="28"/>
  </w:num>
  <w:num w:numId="28">
    <w:abstractNumId w:val="10"/>
  </w:num>
  <w:num w:numId="29">
    <w:abstractNumId w:val="13"/>
  </w:num>
  <w:num w:numId="30">
    <w:abstractNumId w:val="24"/>
  </w:num>
  <w:num w:numId="31">
    <w:abstractNumId w:val="14"/>
  </w:num>
  <w:num w:numId="32">
    <w:abstractNumId w:val="29"/>
  </w:num>
  <w:num w:numId="33">
    <w:abstractNumId w:val="40"/>
  </w:num>
  <w:num w:numId="34">
    <w:abstractNumId w:val="39"/>
  </w:num>
  <w:num w:numId="35">
    <w:abstractNumId w:val="43"/>
  </w:num>
  <w:num w:numId="36">
    <w:abstractNumId w:val="26"/>
  </w:num>
  <w:num w:numId="37">
    <w:abstractNumId w:val="46"/>
  </w:num>
  <w:num w:numId="38">
    <w:abstractNumId w:val="21"/>
  </w:num>
  <w:num w:numId="39">
    <w:abstractNumId w:val="45"/>
  </w:num>
  <w:num w:numId="40">
    <w:abstractNumId w:val="42"/>
  </w:num>
  <w:num w:numId="41">
    <w:abstractNumId w:val="36"/>
  </w:num>
  <w:num w:numId="42">
    <w:abstractNumId w:val="37"/>
  </w:num>
  <w:num w:numId="43">
    <w:abstractNumId w:val="6"/>
  </w:num>
  <w:num w:numId="44">
    <w:abstractNumId w:val="41"/>
  </w:num>
  <w:num w:numId="45">
    <w:abstractNumId w:val="35"/>
  </w:num>
  <w:num w:numId="46">
    <w:abstractNumId w:val="22"/>
  </w:num>
  <w:num w:numId="47">
    <w:abstractNumId w:val="3"/>
  </w:num>
  <w:num w:numId="48">
    <w:abstractNumId w:val="48"/>
  </w:num>
  <w:num w:numId="49">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10"/>
  <w:displayHorizontalDrawingGridEvery w:val="2"/>
  <w:characterSpacingControl w:val="doNotCompress"/>
  <w:compat>
    <w:useFELayout/>
  </w:compat>
  <w:rsids>
    <w:rsidRoot w:val="008F6EFE"/>
    <w:rsid w:val="001E330F"/>
    <w:rsid w:val="001E45E8"/>
    <w:rsid w:val="00203FE7"/>
    <w:rsid w:val="00332A36"/>
    <w:rsid w:val="003766FA"/>
    <w:rsid w:val="003C1008"/>
    <w:rsid w:val="00474D1E"/>
    <w:rsid w:val="004B6682"/>
    <w:rsid w:val="00685D60"/>
    <w:rsid w:val="007240E4"/>
    <w:rsid w:val="00761B15"/>
    <w:rsid w:val="008A07A2"/>
    <w:rsid w:val="008F6EFE"/>
    <w:rsid w:val="00A87633"/>
    <w:rsid w:val="00D443FB"/>
    <w:rsid w:val="00D977F4"/>
    <w:rsid w:val="00E0611C"/>
    <w:rsid w:val="00ED49A0"/>
    <w:rsid w:val="00FF601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07A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F6EF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F6EFE"/>
    <w:rPr>
      <w:color w:val="0000FF"/>
      <w:u w:val="single"/>
    </w:rPr>
  </w:style>
  <w:style w:type="paragraph" w:styleId="ListParagraph">
    <w:name w:val="List Paragraph"/>
    <w:basedOn w:val="Normal"/>
    <w:uiPriority w:val="34"/>
    <w:qFormat/>
    <w:rsid w:val="008F6EFE"/>
    <w:pPr>
      <w:ind w:left="720"/>
      <w:contextualSpacing/>
    </w:pPr>
  </w:style>
  <w:style w:type="paragraph" w:styleId="NoSpacing">
    <w:name w:val="No Spacing"/>
    <w:link w:val="NoSpacingChar"/>
    <w:uiPriority w:val="1"/>
    <w:qFormat/>
    <w:rsid w:val="007240E4"/>
    <w:pPr>
      <w:spacing w:after="0" w:line="240" w:lineRule="auto"/>
    </w:pPr>
    <w:rPr>
      <w:lang w:val="en-US" w:eastAsia="en-US"/>
    </w:rPr>
  </w:style>
  <w:style w:type="character" w:customStyle="1" w:styleId="NoSpacingChar">
    <w:name w:val="No Spacing Char"/>
    <w:basedOn w:val="DefaultParagraphFont"/>
    <w:link w:val="NoSpacing"/>
    <w:uiPriority w:val="1"/>
    <w:rsid w:val="007240E4"/>
    <w:rPr>
      <w:lang w:val="en-US" w:eastAsia="en-US"/>
    </w:rPr>
  </w:style>
  <w:style w:type="paragraph" w:styleId="BalloonText">
    <w:name w:val="Balloon Text"/>
    <w:basedOn w:val="Normal"/>
    <w:link w:val="BalloonTextChar"/>
    <w:uiPriority w:val="99"/>
    <w:semiHidden/>
    <w:unhideWhenUsed/>
    <w:rsid w:val="007240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40E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93023298">
      <w:bodyDiv w:val="1"/>
      <w:marLeft w:val="0"/>
      <w:marRight w:val="0"/>
      <w:marTop w:val="0"/>
      <w:marBottom w:val="0"/>
      <w:divBdr>
        <w:top w:val="none" w:sz="0" w:space="0" w:color="auto"/>
        <w:left w:val="none" w:sz="0" w:space="0" w:color="auto"/>
        <w:bottom w:val="none" w:sz="0" w:space="0" w:color="auto"/>
        <w:right w:val="none" w:sz="0" w:space="0" w:color="auto"/>
      </w:divBdr>
    </w:div>
    <w:div w:id="850992512">
      <w:bodyDiv w:val="1"/>
      <w:marLeft w:val="0"/>
      <w:marRight w:val="0"/>
      <w:marTop w:val="0"/>
      <w:marBottom w:val="0"/>
      <w:divBdr>
        <w:top w:val="none" w:sz="0" w:space="0" w:color="auto"/>
        <w:left w:val="none" w:sz="0" w:space="0" w:color="auto"/>
        <w:bottom w:val="none" w:sz="0" w:space="0" w:color="auto"/>
        <w:right w:val="none" w:sz="0" w:space="0" w:color="auto"/>
      </w:divBdr>
    </w:div>
    <w:div w:id="1223448270">
      <w:bodyDiv w:val="1"/>
      <w:marLeft w:val="0"/>
      <w:marRight w:val="0"/>
      <w:marTop w:val="0"/>
      <w:marBottom w:val="0"/>
      <w:divBdr>
        <w:top w:val="none" w:sz="0" w:space="0" w:color="auto"/>
        <w:left w:val="none" w:sz="0" w:space="0" w:color="auto"/>
        <w:bottom w:val="none" w:sz="0" w:space="0" w:color="auto"/>
        <w:right w:val="none" w:sz="0" w:space="0" w:color="auto"/>
      </w:divBdr>
    </w:div>
    <w:div w:id="1234582013">
      <w:bodyDiv w:val="1"/>
      <w:marLeft w:val="0"/>
      <w:marRight w:val="0"/>
      <w:marTop w:val="0"/>
      <w:marBottom w:val="0"/>
      <w:divBdr>
        <w:top w:val="none" w:sz="0" w:space="0" w:color="auto"/>
        <w:left w:val="none" w:sz="0" w:space="0" w:color="auto"/>
        <w:bottom w:val="none" w:sz="0" w:space="0" w:color="auto"/>
        <w:right w:val="none" w:sz="0" w:space="0" w:color="auto"/>
      </w:divBdr>
    </w:div>
    <w:div w:id="1816144251">
      <w:bodyDiv w:val="1"/>
      <w:marLeft w:val="0"/>
      <w:marRight w:val="0"/>
      <w:marTop w:val="0"/>
      <w:marBottom w:val="0"/>
      <w:divBdr>
        <w:top w:val="none" w:sz="0" w:space="0" w:color="auto"/>
        <w:left w:val="none" w:sz="0" w:space="0" w:color="auto"/>
        <w:bottom w:val="none" w:sz="0" w:space="0" w:color="auto"/>
        <w:right w:val="none" w:sz="0" w:space="0" w:color="auto"/>
      </w:divBdr>
    </w:div>
    <w:div w:id="2140947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idp.springer.com/authorize/casa?redirect_uri=https://link.springer.com/content/pdf/10.1007/s11896-013-9131-0.pdf&amp;casa_token=_Dq2-jvRHkAAAAAA:1D78JkElldtzkQyvUQWClWB4owze4UhiiJSssOqyWPaJc7UcyTQ04TuPvHFO_O8t0wQaQ9DT_zCMwyKVDGg" TargetMode="External"/><Relationship Id="rId18" Type="http://schemas.openxmlformats.org/officeDocument/2006/relationships/hyperlink" Target="https://www.app.college.police.uk/app-content/investigations/forensics/" TargetMode="External"/><Relationship Id="rId26" Type="http://schemas.openxmlformats.org/officeDocument/2006/relationships/hyperlink" Target="https://sites.law.duke.edu/forensicsforum/2017/03/17/an-overview-of-presumptive-and-confirmatory-testing-in-the-forensic-sciences/" TargetMode="External"/><Relationship Id="rId39" Type="http://schemas.openxmlformats.org/officeDocument/2006/relationships/hyperlink" Target="http://www.amandaknoxcase.net/luminol/" TargetMode="External"/><Relationship Id="rId21" Type="http://schemas.openxmlformats.org/officeDocument/2006/relationships/hyperlink" Target="https://www.amazon.co.uk/Blackstones-Crime-Investigators-Handbook-Tony/dp/0199662932" TargetMode="External"/><Relationship Id="rId34" Type="http://schemas.openxmlformats.org/officeDocument/2006/relationships/hyperlink" Target="http://solr.bccampus.ca:8001/bcc/file/0c9b47a1-9309-470c-b83c-ed55f5e2a9ea/1/Introduction-to-Criminal-Investigation-Processes-Practices-and-Thinking.pdf" TargetMode="External"/><Relationship Id="rId42" Type="http://schemas.openxmlformats.org/officeDocument/2006/relationships/hyperlink" Target="https://www.sciencedirect.com/science/article/pii/S1875176819301647" TargetMode="External"/><Relationship Id="rId47" Type="http://schemas.openxmlformats.org/officeDocument/2006/relationships/hyperlink" Target="https://www.legislation.gov.uk/ukpga/1984/60/contents" TargetMode="External"/><Relationship Id="rId50" Type="http://schemas.openxmlformats.org/officeDocument/2006/relationships/hyperlink" Target="https://www.unodc.org/documents/scientific/Crime_scene_awareness__Ebook.pdf" TargetMode="External"/><Relationship Id="rId55" Type="http://schemas.openxmlformats.org/officeDocument/2006/relationships/theme" Target="theme/theme1.xml"/><Relationship Id="rId7" Type="http://schemas.openxmlformats.org/officeDocument/2006/relationships/hyperlink" Target="https://www.pasadenastarnews.com/2014/06/08/oj-simpson-case-taught-police-what-not-to-do-at-a-crime-scene/" TargetMode="External"/><Relationship Id="rId12" Type="http://schemas.openxmlformats.org/officeDocument/2006/relationships/hyperlink" Target="https://onlinelibrary.wiley.com/doi/full/10.1111/j.1556-4029.2010.01671.x?casa_token=PSQq6yrT26oAAAAA%3ATxmId34rMbGaCIIBnMq46xxP0wjXsPK6OLn1R8Ap5Ghlf9kBSeN89WdMvG3xna8TN6ulxtns6Ce1Z2rl3A" TargetMode="External"/><Relationship Id="rId17" Type="http://schemas.openxmlformats.org/officeDocument/2006/relationships/hyperlink" Target="https://www.app.college.police.uk/app-content/major-investigation-and-public-protection/domestic-abuse/first-response/" TargetMode="External"/><Relationship Id="rId25" Type="http://schemas.openxmlformats.org/officeDocument/2006/relationships/hyperlink" Target="https://microbiologysociety.org/publication/past-issues/microbiology-in-popular-culture/article/managing-the-myths-the-csi-effect-in-forensic-science.html" TargetMode="External"/><Relationship Id="rId33" Type="http://schemas.openxmlformats.org/officeDocument/2006/relationships/hyperlink" Target="https://books.google.co.uk/books?hl=en&amp;lr=&amp;id=Ai7wOMS1z0EC&amp;oi=fnd&amp;pg=PA45&amp;dq=%27s&amp;ots=rp18cMasFK&amp;sig=l1jGr96o9CaP1FS2wAqTDdYMgV8" TargetMode="External"/><Relationship Id="rId38" Type="http://schemas.openxmlformats.org/officeDocument/2006/relationships/hyperlink" Target="https://www.justiceinspectorates.gov.uk/hmicfrs/wp-content/uploads/peel-police-effectiveness-2017-psni.pdf" TargetMode="External"/><Relationship Id="rId46" Type="http://schemas.openxmlformats.org/officeDocument/2006/relationships/hyperlink" Target="https://core.ac.uk/download/pdf/144229758.pdf" TargetMode="External"/><Relationship Id="rId2" Type="http://schemas.openxmlformats.org/officeDocument/2006/relationships/styles" Target="styles.xml"/><Relationship Id="rId16" Type="http://schemas.openxmlformats.org/officeDocument/2006/relationships/hyperlink" Target="https://journals.sagepub.com/doi/full/10.1177/0963662513481294?casa_token=90XL5s6tsa8AAAAA%3AwaS-zw7wsS18aF1c-SukxhTwBUYRbNgTPESVZmDNfSXMBrLTU-XLvJbL8KhasTWHt4SGKPs25ZsRh_c" TargetMode="External"/><Relationship Id="rId20" Type="http://schemas.openxmlformats.org/officeDocument/2006/relationships/hyperlink" Target="https://moodle.uwtsd.ac.uk/pluginfile.php/426333/mod_resource/content/1/Blackstones%20FAO.pdf" TargetMode="External"/><Relationship Id="rId29" Type="http://schemas.openxmlformats.org/officeDocument/2006/relationships/hyperlink" Target="http://www.forensic-evidence.co.uk/" TargetMode="External"/><Relationship Id="rId41" Type="http://schemas.openxmlformats.org/officeDocument/2006/relationships/hyperlink" Target="https://link.springer.com/article/10.1007/s12024-010-9198-1" TargetMode="External"/><Relationship Id="rId54"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hyperlink" Target="https://cen.acs.org/articles/95/i37/Thirty-years-DNA-forensics-DNA.html" TargetMode="External"/><Relationship Id="rId11" Type="http://schemas.openxmlformats.org/officeDocument/2006/relationships/hyperlink" Target="https://assets.publishing.service.gov.uk/government/uploads/system/uploads/attachment_data/file/115849/hoor4305.pdf" TargetMode="External"/><Relationship Id="rId24" Type="http://schemas.openxmlformats.org/officeDocument/2006/relationships/hyperlink" Target="https://www.legislation.gov.uk/ukpga/1996/25/contents" TargetMode="External"/><Relationship Id="rId32" Type="http://schemas.openxmlformats.org/officeDocument/2006/relationships/hyperlink" Target="https://assets.publishing.service.gov.uk/government/uploads/system/uploads/attachment_data/file/393866/206_FSR_SOC_contamination_consultation.pdf" TargetMode="External"/><Relationship Id="rId37" Type="http://schemas.openxmlformats.org/officeDocument/2006/relationships/hyperlink" Target="http://viewfromwilmington.blogspot.com/2012/07/presumptive-blood-testing-in.html" TargetMode="External"/><Relationship Id="rId40" Type="http://schemas.openxmlformats.org/officeDocument/2006/relationships/hyperlink" Target="https://www.jesip.org.uk/early-stages-methane" TargetMode="External"/><Relationship Id="rId45" Type="http://schemas.openxmlformats.org/officeDocument/2006/relationships/hyperlink" Target="http://www.forensicsciencesimplified.org/csi/how.html" TargetMode="External"/><Relationship Id="rId53" Type="http://schemas.openxmlformats.org/officeDocument/2006/relationships/fontTable" Target="fontTable.xml"/><Relationship Id="rId5" Type="http://schemas.openxmlformats.org/officeDocument/2006/relationships/hyperlink" Target="https://aizmanlaw.com/lessons-learned-evidence-gathering-mistakes-simpson-case/" TargetMode="External"/><Relationship Id="rId15" Type="http://schemas.openxmlformats.org/officeDocument/2006/relationships/hyperlink" Target="https://www.sciencedirect.com/science/article/pii/S1872497318302746?casa_token=e0scblmfsMoAAAAA:GyeIHf34QV9fRCzucD3tTQoXt6ub-VhiYuKDzAUucj0n_5y2QYRilfvvLoz6PayW70IVLJzR9fsAYw" TargetMode="External"/><Relationship Id="rId23" Type="http://schemas.openxmlformats.org/officeDocument/2006/relationships/hyperlink" Target="https://www.crimemuseum.org/crime-library/famous-murders/forensic-investigation-of-the-oj-simpson-trial/" TargetMode="External"/><Relationship Id="rId28" Type="http://schemas.openxmlformats.org/officeDocument/2006/relationships/hyperlink" Target="https://www.essex.police.uk/news/essex/news/news/2020/february/detectives-appeal-for-fresh-information-about-the-rape-and-murder-of-stuart-lubbock/" TargetMode="External"/><Relationship Id="rId36" Type="http://schemas.openxmlformats.org/officeDocument/2006/relationships/hyperlink" Target="https://www.sog.unc.edu/sites/www.sog.unc.edu/files/course_materials/Presumptive%20and%20Confirmatory%20Forensic%20Tests.pdf" TargetMode="External"/><Relationship Id="rId49" Type="http://schemas.openxmlformats.org/officeDocument/2006/relationships/hyperlink" Target="https://thesohammurderantoniasumner.weebly.com/fao-first-attending-officer.html" TargetMode="External"/><Relationship Id="rId10" Type="http://schemas.openxmlformats.org/officeDocument/2006/relationships/hyperlink" Target="https://www.sciencedirect.com/science/article/pii/B9780128026557000071" TargetMode="External"/><Relationship Id="rId19" Type="http://schemas.openxmlformats.org/officeDocument/2006/relationships/hyperlink" Target="https://www.app.college.police.uk/app-content/investigations/investigation-process/" TargetMode="External"/><Relationship Id="rId31" Type="http://schemas.openxmlformats.org/officeDocument/2006/relationships/hyperlink" Target="https://aboutforensics.co.uk/trace-evidence/" TargetMode="External"/><Relationship Id="rId44" Type="http://schemas.openxmlformats.org/officeDocument/2006/relationships/hyperlink" Target="https://www.ucl.ac.uk/made-at-ucl/stories/forensic-science-dangers-misinterpreted-evidence" TargetMode="External"/><Relationship Id="rId52" Type="http://schemas.openxmlformats.org/officeDocument/2006/relationships/hyperlink" Target="https://www.yourgenome.org/facts/what-is-the-uk-national-dna-database" TargetMode="External"/><Relationship Id="rId4" Type="http://schemas.openxmlformats.org/officeDocument/2006/relationships/webSettings" Target="webSettings.xml"/><Relationship Id="rId9" Type="http://schemas.openxmlformats.org/officeDocument/2006/relationships/hyperlink" Target="https://www.bbc.co.uk/news/uk-england-essex-51315670" TargetMode="External"/><Relationship Id="rId14" Type="http://schemas.openxmlformats.org/officeDocument/2006/relationships/hyperlink" Target="https://core.ac.uk/download/pdf/1752938.pdf" TargetMode="External"/><Relationship Id="rId22" Type="http://schemas.openxmlformats.org/officeDocument/2006/relationships/hyperlink" Target="https://www.cps.gov.uk/reporting-crime" TargetMode="External"/><Relationship Id="rId27" Type="http://schemas.openxmlformats.org/officeDocument/2006/relationships/hyperlink" Target="https://moodle.uwtsd.ac.uk/pluginfile.php/354373/mod_resource/content/1/ENFSI%20forensic.pdf" TargetMode="External"/><Relationship Id="rId30" Type="http://schemas.openxmlformats.org/officeDocument/2006/relationships/hyperlink" Target="https://aboutforensics.co.uk/crime-scenes/" TargetMode="External"/><Relationship Id="rId35" Type="http://schemas.openxmlformats.org/officeDocument/2006/relationships/hyperlink" Target="https://www.sciencedirect.com/science/article/pii/S1872497316300333" TargetMode="External"/><Relationship Id="rId43" Type="http://schemas.openxmlformats.org/officeDocument/2006/relationships/hyperlink" Target="https://www.met.police.uk/SysSiteAssets/foi-media/metropolitan-police/disclosure_2019/january_2019/information-rights-unit---london-homicide-manual" TargetMode="External"/><Relationship Id="rId48" Type="http://schemas.openxmlformats.org/officeDocument/2006/relationships/hyperlink" Target="https://royalsociety.org/-/media/about-us/programmes/science-and-law/royal-society-forensic-dna-analysis-primer-for-courts.pdf" TargetMode="External"/><Relationship Id="rId8" Type="http://schemas.openxmlformats.org/officeDocument/2006/relationships/hyperlink" Target="https://www.crime-scene-investigator.net/crime-scene-contamination-issues.html" TargetMode="External"/><Relationship Id="rId51" Type="http://schemas.openxmlformats.org/officeDocument/2006/relationships/hyperlink" Target="https://www.ncbi.nlm.nih.gov/pmc/articles/PMC2585748/" TargetMode="External"/><Relationship Id="rId3"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11B216A4B9E549E8B580C8587FD666D8"/>
        <w:category>
          <w:name w:val="General"/>
          <w:gallery w:val="placeholder"/>
        </w:category>
        <w:types>
          <w:type w:val="bbPlcHdr"/>
        </w:types>
        <w:behaviors>
          <w:behavior w:val="content"/>
        </w:behaviors>
        <w:guid w:val="{EA41012C-8867-435A-B130-A184715952F1}"/>
      </w:docPartPr>
      <w:docPartBody>
        <w:p w:rsidR="00E26D47" w:rsidRDefault="00940FD7" w:rsidP="00940FD7">
          <w:pPr>
            <w:pStyle w:val="11B216A4B9E549E8B580C8587FD666D8"/>
          </w:pPr>
          <w:r>
            <w:rPr>
              <w:rFonts w:asciiTheme="majorHAnsi" w:eastAsiaTheme="majorEastAsia" w:hAnsiTheme="majorHAnsi" w:cstheme="majorBidi"/>
              <w:caps/>
            </w:rPr>
            <w:t>[Type the company name]</w:t>
          </w:r>
        </w:p>
      </w:docPartBody>
    </w:docPart>
    <w:docPart>
      <w:docPartPr>
        <w:name w:val="AE0E2BEDF7B44F48BD517E0797490CFE"/>
        <w:category>
          <w:name w:val="General"/>
          <w:gallery w:val="placeholder"/>
        </w:category>
        <w:types>
          <w:type w:val="bbPlcHdr"/>
        </w:types>
        <w:behaviors>
          <w:behavior w:val="content"/>
        </w:behaviors>
        <w:guid w:val="{29B9B449-743D-4ABD-8029-C3A4CB01F7A0}"/>
      </w:docPartPr>
      <w:docPartBody>
        <w:p w:rsidR="00E26D47" w:rsidRDefault="00940FD7" w:rsidP="00940FD7">
          <w:pPr>
            <w:pStyle w:val="AE0E2BEDF7B44F48BD517E0797490CFE"/>
          </w:pPr>
          <w:r>
            <w:rPr>
              <w:rFonts w:asciiTheme="majorHAnsi" w:eastAsiaTheme="majorEastAsia" w:hAnsiTheme="majorHAnsi" w:cstheme="majorBidi"/>
              <w:sz w:val="44"/>
              <w:szCs w:val="44"/>
            </w:rPr>
            <w:t>[Type the document subtitle]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940FD7"/>
    <w:rsid w:val="00477059"/>
    <w:rsid w:val="00940FD7"/>
    <w:rsid w:val="00E26D4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D4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B216A4B9E549E8B580C8587FD666D8">
    <w:name w:val="11B216A4B9E549E8B580C8587FD666D8"/>
    <w:rsid w:val="00940FD7"/>
  </w:style>
  <w:style w:type="paragraph" w:customStyle="1" w:styleId="2C9F0E4266DE4F2CB36AAA537FB405CC">
    <w:name w:val="2C9F0E4266DE4F2CB36AAA537FB405CC"/>
    <w:rsid w:val="00940FD7"/>
  </w:style>
  <w:style w:type="paragraph" w:customStyle="1" w:styleId="AE0E2BEDF7B44F48BD517E0797490CFE">
    <w:name w:val="AE0E2BEDF7B44F48BD517E0797490CFE"/>
    <w:rsid w:val="00940FD7"/>
  </w:style>
  <w:style w:type="paragraph" w:customStyle="1" w:styleId="2A81FBC592CA4DC3A43961E8909864BD">
    <w:name w:val="2A81FBC592CA4DC3A43961E8909864BD"/>
    <w:rsid w:val="00940FD7"/>
  </w:style>
  <w:style w:type="paragraph" w:customStyle="1" w:styleId="26DC940630BA421AA36543CD043E3B02">
    <w:name w:val="26DC940630BA421AA36543CD043E3B02"/>
    <w:rsid w:val="00940FD7"/>
  </w:style>
  <w:style w:type="paragraph" w:customStyle="1" w:styleId="4D6D59FC893541B4903306F5DEDAE99E">
    <w:name w:val="4D6D59FC893541B4903306F5DEDAE99E"/>
    <w:rsid w:val="00940FD7"/>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26</Pages>
  <Words>6288</Words>
  <Characters>35844</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"Critically Evaluate the Processes and Procedures Adopted by the First Attending Officer (FAO) at a Crime Scene in Order to Reduce the Possibilities of Cross Contamination" &amp; "Critically Analyse the Methods in Practice for the Recovery and Examination of </vt:lpstr>
    </vt:vector>
  </TitlesOfParts>
  <Company>UNIVERSITY OF WALES TRINITY SAINT DAVID</Company>
  <LinksUpToDate>false</LinksUpToDate>
  <CharactersWithSpaces>42048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Evaluate the Processes and Procedures Adopted by the First Attending Officer (FAO) at a Crime Scene in Order to Reduce the Possibilities of Cross Contamination" &amp; "Critically Analyse the Methods in Practice for the Recovery and Examination of Forensic Evidence at Crime Scenes, Evaluating the Legislation, Strategies, Policies and Procedures with Regard to Forensic Recovery and Examination"</dc:title>
  <dc:subject>Forensic Recovery and Examination - Assignment 1 - Lecturer: Wynne Jones</dc:subject>
  <dc:creator>Callum Samuel - ID : 1801402</dc:creator>
  <cp:keywords/>
  <dc:description/>
  <cp:lastModifiedBy>ADMIN</cp:lastModifiedBy>
  <cp:revision>19</cp:revision>
  <dcterms:created xsi:type="dcterms:W3CDTF">2020-11-04T21:45:00Z</dcterms:created>
  <dcterms:modified xsi:type="dcterms:W3CDTF">2020-11-05T17:08:00Z</dcterms:modified>
</cp:coreProperties>
</file>