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F974E5" w14:textId="5C2A9BC6" w:rsidR="005B11E8" w:rsidRDefault="005B11E8">
      <w:r>
        <w:t>Greta Gehring</w:t>
      </w:r>
    </w:p>
    <w:p w14:paraId="69A6D837" w14:textId="135F82BF" w:rsidR="005B11E8" w:rsidRDefault="005B11E8">
      <w:r>
        <w:t xml:space="preserve">Y </w:t>
      </w:r>
      <w:proofErr w:type="spellStart"/>
      <w:r>
        <w:t>Mabinogi</w:t>
      </w:r>
      <w:proofErr w:type="spellEnd"/>
    </w:p>
    <w:p w14:paraId="522795C7" w14:textId="2DEDD1AD" w:rsidR="005B11E8" w:rsidRDefault="005B11E8">
      <w:r>
        <w:t>Professor Jane Cartwright</w:t>
      </w:r>
    </w:p>
    <w:p w14:paraId="12662FCA" w14:textId="2C4CA4EA" w:rsidR="005B11E8" w:rsidRDefault="005B11E8">
      <w:r>
        <w:t>11/15/18</w:t>
      </w:r>
    </w:p>
    <w:p w14:paraId="47576A45" w14:textId="2795AAB7" w:rsidR="005B11E8" w:rsidRDefault="005B11E8" w:rsidP="005B11E8">
      <w:pPr>
        <w:jc w:val="center"/>
      </w:pPr>
      <w:r>
        <w:t xml:space="preserve">Y </w:t>
      </w:r>
      <w:proofErr w:type="spellStart"/>
      <w:r>
        <w:t>Mabinogi</w:t>
      </w:r>
      <w:proofErr w:type="spellEnd"/>
      <w:r>
        <w:t xml:space="preserve"> Passage Appreciation</w:t>
      </w:r>
    </w:p>
    <w:p w14:paraId="6E662FD7" w14:textId="68065FE3" w:rsidR="0093703F" w:rsidRDefault="003C2E1A">
      <w:r>
        <w:tab/>
        <w:t xml:space="preserve">This passage hails from the First Branch of </w:t>
      </w:r>
      <w:r>
        <w:rPr>
          <w:i/>
        </w:rPr>
        <w:t xml:space="preserve">The </w:t>
      </w:r>
      <w:proofErr w:type="spellStart"/>
      <w:r>
        <w:rPr>
          <w:i/>
        </w:rPr>
        <w:t>Mabinogion</w:t>
      </w:r>
      <w:proofErr w:type="spellEnd"/>
      <w:r>
        <w:t xml:space="preserve">, the first of the four stories to introduce two of the Branches’ major characters, Rhiannon and </w:t>
      </w:r>
      <w:proofErr w:type="spellStart"/>
      <w:r>
        <w:t>Pryderi</w:t>
      </w:r>
      <w:proofErr w:type="spellEnd"/>
      <w:r>
        <w:t xml:space="preserve">. </w:t>
      </w:r>
      <w:proofErr w:type="spellStart"/>
      <w:r>
        <w:t>Pryderi</w:t>
      </w:r>
      <w:proofErr w:type="spellEnd"/>
      <w:r>
        <w:t xml:space="preserve"> has not yet appeared in this passage or prior to this </w:t>
      </w:r>
      <w:proofErr w:type="gramStart"/>
      <w:r>
        <w:t>due to the fact that</w:t>
      </w:r>
      <w:proofErr w:type="gramEnd"/>
      <w:r>
        <w:t xml:space="preserve"> he hasn’t been born yet, but this passage is significant for multiple reasons, the most basic from a storytelling perspective being that this is the first meeting of </w:t>
      </w:r>
      <w:proofErr w:type="spellStart"/>
      <w:r>
        <w:t>Pryderi’s</w:t>
      </w:r>
      <w:proofErr w:type="spellEnd"/>
      <w:r>
        <w:t xml:space="preserve"> future parents, </w:t>
      </w:r>
      <w:proofErr w:type="spellStart"/>
      <w:r>
        <w:t>Pwyll</w:t>
      </w:r>
      <w:proofErr w:type="spellEnd"/>
      <w:r>
        <w:t xml:space="preserve"> and Rhiannon.</w:t>
      </w:r>
    </w:p>
    <w:p w14:paraId="61464649" w14:textId="2FE87FCB" w:rsidR="003C2E1A" w:rsidRDefault="003C2E1A" w:rsidP="0093703F">
      <w:pPr>
        <w:ind w:firstLine="720"/>
      </w:pPr>
      <w:r>
        <w:t xml:space="preserve">In this scene, </w:t>
      </w:r>
      <w:proofErr w:type="spellStart"/>
      <w:r>
        <w:t>Pwyll</w:t>
      </w:r>
      <w:proofErr w:type="spellEnd"/>
      <w:r>
        <w:t xml:space="preserve"> finally comes across a mysterious rider that he couldn’t catch up to no matter how fast he travelled until he finally speaks to the rider in question. This is his third attempt to pursue the mysterious rider, the previous two attempts ending in failure. The rule of three is a very common motif in literature all across the world, </w:t>
      </w:r>
      <w:r w:rsidR="0093703F">
        <w:t>from the Bible</w:t>
      </w:r>
      <w:r w:rsidR="00DB4C7B">
        <w:t xml:space="preserve"> (the Father, the Son and the Holy Spirit)</w:t>
      </w:r>
      <w:r w:rsidR="0093703F">
        <w:t xml:space="preserve"> to simple </w:t>
      </w:r>
      <w:r w:rsidR="00FE7EAB">
        <w:t xml:space="preserve">children’s stories like </w:t>
      </w:r>
      <w:r w:rsidR="00FE7EAB">
        <w:rPr>
          <w:i/>
        </w:rPr>
        <w:t xml:space="preserve">The Three Little Pigs </w:t>
      </w:r>
      <w:r w:rsidR="00FE7EAB" w:rsidRPr="00714FEC">
        <w:t>or</w:t>
      </w:r>
      <w:r w:rsidR="00FE7EAB">
        <w:rPr>
          <w:i/>
        </w:rPr>
        <w:t xml:space="preserve"> Goldilocks and the Three Bears</w:t>
      </w:r>
      <w:r w:rsidR="00355C01">
        <w:rPr>
          <w:i/>
        </w:rPr>
        <w:t xml:space="preserve"> </w:t>
      </w:r>
      <w:r>
        <w:t xml:space="preserve">and it serves as both a way to </w:t>
      </w:r>
      <w:r w:rsidR="0093703F">
        <w:t>cause tension in the story and also prepare the audience to look forward to whatever will occur on the third attempt which the audience can now assume will</w:t>
      </w:r>
      <w:r w:rsidR="00714FEC">
        <w:t xml:space="preserve"> be a twist or punchline of some kind</w:t>
      </w:r>
      <w:r w:rsidR="0093703F">
        <w:t xml:space="preserve">. The rule of three is common in other Welsh literature as well, </w:t>
      </w:r>
      <w:proofErr w:type="gramStart"/>
      <w:r w:rsidR="0093703F">
        <w:t>in particular the</w:t>
      </w:r>
      <w:proofErr w:type="gramEnd"/>
      <w:r w:rsidR="0093703F">
        <w:t xml:space="preserve"> Triads, which are groups of heroes or objects or objects of threes that would be grouped together for ease of memory and recitation, such as the Three Fortunate Concealments in the Second Branch and the Three Disloyal Retinues in the Fourth Branch. In total, it takes </w:t>
      </w:r>
      <w:proofErr w:type="spellStart"/>
      <w:r w:rsidR="0093703F">
        <w:t>Pwyll</w:t>
      </w:r>
      <w:proofErr w:type="spellEnd"/>
      <w:r w:rsidR="0093703F">
        <w:t xml:space="preserve"> three days to finally reach Rhiannon, and only because he finally asked her to stop.</w:t>
      </w:r>
    </w:p>
    <w:p w14:paraId="60035009" w14:textId="163E166A" w:rsidR="00495A85" w:rsidRDefault="00495A85" w:rsidP="0093703F">
      <w:pPr>
        <w:ind w:firstLine="720"/>
      </w:pPr>
      <w:r>
        <w:t xml:space="preserve">The very location itself where this encounter takes place is also of note. The location is described as a mound, which the audience of the time would have recognized to have magical powers much like the fairy rings and clearings in other areas in the United Kingdom, the fairy churches in Iceland which have been known to delay or even reroute roads in the country to this day, or at least in my case reminded of the </w:t>
      </w:r>
      <w:r>
        <w:rPr>
          <w:i/>
        </w:rPr>
        <w:t>kofun</w:t>
      </w:r>
      <w:r>
        <w:t xml:space="preserve"> </w:t>
      </w:r>
      <w:r w:rsidR="00501DAC">
        <w:t>(tombs) found in some areas in Japan which may or may not contain ancient members of the imperial family</w:t>
      </w:r>
      <w:r w:rsidR="00A45C2B">
        <w:t>,</w:t>
      </w:r>
      <w:r w:rsidR="00501DAC">
        <w:t xml:space="preserve"> or the burial mounds found in my home state in Ohio such as Fort Ancient or the Serpent Mound. While these final two’s origins as burial mounds are generally considered to be true, who exactly made them is still a topic of debate, and </w:t>
      </w:r>
      <w:proofErr w:type="gramStart"/>
      <w:r w:rsidR="00501DAC">
        <w:t>whether or not</w:t>
      </w:r>
      <w:proofErr w:type="gramEnd"/>
      <w:r w:rsidR="00501DAC">
        <w:t xml:space="preserve"> they had other functions are still unknown. The mound that </w:t>
      </w:r>
      <w:proofErr w:type="spellStart"/>
      <w:r w:rsidR="00501DAC">
        <w:t>Pwyll</w:t>
      </w:r>
      <w:proofErr w:type="spellEnd"/>
      <w:r w:rsidR="00501DAC">
        <w:t xml:space="preserve"> and his men sit upon could very well be something like this, but even if it is not intended to be a tomb, the image clearly evokes a strange and mysterious feeling especially when Rhiannon appears on her horse in the same fashion each time much like a spirit or ghost.</w:t>
      </w:r>
    </w:p>
    <w:p w14:paraId="7A224A39" w14:textId="4226F85D" w:rsidR="00B85708" w:rsidRDefault="00B85708" w:rsidP="0093703F">
      <w:pPr>
        <w:ind w:firstLine="720"/>
      </w:pPr>
      <w:r>
        <w:t xml:space="preserve">The fact that Rhiannon appears to </w:t>
      </w:r>
      <w:proofErr w:type="spellStart"/>
      <w:r w:rsidR="00B25312">
        <w:t>Pwyll</w:t>
      </w:r>
      <w:proofErr w:type="spellEnd"/>
      <w:r w:rsidR="00B25312">
        <w:t xml:space="preserve"> twice before finally being stopped as she travels in the same fashion and in the same pace, indicates </w:t>
      </w:r>
      <w:proofErr w:type="gramStart"/>
      <w:r w:rsidR="00B25312">
        <w:t>some kind of time</w:t>
      </w:r>
      <w:proofErr w:type="gramEnd"/>
      <w:r w:rsidR="00B25312">
        <w:t xml:space="preserve"> loop or magic. Rhiannon has already given multiple signs that she is not a normal human being and her willingness to repeat her actions until </w:t>
      </w:r>
      <w:proofErr w:type="spellStart"/>
      <w:r w:rsidR="00B25312">
        <w:t>Pwyll</w:t>
      </w:r>
      <w:proofErr w:type="spellEnd"/>
      <w:r w:rsidR="00B25312">
        <w:t xml:space="preserve"> addresses her indicates that she is quite patient, even if she is a little perturbed at her future husband’s actions. </w:t>
      </w:r>
      <w:proofErr w:type="spellStart"/>
      <w:r w:rsidR="00B25312">
        <w:t>Pwyll’s</w:t>
      </w:r>
      <w:proofErr w:type="spellEnd"/>
      <w:r w:rsidR="00B25312">
        <w:t xml:space="preserve"> name means ‘patience’ and thanks to Rhiannon’s patience she has quite literally gained Patience’s hand in </w:t>
      </w:r>
      <w:r w:rsidR="00343CC5">
        <w:t xml:space="preserve">marriage </w:t>
      </w:r>
      <w:r w:rsidR="00A45C2B">
        <w:t>(</w:t>
      </w:r>
      <w:r w:rsidR="00343CC5">
        <w:t>or</w:t>
      </w:r>
      <w:r w:rsidR="00B25312">
        <w:t xml:space="preserve"> will </w:t>
      </w:r>
      <w:r w:rsidR="00343CC5">
        <w:t>sometime</w:t>
      </w:r>
      <w:r w:rsidR="00B25312">
        <w:t xml:space="preserve"> after this passage</w:t>
      </w:r>
      <w:r w:rsidR="00A45C2B">
        <w:t>)</w:t>
      </w:r>
      <w:bookmarkStart w:id="0" w:name="_GoBack"/>
      <w:bookmarkEnd w:id="0"/>
      <w:r w:rsidR="00B25312">
        <w:t xml:space="preserve">. If the audience knows </w:t>
      </w:r>
      <w:r w:rsidR="00B25312">
        <w:lastRenderedPageBreak/>
        <w:t xml:space="preserve">or assumes that Rhiannon is a territory goddess connected to </w:t>
      </w:r>
      <w:proofErr w:type="spellStart"/>
      <w:r w:rsidR="00B25312">
        <w:t>Epona</w:t>
      </w:r>
      <w:proofErr w:type="spellEnd"/>
      <w:r w:rsidR="00B25312">
        <w:t xml:space="preserve"> or similar in nature to Ireland’s Queen Medb, her actions become quite clear. </w:t>
      </w:r>
      <w:r w:rsidR="005819ED">
        <w:t>If the audience assumes she is</w:t>
      </w:r>
      <w:r w:rsidR="00B25312">
        <w:t xml:space="preserve"> the territorial goddess of Dyfed, Rhiannon’s marriage to a man cannot be just any man, her choice in a husband will directly affect her domain </w:t>
      </w:r>
      <w:r w:rsidR="00D93CEA">
        <w:t xml:space="preserve">and as a result she goes to great pains to make sure </w:t>
      </w:r>
      <w:proofErr w:type="spellStart"/>
      <w:r w:rsidR="00D93CEA">
        <w:t>Pwyll</w:t>
      </w:r>
      <w:proofErr w:type="spellEnd"/>
      <w:r w:rsidR="00D93CEA">
        <w:t xml:space="preserve"> notices her before she is married off to a man she does not want to marry</w:t>
      </w:r>
      <w:r w:rsidR="00343CC5">
        <w:t xml:space="preserve"> which would doom the domain that she is the patron of. As a result, she quite deliberately sets up a situation where she knows a young man like </w:t>
      </w:r>
      <w:proofErr w:type="spellStart"/>
      <w:r w:rsidR="00343CC5">
        <w:t>Pwyll</w:t>
      </w:r>
      <w:proofErr w:type="spellEnd"/>
      <w:r w:rsidR="00343CC5">
        <w:t xml:space="preserve"> cannot resist: an adventure.</w:t>
      </w:r>
    </w:p>
    <w:p w14:paraId="10866E90" w14:textId="7BB14F20" w:rsidR="00343CC5" w:rsidRDefault="008C5115" w:rsidP="0093703F">
      <w:pPr>
        <w:ind w:firstLine="720"/>
      </w:pPr>
      <w:r>
        <w:t xml:space="preserve">Once </w:t>
      </w:r>
      <w:proofErr w:type="spellStart"/>
      <w:r>
        <w:t>Pwyll</w:t>
      </w:r>
      <w:proofErr w:type="spellEnd"/>
      <w:r>
        <w:t xml:space="preserve"> finally calls out to Rhiannon, she stops, finally speaking to him. It’s the first time the audience has heard her speak and it’s frankly quite snarky. Despite Rhiannon engineering the encounter to meet </w:t>
      </w:r>
      <w:proofErr w:type="spellStart"/>
      <w:r>
        <w:t>Pwyll</w:t>
      </w:r>
      <w:proofErr w:type="spellEnd"/>
      <w:r>
        <w:t xml:space="preserve">, she’s rather miffed that it took him three times to get it right. She chastises him bluntly for chasing after her like a hunt, when all it would have taken was simply calling to get her attention. While some might think this is a somewhat odd first interaction for the two protagonists of the First Branch, it immediately sets up both characters as likable. </w:t>
      </w:r>
      <w:proofErr w:type="spellStart"/>
      <w:r>
        <w:t>Pwyll</w:t>
      </w:r>
      <w:proofErr w:type="spellEnd"/>
      <w:r>
        <w:t xml:space="preserve"> is shown to be polite and charming, even if a little </w:t>
      </w:r>
      <w:r w:rsidR="005819ED">
        <w:t>pushy (he has yet to grow completely into his namesake) and Rhiannon is shown to be incredibly intelligent and clever with a sense of humor, citing to think of the horses instead of trying to chase her down. However, Rhiannon is still a woman and despite her rank and supernatural origin she is still confined to the rules of her time and culture and therefore cannot fend off an unwanted suitor alone</w:t>
      </w:r>
      <w:r w:rsidR="00FE7EAB">
        <w:t xml:space="preserve"> (Winward, p. 84-86).</w:t>
      </w:r>
      <w:r w:rsidR="005819ED">
        <w:t xml:space="preserve"> The dialogue between her and </w:t>
      </w:r>
      <w:proofErr w:type="spellStart"/>
      <w:r w:rsidR="005819ED">
        <w:t>Pwyll</w:t>
      </w:r>
      <w:proofErr w:type="spellEnd"/>
      <w:r w:rsidR="005819ED">
        <w:t xml:space="preserve"> is snappy and quick, sounding very reminiscent of a conversation a real couple might have before Rhiannon quickly tells </w:t>
      </w:r>
      <w:proofErr w:type="spellStart"/>
      <w:r w:rsidR="005819ED">
        <w:t>Pwyll</w:t>
      </w:r>
      <w:proofErr w:type="spellEnd"/>
      <w:r w:rsidR="005819ED">
        <w:t xml:space="preserve"> her dilemma of an unwanted marriage</w:t>
      </w:r>
      <w:r w:rsidR="00920B6F">
        <w:t>,</w:t>
      </w:r>
      <w:r w:rsidR="005819ED">
        <w:t xml:space="preserve"> that her choice in a husband is </w:t>
      </w:r>
      <w:proofErr w:type="spellStart"/>
      <w:r w:rsidR="005819ED">
        <w:t>Pwyll</w:t>
      </w:r>
      <w:proofErr w:type="spellEnd"/>
      <w:r w:rsidR="005819ED">
        <w:t xml:space="preserve"> himself</w:t>
      </w:r>
      <w:r w:rsidR="00046488">
        <w:t>,</w:t>
      </w:r>
      <w:r w:rsidR="005819ED">
        <w:t xml:space="preserve"> and she has come to determine </w:t>
      </w:r>
      <w:proofErr w:type="gramStart"/>
      <w:r w:rsidR="005819ED">
        <w:t>whether or not</w:t>
      </w:r>
      <w:proofErr w:type="gramEnd"/>
      <w:r w:rsidR="005819ED">
        <w:t xml:space="preserve"> he’d like to marry her. </w:t>
      </w:r>
      <w:r w:rsidR="00450F52">
        <w:t xml:space="preserve">The unspoken implication here being that if </w:t>
      </w:r>
      <w:proofErr w:type="spellStart"/>
      <w:r w:rsidR="00450F52">
        <w:t>Pwyll</w:t>
      </w:r>
      <w:proofErr w:type="spellEnd"/>
      <w:r w:rsidR="00450F52">
        <w:t xml:space="preserve"> is not interested in Rhiannon and therefore Dyfed, she will move on and select another mate. </w:t>
      </w:r>
      <w:r w:rsidR="005819ED">
        <w:t xml:space="preserve">With such effective dialogue in such a short period of time, the audience is prepared for </w:t>
      </w:r>
      <w:proofErr w:type="spellStart"/>
      <w:r w:rsidR="005819ED">
        <w:t>Pwyll</w:t>
      </w:r>
      <w:proofErr w:type="spellEnd"/>
      <w:r w:rsidR="005819ED">
        <w:t xml:space="preserve"> and Rhiannon to become a couple, despite knowing that there will still be some obstacles before they can actually be married. This passage very cleanly does what it’s supposed to: introduce the characters as likeable if flawed heroes and the initial conflict that will prevent them from getting together.</w:t>
      </w:r>
    </w:p>
    <w:p w14:paraId="1EACC14E" w14:textId="64809FFB" w:rsidR="005251E5" w:rsidRDefault="005251E5" w:rsidP="0093703F">
      <w:pPr>
        <w:ind w:firstLine="720"/>
      </w:pPr>
    </w:p>
    <w:sdt>
      <w:sdtPr>
        <w:rPr>
          <w:rFonts w:asciiTheme="minorHAnsi" w:eastAsiaTheme="minorEastAsia" w:hAnsiTheme="minorHAnsi" w:cstheme="minorBidi"/>
          <w:color w:val="auto"/>
          <w:sz w:val="22"/>
          <w:szCs w:val="22"/>
          <w:lang w:eastAsia="ja-JP"/>
        </w:rPr>
        <w:id w:val="-1299534106"/>
        <w:docPartObj>
          <w:docPartGallery w:val="Bibliographies"/>
          <w:docPartUnique/>
        </w:docPartObj>
      </w:sdtPr>
      <w:sdtEndPr/>
      <w:sdtContent>
        <w:p w14:paraId="5874411E" w14:textId="7878205F" w:rsidR="005251E5" w:rsidRDefault="005251E5">
          <w:pPr>
            <w:pStyle w:val="Heading1"/>
          </w:pPr>
          <w:r>
            <w:t>Bibliography</w:t>
          </w:r>
        </w:p>
        <w:p w14:paraId="337EE136" w14:textId="4694C5F8" w:rsidR="00E623A7" w:rsidRPr="00E623A7" w:rsidRDefault="00E623A7" w:rsidP="00E623A7">
          <w:pPr>
            <w:rPr>
              <w:lang w:eastAsia="en-US"/>
            </w:rPr>
          </w:pPr>
          <w:r>
            <w:rPr>
              <w:lang w:eastAsia="en-US"/>
            </w:rPr>
            <w:t>Davies, S. (2007)</w:t>
          </w:r>
          <w:r>
            <w:rPr>
              <w:i/>
              <w:lang w:eastAsia="en-US"/>
            </w:rPr>
            <w:t xml:space="preserve"> The </w:t>
          </w:r>
          <w:proofErr w:type="spellStart"/>
          <w:r>
            <w:rPr>
              <w:i/>
              <w:lang w:eastAsia="en-US"/>
            </w:rPr>
            <w:t>Mabinogion</w:t>
          </w:r>
          <w:proofErr w:type="spellEnd"/>
          <w:r>
            <w:rPr>
              <w:i/>
              <w:lang w:eastAsia="en-US"/>
            </w:rPr>
            <w:t xml:space="preserve"> </w:t>
          </w:r>
          <w:r>
            <w:rPr>
              <w:lang w:eastAsia="en-US"/>
            </w:rPr>
            <w:t>1</w:t>
          </w:r>
          <w:r w:rsidRPr="00E623A7">
            <w:rPr>
              <w:vertAlign w:val="superscript"/>
              <w:lang w:eastAsia="en-US"/>
            </w:rPr>
            <w:t>st</w:t>
          </w:r>
          <w:r>
            <w:rPr>
              <w:lang w:eastAsia="en-US"/>
            </w:rPr>
            <w:t xml:space="preserve"> Ed. United States: Oxford University Press.</w:t>
          </w:r>
        </w:p>
        <w:sdt>
          <w:sdtPr>
            <w:id w:val="111145805"/>
            <w:bibliography/>
          </w:sdtPr>
          <w:sdtEndPr/>
          <w:sdtContent>
            <w:p w14:paraId="11C5B7F6" w14:textId="25EC1721" w:rsidR="005251E5" w:rsidRDefault="005251E5">
              <w:r w:rsidRPr="005251E5">
                <w:t xml:space="preserve">Davies, S. </w:t>
              </w:r>
              <w:r w:rsidR="005B11E8">
                <w:t>(</w:t>
              </w:r>
              <w:r w:rsidRPr="005251E5">
                <w:t>1993</w:t>
              </w:r>
              <w:r w:rsidR="005B11E8">
                <w:t>)</w:t>
              </w:r>
              <w:r w:rsidRPr="005251E5">
                <w:t xml:space="preserve"> </w:t>
              </w:r>
              <w:r w:rsidRPr="005B11E8">
                <w:rPr>
                  <w:i/>
                </w:rPr>
                <w:t xml:space="preserve">Narrative Techniques In her The Four Branches of the </w:t>
              </w:r>
              <w:proofErr w:type="spellStart"/>
              <w:r w:rsidRPr="005B11E8">
                <w:rPr>
                  <w:i/>
                </w:rPr>
                <w:t>Mabinogi</w:t>
              </w:r>
              <w:proofErr w:type="spellEnd"/>
              <w:r w:rsidRPr="005B11E8">
                <w:rPr>
                  <w:i/>
                </w:rPr>
                <w:t xml:space="preserve"> = </w:t>
              </w:r>
              <w:proofErr w:type="spellStart"/>
              <w:r w:rsidRPr="005B11E8">
                <w:rPr>
                  <w:i/>
                </w:rPr>
                <w:t>Pedeir</w:t>
              </w:r>
              <w:proofErr w:type="spellEnd"/>
              <w:r w:rsidRPr="005B11E8">
                <w:rPr>
                  <w:i/>
                </w:rPr>
                <w:t xml:space="preserve"> </w:t>
              </w:r>
              <w:proofErr w:type="spellStart"/>
              <w:r w:rsidRPr="005B11E8">
                <w:rPr>
                  <w:i/>
                </w:rPr>
                <w:t>Keinc</w:t>
              </w:r>
              <w:proofErr w:type="spellEnd"/>
              <w:r w:rsidRPr="005B11E8">
                <w:rPr>
                  <w:i/>
                </w:rPr>
                <w:t xml:space="preserve"> y </w:t>
              </w:r>
              <w:proofErr w:type="spellStart"/>
              <w:r w:rsidRPr="005B11E8">
                <w:rPr>
                  <w:i/>
                </w:rPr>
                <w:t>Mabinogi</w:t>
              </w:r>
              <w:proofErr w:type="spellEnd"/>
              <w:r w:rsidRPr="005251E5">
                <w:t xml:space="preserve">. </w:t>
              </w:r>
              <w:proofErr w:type="spellStart"/>
              <w:r w:rsidRPr="005251E5">
                <w:t>Llandysul</w:t>
              </w:r>
              <w:proofErr w:type="spellEnd"/>
              <w:r w:rsidRPr="005251E5">
                <w:t>: Gomer Press, pp. 29–50.</w:t>
              </w:r>
            </w:p>
            <w:p w14:paraId="3F8473D5" w14:textId="04616613" w:rsidR="00FE7EAB" w:rsidRDefault="00FE7EAB">
              <w:r w:rsidRPr="00FE7EAB">
                <w:t xml:space="preserve">Winward, F. </w:t>
              </w:r>
              <w:r w:rsidR="005B11E8">
                <w:t>(</w:t>
              </w:r>
              <w:r w:rsidRPr="00FE7EAB">
                <w:t>1997</w:t>
              </w:r>
              <w:r w:rsidR="005B11E8">
                <w:t>)</w:t>
              </w:r>
              <w:r w:rsidRPr="00FE7EAB">
                <w:t xml:space="preserve"> </w:t>
              </w:r>
              <w:r w:rsidRPr="005B11E8">
                <w:rPr>
                  <w:i/>
                </w:rPr>
                <w:t>Some Aspects of the Women in the Four Branches</w:t>
              </w:r>
              <w:r w:rsidRPr="00FE7EAB">
                <w:t xml:space="preserve"> Cambrian Medieval Celtic Studies 34: 77-106. </w:t>
              </w:r>
            </w:p>
            <w:p w14:paraId="59C3F29C" w14:textId="77777777" w:rsidR="000C02D4" w:rsidRDefault="009F695E" w:rsidP="000C02D4">
              <w:r>
                <w:t>Jacobs, R. ‘</w:t>
              </w:r>
              <w:r w:rsidRPr="009F695E">
                <w:t>Why So Many Icelanders Still Believe in Invisible Elves</w:t>
              </w:r>
              <w:r>
                <w:t xml:space="preserve">’ </w:t>
              </w:r>
              <w:proofErr w:type="gramStart"/>
              <w:r>
                <w:rPr>
                  <w:i/>
                </w:rPr>
                <w:t>The</w:t>
              </w:r>
              <w:proofErr w:type="gramEnd"/>
              <w:r>
                <w:rPr>
                  <w:i/>
                </w:rPr>
                <w:t xml:space="preserve"> </w:t>
              </w:r>
              <w:r w:rsidRPr="009F695E">
                <w:rPr>
                  <w:i/>
                </w:rPr>
                <w:t>Atlantic</w:t>
              </w:r>
              <w:r>
                <w:t xml:space="preserve"> </w:t>
              </w:r>
              <w:r w:rsidRPr="009F695E">
                <w:t>O</w:t>
              </w:r>
              <w:r w:rsidR="000C02D4">
                <w:t>ct</w:t>
              </w:r>
              <w:r w:rsidRPr="009F695E">
                <w:t xml:space="preserve"> 29, 2013</w:t>
              </w:r>
            </w:p>
            <w:p w14:paraId="075C7D54" w14:textId="2FB8A5F8" w:rsidR="009F695E" w:rsidRDefault="000C02D4" w:rsidP="000C02D4">
              <w:pPr>
                <w:ind w:firstLine="720"/>
              </w:pPr>
              <w:r>
                <w:t xml:space="preserve"> Available at: </w:t>
              </w:r>
              <w:hyperlink r:id="rId5" w:history="1">
                <w:r w:rsidRPr="000E735F">
                  <w:rPr>
                    <w:rStyle w:val="Hyperlink"/>
                  </w:rPr>
                  <w:t>https://www.theatlantic.com/international/archive/2013/10/why-so-many-icelanders-still-believe-in-invisible-elves/280783/</w:t>
                </w:r>
              </w:hyperlink>
              <w:r>
                <w:t xml:space="preserve"> (Accessed November 19, 2018)</w:t>
              </w:r>
            </w:p>
            <w:p w14:paraId="7EF2F55C" w14:textId="59D9C0C9" w:rsidR="005251E5" w:rsidRDefault="00A45C2B"/>
          </w:sdtContent>
        </w:sdt>
      </w:sdtContent>
    </w:sdt>
    <w:p w14:paraId="35864770" w14:textId="77777777" w:rsidR="005251E5" w:rsidRPr="00495A85" w:rsidRDefault="005251E5" w:rsidP="0093703F">
      <w:pPr>
        <w:ind w:firstLine="720"/>
      </w:pPr>
    </w:p>
    <w:sectPr w:rsidR="005251E5" w:rsidRPr="00495A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E1A"/>
    <w:rsid w:val="00046488"/>
    <w:rsid w:val="000C02D4"/>
    <w:rsid w:val="00343CC5"/>
    <w:rsid w:val="00355C01"/>
    <w:rsid w:val="003C2E1A"/>
    <w:rsid w:val="00450F52"/>
    <w:rsid w:val="00495A85"/>
    <w:rsid w:val="00501DAC"/>
    <w:rsid w:val="005251E5"/>
    <w:rsid w:val="005819ED"/>
    <w:rsid w:val="005B11E8"/>
    <w:rsid w:val="00714FEC"/>
    <w:rsid w:val="008C5115"/>
    <w:rsid w:val="00920B6F"/>
    <w:rsid w:val="0093703F"/>
    <w:rsid w:val="009F695E"/>
    <w:rsid w:val="00A45C2B"/>
    <w:rsid w:val="00B25312"/>
    <w:rsid w:val="00B85708"/>
    <w:rsid w:val="00D93CEA"/>
    <w:rsid w:val="00DB4C7B"/>
    <w:rsid w:val="00E623A7"/>
    <w:rsid w:val="00FE7E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F0E48"/>
  <w15:chartTrackingRefBased/>
  <w15:docId w15:val="{3961E409-C7D7-4AE3-813C-1B5373E7D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51E5"/>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1E5"/>
    <w:rPr>
      <w:rFonts w:asciiTheme="majorHAnsi" w:eastAsiaTheme="majorEastAsia" w:hAnsiTheme="majorHAnsi" w:cstheme="majorBidi"/>
      <w:color w:val="2F5496" w:themeColor="accent1" w:themeShade="BF"/>
      <w:sz w:val="32"/>
      <w:szCs w:val="32"/>
      <w:lang w:eastAsia="en-US"/>
    </w:rPr>
  </w:style>
  <w:style w:type="character" w:styleId="Hyperlink">
    <w:name w:val="Hyperlink"/>
    <w:basedOn w:val="DefaultParagraphFont"/>
    <w:uiPriority w:val="99"/>
    <w:unhideWhenUsed/>
    <w:rsid w:val="000C02D4"/>
    <w:rPr>
      <w:color w:val="0563C1" w:themeColor="hyperlink"/>
      <w:u w:val="single"/>
    </w:rPr>
  </w:style>
  <w:style w:type="character" w:styleId="UnresolvedMention">
    <w:name w:val="Unresolved Mention"/>
    <w:basedOn w:val="DefaultParagraphFont"/>
    <w:uiPriority w:val="99"/>
    <w:semiHidden/>
    <w:unhideWhenUsed/>
    <w:rsid w:val="000C0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theatlantic.com/international/archive/2013/10/why-so-many-icelanders-still-believe-in-invisible-elves/28078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6459F-55C6-408D-BE62-29718ED73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6077</TotalTime>
  <Pages>2</Pages>
  <Words>1006</Words>
  <Characters>5736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Gehring</dc:creator>
  <cp:keywords/>
  <dc:description/>
  <cp:lastModifiedBy>Greta Gehring</cp:lastModifiedBy>
  <cp:revision>11</cp:revision>
  <dcterms:created xsi:type="dcterms:W3CDTF">2018-11-11T12:03:00Z</dcterms:created>
  <dcterms:modified xsi:type="dcterms:W3CDTF">2018-11-25T11:24:00Z</dcterms:modified>
</cp:coreProperties>
</file>