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E1D5B" w14:textId="77777777" w:rsidR="00B85BF5" w:rsidRPr="009D66D2" w:rsidRDefault="00B85BF5" w:rsidP="00B85BF5">
      <w:pPr>
        <w:jc w:val="center"/>
        <w:rPr>
          <w:rFonts w:ascii="Arial" w:eastAsia="Arial" w:hAnsi="Arial" w:cs="Arial"/>
          <w:b/>
          <w:bCs/>
          <w:lang w:val="en-GB"/>
        </w:rPr>
      </w:pPr>
    </w:p>
    <w:p w14:paraId="55C982F2" w14:textId="77777777" w:rsidR="00B85BF5" w:rsidRPr="009D66D2" w:rsidRDefault="00B85BF5" w:rsidP="00B85BF5">
      <w:pPr>
        <w:jc w:val="center"/>
        <w:rPr>
          <w:rFonts w:ascii="Arial" w:eastAsia="Arial" w:hAnsi="Arial" w:cs="Arial"/>
          <w:b/>
          <w:bCs/>
          <w:lang w:val="en-GB"/>
        </w:rPr>
      </w:pPr>
    </w:p>
    <w:p w14:paraId="3D17DA81" w14:textId="4FD91362" w:rsidR="000907B8" w:rsidRPr="009D66D2" w:rsidRDefault="00863020" w:rsidP="00B85BF5">
      <w:pPr>
        <w:jc w:val="center"/>
        <w:rPr>
          <w:rFonts w:ascii="Arial" w:eastAsia="Arial" w:hAnsi="Arial" w:cs="Arial"/>
          <w:b/>
          <w:bCs/>
          <w:lang w:val="en-GB"/>
        </w:rPr>
      </w:pPr>
      <w:r w:rsidRPr="009D66D2">
        <w:rPr>
          <w:rFonts w:ascii="Arial" w:eastAsia="Arial" w:hAnsi="Arial" w:cs="Arial"/>
          <w:b/>
          <w:bCs/>
          <w:noProof/>
          <w:lang w:val="en-GB"/>
        </w:rPr>
        <w:drawing>
          <wp:inline distT="114300" distB="114300" distL="114300" distR="114300" wp14:anchorId="622DD27F" wp14:editId="12F1362B">
            <wp:extent cx="1857375" cy="809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57375" cy="809625"/>
                    </a:xfrm>
                    <a:prstGeom prst="rect">
                      <a:avLst/>
                    </a:prstGeom>
                    <a:ln/>
                  </pic:spPr>
                </pic:pic>
              </a:graphicData>
            </a:graphic>
          </wp:inline>
        </w:drawing>
      </w:r>
    </w:p>
    <w:p w14:paraId="3C1501D1" w14:textId="77777777" w:rsidR="00B85BF5" w:rsidRPr="009D66D2" w:rsidRDefault="00B85BF5" w:rsidP="00B85BF5">
      <w:pPr>
        <w:jc w:val="center"/>
        <w:rPr>
          <w:rFonts w:ascii="Arial" w:eastAsia="Arial" w:hAnsi="Arial" w:cs="Arial"/>
          <w:b/>
          <w:bCs/>
          <w:lang w:val="en-GB"/>
        </w:rPr>
      </w:pPr>
    </w:p>
    <w:p w14:paraId="7728A97B" w14:textId="77777777" w:rsidR="00B85BF5" w:rsidRPr="009D66D2" w:rsidRDefault="00B85BF5" w:rsidP="00B85BF5">
      <w:pPr>
        <w:jc w:val="center"/>
        <w:rPr>
          <w:rFonts w:ascii="Arial" w:eastAsia="Arial" w:hAnsi="Arial" w:cs="Arial"/>
          <w:b/>
          <w:bCs/>
          <w:lang w:val="en-GB"/>
        </w:rPr>
      </w:pPr>
    </w:p>
    <w:p w14:paraId="4BCD4F8F" w14:textId="77777777" w:rsidR="00B85BF5" w:rsidRPr="009D66D2" w:rsidRDefault="00B85BF5" w:rsidP="00B85BF5">
      <w:pPr>
        <w:jc w:val="center"/>
        <w:rPr>
          <w:rFonts w:ascii="Arial" w:eastAsia="Arial" w:hAnsi="Arial" w:cs="Arial"/>
          <w:b/>
          <w:bCs/>
          <w:lang w:val="en-GB"/>
        </w:rPr>
      </w:pPr>
    </w:p>
    <w:p w14:paraId="2207506C" w14:textId="77777777" w:rsidR="00176C62" w:rsidRPr="009D66D2" w:rsidRDefault="00176C62" w:rsidP="00176C62">
      <w:pPr>
        <w:spacing w:before="240"/>
        <w:jc w:val="center"/>
        <w:rPr>
          <w:rFonts w:ascii="Arial" w:eastAsia="Arial" w:hAnsi="Arial" w:cs="Arial"/>
          <w:b/>
          <w:bCs/>
          <w:sz w:val="32"/>
          <w:szCs w:val="32"/>
          <w:lang w:val="en-GB"/>
        </w:rPr>
      </w:pPr>
      <w:r w:rsidRPr="009D66D2">
        <w:rPr>
          <w:rFonts w:ascii="Arial" w:eastAsia="Arial" w:hAnsi="Arial" w:cs="Arial"/>
          <w:b/>
          <w:bCs/>
          <w:sz w:val="32"/>
          <w:szCs w:val="32"/>
          <w:lang w:val="en-GB"/>
        </w:rPr>
        <w:t>Programme: MSc Public Health and Social Care in Practice</w:t>
      </w:r>
    </w:p>
    <w:p w14:paraId="0E6266C2" w14:textId="77777777" w:rsidR="00176C62" w:rsidRPr="009D66D2" w:rsidRDefault="00176C62" w:rsidP="00176C62">
      <w:pPr>
        <w:spacing w:before="240"/>
        <w:jc w:val="center"/>
        <w:rPr>
          <w:rFonts w:ascii="Arial" w:eastAsia="Arial" w:hAnsi="Arial" w:cs="Arial"/>
          <w:b/>
          <w:bCs/>
          <w:sz w:val="32"/>
          <w:szCs w:val="32"/>
          <w:lang w:val="en-GB"/>
        </w:rPr>
      </w:pPr>
      <w:r w:rsidRPr="009D66D2">
        <w:rPr>
          <w:rFonts w:ascii="Arial" w:eastAsia="Arial" w:hAnsi="Arial" w:cs="Arial"/>
          <w:b/>
          <w:bCs/>
          <w:sz w:val="32"/>
          <w:szCs w:val="32"/>
          <w:lang w:val="en-GB"/>
        </w:rPr>
        <w:t>Module: Health Care System Organisation and Leadership</w:t>
      </w:r>
    </w:p>
    <w:p w14:paraId="07BA1136" w14:textId="0F641ABC" w:rsidR="00176C62" w:rsidRPr="009D66D2" w:rsidRDefault="00176C62" w:rsidP="00176C62">
      <w:pPr>
        <w:spacing w:before="240"/>
        <w:jc w:val="center"/>
        <w:rPr>
          <w:rFonts w:ascii="Arial" w:eastAsia="Arial" w:hAnsi="Arial" w:cs="Arial"/>
          <w:b/>
          <w:bCs/>
          <w:sz w:val="32"/>
          <w:szCs w:val="32"/>
          <w:lang w:val="en-GB"/>
        </w:rPr>
      </w:pPr>
      <w:r w:rsidRPr="009D66D2">
        <w:rPr>
          <w:rFonts w:ascii="Arial" w:eastAsia="Arial" w:hAnsi="Arial" w:cs="Arial"/>
          <w:b/>
          <w:bCs/>
          <w:sz w:val="32"/>
          <w:szCs w:val="32"/>
          <w:lang w:val="en-GB"/>
        </w:rPr>
        <w:t>Module code: LCHS7002</w:t>
      </w:r>
    </w:p>
    <w:p w14:paraId="37366041" w14:textId="6630D3AF" w:rsidR="00176C62" w:rsidRPr="009D66D2" w:rsidRDefault="00176C62" w:rsidP="00176C62">
      <w:pPr>
        <w:spacing w:before="240"/>
        <w:jc w:val="center"/>
        <w:rPr>
          <w:rFonts w:ascii="Arial" w:eastAsia="Arial" w:hAnsi="Arial" w:cs="Arial"/>
          <w:b/>
          <w:bCs/>
          <w:sz w:val="32"/>
          <w:szCs w:val="32"/>
          <w:lang w:val="en-GB"/>
        </w:rPr>
      </w:pPr>
      <w:r w:rsidRPr="009D66D2">
        <w:rPr>
          <w:rFonts w:ascii="Arial" w:eastAsia="Arial" w:hAnsi="Arial" w:cs="Arial"/>
          <w:b/>
          <w:bCs/>
          <w:sz w:val="32"/>
          <w:szCs w:val="32"/>
          <w:lang w:val="en-GB"/>
        </w:rPr>
        <w:t>Assignment Title: Case Study Analysis Report</w:t>
      </w:r>
    </w:p>
    <w:p w14:paraId="3D0F8FA7" w14:textId="2854235B" w:rsidR="00666370" w:rsidRPr="009D66D2" w:rsidRDefault="00666370" w:rsidP="00176C62">
      <w:pPr>
        <w:spacing w:before="240"/>
        <w:jc w:val="center"/>
        <w:rPr>
          <w:rFonts w:ascii="Arial" w:eastAsia="Arial" w:hAnsi="Arial" w:cs="Arial"/>
          <w:b/>
          <w:bCs/>
          <w:sz w:val="32"/>
          <w:szCs w:val="32"/>
          <w:lang w:val="en-GB"/>
        </w:rPr>
      </w:pPr>
      <w:r w:rsidRPr="009D66D2">
        <w:rPr>
          <w:rFonts w:ascii="Arial" w:eastAsia="Arial" w:hAnsi="Arial" w:cs="Arial"/>
          <w:b/>
          <w:bCs/>
          <w:sz w:val="32"/>
          <w:szCs w:val="32"/>
          <w:lang w:val="en-GB"/>
        </w:rPr>
        <w:t>Lecturer name:</w:t>
      </w:r>
      <w:r w:rsidR="001A72C1">
        <w:rPr>
          <w:rFonts w:ascii="Arial" w:eastAsia="Arial" w:hAnsi="Arial" w:cs="Arial"/>
          <w:b/>
          <w:bCs/>
          <w:sz w:val="32"/>
          <w:szCs w:val="32"/>
          <w:lang w:val="en-GB"/>
        </w:rPr>
        <w:t xml:space="preserve"> </w:t>
      </w:r>
      <w:r w:rsidR="001A72C1" w:rsidRPr="001A72C1">
        <w:rPr>
          <w:rFonts w:ascii="Arial" w:eastAsia="Arial" w:hAnsi="Arial" w:cs="Arial"/>
          <w:b/>
          <w:bCs/>
          <w:sz w:val="32"/>
          <w:szCs w:val="32"/>
          <w:lang w:val="en-GB"/>
        </w:rPr>
        <w:t>Dr Pascal Navelle</w:t>
      </w:r>
    </w:p>
    <w:p w14:paraId="3523C0B9" w14:textId="37A53D51" w:rsidR="00176C62" w:rsidRDefault="00176C62" w:rsidP="00176C62">
      <w:pPr>
        <w:spacing w:before="240"/>
        <w:jc w:val="center"/>
        <w:rPr>
          <w:rFonts w:ascii="Arial" w:eastAsia="Arial" w:hAnsi="Arial" w:cs="Arial"/>
          <w:b/>
          <w:bCs/>
          <w:sz w:val="32"/>
          <w:szCs w:val="32"/>
          <w:lang w:val="en-GB"/>
        </w:rPr>
      </w:pPr>
    </w:p>
    <w:p w14:paraId="16CBA09D" w14:textId="77777777" w:rsidR="00A37557" w:rsidRPr="009D66D2" w:rsidRDefault="00A37557" w:rsidP="00176C62">
      <w:pPr>
        <w:spacing w:before="240"/>
        <w:jc w:val="center"/>
        <w:rPr>
          <w:rFonts w:ascii="Arial" w:eastAsia="Arial" w:hAnsi="Arial" w:cs="Arial"/>
          <w:b/>
          <w:bCs/>
          <w:sz w:val="32"/>
          <w:szCs w:val="32"/>
          <w:lang w:val="en-GB"/>
        </w:rPr>
      </w:pPr>
    </w:p>
    <w:p w14:paraId="592E2A89" w14:textId="19922BBF" w:rsidR="00176C62" w:rsidRPr="009D66D2" w:rsidRDefault="00176C62" w:rsidP="00176C62">
      <w:pPr>
        <w:spacing w:before="240"/>
        <w:jc w:val="center"/>
        <w:rPr>
          <w:rFonts w:ascii="Arial" w:eastAsia="Arial" w:hAnsi="Arial" w:cs="Arial"/>
          <w:b/>
          <w:bCs/>
          <w:i/>
          <w:iCs/>
          <w:lang w:val="en-GB"/>
        </w:rPr>
      </w:pPr>
      <w:r w:rsidRPr="009D66D2">
        <w:rPr>
          <w:rFonts w:ascii="Arial" w:eastAsia="Arial" w:hAnsi="Arial" w:cs="Arial"/>
          <w:b/>
          <w:bCs/>
          <w:i/>
          <w:iCs/>
          <w:lang w:val="en-GB"/>
        </w:rPr>
        <w:t>Student name:</w:t>
      </w:r>
      <w:r w:rsidR="00044AC2">
        <w:rPr>
          <w:rFonts w:ascii="Arial" w:eastAsia="Arial" w:hAnsi="Arial" w:cs="Arial"/>
          <w:b/>
          <w:bCs/>
          <w:i/>
          <w:iCs/>
          <w:lang w:val="en-GB"/>
        </w:rPr>
        <w:t xml:space="preserve"> </w:t>
      </w:r>
      <w:r w:rsidR="00044AC2" w:rsidRPr="00044AC2">
        <w:rPr>
          <w:rFonts w:ascii="Arial" w:eastAsia="Arial" w:hAnsi="Arial" w:cs="Arial"/>
          <w:b/>
          <w:bCs/>
          <w:i/>
          <w:iCs/>
          <w:lang w:val="en-GB"/>
        </w:rPr>
        <w:t>Yash Thakor</w:t>
      </w:r>
    </w:p>
    <w:p w14:paraId="362C37A0" w14:textId="36976928" w:rsidR="00176C62" w:rsidRPr="009D66D2" w:rsidRDefault="00176C62" w:rsidP="00176C62">
      <w:pPr>
        <w:spacing w:before="240"/>
        <w:jc w:val="center"/>
        <w:rPr>
          <w:rFonts w:ascii="Arial" w:eastAsia="Arial" w:hAnsi="Arial" w:cs="Arial"/>
          <w:b/>
          <w:bCs/>
          <w:i/>
          <w:iCs/>
          <w:lang w:val="en-GB"/>
        </w:rPr>
      </w:pPr>
      <w:r w:rsidRPr="009D66D2">
        <w:rPr>
          <w:rFonts w:ascii="Arial" w:eastAsia="Arial" w:hAnsi="Arial" w:cs="Arial"/>
          <w:b/>
          <w:bCs/>
          <w:i/>
          <w:iCs/>
          <w:lang w:val="en-GB"/>
        </w:rPr>
        <w:t>Student ID number:</w:t>
      </w:r>
      <w:r w:rsidR="00044AC2">
        <w:rPr>
          <w:rFonts w:ascii="Arial" w:eastAsia="Arial" w:hAnsi="Arial" w:cs="Arial"/>
          <w:b/>
          <w:bCs/>
          <w:i/>
          <w:iCs/>
          <w:lang w:val="en-GB"/>
        </w:rPr>
        <w:t xml:space="preserve"> </w:t>
      </w:r>
      <w:r w:rsidR="00044AC2" w:rsidRPr="008E1078">
        <w:rPr>
          <w:rFonts w:eastAsia="Arial"/>
          <w:b/>
          <w:bCs/>
          <w:i/>
          <w:iCs/>
          <w:sz w:val="28"/>
          <w:szCs w:val="28"/>
          <w:lang w:val="en-GB"/>
        </w:rPr>
        <w:t>2538816</w:t>
      </w:r>
    </w:p>
    <w:p w14:paraId="21595043" w14:textId="30A5F0FD" w:rsidR="009D66D2" w:rsidRPr="009D66D2" w:rsidRDefault="009D66D2">
      <w:pPr>
        <w:rPr>
          <w:rFonts w:ascii="Arial" w:eastAsia="Arial" w:hAnsi="Arial" w:cs="Arial"/>
          <w:b/>
          <w:bCs/>
          <w:lang w:val="en-GB"/>
        </w:rPr>
      </w:pPr>
      <w:r w:rsidRPr="009D66D2">
        <w:rPr>
          <w:rFonts w:ascii="Arial" w:eastAsia="Arial" w:hAnsi="Arial" w:cs="Arial"/>
          <w:b/>
          <w:bCs/>
          <w:lang w:val="en-GB"/>
        </w:rPr>
        <w:br w:type="page"/>
      </w:r>
    </w:p>
    <w:p w14:paraId="36539BAF" w14:textId="77777777" w:rsidR="009D66D2" w:rsidRPr="009D66D2" w:rsidRDefault="009D66D2" w:rsidP="009D66D2">
      <w:pPr>
        <w:jc w:val="center"/>
        <w:rPr>
          <w:rFonts w:ascii="Arial" w:eastAsia="Arial" w:hAnsi="Arial" w:cs="Arial"/>
          <w:b/>
          <w:bCs/>
          <w:sz w:val="22"/>
          <w:szCs w:val="22"/>
          <w:lang w:val="en-GB"/>
        </w:rPr>
      </w:pPr>
      <w:r w:rsidRPr="009D66D2">
        <w:rPr>
          <w:rFonts w:ascii="Arial" w:eastAsia="Arial" w:hAnsi="Arial" w:cs="Arial"/>
          <w:b/>
          <w:bCs/>
          <w:sz w:val="22"/>
          <w:szCs w:val="22"/>
          <w:lang w:val="en-GB"/>
        </w:rPr>
        <w:lastRenderedPageBreak/>
        <w:t>Executive summary</w:t>
      </w:r>
    </w:p>
    <w:p w14:paraId="691AEA28" w14:textId="393A6A9B" w:rsidR="000907B8" w:rsidRPr="009D66D2" w:rsidRDefault="009D66D2" w:rsidP="009D66D2">
      <w:pPr>
        <w:rPr>
          <w:rFonts w:ascii="Arial" w:eastAsia="Arial" w:hAnsi="Arial" w:cs="Arial"/>
          <w:sz w:val="22"/>
          <w:szCs w:val="22"/>
          <w:lang w:val="en-GB"/>
        </w:rPr>
      </w:pPr>
      <w:r w:rsidRPr="009D66D2">
        <w:rPr>
          <w:rFonts w:ascii="Arial" w:eastAsia="Arial" w:hAnsi="Arial" w:cs="Arial"/>
          <w:sz w:val="22"/>
          <w:szCs w:val="22"/>
          <w:lang w:val="en-GB"/>
        </w:rPr>
        <w:t>This report included a case scenario highlights a 60-year-old man, Jagdish Panchal, suffering from speech impairment due to facial paralysis,</w:t>
      </w:r>
      <w:r w:rsidR="009C1CAE">
        <w:rPr>
          <w:rFonts w:ascii="Arial" w:eastAsia="Arial" w:hAnsi="Arial" w:cs="Arial"/>
          <w:sz w:val="22"/>
          <w:szCs w:val="22"/>
          <w:lang w:val="en-GB"/>
        </w:rPr>
        <w:t xml:space="preserve"> and </w:t>
      </w:r>
      <w:r w:rsidRPr="009D66D2">
        <w:rPr>
          <w:rFonts w:ascii="Arial" w:eastAsia="Arial" w:hAnsi="Arial" w:cs="Arial"/>
          <w:sz w:val="22"/>
          <w:szCs w:val="22"/>
          <w:lang w:val="en-GB"/>
        </w:rPr>
        <w:t>was accompanying his son, who was undergoing emergency surgery for traffic collision injuries. The precise nationwide data on the exact prevalence of “Never Events” are recognised in India due to a lack of mandatory centralised reporting. Governance in local hospitals fails to implement basic physical identification protocols as well as enforce the three-phase WHO Surgical Safety Checklist. The centralised healthcare system, the administrative authority, policy formulation, and resource allocation, as well as disciplinary protocols, are a central part under senior executive leadership. Thus, the transactional mechanisms manifest as rigid adherence towards Standard Operating Procedures, top-down command hierarchies and clinical checklists.</w:t>
      </w:r>
    </w:p>
    <w:p w14:paraId="7A68EC88" w14:textId="77777777" w:rsidR="000907B8" w:rsidRPr="009D66D2" w:rsidRDefault="000907B8" w:rsidP="00B85BF5">
      <w:pPr>
        <w:rPr>
          <w:rFonts w:ascii="Arial" w:eastAsia="Arial" w:hAnsi="Arial" w:cs="Arial"/>
          <w:b/>
          <w:bCs/>
          <w:lang w:val="en-GB"/>
        </w:rPr>
      </w:pPr>
    </w:p>
    <w:p w14:paraId="397C1893" w14:textId="77777777" w:rsidR="00B85BF5" w:rsidRPr="009D66D2" w:rsidRDefault="00B85BF5" w:rsidP="00B85BF5">
      <w:pPr>
        <w:rPr>
          <w:rFonts w:ascii="Arial" w:eastAsia="Arial" w:hAnsi="Arial" w:cs="Arial"/>
          <w:b/>
          <w:bCs/>
          <w:lang w:val="en-GB"/>
        </w:rPr>
      </w:pPr>
      <w:r w:rsidRPr="009D66D2">
        <w:rPr>
          <w:rFonts w:ascii="Arial" w:eastAsia="Arial" w:hAnsi="Arial" w:cs="Arial"/>
          <w:b/>
          <w:bCs/>
          <w:lang w:val="en-GB"/>
        </w:rPr>
        <w:br w:type="page"/>
      </w:r>
    </w:p>
    <w:sdt>
      <w:sdtPr>
        <w:rPr>
          <w:rFonts w:ascii="Times New Roman" w:eastAsia="Times New Roman" w:hAnsi="Times New Roman" w:cs="Times New Roman"/>
          <w:color w:val="auto"/>
          <w:sz w:val="24"/>
          <w:szCs w:val="24"/>
          <w:lang w:val="en-GB" w:eastAsia="en-IN"/>
        </w:rPr>
        <w:id w:val="1880742998"/>
        <w:docPartObj>
          <w:docPartGallery w:val="Table of Contents"/>
          <w:docPartUnique/>
        </w:docPartObj>
      </w:sdtPr>
      <w:sdtEndPr>
        <w:rPr>
          <w:rFonts w:ascii="Arial" w:hAnsi="Arial" w:cs="Arial"/>
          <w:b/>
          <w:bCs/>
          <w:noProof/>
        </w:rPr>
      </w:sdtEndPr>
      <w:sdtContent>
        <w:p w14:paraId="7C9EE13A" w14:textId="57AA3702" w:rsidR="00B85BF5" w:rsidRPr="009D66D2" w:rsidRDefault="00B85BF5" w:rsidP="00B23989">
          <w:pPr>
            <w:pStyle w:val="TOCHeading"/>
            <w:spacing w:line="360" w:lineRule="auto"/>
            <w:jc w:val="center"/>
            <w:rPr>
              <w:rFonts w:ascii="Arial" w:hAnsi="Arial" w:cs="Arial"/>
              <w:b/>
              <w:bCs/>
              <w:color w:val="auto"/>
              <w:sz w:val="22"/>
              <w:szCs w:val="22"/>
              <w:lang w:val="en-GB"/>
            </w:rPr>
          </w:pPr>
          <w:r w:rsidRPr="009D66D2">
            <w:rPr>
              <w:rFonts w:ascii="Arial" w:hAnsi="Arial" w:cs="Arial"/>
              <w:b/>
              <w:bCs/>
              <w:color w:val="auto"/>
              <w:sz w:val="22"/>
              <w:szCs w:val="22"/>
              <w:lang w:val="en-GB"/>
            </w:rPr>
            <w:t>Table of Contents</w:t>
          </w:r>
        </w:p>
        <w:p w14:paraId="3AF95790" w14:textId="46B68046" w:rsidR="00666370" w:rsidRPr="009D66D2" w:rsidRDefault="00B85BF5" w:rsidP="00666370">
          <w:pPr>
            <w:pStyle w:val="TOC1"/>
            <w:tabs>
              <w:tab w:val="right" w:leader="dot" w:pos="9350"/>
            </w:tabs>
            <w:rPr>
              <w:rFonts w:ascii="Arial" w:eastAsiaTheme="minorEastAsia" w:hAnsi="Arial" w:cs="Arial"/>
              <w:noProof/>
              <w:kern w:val="2"/>
              <w:sz w:val="22"/>
              <w:szCs w:val="22"/>
              <w:lang w:val="en-GB"/>
              <w14:ligatures w14:val="standardContextual"/>
            </w:rPr>
          </w:pPr>
          <w:r w:rsidRPr="009D66D2">
            <w:rPr>
              <w:rFonts w:ascii="Arial" w:hAnsi="Arial" w:cs="Arial"/>
              <w:sz w:val="22"/>
              <w:szCs w:val="22"/>
              <w:lang w:val="en-GB"/>
            </w:rPr>
            <w:fldChar w:fldCharType="begin"/>
          </w:r>
          <w:r w:rsidRPr="009D66D2">
            <w:rPr>
              <w:rFonts w:ascii="Arial" w:hAnsi="Arial" w:cs="Arial"/>
              <w:sz w:val="22"/>
              <w:szCs w:val="22"/>
              <w:lang w:val="en-GB"/>
            </w:rPr>
            <w:instrText xml:space="preserve"> TOC \o "1-3" \h \z \u </w:instrText>
          </w:r>
          <w:r w:rsidRPr="009D66D2">
            <w:rPr>
              <w:rFonts w:ascii="Arial" w:hAnsi="Arial" w:cs="Arial"/>
              <w:sz w:val="22"/>
              <w:szCs w:val="22"/>
              <w:lang w:val="en-GB"/>
            </w:rPr>
            <w:fldChar w:fldCharType="separate"/>
          </w:r>
          <w:hyperlink w:anchor="_Toc235889749" w:history="1">
            <w:r w:rsidR="00666370" w:rsidRPr="009D66D2">
              <w:rPr>
                <w:rStyle w:val="Hyperlink"/>
                <w:rFonts w:ascii="Arial" w:eastAsia="Arial" w:hAnsi="Arial" w:cs="Arial"/>
                <w:noProof/>
                <w:sz w:val="22"/>
                <w:szCs w:val="22"/>
                <w:lang w:val="en-GB"/>
              </w:rPr>
              <w:t>Introduction</w:t>
            </w:r>
            <w:r w:rsidR="00666370" w:rsidRPr="009D66D2">
              <w:rPr>
                <w:rFonts w:ascii="Arial" w:hAnsi="Arial" w:cs="Arial"/>
                <w:noProof/>
                <w:webHidden/>
                <w:sz w:val="22"/>
                <w:szCs w:val="22"/>
                <w:lang w:val="en-GB"/>
              </w:rPr>
              <w:tab/>
            </w:r>
            <w:r w:rsidR="00666370" w:rsidRPr="009D66D2">
              <w:rPr>
                <w:rFonts w:ascii="Arial" w:hAnsi="Arial" w:cs="Arial"/>
                <w:noProof/>
                <w:webHidden/>
                <w:sz w:val="22"/>
                <w:szCs w:val="22"/>
                <w:lang w:val="en-GB"/>
              </w:rPr>
              <w:fldChar w:fldCharType="begin"/>
            </w:r>
            <w:r w:rsidR="00666370" w:rsidRPr="009D66D2">
              <w:rPr>
                <w:rFonts w:ascii="Arial" w:hAnsi="Arial" w:cs="Arial"/>
                <w:noProof/>
                <w:webHidden/>
                <w:sz w:val="22"/>
                <w:szCs w:val="22"/>
                <w:lang w:val="en-GB"/>
              </w:rPr>
              <w:instrText xml:space="preserve"> PAGEREF _Toc235889749 \h </w:instrText>
            </w:r>
            <w:r w:rsidR="00666370" w:rsidRPr="009D66D2">
              <w:rPr>
                <w:rFonts w:ascii="Arial" w:hAnsi="Arial" w:cs="Arial"/>
                <w:noProof/>
                <w:webHidden/>
                <w:sz w:val="22"/>
                <w:szCs w:val="22"/>
                <w:lang w:val="en-GB"/>
              </w:rPr>
            </w:r>
            <w:r w:rsidR="00666370"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3</w:t>
            </w:r>
            <w:r w:rsidR="00666370" w:rsidRPr="009D66D2">
              <w:rPr>
                <w:rFonts w:ascii="Arial" w:hAnsi="Arial" w:cs="Arial"/>
                <w:noProof/>
                <w:webHidden/>
                <w:sz w:val="22"/>
                <w:szCs w:val="22"/>
                <w:lang w:val="en-GB"/>
              </w:rPr>
              <w:fldChar w:fldCharType="end"/>
            </w:r>
          </w:hyperlink>
        </w:p>
        <w:p w14:paraId="0AA0F73F" w14:textId="1E717B90" w:rsidR="00666370" w:rsidRPr="009D66D2" w:rsidRDefault="00666370" w:rsidP="00666370">
          <w:pPr>
            <w:pStyle w:val="TOC1"/>
            <w:tabs>
              <w:tab w:val="right" w:leader="dot" w:pos="9350"/>
            </w:tabs>
            <w:rPr>
              <w:rFonts w:ascii="Arial" w:eastAsiaTheme="minorEastAsia" w:hAnsi="Arial" w:cs="Arial"/>
              <w:noProof/>
              <w:kern w:val="2"/>
              <w:sz w:val="22"/>
              <w:szCs w:val="22"/>
              <w:lang w:val="en-GB"/>
              <w14:ligatures w14:val="standardContextual"/>
            </w:rPr>
          </w:pPr>
          <w:hyperlink w:anchor="_Toc235889750" w:history="1">
            <w:r w:rsidRPr="009D66D2">
              <w:rPr>
                <w:rStyle w:val="Hyperlink"/>
                <w:rFonts w:ascii="Arial" w:eastAsia="Arial" w:hAnsi="Arial" w:cs="Arial"/>
                <w:noProof/>
                <w:sz w:val="22"/>
                <w:szCs w:val="22"/>
                <w:lang w:val="en-GB"/>
              </w:rPr>
              <w:t>Main Body and Analysis</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_Toc235889750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4</w:t>
            </w:r>
            <w:r w:rsidRPr="009D66D2">
              <w:rPr>
                <w:rFonts w:ascii="Arial" w:hAnsi="Arial" w:cs="Arial"/>
                <w:noProof/>
                <w:webHidden/>
                <w:sz w:val="22"/>
                <w:szCs w:val="22"/>
                <w:lang w:val="en-GB"/>
              </w:rPr>
              <w:fldChar w:fldCharType="end"/>
            </w:r>
          </w:hyperlink>
        </w:p>
        <w:p w14:paraId="5C39EDBF" w14:textId="5E7CA6D3" w:rsidR="00666370" w:rsidRPr="009D66D2" w:rsidRDefault="00666370" w:rsidP="00666370">
          <w:pPr>
            <w:pStyle w:val="TOC2"/>
            <w:tabs>
              <w:tab w:val="right" w:leader="dot" w:pos="9350"/>
            </w:tabs>
            <w:rPr>
              <w:rFonts w:ascii="Arial" w:eastAsiaTheme="minorEastAsia" w:hAnsi="Arial" w:cs="Arial"/>
              <w:noProof/>
              <w:kern w:val="2"/>
              <w:sz w:val="22"/>
              <w:szCs w:val="22"/>
              <w:lang w:val="en-GB"/>
              <w14:ligatures w14:val="standardContextual"/>
            </w:rPr>
          </w:pPr>
          <w:hyperlink w:anchor="_Toc235889751" w:history="1">
            <w:r w:rsidRPr="009D66D2">
              <w:rPr>
                <w:rStyle w:val="Hyperlink"/>
                <w:rFonts w:ascii="Arial" w:eastAsia="Arial" w:hAnsi="Arial" w:cs="Arial"/>
                <w:noProof/>
                <w:sz w:val="22"/>
                <w:szCs w:val="22"/>
                <w:lang w:val="en-GB"/>
              </w:rPr>
              <w:t>a. Problem and Setting the System Context</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_Toc235889751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4</w:t>
            </w:r>
            <w:r w:rsidRPr="009D66D2">
              <w:rPr>
                <w:rFonts w:ascii="Arial" w:hAnsi="Arial" w:cs="Arial"/>
                <w:noProof/>
                <w:webHidden/>
                <w:sz w:val="22"/>
                <w:szCs w:val="22"/>
                <w:lang w:val="en-GB"/>
              </w:rPr>
              <w:fldChar w:fldCharType="end"/>
            </w:r>
          </w:hyperlink>
        </w:p>
        <w:p w14:paraId="3562ABA1" w14:textId="6711B40F" w:rsidR="00666370" w:rsidRPr="009D66D2" w:rsidRDefault="00666370" w:rsidP="00666370">
          <w:pPr>
            <w:pStyle w:val="TOC2"/>
            <w:tabs>
              <w:tab w:val="right" w:leader="dot" w:pos="9350"/>
            </w:tabs>
            <w:rPr>
              <w:rFonts w:ascii="Arial" w:eastAsiaTheme="minorEastAsia" w:hAnsi="Arial" w:cs="Arial"/>
              <w:noProof/>
              <w:kern w:val="2"/>
              <w:sz w:val="22"/>
              <w:szCs w:val="22"/>
              <w:lang w:val="en-GB"/>
              <w14:ligatures w14:val="standardContextual"/>
            </w:rPr>
          </w:pPr>
          <w:hyperlink w:anchor="_Toc235889752" w:history="1">
            <w:r w:rsidRPr="009D66D2">
              <w:rPr>
                <w:rStyle w:val="Hyperlink"/>
                <w:rFonts w:ascii="Arial" w:eastAsia="Arial" w:hAnsi="Arial" w:cs="Arial"/>
                <w:noProof/>
                <w:sz w:val="22"/>
                <w:szCs w:val="22"/>
                <w:lang w:val="en-GB"/>
              </w:rPr>
              <w:t>b. Centralisation or Decentralisation within the Case Study</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_Toc235889752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8</w:t>
            </w:r>
            <w:r w:rsidRPr="009D66D2">
              <w:rPr>
                <w:rFonts w:ascii="Arial" w:hAnsi="Arial" w:cs="Arial"/>
                <w:noProof/>
                <w:webHidden/>
                <w:sz w:val="22"/>
                <w:szCs w:val="22"/>
                <w:lang w:val="en-GB"/>
              </w:rPr>
              <w:fldChar w:fldCharType="end"/>
            </w:r>
          </w:hyperlink>
        </w:p>
        <w:p w14:paraId="255F00E7" w14:textId="35E8FC93" w:rsidR="00666370" w:rsidRPr="009D66D2" w:rsidRDefault="00666370" w:rsidP="00666370">
          <w:pPr>
            <w:pStyle w:val="TOC2"/>
            <w:tabs>
              <w:tab w:val="right" w:leader="dot" w:pos="9350"/>
            </w:tabs>
            <w:rPr>
              <w:rFonts w:ascii="Arial" w:eastAsiaTheme="minorEastAsia" w:hAnsi="Arial" w:cs="Arial"/>
              <w:noProof/>
              <w:kern w:val="2"/>
              <w:sz w:val="22"/>
              <w:szCs w:val="22"/>
              <w:lang w:val="en-GB"/>
              <w14:ligatures w14:val="standardContextual"/>
            </w:rPr>
          </w:pPr>
          <w:hyperlink w:anchor="_Toc235889753" w:history="1">
            <w:r w:rsidRPr="009D66D2">
              <w:rPr>
                <w:rStyle w:val="Hyperlink"/>
                <w:rFonts w:ascii="Arial" w:eastAsia="Arial" w:hAnsi="Arial" w:cs="Arial"/>
                <w:noProof/>
                <w:sz w:val="22"/>
                <w:szCs w:val="22"/>
                <w:lang w:val="en-GB"/>
              </w:rPr>
              <w:t>c. Leadership Theories and Application to the Case Study</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_Toc235889753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10</w:t>
            </w:r>
            <w:r w:rsidRPr="009D66D2">
              <w:rPr>
                <w:rFonts w:ascii="Arial" w:hAnsi="Arial" w:cs="Arial"/>
                <w:noProof/>
                <w:webHidden/>
                <w:sz w:val="22"/>
                <w:szCs w:val="22"/>
                <w:lang w:val="en-GB"/>
              </w:rPr>
              <w:fldChar w:fldCharType="end"/>
            </w:r>
          </w:hyperlink>
        </w:p>
        <w:p w14:paraId="48B26759" w14:textId="68C67E70" w:rsidR="00666370" w:rsidRPr="009D66D2" w:rsidRDefault="00666370" w:rsidP="00666370">
          <w:pPr>
            <w:pStyle w:val="TOC2"/>
            <w:tabs>
              <w:tab w:val="right" w:leader="dot" w:pos="9350"/>
            </w:tabs>
            <w:rPr>
              <w:rFonts w:ascii="Arial" w:eastAsiaTheme="minorEastAsia" w:hAnsi="Arial" w:cs="Arial"/>
              <w:noProof/>
              <w:kern w:val="2"/>
              <w:sz w:val="22"/>
              <w:szCs w:val="22"/>
              <w:lang w:val="en-GB"/>
              <w14:ligatures w14:val="standardContextual"/>
            </w:rPr>
          </w:pPr>
          <w:hyperlink w:anchor="_Toc235889754" w:history="1">
            <w:r w:rsidRPr="009D66D2">
              <w:rPr>
                <w:rStyle w:val="Hyperlink"/>
                <w:rFonts w:ascii="Arial" w:eastAsia="Arial" w:hAnsi="Arial" w:cs="Arial"/>
                <w:noProof/>
                <w:sz w:val="22"/>
                <w:szCs w:val="22"/>
                <w:lang w:val="en-GB"/>
              </w:rPr>
              <w:t>d. Improvement and Lessons Learned</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_Toc235889754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13</w:t>
            </w:r>
            <w:r w:rsidRPr="009D66D2">
              <w:rPr>
                <w:rFonts w:ascii="Arial" w:hAnsi="Arial" w:cs="Arial"/>
                <w:noProof/>
                <w:webHidden/>
                <w:sz w:val="22"/>
                <w:szCs w:val="22"/>
                <w:lang w:val="en-GB"/>
              </w:rPr>
              <w:fldChar w:fldCharType="end"/>
            </w:r>
          </w:hyperlink>
        </w:p>
        <w:p w14:paraId="7F339B78" w14:textId="66C20CDA" w:rsidR="00666370" w:rsidRPr="009D66D2" w:rsidRDefault="00666370" w:rsidP="00666370">
          <w:pPr>
            <w:pStyle w:val="TOC1"/>
            <w:tabs>
              <w:tab w:val="right" w:leader="dot" w:pos="9350"/>
            </w:tabs>
            <w:rPr>
              <w:rFonts w:ascii="Arial" w:eastAsiaTheme="minorEastAsia" w:hAnsi="Arial" w:cs="Arial"/>
              <w:noProof/>
              <w:kern w:val="2"/>
              <w:sz w:val="22"/>
              <w:szCs w:val="22"/>
              <w:lang w:val="en-GB"/>
              <w14:ligatures w14:val="standardContextual"/>
            </w:rPr>
          </w:pPr>
          <w:hyperlink w:anchor="_Toc235889755" w:history="1">
            <w:r w:rsidRPr="009D66D2">
              <w:rPr>
                <w:rStyle w:val="Hyperlink"/>
                <w:rFonts w:ascii="Arial" w:eastAsia="Arial" w:hAnsi="Arial" w:cs="Arial"/>
                <w:noProof/>
                <w:sz w:val="22"/>
                <w:szCs w:val="22"/>
                <w:lang w:val="en-GB"/>
              </w:rPr>
              <w:t>Recommendation</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_Toc235889755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15</w:t>
            </w:r>
            <w:r w:rsidRPr="009D66D2">
              <w:rPr>
                <w:rFonts w:ascii="Arial" w:hAnsi="Arial" w:cs="Arial"/>
                <w:noProof/>
                <w:webHidden/>
                <w:sz w:val="22"/>
                <w:szCs w:val="22"/>
                <w:lang w:val="en-GB"/>
              </w:rPr>
              <w:fldChar w:fldCharType="end"/>
            </w:r>
          </w:hyperlink>
        </w:p>
        <w:p w14:paraId="79E03823" w14:textId="0E6A68DF" w:rsidR="00666370" w:rsidRPr="009D66D2" w:rsidRDefault="00666370" w:rsidP="00666370">
          <w:pPr>
            <w:pStyle w:val="TOC1"/>
            <w:tabs>
              <w:tab w:val="right" w:leader="dot" w:pos="9350"/>
            </w:tabs>
            <w:rPr>
              <w:rFonts w:ascii="Arial" w:eastAsiaTheme="minorEastAsia" w:hAnsi="Arial" w:cs="Arial"/>
              <w:noProof/>
              <w:kern w:val="2"/>
              <w:sz w:val="22"/>
              <w:szCs w:val="22"/>
              <w:lang w:val="en-GB"/>
              <w14:ligatures w14:val="standardContextual"/>
            </w:rPr>
          </w:pPr>
          <w:hyperlink w:anchor="_Toc235889756" w:history="1">
            <w:r w:rsidRPr="009D66D2">
              <w:rPr>
                <w:rStyle w:val="Hyperlink"/>
                <w:rFonts w:ascii="Arial" w:hAnsi="Arial" w:cs="Arial"/>
                <w:noProof/>
                <w:sz w:val="22"/>
                <w:szCs w:val="22"/>
                <w:lang w:val="en-GB"/>
              </w:rPr>
              <w:t>Conclusion</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_Toc235889756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17</w:t>
            </w:r>
            <w:r w:rsidRPr="009D66D2">
              <w:rPr>
                <w:rFonts w:ascii="Arial" w:hAnsi="Arial" w:cs="Arial"/>
                <w:noProof/>
                <w:webHidden/>
                <w:sz w:val="22"/>
                <w:szCs w:val="22"/>
                <w:lang w:val="en-GB"/>
              </w:rPr>
              <w:fldChar w:fldCharType="end"/>
            </w:r>
          </w:hyperlink>
        </w:p>
        <w:p w14:paraId="29D68623" w14:textId="6D933AC4" w:rsidR="00666370" w:rsidRPr="009D66D2" w:rsidRDefault="00666370" w:rsidP="00666370">
          <w:pPr>
            <w:pStyle w:val="TOC1"/>
            <w:tabs>
              <w:tab w:val="right" w:leader="dot" w:pos="9350"/>
            </w:tabs>
            <w:rPr>
              <w:rFonts w:ascii="Arial" w:eastAsiaTheme="minorEastAsia" w:hAnsi="Arial" w:cs="Arial"/>
              <w:noProof/>
              <w:kern w:val="2"/>
              <w:sz w:val="22"/>
              <w:szCs w:val="22"/>
              <w:lang w:val="en-GB"/>
              <w14:ligatures w14:val="standardContextual"/>
            </w:rPr>
          </w:pPr>
          <w:hyperlink w:anchor="_Toc235889757" w:history="1">
            <w:r w:rsidRPr="009D66D2">
              <w:rPr>
                <w:rStyle w:val="Hyperlink"/>
                <w:rFonts w:ascii="Arial" w:eastAsia="Arial" w:hAnsi="Arial" w:cs="Arial"/>
                <w:noProof/>
                <w:sz w:val="22"/>
                <w:szCs w:val="22"/>
                <w:lang w:val="en-GB"/>
              </w:rPr>
              <w:t>Reference</w:t>
            </w:r>
            <w:r w:rsidRPr="009D66D2">
              <w:rPr>
                <w:rFonts w:ascii="Arial" w:hAnsi="Arial" w:cs="Arial"/>
                <w:noProof/>
                <w:webHidden/>
                <w:sz w:val="22"/>
                <w:szCs w:val="22"/>
                <w:lang w:val="en-GB"/>
              </w:rPr>
              <w:tab/>
            </w:r>
            <w:r w:rsidRPr="009D66D2">
              <w:rPr>
                <w:rFonts w:ascii="Arial" w:hAnsi="Arial" w:cs="Arial"/>
                <w:noProof/>
                <w:webHidden/>
                <w:sz w:val="22"/>
                <w:szCs w:val="22"/>
                <w:lang w:val="en-GB"/>
              </w:rPr>
              <w:fldChar w:fldCharType="begin"/>
            </w:r>
            <w:r w:rsidRPr="009D66D2">
              <w:rPr>
                <w:rFonts w:ascii="Arial" w:hAnsi="Arial" w:cs="Arial"/>
                <w:noProof/>
                <w:webHidden/>
                <w:sz w:val="22"/>
                <w:szCs w:val="22"/>
                <w:lang w:val="en-GB"/>
              </w:rPr>
              <w:instrText xml:space="preserve"> PAGEREF _Toc235889757 \h </w:instrText>
            </w:r>
            <w:r w:rsidRPr="009D66D2">
              <w:rPr>
                <w:rFonts w:ascii="Arial" w:hAnsi="Arial" w:cs="Arial"/>
                <w:noProof/>
                <w:webHidden/>
                <w:sz w:val="22"/>
                <w:szCs w:val="22"/>
                <w:lang w:val="en-GB"/>
              </w:rPr>
            </w:r>
            <w:r w:rsidRPr="009D66D2">
              <w:rPr>
                <w:rFonts w:ascii="Arial" w:hAnsi="Arial" w:cs="Arial"/>
                <w:noProof/>
                <w:webHidden/>
                <w:sz w:val="22"/>
                <w:szCs w:val="22"/>
                <w:lang w:val="en-GB"/>
              </w:rPr>
              <w:fldChar w:fldCharType="separate"/>
            </w:r>
            <w:r w:rsidR="009D66D2">
              <w:rPr>
                <w:rFonts w:ascii="Arial" w:hAnsi="Arial" w:cs="Arial"/>
                <w:noProof/>
                <w:webHidden/>
                <w:sz w:val="22"/>
                <w:szCs w:val="22"/>
                <w:lang w:val="en-GB"/>
              </w:rPr>
              <w:t>18</w:t>
            </w:r>
            <w:r w:rsidRPr="009D66D2">
              <w:rPr>
                <w:rFonts w:ascii="Arial" w:hAnsi="Arial" w:cs="Arial"/>
                <w:noProof/>
                <w:webHidden/>
                <w:sz w:val="22"/>
                <w:szCs w:val="22"/>
                <w:lang w:val="en-GB"/>
              </w:rPr>
              <w:fldChar w:fldCharType="end"/>
            </w:r>
          </w:hyperlink>
        </w:p>
        <w:p w14:paraId="763374CA" w14:textId="25E4A417" w:rsidR="00B85BF5" w:rsidRPr="009D66D2" w:rsidRDefault="00B85BF5" w:rsidP="00B23989">
          <w:pPr>
            <w:rPr>
              <w:rFonts w:ascii="Arial" w:hAnsi="Arial" w:cs="Arial"/>
              <w:lang w:val="en-GB"/>
            </w:rPr>
          </w:pPr>
          <w:r w:rsidRPr="009D66D2">
            <w:rPr>
              <w:rFonts w:ascii="Arial" w:hAnsi="Arial" w:cs="Arial"/>
              <w:b/>
              <w:bCs/>
              <w:noProof/>
              <w:sz w:val="22"/>
              <w:szCs w:val="22"/>
              <w:lang w:val="en-GB"/>
            </w:rPr>
            <w:fldChar w:fldCharType="end"/>
          </w:r>
        </w:p>
      </w:sdtContent>
    </w:sdt>
    <w:p w14:paraId="68406D97" w14:textId="77777777" w:rsidR="00B85BF5" w:rsidRPr="009D66D2" w:rsidRDefault="00B85BF5" w:rsidP="00B85BF5">
      <w:pPr>
        <w:rPr>
          <w:rFonts w:ascii="Arial" w:eastAsia="Arial" w:hAnsi="Arial" w:cs="Arial"/>
          <w:b/>
          <w:bCs/>
          <w:lang w:val="en-GB"/>
        </w:rPr>
      </w:pPr>
      <w:r w:rsidRPr="009D66D2">
        <w:rPr>
          <w:rFonts w:ascii="Arial" w:eastAsia="Arial" w:hAnsi="Arial" w:cs="Arial"/>
          <w:lang w:val="en-GB"/>
        </w:rPr>
        <w:br w:type="page"/>
      </w:r>
    </w:p>
    <w:p w14:paraId="44233FF0" w14:textId="77777777" w:rsidR="00D30001" w:rsidRPr="009D66D2" w:rsidRDefault="00D30001" w:rsidP="00666370">
      <w:pPr>
        <w:pStyle w:val="Heading1"/>
      </w:pPr>
      <w:bookmarkStart w:id="0" w:name="_shhferz04xwk" w:colFirst="0" w:colLast="0"/>
      <w:bookmarkStart w:id="1" w:name="_Toc235889749"/>
      <w:bookmarkEnd w:id="0"/>
      <w:r w:rsidRPr="009D66D2">
        <w:rPr>
          <w:rFonts w:eastAsia="Arial"/>
        </w:rPr>
        <w:lastRenderedPageBreak/>
        <w:t>Introduction</w:t>
      </w:r>
      <w:bookmarkEnd w:id="1"/>
      <w:r w:rsidRPr="009D66D2">
        <w:rPr>
          <w:rFonts w:eastAsia="Arial"/>
        </w:rPr>
        <w:t xml:space="preserve"> </w:t>
      </w:r>
    </w:p>
    <w:p w14:paraId="1758B9A6"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Background and purpose of the chosen case study</w:t>
      </w:r>
    </w:p>
    <w:p w14:paraId="41D6D884" w14:textId="01FA28FA"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Rigorous analysis of the case scenario highlights the critical breakdown of a patient safety occurrence at Kota Medical College Hospital on April 12, 2025, which is a prominent tertiary public facility in Rajasthan, India. The case scenario highlights a 60-year-old man, Jagdish Panchal, suffering from speech impairment due to facial paralysis, was accompanying his son, who was undergoing emergency surgery for traffic collision injuries. It has been reported that Jagdish Panchal had raised his hand while waiting outside the operating theatre (OT), and a hospital personnel called out a name similar to another scheduled patient. It has been recognised that Jagdish Panchal was unable to speak. Thus, the key purpose of the case scenario highlights the severe systemic breakdowns within patient identification, communication protocol as well as clinical oversight inside a high-volume healthcare setting.</w:t>
      </w:r>
    </w:p>
    <w:p w14:paraId="6A3D172B"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Concept of leadership in health and social care</w:t>
      </w:r>
    </w:p>
    <w:p w14:paraId="44AEB6F2"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Leadership within the health and social care context is defined as the process of empowering and influencing interprofessional teams and individuals in terms of achieving shared healthcare goals, maintaining safety standards and delivering high-quality, person-centred care (Anker-Hansen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2025). Apart from this, Peddie </w:t>
      </w:r>
      <w:r w:rsidRPr="009D66D2">
        <w:rPr>
          <w:rFonts w:ascii="Arial" w:hAnsi="Arial" w:cs="Arial"/>
          <w:i/>
          <w:iCs/>
          <w:sz w:val="22"/>
          <w:szCs w:val="22"/>
          <w:lang w:val="en-GB"/>
        </w:rPr>
        <w:t xml:space="preserve">et al. </w:t>
      </w:r>
      <w:r w:rsidRPr="009D66D2">
        <w:rPr>
          <w:rFonts w:ascii="Arial" w:hAnsi="Arial" w:cs="Arial"/>
          <w:sz w:val="22"/>
          <w:szCs w:val="22"/>
          <w:lang w:val="en-GB"/>
        </w:rPr>
        <w:t>(2025) have argued that leadership within health and social care prioritises operational maintenance, task allocation, and compliance in terms of shaping culture, trust building and driving psychological safety. The presence of effective leadership within the healthcare system influences clinical outcomes by creating environments where safety protocols are rigorously followed. This helps in empowering team members to question ambiguities before patient harm occurs.</w:t>
      </w:r>
    </w:p>
    <w:p w14:paraId="7DAD3215"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 xml:space="preserve">Centralisation and decentralisation and key leadership theories and styles </w:t>
      </w:r>
    </w:p>
    <w:p w14:paraId="78675D77"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Centralisation within a healthcare system signifies concentrating power, decision-making and resource management at the national or top governmental level rather than local regions (Fana and Mokhele, 2025). In contrast, decentralisation in healthcare is the transfer of decision-making power, financial authority and management responsibilities from a central government to regional, district and local levels (Sapkota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2023). Additionally, the concept of transformational leadership theory in a healthcare setting highlights that inspirational motivation, staff empowerment, and collaborative vision drive better patient outcomes and higher staff retention (Conroy </w:t>
      </w:r>
      <w:r w:rsidRPr="009D66D2">
        <w:rPr>
          <w:rFonts w:ascii="Arial" w:hAnsi="Arial" w:cs="Arial"/>
          <w:i/>
          <w:iCs/>
          <w:sz w:val="22"/>
          <w:szCs w:val="22"/>
          <w:lang w:val="en-GB"/>
        </w:rPr>
        <w:t xml:space="preserve">et al., </w:t>
      </w:r>
      <w:r w:rsidRPr="009D66D2">
        <w:rPr>
          <w:rFonts w:ascii="Arial" w:hAnsi="Arial" w:cs="Arial"/>
          <w:sz w:val="22"/>
          <w:szCs w:val="22"/>
          <w:lang w:val="en-GB"/>
        </w:rPr>
        <w:t>2023). On the other hand, Transactional leadership theory highlights an exchange-based relationship between leaders and staff (</w:t>
      </w:r>
      <w:proofErr w:type="spellStart"/>
      <w:r w:rsidRPr="009D66D2">
        <w:rPr>
          <w:rFonts w:ascii="Arial" w:hAnsi="Arial" w:cs="Arial"/>
          <w:sz w:val="22"/>
          <w:szCs w:val="22"/>
          <w:lang w:val="en-GB"/>
        </w:rPr>
        <w:t>Aljumah</w:t>
      </w:r>
      <w:proofErr w:type="spellEnd"/>
      <w:r w:rsidRPr="009D66D2">
        <w:rPr>
          <w:rFonts w:ascii="Arial" w:hAnsi="Arial" w:cs="Arial"/>
          <w:sz w:val="22"/>
          <w:szCs w:val="22"/>
          <w:lang w:val="en-GB"/>
        </w:rPr>
        <w:t>, 2023). This helps in ensuring compliance with clinical standards, strict adherence to safety protocols and reliable operational performance.</w:t>
      </w:r>
    </w:p>
    <w:p w14:paraId="30799897"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 xml:space="preserve">Significance of selecting appropriate leadership style </w:t>
      </w:r>
    </w:p>
    <w:p w14:paraId="43DFA429"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lastRenderedPageBreak/>
        <w:t xml:space="preserve">It has been recognised that the selection of the most appropriate leadership style is considered to be pivotal during operational shifts, resource constraints, or clinical crises. As per Møller </w:t>
      </w:r>
      <w:r w:rsidRPr="009D66D2">
        <w:rPr>
          <w:rFonts w:ascii="Arial" w:hAnsi="Arial" w:cs="Arial"/>
          <w:i/>
          <w:iCs/>
          <w:sz w:val="22"/>
          <w:szCs w:val="22"/>
          <w:lang w:val="en-GB"/>
        </w:rPr>
        <w:t xml:space="preserve">et al. </w:t>
      </w:r>
      <w:r w:rsidRPr="009D66D2">
        <w:rPr>
          <w:rFonts w:ascii="Arial" w:hAnsi="Arial" w:cs="Arial"/>
          <w:sz w:val="22"/>
          <w:szCs w:val="22"/>
          <w:lang w:val="en-GB"/>
        </w:rPr>
        <w:t>(2024), effective leadership creates a culture of psychological safety, where protocols such as the “WHO Surgical Safety Checklist” are considered to be actively executed rather than treated as passive paperwork. Thus, the necessity for selecting appropriate leadership in healthcare settings is pivotal for addressing medical errors and non-adherence to protocol.</w:t>
      </w:r>
    </w:p>
    <w:p w14:paraId="75A9816C"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 xml:space="preserve">Report Structure </w:t>
      </w:r>
    </w:p>
    <w:p w14:paraId="02D705D9" w14:textId="77777777" w:rsidR="00D30001" w:rsidRPr="009D66D2" w:rsidRDefault="00D30001" w:rsidP="00666370">
      <w:pPr>
        <w:rPr>
          <w:rFonts w:ascii="Arial" w:hAnsi="Arial" w:cs="Arial"/>
          <w:b/>
          <w:bCs/>
          <w:sz w:val="22"/>
          <w:szCs w:val="22"/>
          <w:lang w:val="en-GB"/>
        </w:rPr>
      </w:pPr>
      <w:r w:rsidRPr="009D66D2">
        <w:rPr>
          <w:rFonts w:ascii="Arial" w:hAnsi="Arial" w:cs="Arial"/>
          <w:sz w:val="22"/>
          <w:szCs w:val="22"/>
          <w:lang w:val="en-GB"/>
        </w:rPr>
        <w:t>The report aims to systematically analyse the systemic failures that led to the wrong-patient surgery at Kota Medical College Hospital. In essence, the report has focused on applying Systems Thinking and a visual Rich Picture in terms of tracing communication gaps and organisational feedback loops. Additionally, the report aims to outline the governance failures at Kota Medical College by comparing local vulnerabilities against global patient safety statistics as well as proposed strategic leadership interventions.</w:t>
      </w:r>
    </w:p>
    <w:p w14:paraId="0E0801D1" w14:textId="77777777" w:rsidR="00D30001" w:rsidRPr="009D66D2" w:rsidRDefault="00D30001" w:rsidP="00666370">
      <w:pPr>
        <w:pStyle w:val="Heading1"/>
      </w:pPr>
      <w:bookmarkStart w:id="2" w:name="_p8x2tnrgaain" w:colFirst="0" w:colLast="0"/>
      <w:bookmarkStart w:id="3" w:name="_Toc235889750"/>
      <w:bookmarkEnd w:id="2"/>
      <w:r w:rsidRPr="009D66D2">
        <w:rPr>
          <w:rFonts w:eastAsia="Arial"/>
        </w:rPr>
        <w:t>Main Body and Analysis</w:t>
      </w:r>
      <w:bookmarkEnd w:id="3"/>
      <w:r w:rsidRPr="009D66D2">
        <w:rPr>
          <w:rFonts w:eastAsia="Arial"/>
        </w:rPr>
        <w:t xml:space="preserve"> </w:t>
      </w:r>
    </w:p>
    <w:p w14:paraId="643A7A4E" w14:textId="77777777" w:rsidR="00D30001" w:rsidRPr="009D66D2" w:rsidRDefault="00D30001" w:rsidP="00666370">
      <w:pPr>
        <w:pStyle w:val="Heading2"/>
        <w:rPr>
          <w:rFonts w:ascii="Arial" w:hAnsi="Arial" w:cs="Arial"/>
          <w:sz w:val="22"/>
          <w:szCs w:val="22"/>
          <w:lang w:val="en-GB"/>
        </w:rPr>
      </w:pPr>
      <w:bookmarkStart w:id="4" w:name="_66clm728kd8t" w:colFirst="0" w:colLast="0"/>
      <w:bookmarkStart w:id="5" w:name="_Toc235889751"/>
      <w:bookmarkEnd w:id="4"/>
      <w:r w:rsidRPr="009D66D2">
        <w:rPr>
          <w:rFonts w:ascii="Arial" w:eastAsia="Arial" w:hAnsi="Arial" w:cs="Arial"/>
          <w:sz w:val="22"/>
          <w:szCs w:val="22"/>
          <w:lang w:val="en-GB"/>
        </w:rPr>
        <w:t>a. Problem and Setting the System Context</w:t>
      </w:r>
      <w:bookmarkEnd w:id="5"/>
    </w:p>
    <w:p w14:paraId="3272E8D7"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 xml:space="preserve">Global statistical information reveals information about the problem </w:t>
      </w:r>
    </w:p>
    <w:p w14:paraId="7D5B4629"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The primary failure at Kota Medical College Hospital was considered to be a catastrophic identification breakdown within the healthcare system, as a wrong-patient surgical procedure was executed on a non-patient bystander. According to the WHO report, more than 300 million surgical procedures are performed each year worldwide; however, about 10% of preventable patient harm in health care was reported in surgical settings (World Health Organisation, 2026). On the other hand, the prevalence of such errors occurs in approximately 1 of 112,000 surgical procedures, infrequent enough that an individual hospital would only experience one such error every 5 to 10 years (</w:t>
      </w:r>
      <w:proofErr w:type="spellStart"/>
      <w:r w:rsidRPr="009D66D2">
        <w:rPr>
          <w:rFonts w:ascii="Arial" w:hAnsi="Arial" w:cs="Arial"/>
          <w:sz w:val="22"/>
          <w:szCs w:val="22"/>
          <w:lang w:val="en-GB"/>
        </w:rPr>
        <w:t>Ahrq</w:t>
      </w:r>
      <w:proofErr w:type="spellEnd"/>
      <w:r w:rsidRPr="009D66D2">
        <w:rPr>
          <w:rFonts w:ascii="Arial" w:hAnsi="Arial" w:cs="Arial"/>
          <w:sz w:val="22"/>
          <w:szCs w:val="22"/>
          <w:lang w:val="en-GB"/>
        </w:rPr>
        <w:t xml:space="preserve">, 2026). Additionally, it has been recognised that the occurrence of such errors mostly occurs within under-deprived areas where the level of healthcare literacy is low. This signifies the presence of a moderate prevalence of such surgical errors on global platforms. </w:t>
      </w:r>
    </w:p>
    <w:p w14:paraId="319F8CBB"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National statistical information reveals the problem</w:t>
      </w:r>
    </w:p>
    <w:p w14:paraId="50E6A2E5"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According to the NHS report, about 282 patient safety incidents on the StEIS system were designated by their reporters as Never Events as well as had a reported incident date between April 2025 and November 2025 (National Health Service, 2026).  Apart from this, the report of Statista, the UK’s NHS recorded a total of “379 medical malpractices” called ‘Never Events’ in the year 2023 (Fleck, 2026). As per the key findings of </w:t>
      </w:r>
      <w:proofErr w:type="spellStart"/>
      <w:r w:rsidRPr="009D66D2">
        <w:rPr>
          <w:rFonts w:ascii="Arial" w:hAnsi="Arial" w:cs="Arial"/>
          <w:sz w:val="22"/>
          <w:szCs w:val="22"/>
          <w:lang w:val="en-GB"/>
        </w:rPr>
        <w:t>Abosheisha</w:t>
      </w:r>
      <w:proofErr w:type="spellEnd"/>
      <w:r w:rsidRPr="009D66D2">
        <w:rPr>
          <w:rFonts w:ascii="Arial" w:hAnsi="Arial" w:cs="Arial"/>
          <w:sz w:val="22"/>
          <w:szCs w:val="22"/>
          <w:lang w:val="en-GB"/>
        </w:rPr>
        <w:t xml:space="preserve">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(2025), about 2485 Never Events, that includes “1091 wrong surgeries, 561 retained objects, 266 wrong implants as well as 198 medication-related Never Events”, were found in NHS England. Thus, Never Events in the </w:t>
      </w:r>
      <w:r w:rsidRPr="009D66D2">
        <w:rPr>
          <w:rFonts w:ascii="Arial" w:hAnsi="Arial" w:cs="Arial"/>
          <w:sz w:val="22"/>
          <w:szCs w:val="22"/>
          <w:lang w:val="en-GB"/>
        </w:rPr>
        <w:lastRenderedPageBreak/>
        <w:t>National Health Service (NHS) remain a persistent patient safety challenge, with thousands of incidents recorded despite national preventive frameworks.</w:t>
      </w:r>
    </w:p>
    <w:p w14:paraId="3B04178A" w14:textId="77777777" w:rsidR="00D30001" w:rsidRPr="009D66D2" w:rsidRDefault="00D30001" w:rsidP="00666370">
      <w:pPr>
        <w:jc w:val="center"/>
        <w:rPr>
          <w:rFonts w:ascii="Arial" w:hAnsi="Arial" w:cs="Arial"/>
          <w:sz w:val="22"/>
          <w:szCs w:val="22"/>
          <w:lang w:val="en-GB"/>
        </w:rPr>
      </w:pPr>
      <w:r w:rsidRPr="009D66D2">
        <w:rPr>
          <w:rFonts w:ascii="Arial" w:hAnsi="Arial" w:cs="Arial"/>
          <w:noProof/>
          <w:sz w:val="22"/>
          <w:szCs w:val="22"/>
          <w:lang w:val="en-GB"/>
        </w:rPr>
        <w:drawing>
          <wp:inline distT="114300" distB="114300" distL="114300" distR="114300" wp14:anchorId="0DC03D08" wp14:editId="4CE77EC2">
            <wp:extent cx="3670448" cy="3968159"/>
            <wp:effectExtent l="19050" t="19050" r="25400" b="13335"/>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01485" cy="4001714"/>
                    </a:xfrm>
                    <a:prstGeom prst="rect">
                      <a:avLst/>
                    </a:prstGeom>
                    <a:ln w="12700">
                      <a:solidFill>
                        <a:srgbClr val="000000"/>
                      </a:solidFill>
                      <a:prstDash val="solid"/>
                    </a:ln>
                  </pic:spPr>
                </pic:pic>
              </a:graphicData>
            </a:graphic>
          </wp:inline>
        </w:drawing>
      </w:r>
    </w:p>
    <w:p w14:paraId="2707D5A3" w14:textId="77777777" w:rsidR="00D30001" w:rsidRPr="009D66D2" w:rsidRDefault="00D30001" w:rsidP="00666370">
      <w:pPr>
        <w:jc w:val="center"/>
        <w:rPr>
          <w:rFonts w:ascii="Arial" w:hAnsi="Arial" w:cs="Arial"/>
          <w:b/>
          <w:bCs/>
          <w:sz w:val="22"/>
          <w:szCs w:val="22"/>
          <w:lang w:val="en-GB"/>
        </w:rPr>
      </w:pPr>
      <w:r w:rsidRPr="009D66D2">
        <w:rPr>
          <w:rFonts w:ascii="Arial" w:hAnsi="Arial" w:cs="Arial"/>
          <w:b/>
          <w:bCs/>
          <w:sz w:val="22"/>
          <w:szCs w:val="22"/>
          <w:lang w:val="en-GB"/>
        </w:rPr>
        <w:t>Figure 1: NHS's Most Serious Errors</w:t>
      </w:r>
    </w:p>
    <w:p w14:paraId="729B9325" w14:textId="77777777" w:rsidR="00D30001" w:rsidRPr="009D66D2" w:rsidRDefault="00D30001" w:rsidP="00666370">
      <w:pPr>
        <w:jc w:val="center"/>
        <w:rPr>
          <w:rFonts w:ascii="Arial" w:hAnsi="Arial" w:cs="Arial"/>
          <w:sz w:val="22"/>
          <w:szCs w:val="22"/>
          <w:lang w:val="en-GB"/>
        </w:rPr>
      </w:pPr>
      <w:r w:rsidRPr="009D66D2">
        <w:rPr>
          <w:rFonts w:ascii="Arial" w:hAnsi="Arial" w:cs="Arial"/>
          <w:sz w:val="22"/>
          <w:szCs w:val="22"/>
          <w:lang w:val="en-GB"/>
        </w:rPr>
        <w:t>(Source: Fleck, 2026)</w:t>
      </w:r>
    </w:p>
    <w:p w14:paraId="5568F6D7"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National organisations reveal information about the problem in connection with worldwide presentations</w:t>
      </w:r>
    </w:p>
    <w:p w14:paraId="36D26E72" w14:textId="77777777" w:rsidR="00D30001" w:rsidRPr="009D66D2" w:rsidRDefault="00D30001" w:rsidP="00666370">
      <w:pPr>
        <w:rPr>
          <w:rFonts w:ascii="Arial" w:hAnsi="Arial" w:cs="Arial"/>
          <w:b/>
          <w:bCs/>
          <w:sz w:val="22"/>
          <w:szCs w:val="22"/>
          <w:lang w:val="en-GB"/>
        </w:rPr>
      </w:pPr>
      <w:r w:rsidRPr="009D66D2">
        <w:rPr>
          <w:rFonts w:ascii="Arial" w:hAnsi="Arial" w:cs="Arial"/>
          <w:sz w:val="22"/>
          <w:szCs w:val="22"/>
          <w:lang w:val="en-GB"/>
        </w:rPr>
        <w:t>It has been recognised that Precise nationwide data on the exact prevalence of “Never Events” is considered to be largely absent in India due to a lack of mandatory centralised reporting. Apart from this, the prevalence of never events persists at a rate of 1 to 2 per 100 incidents in India (Aravinda, 2024). This signifies that the prevalence of never events is increasing rapidly within India as compared to other nations globally. For instance, the NHSRC report highlights that events related to surgical procedures make up about 27% of reported patient safety incidents in Indian healthcare settings (</w:t>
      </w:r>
      <w:proofErr w:type="spellStart"/>
      <w:r w:rsidRPr="009D66D2">
        <w:rPr>
          <w:rFonts w:ascii="Arial" w:hAnsi="Arial" w:cs="Arial"/>
          <w:sz w:val="22"/>
          <w:szCs w:val="22"/>
          <w:lang w:val="en-GB"/>
        </w:rPr>
        <w:t>Nhsrcindia</w:t>
      </w:r>
      <w:proofErr w:type="spellEnd"/>
      <w:r w:rsidRPr="009D66D2">
        <w:rPr>
          <w:rFonts w:ascii="Arial" w:hAnsi="Arial" w:cs="Arial"/>
          <w:sz w:val="22"/>
          <w:szCs w:val="22"/>
          <w:lang w:val="en-GB"/>
        </w:rPr>
        <w:t xml:space="preserve">, 2026). This is considered to be one of the potential pieces of evidence that show the cases of Never Events are increasing in India as compared to other countries. </w:t>
      </w:r>
    </w:p>
    <w:p w14:paraId="41E3EB2C"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 xml:space="preserve">Explaining how this problem reflects systemic weaknesses and identifying the level of governance </w:t>
      </w:r>
    </w:p>
    <w:p w14:paraId="5FC1D611" w14:textId="77777777" w:rsidR="00D30001" w:rsidRPr="009D66D2" w:rsidRDefault="00D30001" w:rsidP="00666370">
      <w:pPr>
        <w:jc w:val="center"/>
        <w:rPr>
          <w:rFonts w:ascii="Arial" w:hAnsi="Arial" w:cs="Arial"/>
          <w:b/>
          <w:bCs/>
          <w:sz w:val="22"/>
          <w:szCs w:val="22"/>
          <w:lang w:val="en-GB"/>
        </w:rPr>
      </w:pPr>
      <w:r w:rsidRPr="009D66D2">
        <w:rPr>
          <w:rFonts w:ascii="Arial" w:hAnsi="Arial" w:cs="Arial"/>
          <w:b/>
          <w:bCs/>
          <w:noProof/>
          <w:sz w:val="22"/>
          <w:szCs w:val="22"/>
          <w:lang w:val="en-GB"/>
        </w:rPr>
        <w:lastRenderedPageBreak/>
        <w:drawing>
          <wp:inline distT="114300" distB="114300" distL="114300" distR="114300" wp14:anchorId="3DFC94FA" wp14:editId="00254883">
            <wp:extent cx="4881263" cy="4117015"/>
            <wp:effectExtent l="19050" t="19050" r="14605" b="17145"/>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4932426" cy="4160167"/>
                    </a:xfrm>
                    <a:prstGeom prst="rect">
                      <a:avLst/>
                    </a:prstGeom>
                    <a:ln w="12700">
                      <a:solidFill>
                        <a:srgbClr val="000000"/>
                      </a:solidFill>
                      <a:prstDash val="solid"/>
                    </a:ln>
                  </pic:spPr>
                </pic:pic>
              </a:graphicData>
            </a:graphic>
          </wp:inline>
        </w:drawing>
      </w:r>
    </w:p>
    <w:p w14:paraId="2A3E3746" w14:textId="77777777" w:rsidR="00D30001" w:rsidRPr="009D66D2" w:rsidRDefault="00D30001" w:rsidP="00666370">
      <w:pPr>
        <w:jc w:val="center"/>
        <w:rPr>
          <w:rFonts w:ascii="Arial" w:hAnsi="Arial" w:cs="Arial"/>
          <w:b/>
          <w:bCs/>
          <w:sz w:val="22"/>
          <w:szCs w:val="22"/>
          <w:lang w:val="en-GB"/>
        </w:rPr>
      </w:pPr>
      <w:r w:rsidRPr="009D66D2">
        <w:rPr>
          <w:rFonts w:ascii="Arial" w:hAnsi="Arial" w:cs="Arial"/>
          <w:b/>
          <w:bCs/>
          <w:sz w:val="22"/>
          <w:szCs w:val="22"/>
          <w:lang w:val="en-GB"/>
        </w:rPr>
        <w:t xml:space="preserve">Figure 2: Visualising the Rich Picture for Kota Medical College Hospital case </w:t>
      </w:r>
    </w:p>
    <w:p w14:paraId="2FDB3DE4" w14:textId="77777777" w:rsidR="00D30001" w:rsidRPr="009D66D2" w:rsidRDefault="00D30001" w:rsidP="00666370">
      <w:pPr>
        <w:jc w:val="center"/>
        <w:rPr>
          <w:rFonts w:ascii="Arial" w:hAnsi="Arial" w:cs="Arial"/>
          <w:sz w:val="22"/>
          <w:szCs w:val="22"/>
          <w:lang w:val="en-GB"/>
        </w:rPr>
      </w:pPr>
      <w:r w:rsidRPr="009D66D2">
        <w:rPr>
          <w:rFonts w:ascii="Arial" w:hAnsi="Arial" w:cs="Arial"/>
          <w:sz w:val="22"/>
          <w:szCs w:val="22"/>
          <w:lang w:val="en-GB"/>
        </w:rPr>
        <w:t>(Source: Self-developed)</w:t>
      </w:r>
    </w:p>
    <w:p w14:paraId="08E215EB"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It has been recognised that the failure at Kota Medical College Hospital was not merely an isolated mistake by a single nurse or order-taker; however, it represents a multi-tiered failure of institutional governance. It has been recognised that governance in local hospitals fails to implement basic physical identification protocols and enforce the three-phase WHO Surgical Safety Checklist. Apart from this, the governance in the regional health department is facing issues due to high patient loads, overcrowding in public tertiary facilities and severe nurse-to-patient ratios. This has created an environment where staff rely on speed and informal shortcuts over standardised safety steps. Villalón López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(2025) have argued that a poor workplace environment within the healthcare system leads to severe staff burnout, higher medical error rates, and increased employee turnover. Thus, the presence of such challenges is required to be addressed in terms of delivering improved health and social care services. </w:t>
      </w:r>
    </w:p>
    <w:p w14:paraId="646F93CA"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Providing data on underlying challenges to illustrate underlying challenges</w:t>
      </w:r>
    </w:p>
    <w:p w14:paraId="278587CC" w14:textId="77777777" w:rsidR="00D30001" w:rsidRPr="009D66D2" w:rsidRDefault="00D30001" w:rsidP="00666370">
      <w:pPr>
        <w:jc w:val="center"/>
        <w:rPr>
          <w:rFonts w:ascii="Arial" w:hAnsi="Arial" w:cs="Arial"/>
          <w:b/>
          <w:bCs/>
          <w:sz w:val="22"/>
          <w:szCs w:val="22"/>
          <w:lang w:val="en-GB"/>
        </w:rPr>
      </w:pPr>
      <w:r w:rsidRPr="009D66D2">
        <w:rPr>
          <w:rFonts w:ascii="Arial" w:hAnsi="Arial" w:cs="Arial"/>
          <w:b/>
          <w:bCs/>
          <w:noProof/>
          <w:sz w:val="22"/>
          <w:szCs w:val="22"/>
          <w:lang w:val="en-GB"/>
        </w:rPr>
        <w:lastRenderedPageBreak/>
        <w:drawing>
          <wp:inline distT="114300" distB="114300" distL="114300" distR="114300" wp14:anchorId="04D5E996" wp14:editId="1D6EE301">
            <wp:extent cx="5943600" cy="32004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200400"/>
                    </a:xfrm>
                    <a:prstGeom prst="rect">
                      <a:avLst/>
                    </a:prstGeom>
                    <a:ln w="12700">
                      <a:solidFill>
                        <a:srgbClr val="000000"/>
                      </a:solidFill>
                      <a:prstDash val="solid"/>
                    </a:ln>
                  </pic:spPr>
                </pic:pic>
              </a:graphicData>
            </a:graphic>
          </wp:inline>
        </w:drawing>
      </w:r>
    </w:p>
    <w:p w14:paraId="48B767AA" w14:textId="1FCDF059" w:rsidR="00D30001" w:rsidRPr="009D66D2" w:rsidRDefault="00D30001" w:rsidP="00666370">
      <w:pPr>
        <w:jc w:val="center"/>
        <w:rPr>
          <w:rFonts w:ascii="Arial" w:hAnsi="Arial" w:cs="Arial"/>
          <w:b/>
          <w:bCs/>
          <w:sz w:val="22"/>
          <w:szCs w:val="22"/>
          <w:lang w:val="en-GB"/>
        </w:rPr>
      </w:pPr>
      <w:r w:rsidRPr="009D66D2">
        <w:rPr>
          <w:rFonts w:ascii="Arial" w:hAnsi="Arial" w:cs="Arial"/>
          <w:b/>
          <w:bCs/>
          <w:sz w:val="22"/>
          <w:szCs w:val="22"/>
          <w:lang w:val="en-GB"/>
        </w:rPr>
        <w:t xml:space="preserve">Figure </w:t>
      </w:r>
      <w:r w:rsidR="007715AA" w:rsidRPr="009D66D2">
        <w:rPr>
          <w:rFonts w:ascii="Arial" w:hAnsi="Arial" w:cs="Arial"/>
          <w:b/>
          <w:bCs/>
          <w:sz w:val="22"/>
          <w:szCs w:val="22"/>
          <w:lang w:val="en-GB"/>
        </w:rPr>
        <w:t>3</w:t>
      </w:r>
      <w:r w:rsidRPr="009D66D2">
        <w:rPr>
          <w:rFonts w:ascii="Arial" w:hAnsi="Arial" w:cs="Arial"/>
          <w:b/>
          <w:bCs/>
          <w:sz w:val="22"/>
          <w:szCs w:val="22"/>
          <w:lang w:val="en-GB"/>
        </w:rPr>
        <w:t xml:space="preserve">: Application of Fishbone diagram for root cause analysis </w:t>
      </w:r>
    </w:p>
    <w:p w14:paraId="3F10B455" w14:textId="77777777" w:rsidR="00D30001" w:rsidRPr="009D66D2" w:rsidRDefault="00D30001" w:rsidP="00666370">
      <w:pPr>
        <w:jc w:val="center"/>
        <w:rPr>
          <w:rFonts w:ascii="Arial" w:hAnsi="Arial" w:cs="Arial"/>
          <w:sz w:val="22"/>
          <w:szCs w:val="22"/>
          <w:lang w:val="en-GB"/>
        </w:rPr>
      </w:pPr>
      <w:r w:rsidRPr="009D66D2">
        <w:rPr>
          <w:rFonts w:ascii="Arial" w:hAnsi="Arial" w:cs="Arial"/>
          <w:sz w:val="22"/>
          <w:szCs w:val="22"/>
          <w:lang w:val="en-GB"/>
        </w:rPr>
        <w:t>(Source: Self-developed)</w:t>
      </w:r>
    </w:p>
    <w:p w14:paraId="7EE2F6F8" w14:textId="6E4F1472"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According to the key findings of Jeevitha (2025), there is a shortfall of 83.2% of surgeons within the Indian healthcare system. Similar to the context, there were over 106,000 vacancies in the NHS workforce, with 27,000 positions alone needed in nursing (Mikulic, 2026). Apart from this, Surendran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(2025) have argued that nursing staff and ward attendants frequently handle double patient capacity, causing cognitive fatigue and routine compliance. The figure mentioned above highlights the root causes that lead to a challenging environment. Additionally, communication barriers have been a challenging phase for health and social care workers while treating patients with disabilities, speech impairment, low literacy, or language variations (Shady </w:t>
      </w:r>
      <w:r w:rsidRPr="009D66D2">
        <w:rPr>
          <w:rFonts w:ascii="Arial" w:hAnsi="Arial" w:cs="Arial"/>
          <w:i/>
          <w:iCs/>
          <w:sz w:val="22"/>
          <w:szCs w:val="22"/>
          <w:lang w:val="en-GB"/>
        </w:rPr>
        <w:t>et al.</w:t>
      </w:r>
      <w:r w:rsidR="00666370" w:rsidRPr="009D66D2">
        <w:rPr>
          <w:rFonts w:ascii="Arial" w:hAnsi="Arial" w:cs="Arial"/>
          <w:i/>
          <w:iCs/>
          <w:sz w:val="22"/>
          <w:szCs w:val="22"/>
          <w:lang w:val="en-GB"/>
        </w:rPr>
        <w:t>,</w:t>
      </w:r>
      <w:r w:rsidRPr="009D66D2">
        <w:rPr>
          <w:rFonts w:ascii="Arial" w:hAnsi="Arial" w:cs="Arial"/>
          <w:i/>
          <w:iCs/>
          <w:sz w:val="22"/>
          <w:szCs w:val="22"/>
          <w:lang w:val="en-GB"/>
        </w:rPr>
        <w:t xml:space="preserve"> </w:t>
      </w:r>
      <w:r w:rsidRPr="009D66D2">
        <w:rPr>
          <w:rFonts w:ascii="Arial" w:hAnsi="Arial" w:cs="Arial"/>
          <w:sz w:val="22"/>
          <w:szCs w:val="22"/>
          <w:lang w:val="en-GB"/>
        </w:rPr>
        <w:t xml:space="preserve">2024). Thus, the above-mentioned challenges are required to be addressed in terms of addressing issues similar to the Kota Medical College Hospital case in the coming times. </w:t>
      </w:r>
    </w:p>
    <w:p w14:paraId="64297CFB"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Positioning the problem as both locally significant and globally relevant</w:t>
      </w:r>
    </w:p>
    <w:p w14:paraId="26AC90D0" w14:textId="77777777" w:rsidR="00D30001" w:rsidRPr="009D66D2" w:rsidRDefault="00D30001" w:rsidP="00666370">
      <w:pPr>
        <w:rPr>
          <w:rFonts w:ascii="Arial" w:hAnsi="Arial" w:cs="Arial"/>
          <w:b/>
          <w:bCs/>
          <w:sz w:val="22"/>
          <w:szCs w:val="22"/>
          <w:lang w:val="en-GB"/>
        </w:rPr>
      </w:pPr>
      <w:r w:rsidRPr="009D66D2">
        <w:rPr>
          <w:rFonts w:ascii="Arial" w:hAnsi="Arial" w:cs="Arial"/>
          <w:sz w:val="22"/>
          <w:szCs w:val="22"/>
          <w:lang w:val="en-GB"/>
        </w:rPr>
        <w:t xml:space="preserve">It has been recognised that India’s health system has recorded about 5.2 million medical injuries annually due to adverse events as well as safety lapses (Govil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2025). Apart from this, communication breakdowns during procedures and emergency care mismanagement have been identified as potential challenges in the Indian healthcare system. It has been recognised that more than 300 million surgical procedures are performed each year worldwide; however, about 10% of preventable patient harm in health care was reported in surgical settings (World Health </w:t>
      </w:r>
      <w:r w:rsidRPr="009D66D2">
        <w:rPr>
          <w:rFonts w:ascii="Arial" w:hAnsi="Arial" w:cs="Arial"/>
          <w:sz w:val="22"/>
          <w:szCs w:val="22"/>
          <w:lang w:val="en-GB"/>
        </w:rPr>
        <w:lastRenderedPageBreak/>
        <w:t xml:space="preserve">Organisation, 2026). Thus, the need for mitigating such systemic vulnerabilities requires structured leadership interventions, clear accountability as well as dynamic procedural changes. </w:t>
      </w:r>
    </w:p>
    <w:p w14:paraId="453C370E" w14:textId="77777777" w:rsidR="00D30001" w:rsidRPr="009D66D2" w:rsidRDefault="00D30001" w:rsidP="00666370">
      <w:pPr>
        <w:pStyle w:val="Heading2"/>
        <w:rPr>
          <w:rFonts w:ascii="Arial" w:hAnsi="Arial" w:cs="Arial"/>
          <w:sz w:val="22"/>
          <w:szCs w:val="22"/>
          <w:lang w:val="en-GB"/>
        </w:rPr>
      </w:pPr>
      <w:bookmarkStart w:id="6" w:name="_25oi74aao1k2" w:colFirst="0" w:colLast="0"/>
      <w:bookmarkStart w:id="7" w:name="_Toc235889752"/>
      <w:bookmarkEnd w:id="6"/>
      <w:r w:rsidRPr="009D66D2">
        <w:rPr>
          <w:rFonts w:ascii="Arial" w:eastAsia="Arial" w:hAnsi="Arial" w:cs="Arial"/>
          <w:sz w:val="22"/>
          <w:szCs w:val="22"/>
          <w:lang w:val="en-GB"/>
        </w:rPr>
        <w:t>b. Centralisation or Decentralisation within the Case Study</w:t>
      </w:r>
      <w:bookmarkEnd w:id="7"/>
    </w:p>
    <w:p w14:paraId="3218F678"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Concentrated Decision-Making Framework</w:t>
      </w:r>
    </w:p>
    <w:p w14:paraId="02B42008"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It has been recognised that in a centralised healthcare system, the administrative authority, policy formulation, resource allocation, as well as disciplinary protocols are a central part under senior executive leadership (Smith </w:t>
      </w:r>
      <w:r w:rsidRPr="009D66D2">
        <w:rPr>
          <w:rFonts w:ascii="Arial" w:hAnsi="Arial" w:cs="Arial"/>
          <w:i/>
          <w:iCs/>
          <w:sz w:val="22"/>
          <w:szCs w:val="22"/>
          <w:lang w:val="en-GB"/>
        </w:rPr>
        <w:t>et al</w:t>
      </w:r>
      <w:r w:rsidRPr="009D66D2">
        <w:rPr>
          <w:rFonts w:ascii="Arial" w:hAnsi="Arial" w:cs="Arial"/>
          <w:sz w:val="22"/>
          <w:szCs w:val="22"/>
          <w:lang w:val="en-GB"/>
        </w:rPr>
        <w:t xml:space="preserve">. 2023). The Medical College Principal, Hospital Superintendent, and Heads of Departments (HODs) also follow the structure of a centralised healthcare system. In this healthcare system, this concentration of power is clearly illustrated by the official response that follows the incident. As per the case report, the local staff possessed no clear administrative authority to resolve the failure locally, despite escalating immediately when the error was discovered. Principal Dr Sangeeta Saxena ordered the Superintendent to convene a three-member inquiry committee within a strict 72-hour reporting mandate. Therefore, the advantages of Centralisation theoretical information, standardised policy issuance and direct resource mobilisation. </w:t>
      </w:r>
    </w:p>
    <w:p w14:paraId="533D7C7E" w14:textId="6AD043E3"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Standardised policy issuance, linked with centralisation, allows the executive leadership in order to mandate uniform clinical guidelines across all hospital wards rapidly (Shu </w:t>
      </w:r>
      <w:r w:rsidRPr="009D66D2">
        <w:rPr>
          <w:rFonts w:ascii="Arial" w:hAnsi="Arial" w:cs="Arial"/>
          <w:i/>
          <w:iCs/>
          <w:sz w:val="22"/>
          <w:szCs w:val="22"/>
          <w:lang w:val="en-GB"/>
        </w:rPr>
        <w:t>et al</w:t>
      </w:r>
      <w:r w:rsidRPr="009D66D2">
        <w:rPr>
          <w:rFonts w:ascii="Arial" w:hAnsi="Arial" w:cs="Arial"/>
          <w:sz w:val="22"/>
          <w:szCs w:val="22"/>
          <w:lang w:val="en-GB"/>
        </w:rPr>
        <w:t>.</w:t>
      </w:r>
      <w:r w:rsidR="00666370" w:rsidRPr="009D66D2">
        <w:rPr>
          <w:rFonts w:ascii="Arial" w:hAnsi="Arial" w:cs="Arial"/>
          <w:sz w:val="22"/>
          <w:szCs w:val="22"/>
          <w:lang w:val="en-GB"/>
        </w:rPr>
        <w:t>,</w:t>
      </w:r>
      <w:r w:rsidRPr="009D66D2">
        <w:rPr>
          <w:rFonts w:ascii="Arial" w:hAnsi="Arial" w:cs="Arial"/>
          <w:sz w:val="22"/>
          <w:szCs w:val="22"/>
          <w:lang w:val="en-GB"/>
        </w:rPr>
        <w:t xml:space="preserve"> 2026). In addition, the direct resource mobilisation indicates the executive authority can swiftly reallocate funding and enforce administrative sanctions following a safety breakdown. Disadvantages of centralisation within this case include fear-driven silence and administrative bottlenecks. For instance, concentrated authority can create a rigid hierarchy where junior doctors and nurses hesitate to question senior clinicians. The Bottlenecks are regarding frontline surgical staff who become dependent on top-down direction and can often delay real-time problem-solving on the floor (</w:t>
      </w:r>
      <w:proofErr w:type="spellStart"/>
      <w:r w:rsidRPr="009D66D2">
        <w:rPr>
          <w:rFonts w:ascii="Arial" w:hAnsi="Arial" w:cs="Arial"/>
          <w:sz w:val="22"/>
          <w:szCs w:val="22"/>
          <w:lang w:val="en-GB"/>
        </w:rPr>
        <w:t>Åhlin</w:t>
      </w:r>
      <w:proofErr w:type="spellEnd"/>
      <w:r w:rsidRPr="009D66D2">
        <w:rPr>
          <w:rFonts w:ascii="Arial" w:hAnsi="Arial" w:cs="Arial"/>
          <w:sz w:val="22"/>
          <w:szCs w:val="22"/>
          <w:lang w:val="en-GB"/>
        </w:rPr>
        <w:t xml:space="preserve">, 2026). The rigid centralisation within Indian hospitals includes administrative resolution time, incident escalation rate and nurse-to-patient ratio (Times of India, 2026).  Centralised directives without active clinical auditing fail to guarantee safety. The published studies on Indian public healthcare management have indicated that major public tertiary (Kumar, 2023). The hospitals have centralised safety policies, including the paper, active bedside compliance with pre-operative verification protocols to address the absence of mid-level operational oversight. Thus, investing in the policy and protocol authority, the top-down directives of Indian hospitals can address such situations without conducting regular audits. </w:t>
      </w:r>
    </w:p>
    <w:p w14:paraId="78DDC058" w14:textId="77777777" w:rsidR="00D30001" w:rsidRPr="009D66D2" w:rsidRDefault="00D30001" w:rsidP="00666370">
      <w:pPr>
        <w:rPr>
          <w:rFonts w:ascii="Arial" w:hAnsi="Arial" w:cs="Arial"/>
          <w:b/>
          <w:bCs/>
          <w:i/>
          <w:iCs/>
          <w:sz w:val="22"/>
          <w:szCs w:val="22"/>
          <w:lang w:val="en-GB"/>
        </w:rPr>
      </w:pPr>
      <w:r w:rsidRPr="009D66D2">
        <w:rPr>
          <w:rFonts w:ascii="Arial" w:hAnsi="Arial" w:cs="Arial"/>
          <w:b/>
          <w:bCs/>
          <w:i/>
          <w:iCs/>
          <w:sz w:val="22"/>
          <w:szCs w:val="22"/>
          <w:lang w:val="en-GB"/>
        </w:rPr>
        <w:t>Decentralised Systems: Operational Fragmentation vs. Frontline Empowerment</w:t>
      </w:r>
    </w:p>
    <w:p w14:paraId="6E28E741" w14:textId="2952DAA6"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In the field of healthcare, decentralisation is used to distribute decision-making authority among the mid-level managers, unit heads, as well as frontline multidisciplinary teams like surgeons, </w:t>
      </w:r>
      <w:r w:rsidRPr="009D66D2">
        <w:rPr>
          <w:rFonts w:ascii="Arial" w:hAnsi="Arial" w:cs="Arial"/>
          <w:sz w:val="22"/>
          <w:szCs w:val="22"/>
          <w:lang w:val="en-GB"/>
        </w:rPr>
        <w:lastRenderedPageBreak/>
        <w:t xml:space="preserve">anaesthetists, and ward attendants (Prætorius </w:t>
      </w:r>
      <w:r w:rsidRPr="009D66D2">
        <w:rPr>
          <w:rFonts w:ascii="Arial" w:hAnsi="Arial" w:cs="Arial"/>
          <w:i/>
          <w:iCs/>
          <w:sz w:val="22"/>
          <w:szCs w:val="22"/>
          <w:lang w:val="en-GB"/>
        </w:rPr>
        <w:t>et al</w:t>
      </w:r>
      <w:r w:rsidRPr="009D66D2">
        <w:rPr>
          <w:rFonts w:ascii="Arial" w:hAnsi="Arial" w:cs="Arial"/>
          <w:sz w:val="22"/>
          <w:szCs w:val="22"/>
          <w:lang w:val="en-GB"/>
        </w:rPr>
        <w:t>.</w:t>
      </w:r>
      <w:r w:rsidR="00666370" w:rsidRPr="009D66D2">
        <w:rPr>
          <w:rFonts w:ascii="Arial" w:hAnsi="Arial" w:cs="Arial"/>
          <w:sz w:val="22"/>
          <w:szCs w:val="22"/>
          <w:lang w:val="en-GB"/>
        </w:rPr>
        <w:t>,</w:t>
      </w:r>
      <w:r w:rsidRPr="009D66D2">
        <w:rPr>
          <w:rFonts w:ascii="Arial" w:hAnsi="Arial" w:cs="Arial"/>
          <w:sz w:val="22"/>
          <w:szCs w:val="22"/>
          <w:lang w:val="en-GB"/>
        </w:rPr>
        <w:t xml:space="preserve"> 2024). The decentralised healthcare model allows individual units to possess the autonomy towards enforcing the safety checkpoints, immediately halt unsafe procedures and adapt workflows to real-time patient loads. In the case of the Kota Medical College Hospital incident, true functional decentralisation was absent. Instead, it raised uncontrolled operational fragmentation. However, the advantages of a decentralised model in healthcare when properly structured include Agile Risk Mitigation. For instance, the frontline staff can immediately recognise the unexpected communication barriers (Jagdish Panchal's speech impairment) by initiating secondary verification. In addition, the empowered safety culture under a decentralised culture permits any team member to suspend an operation if safety criteria are unmet (Bautista-Bernal </w:t>
      </w:r>
      <w:r w:rsidRPr="009D66D2">
        <w:rPr>
          <w:rFonts w:ascii="Arial" w:hAnsi="Arial" w:cs="Arial"/>
          <w:i/>
          <w:iCs/>
          <w:sz w:val="22"/>
          <w:szCs w:val="22"/>
          <w:lang w:val="en-GB"/>
        </w:rPr>
        <w:t>et al.</w:t>
      </w:r>
      <w:r w:rsidR="00666370" w:rsidRPr="009D66D2">
        <w:rPr>
          <w:rFonts w:ascii="Arial" w:hAnsi="Arial" w:cs="Arial"/>
          <w:i/>
          <w:iCs/>
          <w:sz w:val="22"/>
          <w:szCs w:val="22"/>
          <w:lang w:val="en-GB"/>
        </w:rPr>
        <w:t>,</w:t>
      </w:r>
      <w:r w:rsidRPr="009D66D2">
        <w:rPr>
          <w:rFonts w:ascii="Arial" w:hAnsi="Arial" w:cs="Arial"/>
          <w:sz w:val="22"/>
          <w:szCs w:val="22"/>
          <w:lang w:val="en-GB"/>
        </w:rPr>
        <w:t xml:space="preserve"> 2024). However, without central auditing, individual operating theatres adopt divergent informal practices, and this can lead to shortcuts during high-volume periods. Sapkota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(2023) have criticised the decentralised healthcare model as authority is fragmented without accountability. Every group can assume another team completed the identity check, leading to a total breakdown where no single individual verifies the patient. The studies on emergency surgical units define that unstructured, informal patient handoffs contribute to over half of medical identity errors (McCarthy </w:t>
      </w:r>
      <w:r w:rsidRPr="009D66D2">
        <w:rPr>
          <w:rFonts w:ascii="Arial" w:hAnsi="Arial" w:cs="Arial"/>
          <w:i/>
          <w:iCs/>
          <w:sz w:val="22"/>
          <w:szCs w:val="22"/>
          <w:lang w:val="en-GB"/>
        </w:rPr>
        <w:t>et al.</w:t>
      </w:r>
      <w:r w:rsidR="00666370" w:rsidRPr="009D66D2">
        <w:rPr>
          <w:rFonts w:ascii="Arial" w:hAnsi="Arial" w:cs="Arial"/>
          <w:i/>
          <w:iCs/>
          <w:sz w:val="22"/>
          <w:szCs w:val="22"/>
          <w:lang w:val="en-GB"/>
        </w:rPr>
        <w:t>,</w:t>
      </w:r>
      <w:r w:rsidRPr="009D66D2">
        <w:rPr>
          <w:rFonts w:ascii="Arial" w:hAnsi="Arial" w:cs="Arial"/>
          <w:sz w:val="22"/>
          <w:szCs w:val="22"/>
          <w:lang w:val="en-GB"/>
        </w:rPr>
        <w:t xml:space="preserve"> 2025). Patient Handoff Errors and Patient-to-Staff Communication Ratios are the healthcare delivery metrics that demonstrate the risks of fragmented decentralisation in high-volume settings.</w:t>
      </w:r>
    </w:p>
    <w:p w14:paraId="323C890C" w14:textId="77777777" w:rsidR="00D30001" w:rsidRPr="009D66D2" w:rsidRDefault="00D30001" w:rsidP="00666370">
      <w:pPr>
        <w:rPr>
          <w:rFonts w:ascii="Arial" w:hAnsi="Arial" w:cs="Arial"/>
          <w:b/>
          <w:bCs/>
          <w:sz w:val="22"/>
          <w:szCs w:val="22"/>
          <w:lang w:val="en-GB"/>
        </w:rPr>
      </w:pPr>
      <w:r w:rsidRPr="009D66D2">
        <w:rPr>
          <w:rFonts w:ascii="Arial" w:hAnsi="Arial" w:cs="Arial"/>
          <w:b/>
          <w:bCs/>
          <w:i/>
          <w:iCs/>
          <w:sz w:val="22"/>
          <w:szCs w:val="22"/>
          <w:lang w:val="en-GB"/>
        </w:rPr>
        <w:t>Critical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03FF1" w:rsidRPr="009D66D2" w14:paraId="1D64639A" w14:textId="77777777" w:rsidTr="00F80282">
        <w:tc>
          <w:tcPr>
            <w:tcW w:w="4680" w:type="dxa"/>
            <w:tcMar>
              <w:top w:w="100" w:type="dxa"/>
              <w:left w:w="100" w:type="dxa"/>
              <w:bottom w:w="100" w:type="dxa"/>
              <w:right w:w="100" w:type="dxa"/>
            </w:tcMar>
          </w:tcPr>
          <w:p w14:paraId="57626281" w14:textId="77777777" w:rsidR="00D30001" w:rsidRPr="009D66D2" w:rsidRDefault="00D30001" w:rsidP="00666370">
            <w:pPr>
              <w:widowControl w:val="0"/>
              <w:pBdr>
                <w:top w:val="nil"/>
                <w:left w:val="nil"/>
                <w:bottom w:val="nil"/>
                <w:right w:val="nil"/>
                <w:between w:val="nil"/>
              </w:pBdr>
              <w:jc w:val="center"/>
              <w:rPr>
                <w:rFonts w:ascii="Arial" w:hAnsi="Arial" w:cs="Arial"/>
                <w:b/>
                <w:bCs/>
                <w:i/>
                <w:iCs/>
                <w:sz w:val="22"/>
                <w:szCs w:val="22"/>
                <w:lang w:val="en-GB"/>
              </w:rPr>
            </w:pPr>
            <w:r w:rsidRPr="009D66D2">
              <w:rPr>
                <w:rFonts w:ascii="Arial" w:hAnsi="Arial" w:cs="Arial"/>
                <w:b/>
                <w:bCs/>
                <w:i/>
                <w:iCs/>
                <w:sz w:val="22"/>
                <w:szCs w:val="22"/>
                <w:lang w:val="en-GB"/>
              </w:rPr>
              <w:t>Centralized Weaknesses</w:t>
            </w:r>
          </w:p>
        </w:tc>
        <w:tc>
          <w:tcPr>
            <w:tcW w:w="4680" w:type="dxa"/>
            <w:tcMar>
              <w:top w:w="100" w:type="dxa"/>
              <w:left w:w="100" w:type="dxa"/>
              <w:bottom w:w="100" w:type="dxa"/>
              <w:right w:w="100" w:type="dxa"/>
            </w:tcMar>
          </w:tcPr>
          <w:p w14:paraId="7469E433" w14:textId="77777777" w:rsidR="00D30001" w:rsidRPr="009D66D2" w:rsidRDefault="00D30001" w:rsidP="00666370">
            <w:pPr>
              <w:widowControl w:val="0"/>
              <w:pBdr>
                <w:top w:val="nil"/>
                <w:left w:val="nil"/>
                <w:bottom w:val="nil"/>
                <w:right w:val="nil"/>
                <w:between w:val="nil"/>
              </w:pBdr>
              <w:jc w:val="center"/>
              <w:rPr>
                <w:rFonts w:ascii="Arial" w:hAnsi="Arial" w:cs="Arial"/>
                <w:b/>
                <w:bCs/>
                <w:i/>
                <w:iCs/>
                <w:sz w:val="22"/>
                <w:szCs w:val="22"/>
                <w:lang w:val="en-GB"/>
              </w:rPr>
            </w:pPr>
            <w:r w:rsidRPr="009D66D2">
              <w:rPr>
                <w:rFonts w:ascii="Arial" w:hAnsi="Arial" w:cs="Arial"/>
                <w:b/>
                <w:bCs/>
                <w:i/>
                <w:iCs/>
                <w:sz w:val="22"/>
                <w:szCs w:val="22"/>
                <w:lang w:val="en-GB"/>
              </w:rPr>
              <w:t>Centralized Weaknesses</w:t>
            </w:r>
          </w:p>
        </w:tc>
      </w:tr>
      <w:tr w:rsidR="00303FF1" w:rsidRPr="009D66D2" w14:paraId="3D4CE15E" w14:textId="77777777" w:rsidTr="00F80282">
        <w:trPr>
          <w:trHeight w:val="619"/>
        </w:trPr>
        <w:tc>
          <w:tcPr>
            <w:tcW w:w="4680" w:type="dxa"/>
            <w:vMerge w:val="restart"/>
            <w:tcMar>
              <w:top w:w="100" w:type="dxa"/>
              <w:left w:w="100" w:type="dxa"/>
              <w:bottom w:w="100" w:type="dxa"/>
              <w:right w:w="100" w:type="dxa"/>
            </w:tcMar>
          </w:tcPr>
          <w:p w14:paraId="2F4DD427" w14:textId="77777777" w:rsidR="00D30001" w:rsidRPr="009D66D2" w:rsidRDefault="00D30001" w:rsidP="00666370">
            <w:pPr>
              <w:widowControl w:val="0"/>
              <w:numPr>
                <w:ilvl w:val="0"/>
                <w:numId w:val="2"/>
              </w:numPr>
              <w:pBdr>
                <w:top w:val="nil"/>
                <w:left w:val="nil"/>
                <w:bottom w:val="nil"/>
                <w:right w:val="nil"/>
                <w:between w:val="nil"/>
              </w:pBdr>
              <w:jc w:val="left"/>
              <w:rPr>
                <w:rFonts w:ascii="Arial" w:hAnsi="Arial" w:cs="Arial"/>
                <w:sz w:val="22"/>
                <w:szCs w:val="22"/>
                <w:lang w:val="en-GB"/>
              </w:rPr>
            </w:pPr>
            <w:r w:rsidRPr="009D66D2">
              <w:rPr>
                <w:rFonts w:ascii="Arial" w:hAnsi="Arial" w:cs="Arial"/>
                <w:sz w:val="22"/>
                <w:szCs w:val="22"/>
                <w:lang w:val="en-GB"/>
              </w:rPr>
              <w:t>Slow, reactive management</w:t>
            </w:r>
          </w:p>
          <w:p w14:paraId="57D0A167" w14:textId="77777777" w:rsidR="00D30001" w:rsidRPr="009D66D2" w:rsidRDefault="00D30001" w:rsidP="00666370">
            <w:pPr>
              <w:widowControl w:val="0"/>
              <w:numPr>
                <w:ilvl w:val="0"/>
                <w:numId w:val="2"/>
              </w:numPr>
              <w:jc w:val="left"/>
              <w:rPr>
                <w:rFonts w:ascii="Arial" w:hAnsi="Arial" w:cs="Arial"/>
                <w:sz w:val="22"/>
                <w:szCs w:val="22"/>
                <w:lang w:val="en-GB"/>
              </w:rPr>
            </w:pPr>
            <w:r w:rsidRPr="009D66D2">
              <w:rPr>
                <w:rFonts w:ascii="Arial" w:hAnsi="Arial" w:cs="Arial"/>
                <w:sz w:val="22"/>
                <w:szCs w:val="22"/>
                <w:lang w:val="en-GB"/>
              </w:rPr>
              <w:t>Punitive culture stops talk</w:t>
            </w:r>
          </w:p>
          <w:p w14:paraId="79CCBFF6" w14:textId="77777777" w:rsidR="00D30001" w:rsidRPr="009D66D2" w:rsidRDefault="00D30001" w:rsidP="00666370">
            <w:pPr>
              <w:widowControl w:val="0"/>
              <w:numPr>
                <w:ilvl w:val="0"/>
                <w:numId w:val="2"/>
              </w:numPr>
              <w:jc w:val="left"/>
              <w:rPr>
                <w:rFonts w:ascii="Arial" w:hAnsi="Arial" w:cs="Arial"/>
                <w:sz w:val="22"/>
                <w:szCs w:val="22"/>
                <w:lang w:val="en-GB"/>
              </w:rPr>
            </w:pPr>
            <w:r w:rsidRPr="009D66D2">
              <w:rPr>
                <w:rFonts w:ascii="Arial" w:hAnsi="Arial" w:cs="Arial"/>
                <w:sz w:val="22"/>
                <w:szCs w:val="22"/>
                <w:lang w:val="en-GB"/>
              </w:rPr>
              <w:t>No routine clinical audits</w:t>
            </w:r>
          </w:p>
        </w:tc>
        <w:tc>
          <w:tcPr>
            <w:tcW w:w="4680" w:type="dxa"/>
            <w:vMerge w:val="restart"/>
            <w:tcMar>
              <w:top w:w="100" w:type="dxa"/>
              <w:left w:w="100" w:type="dxa"/>
              <w:bottom w:w="100" w:type="dxa"/>
              <w:right w:w="100" w:type="dxa"/>
            </w:tcMar>
          </w:tcPr>
          <w:p w14:paraId="3EED2E83" w14:textId="77777777" w:rsidR="00D30001" w:rsidRPr="009D66D2" w:rsidRDefault="00D30001" w:rsidP="00666370">
            <w:pPr>
              <w:widowControl w:val="0"/>
              <w:numPr>
                <w:ilvl w:val="0"/>
                <w:numId w:val="2"/>
              </w:numPr>
              <w:pBdr>
                <w:top w:val="nil"/>
                <w:left w:val="nil"/>
                <w:bottom w:val="nil"/>
                <w:right w:val="nil"/>
                <w:between w:val="nil"/>
              </w:pBdr>
              <w:jc w:val="left"/>
              <w:rPr>
                <w:rFonts w:ascii="Arial" w:hAnsi="Arial" w:cs="Arial"/>
                <w:sz w:val="22"/>
                <w:szCs w:val="22"/>
                <w:lang w:val="en-GB"/>
              </w:rPr>
            </w:pPr>
            <w:r w:rsidRPr="009D66D2">
              <w:rPr>
                <w:rFonts w:ascii="Arial" w:hAnsi="Arial" w:cs="Arial"/>
                <w:sz w:val="22"/>
                <w:szCs w:val="22"/>
                <w:lang w:val="en-GB"/>
              </w:rPr>
              <w:t>Uncontrolled protocol drift</w:t>
            </w:r>
          </w:p>
          <w:p w14:paraId="2C1E3208" w14:textId="77777777" w:rsidR="00D30001" w:rsidRPr="009D66D2" w:rsidRDefault="00D30001" w:rsidP="00666370">
            <w:pPr>
              <w:widowControl w:val="0"/>
              <w:numPr>
                <w:ilvl w:val="0"/>
                <w:numId w:val="2"/>
              </w:numPr>
              <w:pBdr>
                <w:top w:val="nil"/>
                <w:left w:val="nil"/>
                <w:bottom w:val="nil"/>
                <w:right w:val="nil"/>
                <w:between w:val="nil"/>
              </w:pBdr>
              <w:jc w:val="left"/>
              <w:rPr>
                <w:rFonts w:ascii="Arial" w:hAnsi="Arial" w:cs="Arial"/>
                <w:sz w:val="22"/>
                <w:szCs w:val="22"/>
                <w:lang w:val="en-GB"/>
              </w:rPr>
            </w:pPr>
            <w:r w:rsidRPr="009D66D2">
              <w:rPr>
                <w:rFonts w:ascii="Arial" w:hAnsi="Arial" w:cs="Arial"/>
                <w:sz w:val="22"/>
                <w:szCs w:val="22"/>
                <w:lang w:val="en-GB"/>
              </w:rPr>
              <w:t>Assumption of task completion</w:t>
            </w:r>
          </w:p>
          <w:p w14:paraId="1D72199A" w14:textId="77777777" w:rsidR="00D30001" w:rsidRPr="009D66D2" w:rsidRDefault="00D30001" w:rsidP="00666370">
            <w:pPr>
              <w:widowControl w:val="0"/>
              <w:numPr>
                <w:ilvl w:val="0"/>
                <w:numId w:val="2"/>
              </w:numPr>
              <w:pBdr>
                <w:top w:val="nil"/>
                <w:left w:val="nil"/>
                <w:bottom w:val="nil"/>
                <w:right w:val="nil"/>
                <w:between w:val="nil"/>
              </w:pBdr>
              <w:jc w:val="left"/>
              <w:rPr>
                <w:rFonts w:ascii="Arial" w:hAnsi="Arial" w:cs="Arial"/>
                <w:sz w:val="22"/>
                <w:szCs w:val="22"/>
                <w:lang w:val="en-GB"/>
              </w:rPr>
            </w:pPr>
            <w:r w:rsidRPr="009D66D2">
              <w:rPr>
                <w:rFonts w:ascii="Arial" w:hAnsi="Arial" w:cs="Arial"/>
                <w:sz w:val="22"/>
                <w:szCs w:val="22"/>
                <w:lang w:val="en-GB"/>
              </w:rPr>
              <w:t>Severe diffusion of responsibility</w:t>
            </w:r>
          </w:p>
        </w:tc>
      </w:tr>
      <w:tr w:rsidR="00303FF1" w:rsidRPr="009D66D2" w14:paraId="2B929718" w14:textId="77777777" w:rsidTr="00F80282">
        <w:trPr>
          <w:trHeight w:val="619"/>
        </w:trPr>
        <w:tc>
          <w:tcPr>
            <w:tcW w:w="4680" w:type="dxa"/>
            <w:vMerge/>
            <w:tcMar>
              <w:top w:w="100" w:type="dxa"/>
              <w:left w:w="100" w:type="dxa"/>
              <w:bottom w:w="100" w:type="dxa"/>
              <w:right w:w="100" w:type="dxa"/>
            </w:tcMar>
          </w:tcPr>
          <w:p w14:paraId="496EA45F" w14:textId="77777777" w:rsidR="00D30001" w:rsidRPr="009D66D2" w:rsidRDefault="00D30001" w:rsidP="00666370">
            <w:pPr>
              <w:widowControl w:val="0"/>
              <w:pBdr>
                <w:top w:val="nil"/>
                <w:left w:val="nil"/>
                <w:bottom w:val="nil"/>
                <w:right w:val="nil"/>
                <w:between w:val="nil"/>
              </w:pBdr>
              <w:rPr>
                <w:rFonts w:ascii="Arial" w:hAnsi="Arial" w:cs="Arial"/>
                <w:b/>
                <w:bCs/>
                <w:sz w:val="22"/>
                <w:szCs w:val="22"/>
                <w:lang w:val="en-GB"/>
              </w:rPr>
            </w:pPr>
          </w:p>
        </w:tc>
        <w:tc>
          <w:tcPr>
            <w:tcW w:w="4680" w:type="dxa"/>
            <w:vMerge/>
            <w:tcMar>
              <w:top w:w="100" w:type="dxa"/>
              <w:left w:w="100" w:type="dxa"/>
              <w:bottom w:w="100" w:type="dxa"/>
              <w:right w:w="100" w:type="dxa"/>
            </w:tcMar>
          </w:tcPr>
          <w:p w14:paraId="34A4A675" w14:textId="77777777" w:rsidR="00D30001" w:rsidRPr="009D66D2" w:rsidRDefault="00D30001" w:rsidP="00666370">
            <w:pPr>
              <w:widowControl w:val="0"/>
              <w:pBdr>
                <w:top w:val="nil"/>
                <w:left w:val="nil"/>
                <w:bottom w:val="nil"/>
                <w:right w:val="nil"/>
                <w:between w:val="nil"/>
              </w:pBdr>
              <w:rPr>
                <w:rFonts w:ascii="Arial" w:hAnsi="Arial" w:cs="Arial"/>
                <w:b/>
                <w:bCs/>
                <w:sz w:val="22"/>
                <w:szCs w:val="22"/>
                <w:lang w:val="en-GB"/>
              </w:rPr>
            </w:pPr>
          </w:p>
        </w:tc>
      </w:tr>
      <w:tr w:rsidR="00303FF1" w:rsidRPr="009D66D2" w14:paraId="6AE1D8FC" w14:textId="77777777" w:rsidTr="00F80282">
        <w:trPr>
          <w:trHeight w:val="619"/>
        </w:trPr>
        <w:tc>
          <w:tcPr>
            <w:tcW w:w="4680" w:type="dxa"/>
            <w:vMerge/>
            <w:tcMar>
              <w:top w:w="100" w:type="dxa"/>
              <w:left w:w="100" w:type="dxa"/>
              <w:bottom w:w="100" w:type="dxa"/>
              <w:right w:w="100" w:type="dxa"/>
            </w:tcMar>
          </w:tcPr>
          <w:p w14:paraId="31BB3D39" w14:textId="77777777" w:rsidR="00D30001" w:rsidRPr="009D66D2" w:rsidRDefault="00D30001" w:rsidP="00666370">
            <w:pPr>
              <w:widowControl w:val="0"/>
              <w:pBdr>
                <w:top w:val="nil"/>
                <w:left w:val="nil"/>
                <w:bottom w:val="nil"/>
                <w:right w:val="nil"/>
                <w:between w:val="nil"/>
              </w:pBdr>
              <w:rPr>
                <w:rFonts w:ascii="Arial" w:hAnsi="Arial" w:cs="Arial"/>
                <w:b/>
                <w:bCs/>
                <w:sz w:val="22"/>
                <w:szCs w:val="22"/>
                <w:lang w:val="en-GB"/>
              </w:rPr>
            </w:pPr>
          </w:p>
        </w:tc>
        <w:tc>
          <w:tcPr>
            <w:tcW w:w="4680" w:type="dxa"/>
            <w:vMerge/>
            <w:tcMar>
              <w:top w:w="100" w:type="dxa"/>
              <w:left w:w="100" w:type="dxa"/>
              <w:bottom w:w="100" w:type="dxa"/>
              <w:right w:w="100" w:type="dxa"/>
            </w:tcMar>
          </w:tcPr>
          <w:p w14:paraId="772894D0" w14:textId="77777777" w:rsidR="00D30001" w:rsidRPr="009D66D2" w:rsidRDefault="00D30001" w:rsidP="00666370">
            <w:pPr>
              <w:widowControl w:val="0"/>
              <w:pBdr>
                <w:top w:val="nil"/>
                <w:left w:val="nil"/>
                <w:bottom w:val="nil"/>
                <w:right w:val="nil"/>
                <w:between w:val="nil"/>
              </w:pBdr>
              <w:rPr>
                <w:rFonts w:ascii="Arial" w:hAnsi="Arial" w:cs="Arial"/>
                <w:b/>
                <w:bCs/>
                <w:sz w:val="22"/>
                <w:szCs w:val="22"/>
                <w:lang w:val="en-GB"/>
              </w:rPr>
            </w:pPr>
          </w:p>
        </w:tc>
      </w:tr>
    </w:tbl>
    <w:p w14:paraId="754E2B43" w14:textId="77777777" w:rsidR="00D30001" w:rsidRPr="009D66D2" w:rsidRDefault="00D30001" w:rsidP="00666370">
      <w:pPr>
        <w:jc w:val="center"/>
        <w:rPr>
          <w:rFonts w:ascii="Arial" w:hAnsi="Arial" w:cs="Arial"/>
          <w:b/>
          <w:bCs/>
          <w:sz w:val="22"/>
          <w:szCs w:val="22"/>
          <w:lang w:val="en-GB"/>
        </w:rPr>
      </w:pPr>
      <w:r w:rsidRPr="009D66D2">
        <w:rPr>
          <w:rFonts w:ascii="Arial" w:hAnsi="Arial" w:cs="Arial"/>
          <w:b/>
          <w:bCs/>
          <w:sz w:val="22"/>
          <w:szCs w:val="22"/>
          <w:lang w:val="en-GB"/>
        </w:rPr>
        <w:t>Table 1: Structural governance failures</w:t>
      </w:r>
    </w:p>
    <w:p w14:paraId="52DEA2F3" w14:textId="77777777" w:rsidR="00D30001" w:rsidRPr="009D66D2" w:rsidRDefault="00D30001" w:rsidP="00666370">
      <w:pPr>
        <w:jc w:val="center"/>
        <w:rPr>
          <w:rFonts w:ascii="Arial" w:hAnsi="Arial" w:cs="Arial"/>
          <w:sz w:val="22"/>
          <w:szCs w:val="22"/>
          <w:lang w:val="en-GB"/>
        </w:rPr>
      </w:pPr>
      <w:r w:rsidRPr="009D66D2">
        <w:rPr>
          <w:rFonts w:ascii="Arial" w:hAnsi="Arial" w:cs="Arial"/>
          <w:sz w:val="22"/>
          <w:szCs w:val="22"/>
          <w:lang w:val="en-GB"/>
        </w:rPr>
        <w:t>(source: Self-developed)</w:t>
      </w:r>
    </w:p>
    <w:p w14:paraId="421E16A0"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The overall case analysis has highlighted that the crisis management was fundamentally hindered through the hospital’s structural design. The crisis was not detected internally or recognised by the patient. The rigid administrative centralisation concentrated disciplinary authority at the top of this hospital and disempowered frontline workers from questioning anomalies. As per Krstulović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(2025), unmonitored decentralisation in healthcare allowed staff to bypass basic clinical </w:t>
      </w:r>
      <w:r w:rsidRPr="009D66D2">
        <w:rPr>
          <w:rFonts w:ascii="Arial" w:hAnsi="Arial" w:cs="Arial"/>
          <w:sz w:val="22"/>
          <w:szCs w:val="22"/>
          <w:lang w:val="en-GB"/>
        </w:rPr>
        <w:lastRenderedPageBreak/>
        <w:t xml:space="preserve">protocols without oversight. The ineffective decision-making at this Indian hospital has been recognised, which is mainly associated with the centralised model. Mandating non-negotiable policies such as barcode wristbands as well as dual-identifier verification with Name and medical record is suggested to the hospital authority for addressing such situations. Furthermore, by making the quality assurance system centralised and the safety system decentralised, the surgical team can offer patients services in an effective manner. </w:t>
      </w:r>
    </w:p>
    <w:p w14:paraId="1756C381" w14:textId="77777777" w:rsidR="00D30001" w:rsidRPr="009D66D2" w:rsidRDefault="00D30001" w:rsidP="00666370">
      <w:pPr>
        <w:pStyle w:val="Heading2"/>
        <w:rPr>
          <w:rFonts w:ascii="Arial" w:hAnsi="Arial" w:cs="Arial"/>
          <w:sz w:val="22"/>
          <w:szCs w:val="22"/>
          <w:lang w:val="en-GB"/>
        </w:rPr>
      </w:pPr>
      <w:bookmarkStart w:id="8" w:name="_jjctlvs5u2vl" w:colFirst="0" w:colLast="0"/>
      <w:bookmarkStart w:id="9" w:name="_Toc235889753"/>
      <w:bookmarkEnd w:id="8"/>
      <w:r w:rsidRPr="009D66D2">
        <w:rPr>
          <w:rFonts w:ascii="Arial" w:eastAsia="Arial" w:hAnsi="Arial" w:cs="Arial"/>
          <w:sz w:val="22"/>
          <w:szCs w:val="22"/>
          <w:lang w:val="en-GB"/>
        </w:rPr>
        <w:t>c. Leadership Theories and Application to the Case Study</w:t>
      </w:r>
      <w:bookmarkEnd w:id="9"/>
      <w:r w:rsidRPr="009D66D2">
        <w:rPr>
          <w:rFonts w:ascii="Arial" w:eastAsia="Arial" w:hAnsi="Arial" w:cs="Arial"/>
          <w:sz w:val="22"/>
          <w:szCs w:val="22"/>
          <w:lang w:val="en-GB"/>
        </w:rPr>
        <w:t xml:space="preserve"> </w:t>
      </w:r>
    </w:p>
    <w:p w14:paraId="7696FB5C" w14:textId="6A9ACBC6"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It has been recognised that the medical error at Kota Medical College Hospital in Rajasthan included 60-year-old Jagdish Panchal mistakenly subjected to an invasive surgical incision against another patient. Ineffective treatment within a healthcare organisation represents a systemic failure of clinical governance, operational leadership and patient identification protocols (Restivo </w:t>
      </w:r>
      <w:r w:rsidRPr="009D66D2">
        <w:rPr>
          <w:rFonts w:ascii="Arial" w:hAnsi="Arial" w:cs="Arial"/>
          <w:i/>
          <w:iCs/>
          <w:sz w:val="22"/>
          <w:szCs w:val="22"/>
          <w:lang w:val="en-GB"/>
        </w:rPr>
        <w:t>et al</w:t>
      </w:r>
      <w:r w:rsidRPr="009D66D2">
        <w:rPr>
          <w:rFonts w:ascii="Arial" w:hAnsi="Arial" w:cs="Arial"/>
          <w:sz w:val="22"/>
          <w:szCs w:val="22"/>
          <w:lang w:val="en-GB"/>
        </w:rPr>
        <w:t>.</w:t>
      </w:r>
      <w:r w:rsidR="00666370" w:rsidRPr="009D66D2">
        <w:rPr>
          <w:rFonts w:ascii="Arial" w:hAnsi="Arial" w:cs="Arial"/>
          <w:sz w:val="22"/>
          <w:szCs w:val="22"/>
          <w:lang w:val="en-GB"/>
        </w:rPr>
        <w:t>,</w:t>
      </w:r>
      <w:r w:rsidRPr="009D66D2">
        <w:rPr>
          <w:rFonts w:ascii="Arial" w:hAnsi="Arial" w:cs="Arial"/>
          <w:sz w:val="22"/>
          <w:szCs w:val="22"/>
          <w:lang w:val="en-GB"/>
        </w:rPr>
        <w:t xml:space="preserve"> 2022). The specific case unfolded when the patient, unable to speak due to facial paralysis, raised a hand to a generic verbal roll call, subsequently bypassing preoperative verification stages, patient gowning, as well as site-clearing procedures. In order to evaluate how executive and operational leadership contributed to this event, three primary leadership frameworks are selected. Therefore, the most relevant leadership styles for this case study analysis are transactional (command-driven) leadership, transformational (purpose-driven) leadership, and distributed leadership.</w:t>
      </w:r>
    </w:p>
    <w:p w14:paraId="1935EDEA" w14:textId="77777777" w:rsidR="00D30001" w:rsidRPr="009D66D2" w:rsidRDefault="00D30001" w:rsidP="00666370">
      <w:pPr>
        <w:jc w:val="center"/>
        <w:rPr>
          <w:rFonts w:ascii="Arial" w:hAnsi="Arial" w:cs="Arial"/>
          <w:sz w:val="22"/>
          <w:szCs w:val="22"/>
          <w:lang w:val="en-GB"/>
        </w:rPr>
      </w:pPr>
      <w:r w:rsidRPr="009D66D2">
        <w:rPr>
          <w:rFonts w:ascii="Arial" w:hAnsi="Arial" w:cs="Arial"/>
          <w:noProof/>
          <w:sz w:val="22"/>
          <w:szCs w:val="22"/>
          <w:lang w:val="en-GB"/>
        </w:rPr>
        <w:drawing>
          <wp:inline distT="114300" distB="114300" distL="114300" distR="114300" wp14:anchorId="42076A17" wp14:editId="317DCE32">
            <wp:extent cx="5943600" cy="34798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479800"/>
                    </a:xfrm>
                    <a:prstGeom prst="rect">
                      <a:avLst/>
                    </a:prstGeom>
                    <a:ln w="12700">
                      <a:solidFill>
                        <a:srgbClr val="000000"/>
                      </a:solidFill>
                      <a:prstDash val="solid"/>
                    </a:ln>
                  </pic:spPr>
                </pic:pic>
              </a:graphicData>
            </a:graphic>
          </wp:inline>
        </w:drawing>
      </w:r>
    </w:p>
    <w:p w14:paraId="44F4D64A" w14:textId="67B55F62" w:rsidR="00D30001" w:rsidRPr="009D66D2" w:rsidRDefault="00D30001" w:rsidP="00666370">
      <w:pPr>
        <w:jc w:val="center"/>
        <w:rPr>
          <w:rFonts w:ascii="Arial" w:hAnsi="Arial" w:cs="Arial"/>
          <w:b/>
          <w:bCs/>
          <w:sz w:val="22"/>
          <w:szCs w:val="22"/>
          <w:lang w:val="en-GB"/>
        </w:rPr>
      </w:pPr>
      <w:r w:rsidRPr="009D66D2">
        <w:rPr>
          <w:rFonts w:ascii="Arial" w:hAnsi="Arial" w:cs="Arial"/>
          <w:b/>
          <w:bCs/>
          <w:sz w:val="22"/>
          <w:szCs w:val="22"/>
          <w:lang w:val="en-GB"/>
        </w:rPr>
        <w:t xml:space="preserve">Figure </w:t>
      </w:r>
      <w:r w:rsidR="007715AA" w:rsidRPr="009D66D2">
        <w:rPr>
          <w:rFonts w:ascii="Arial" w:hAnsi="Arial" w:cs="Arial"/>
          <w:b/>
          <w:bCs/>
          <w:sz w:val="22"/>
          <w:szCs w:val="22"/>
          <w:lang w:val="en-GB"/>
        </w:rPr>
        <w:t>4</w:t>
      </w:r>
      <w:r w:rsidRPr="009D66D2">
        <w:rPr>
          <w:rFonts w:ascii="Arial" w:hAnsi="Arial" w:cs="Arial"/>
          <w:b/>
          <w:bCs/>
          <w:sz w:val="22"/>
          <w:szCs w:val="22"/>
          <w:lang w:val="en-GB"/>
        </w:rPr>
        <w:t xml:space="preserve">: Theoretical Perspective </w:t>
      </w:r>
    </w:p>
    <w:p w14:paraId="7FCDBC21" w14:textId="77777777" w:rsidR="00D30001" w:rsidRPr="009D66D2" w:rsidRDefault="00D30001" w:rsidP="00666370">
      <w:pPr>
        <w:jc w:val="center"/>
        <w:rPr>
          <w:rFonts w:ascii="Arial" w:hAnsi="Arial" w:cs="Arial"/>
          <w:sz w:val="22"/>
          <w:szCs w:val="22"/>
          <w:lang w:val="en-GB"/>
        </w:rPr>
      </w:pPr>
      <w:r w:rsidRPr="009D66D2">
        <w:rPr>
          <w:rFonts w:ascii="Arial" w:hAnsi="Arial" w:cs="Arial"/>
          <w:sz w:val="22"/>
          <w:szCs w:val="22"/>
          <w:lang w:val="en-GB"/>
        </w:rPr>
        <w:lastRenderedPageBreak/>
        <w:t>(Source: Self-developed)</w:t>
      </w:r>
    </w:p>
    <w:p w14:paraId="12B749BC" w14:textId="77777777" w:rsidR="00D30001" w:rsidRPr="009D66D2" w:rsidRDefault="00D30001" w:rsidP="00666370">
      <w:pPr>
        <w:rPr>
          <w:rFonts w:ascii="Arial" w:hAnsi="Arial" w:cs="Arial"/>
          <w:b/>
          <w:bCs/>
          <w:sz w:val="22"/>
          <w:szCs w:val="22"/>
          <w:lang w:val="en-GB"/>
        </w:rPr>
      </w:pPr>
      <w:r w:rsidRPr="009D66D2">
        <w:rPr>
          <w:rFonts w:ascii="Arial" w:hAnsi="Arial" w:cs="Arial"/>
          <w:b/>
          <w:bCs/>
          <w:i/>
          <w:iCs/>
          <w:sz w:val="22"/>
          <w:szCs w:val="22"/>
          <w:lang w:val="en-GB"/>
        </w:rPr>
        <w:t>Implications of Transactional Leadership</w:t>
      </w:r>
      <w:r w:rsidRPr="009D66D2">
        <w:rPr>
          <w:rFonts w:ascii="Arial" w:hAnsi="Arial" w:cs="Arial"/>
          <w:b/>
          <w:bCs/>
          <w:sz w:val="22"/>
          <w:szCs w:val="22"/>
          <w:lang w:val="en-GB"/>
        </w:rPr>
        <w:t xml:space="preserve"> </w:t>
      </w:r>
    </w:p>
    <w:p w14:paraId="1C945BA2" w14:textId="4F8850FB"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Transactional leadership in the field of healthcare is based on formal authority, contingent reward structures, compliance management and strict adherence to rules (Singh </w:t>
      </w:r>
      <w:r w:rsidRPr="009D66D2">
        <w:rPr>
          <w:rFonts w:ascii="Arial" w:hAnsi="Arial" w:cs="Arial"/>
          <w:i/>
          <w:iCs/>
          <w:sz w:val="22"/>
          <w:szCs w:val="22"/>
          <w:lang w:val="en-GB"/>
        </w:rPr>
        <w:t>et al.</w:t>
      </w:r>
      <w:r w:rsidR="00666370" w:rsidRPr="009D66D2">
        <w:rPr>
          <w:rFonts w:ascii="Arial" w:hAnsi="Arial" w:cs="Arial"/>
          <w:i/>
          <w:iCs/>
          <w:sz w:val="22"/>
          <w:szCs w:val="22"/>
          <w:lang w:val="en-GB"/>
        </w:rPr>
        <w:t>,</w:t>
      </w:r>
      <w:r w:rsidRPr="009D66D2">
        <w:rPr>
          <w:rFonts w:ascii="Arial" w:hAnsi="Arial" w:cs="Arial"/>
          <w:sz w:val="22"/>
          <w:szCs w:val="22"/>
          <w:lang w:val="en-GB"/>
        </w:rPr>
        <w:t xml:space="preserve"> 2024). In the context of high-risk healthcare settings, the transactional mechanisms manifest as rigid adherence towards Standard Operating Procedures, top-down command hierarchies and clinical checklists. Analysing the case, it has been recognised that the leadership environment at Kota Medical College Hospital was heavily structurally disengaged, with command-driven activities. The healthcare staff’s reliance only on a verbal call-out of a common first name “Jagdish” reflects a transactional compliance culture. It is defined that routines are executed passively rather than mindfully in this healthcare system. Based on the views of </w:t>
      </w:r>
      <w:proofErr w:type="spellStart"/>
      <w:r w:rsidRPr="009D66D2">
        <w:rPr>
          <w:rFonts w:ascii="Arial" w:hAnsi="Arial" w:cs="Arial"/>
          <w:sz w:val="22"/>
          <w:szCs w:val="22"/>
          <w:lang w:val="en-GB"/>
        </w:rPr>
        <w:t>Sikalgar</w:t>
      </w:r>
      <w:proofErr w:type="spellEnd"/>
      <w:r w:rsidRPr="009D66D2">
        <w:rPr>
          <w:rFonts w:ascii="Arial" w:hAnsi="Arial" w:cs="Arial"/>
          <w:sz w:val="22"/>
          <w:szCs w:val="22"/>
          <w:lang w:val="en-GB"/>
        </w:rPr>
        <w:t xml:space="preserve"> </w:t>
      </w:r>
      <w:r w:rsidRPr="009D66D2">
        <w:rPr>
          <w:rFonts w:ascii="Arial" w:hAnsi="Arial" w:cs="Arial"/>
          <w:i/>
          <w:iCs/>
          <w:sz w:val="22"/>
          <w:szCs w:val="22"/>
          <w:lang w:val="en-GB"/>
        </w:rPr>
        <w:t xml:space="preserve">et al. </w:t>
      </w:r>
      <w:r w:rsidRPr="009D66D2">
        <w:rPr>
          <w:rFonts w:ascii="Arial" w:hAnsi="Arial" w:cs="Arial"/>
          <w:sz w:val="22"/>
          <w:szCs w:val="22"/>
          <w:lang w:val="en-GB"/>
        </w:rPr>
        <w:t xml:space="preserve">(2025), strict protocol adherence, role clarity, and efficient crisis response are the main factors of transactional leadership in the healthcare segment.  However, leadership maintained a superficial framework of compliance, presuming protocols were being met simply as staff were present. Effective implication of this theory within this case can define an active verification loop that is following.  </w:t>
      </w:r>
    </w:p>
    <w:p w14:paraId="028C2162" w14:textId="77777777" w:rsidR="00D30001" w:rsidRPr="009D66D2" w:rsidRDefault="00D30001" w:rsidP="00666370">
      <w:pPr>
        <w:numPr>
          <w:ilvl w:val="0"/>
          <w:numId w:val="3"/>
        </w:numPr>
        <w:rPr>
          <w:rFonts w:ascii="Arial" w:hAnsi="Arial" w:cs="Arial"/>
          <w:sz w:val="22"/>
          <w:szCs w:val="22"/>
          <w:lang w:val="en-GB"/>
        </w:rPr>
      </w:pPr>
      <w:r w:rsidRPr="009D66D2">
        <w:rPr>
          <w:rFonts w:ascii="Arial" w:hAnsi="Arial" w:cs="Arial"/>
          <w:sz w:val="22"/>
          <w:szCs w:val="22"/>
          <w:lang w:val="en-GB"/>
        </w:rPr>
        <w:t>Panchal was dressed in civilian clothes rather than a patient gown.</w:t>
      </w:r>
    </w:p>
    <w:p w14:paraId="54E963AC" w14:textId="77777777" w:rsidR="00D30001" w:rsidRPr="009D66D2" w:rsidRDefault="00D30001" w:rsidP="00666370">
      <w:pPr>
        <w:numPr>
          <w:ilvl w:val="0"/>
          <w:numId w:val="3"/>
        </w:numPr>
        <w:rPr>
          <w:rFonts w:ascii="Arial" w:hAnsi="Arial" w:cs="Arial"/>
          <w:sz w:val="22"/>
          <w:szCs w:val="22"/>
          <w:lang w:val="en-GB"/>
        </w:rPr>
      </w:pPr>
      <w:r w:rsidRPr="009D66D2">
        <w:rPr>
          <w:rFonts w:ascii="Arial" w:hAnsi="Arial" w:cs="Arial"/>
          <w:sz w:val="22"/>
          <w:szCs w:val="22"/>
          <w:lang w:val="en-GB"/>
        </w:rPr>
        <w:t>Panchal’s arm had not been sanitised for a dialysis fistula procedure.</w:t>
      </w:r>
    </w:p>
    <w:p w14:paraId="18A1AABC" w14:textId="77777777" w:rsidR="00D30001" w:rsidRPr="009D66D2" w:rsidRDefault="00D30001" w:rsidP="00666370">
      <w:pPr>
        <w:numPr>
          <w:ilvl w:val="0"/>
          <w:numId w:val="3"/>
        </w:numPr>
        <w:rPr>
          <w:rFonts w:ascii="Arial" w:hAnsi="Arial" w:cs="Arial"/>
          <w:sz w:val="22"/>
          <w:szCs w:val="22"/>
          <w:lang w:val="en-GB"/>
        </w:rPr>
      </w:pPr>
      <w:r w:rsidRPr="009D66D2">
        <w:rPr>
          <w:rFonts w:ascii="Arial" w:hAnsi="Arial" w:cs="Arial"/>
          <w:sz w:val="22"/>
          <w:szCs w:val="22"/>
          <w:lang w:val="en-GB"/>
        </w:rPr>
        <w:t>No identification or wristband check confirmation took place</w:t>
      </w:r>
    </w:p>
    <w:p w14:paraId="0D1FB256"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WHO Surgical Safety Checklist Adherence, Patient Identification Verification, and Preoperative Verification Protocol are the metrics that focus solely on policy dissemination despite actively coaching staff on safety behaviours. For instance, WHO Surgical Safety Checklist Adherence includes the vital phases regarding sign-in, time-out, and sign-out (WHO, 2026). Therefore, the implication of transformational leadership can improve healthcare services through a command-driven process with the support of hierarchy. </w:t>
      </w:r>
    </w:p>
    <w:p w14:paraId="14093E06" w14:textId="77777777" w:rsidR="00D30001" w:rsidRPr="009D66D2" w:rsidRDefault="00D30001" w:rsidP="00666370">
      <w:pPr>
        <w:rPr>
          <w:rFonts w:ascii="Arial" w:hAnsi="Arial" w:cs="Arial"/>
          <w:b/>
          <w:bCs/>
          <w:sz w:val="22"/>
          <w:szCs w:val="22"/>
          <w:lang w:val="en-GB"/>
        </w:rPr>
      </w:pPr>
      <w:r w:rsidRPr="009D66D2">
        <w:rPr>
          <w:rFonts w:ascii="Arial" w:hAnsi="Arial" w:cs="Arial"/>
          <w:b/>
          <w:bCs/>
          <w:i/>
          <w:iCs/>
          <w:sz w:val="22"/>
          <w:szCs w:val="22"/>
          <w:lang w:val="en-GB"/>
        </w:rPr>
        <w:t>Implications of Transformational Leadership</w:t>
      </w:r>
      <w:r w:rsidRPr="009D66D2">
        <w:rPr>
          <w:rFonts w:ascii="Arial" w:hAnsi="Arial" w:cs="Arial"/>
          <w:b/>
          <w:bCs/>
          <w:sz w:val="22"/>
          <w:szCs w:val="22"/>
          <w:lang w:val="en-GB"/>
        </w:rPr>
        <w:t xml:space="preserve"> </w:t>
      </w:r>
    </w:p>
    <w:p w14:paraId="419D292C" w14:textId="3B979629"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It has been recognised that transformational leadership focuses on inspiring a shared vision, stimulating intellectual engagement, prioritising individual consideration and fostering psychological safety (Al-</w:t>
      </w:r>
      <w:proofErr w:type="spellStart"/>
      <w:r w:rsidRPr="009D66D2">
        <w:rPr>
          <w:rFonts w:ascii="Arial" w:hAnsi="Arial" w:cs="Arial"/>
          <w:sz w:val="22"/>
          <w:szCs w:val="22"/>
          <w:lang w:val="en-GB"/>
        </w:rPr>
        <w:t>Rjoub</w:t>
      </w:r>
      <w:proofErr w:type="spellEnd"/>
      <w:r w:rsidRPr="009D66D2">
        <w:rPr>
          <w:rFonts w:ascii="Arial" w:hAnsi="Arial" w:cs="Arial"/>
          <w:sz w:val="22"/>
          <w:szCs w:val="22"/>
          <w:lang w:val="en-GB"/>
        </w:rPr>
        <w:t xml:space="preserve"> </w:t>
      </w:r>
      <w:r w:rsidRPr="009D66D2">
        <w:rPr>
          <w:rFonts w:ascii="Arial" w:hAnsi="Arial" w:cs="Arial"/>
          <w:i/>
          <w:iCs/>
          <w:sz w:val="22"/>
          <w:szCs w:val="22"/>
          <w:lang w:val="en-GB"/>
        </w:rPr>
        <w:t>et al.</w:t>
      </w:r>
      <w:r w:rsidR="00666370" w:rsidRPr="009D66D2">
        <w:rPr>
          <w:rFonts w:ascii="Arial" w:hAnsi="Arial" w:cs="Arial"/>
          <w:i/>
          <w:iCs/>
          <w:sz w:val="22"/>
          <w:szCs w:val="22"/>
          <w:lang w:val="en-GB"/>
        </w:rPr>
        <w:t>,</w:t>
      </w:r>
      <w:r w:rsidRPr="009D66D2">
        <w:rPr>
          <w:rFonts w:ascii="Arial" w:hAnsi="Arial" w:cs="Arial"/>
          <w:sz w:val="22"/>
          <w:szCs w:val="22"/>
          <w:lang w:val="en-GB"/>
        </w:rPr>
        <w:t xml:space="preserve"> 2024). Despite enforcing rules through a passive routine, the transformational leaders within a healthcare environment used to build a purpose-driven environment (Zhu, 2025). Effective leadership implication can make the staff feel empowered, and the team can speak up against errors, question anomalies, as well as uphold safety as an ethical duty. Therefore, associating with the framework of transformational leadership, the direction to respond at Kota Medical College Hospital can be demonstrated as a reactive, command-driven or proactive, purpose-driven approach. </w:t>
      </w:r>
    </w:p>
    <w:p w14:paraId="45415147"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lastRenderedPageBreak/>
        <w:t xml:space="preserve">The main segment in this context includes “Pre-Incident Governance”. It defines that leaders failed to cultivate psychological safety due to ineffective governance. The junior surgical team and the nursing staff were recognised as placing an unvetted individual onto an operating table, administering anaesthesia, and making a surgical incision. The overall incident happened without any question about why basic preoperative preparations were missing. As per Hamdan </w:t>
      </w:r>
      <w:r w:rsidRPr="009D66D2">
        <w:rPr>
          <w:rFonts w:ascii="Arial" w:hAnsi="Arial" w:cs="Arial"/>
          <w:i/>
          <w:iCs/>
          <w:sz w:val="22"/>
          <w:szCs w:val="22"/>
          <w:lang w:val="en-GB"/>
        </w:rPr>
        <w:t xml:space="preserve">et al. </w:t>
      </w:r>
      <w:r w:rsidRPr="009D66D2">
        <w:rPr>
          <w:rFonts w:ascii="Arial" w:hAnsi="Arial" w:cs="Arial"/>
          <w:sz w:val="22"/>
          <w:szCs w:val="22"/>
          <w:lang w:val="en-GB"/>
        </w:rPr>
        <w:t>(2024), under a transformational safety culture, healthcare staff feel empowered to freeze the procedure. Another important segment is “Post-Incident Response” in which executive leadership reacted defensively. The case has highlighted the order by Principal Dr Sangeeta Saxena: first prepare a three-member investigation committee and represent a classic reactive command response. An immediate inquiry was essential in this case; however, top-down administrative orders can focus on root-cause transformation.</w:t>
      </w:r>
    </w:p>
    <w:p w14:paraId="75D7F7E4" w14:textId="77777777" w:rsidR="00D30001" w:rsidRPr="009D66D2" w:rsidRDefault="00D30001" w:rsidP="00666370">
      <w:pPr>
        <w:rPr>
          <w:rFonts w:ascii="Arial" w:hAnsi="Arial" w:cs="Arial"/>
          <w:b/>
          <w:bCs/>
          <w:sz w:val="22"/>
          <w:szCs w:val="22"/>
          <w:lang w:val="en-GB"/>
        </w:rPr>
      </w:pPr>
      <w:r w:rsidRPr="009D66D2">
        <w:rPr>
          <w:rFonts w:ascii="Arial" w:hAnsi="Arial" w:cs="Arial"/>
          <w:b/>
          <w:bCs/>
          <w:i/>
          <w:iCs/>
          <w:sz w:val="22"/>
          <w:szCs w:val="22"/>
          <w:lang w:val="en-GB"/>
        </w:rPr>
        <w:t>Implications of Distributed</w:t>
      </w:r>
      <w:r w:rsidRPr="009D66D2">
        <w:rPr>
          <w:rFonts w:ascii="Arial" w:hAnsi="Arial" w:cs="Arial"/>
          <w:b/>
          <w:bCs/>
          <w:sz w:val="22"/>
          <w:szCs w:val="22"/>
          <w:lang w:val="en-GB"/>
        </w:rPr>
        <w:t xml:space="preserve"> </w:t>
      </w:r>
      <w:r w:rsidRPr="009D66D2">
        <w:rPr>
          <w:rFonts w:ascii="Arial" w:hAnsi="Arial" w:cs="Arial"/>
          <w:b/>
          <w:bCs/>
          <w:i/>
          <w:iCs/>
          <w:sz w:val="22"/>
          <w:szCs w:val="22"/>
          <w:lang w:val="en-GB"/>
        </w:rPr>
        <w:t>Leadership</w:t>
      </w:r>
      <w:r w:rsidRPr="009D66D2">
        <w:rPr>
          <w:rFonts w:ascii="Arial" w:hAnsi="Arial" w:cs="Arial"/>
          <w:b/>
          <w:bCs/>
          <w:sz w:val="22"/>
          <w:szCs w:val="22"/>
          <w:lang w:val="en-GB"/>
        </w:rPr>
        <w:t xml:space="preserve"> </w:t>
      </w:r>
    </w:p>
    <w:p w14:paraId="794DE3A1"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Distributed leadership within a healthcare phenomenon includes the collaborative concern, awareness and responses (Svensson and von Knorring, 2025). In the case of catastrophic identification breakdown, distributed leadership can redistribute authority across multi-disciplinary teams, as well as recognising that clinical safety relies on collective responsibility with less dependence on top-down directives. Therefore, the implications of a distributed leadership model at Kota Medical College Hospital can be shared responsibilities and a flattened hierarchy. Activities regarding shared responsibilities within this can include the nurse calling the patient's name, the anaesthetist, and the surgeon also checking each act as independent safety checkpoints. On the other hand, the flattened hierarchy points out that the explicit requirement of authority to halt the procedure upon observing the patient was in civilian clothes.</w:t>
      </w:r>
    </w:p>
    <w:p w14:paraId="3C2296CB" w14:textId="416868BA"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On the other hand, the distributed leadership in the healthcare segment includes factors such as empathy, awareness, and relationship management to offer efficient healthcare services (</w:t>
      </w:r>
      <w:proofErr w:type="spellStart"/>
      <w:r w:rsidRPr="009D66D2">
        <w:rPr>
          <w:rFonts w:ascii="Arial" w:hAnsi="Arial" w:cs="Arial"/>
          <w:sz w:val="22"/>
          <w:szCs w:val="22"/>
          <w:lang w:val="en-GB"/>
        </w:rPr>
        <w:t>Olatoye</w:t>
      </w:r>
      <w:proofErr w:type="spellEnd"/>
      <w:r w:rsidRPr="009D66D2">
        <w:rPr>
          <w:rFonts w:ascii="Arial" w:hAnsi="Arial" w:cs="Arial"/>
          <w:sz w:val="22"/>
          <w:szCs w:val="22"/>
          <w:lang w:val="en-GB"/>
        </w:rPr>
        <w:t xml:space="preserve"> </w:t>
      </w:r>
      <w:r w:rsidRPr="009D66D2">
        <w:rPr>
          <w:rFonts w:ascii="Arial" w:hAnsi="Arial" w:cs="Arial"/>
          <w:i/>
          <w:iCs/>
          <w:sz w:val="22"/>
          <w:szCs w:val="22"/>
          <w:lang w:val="en-GB"/>
        </w:rPr>
        <w:t>et al</w:t>
      </w:r>
      <w:r w:rsidRPr="009D66D2">
        <w:rPr>
          <w:rFonts w:ascii="Arial" w:hAnsi="Arial" w:cs="Arial"/>
          <w:sz w:val="22"/>
          <w:szCs w:val="22"/>
          <w:lang w:val="en-GB"/>
        </w:rPr>
        <w:t>.</w:t>
      </w:r>
      <w:r w:rsidR="00666370" w:rsidRPr="009D66D2">
        <w:rPr>
          <w:rFonts w:ascii="Arial" w:hAnsi="Arial" w:cs="Arial"/>
          <w:sz w:val="22"/>
          <w:szCs w:val="22"/>
          <w:lang w:val="en-GB"/>
        </w:rPr>
        <w:t>,</w:t>
      </w:r>
      <w:r w:rsidRPr="009D66D2">
        <w:rPr>
          <w:rFonts w:ascii="Arial" w:hAnsi="Arial" w:cs="Arial"/>
          <w:sz w:val="22"/>
          <w:szCs w:val="22"/>
          <w:lang w:val="en-GB"/>
        </w:rPr>
        <w:t xml:space="preserve"> 2024). Analysing the case, it would be noted by the staff or surgeon that Panchal suffered from facial paralysis and an inability to speak. Furthermore, an emotionally intelligent clinical care protocol accounts for a patient's vulnerabilities, identification band </w:t>
      </w:r>
      <w:r w:rsidR="00666370" w:rsidRPr="009D66D2">
        <w:rPr>
          <w:rFonts w:ascii="Arial" w:hAnsi="Arial" w:cs="Arial"/>
          <w:sz w:val="22"/>
          <w:szCs w:val="22"/>
          <w:lang w:val="en-GB"/>
        </w:rPr>
        <w:t>matching, using</w:t>
      </w:r>
      <w:r w:rsidRPr="009D66D2">
        <w:rPr>
          <w:rFonts w:ascii="Arial" w:hAnsi="Arial" w:cs="Arial"/>
          <w:sz w:val="22"/>
          <w:szCs w:val="22"/>
          <w:lang w:val="en-GB"/>
        </w:rPr>
        <w:t xml:space="preserve"> non-verbal </w:t>
      </w:r>
      <w:r w:rsidR="00666370" w:rsidRPr="009D66D2">
        <w:rPr>
          <w:rFonts w:ascii="Arial" w:hAnsi="Arial" w:cs="Arial"/>
          <w:sz w:val="22"/>
          <w:szCs w:val="22"/>
          <w:lang w:val="en-GB"/>
        </w:rPr>
        <w:t>validation, and</w:t>
      </w:r>
      <w:r w:rsidRPr="009D66D2">
        <w:rPr>
          <w:rFonts w:ascii="Arial" w:hAnsi="Arial" w:cs="Arial"/>
          <w:sz w:val="22"/>
          <w:szCs w:val="22"/>
          <w:lang w:val="en-GB"/>
        </w:rPr>
        <w:t xml:space="preserve"> family involvement before transfer. Another aspect is that staff relied on verbal announcements within a crowded waiting area without considering speech impairments. As per Caldwell (2025), EQ-driven leadership establishes communication practices to protect vulnerable or non-verbal patients. The surgical mix-up at Kota Medical College Hospital includes an isolated instance of individual oversight, and it reflects systemic vulnerabilities. </w:t>
      </w:r>
    </w:p>
    <w:p w14:paraId="4B1A568F" w14:textId="0F43FA90" w:rsidR="00177DCB" w:rsidRPr="009D66D2" w:rsidRDefault="00D30001" w:rsidP="00666370">
      <w:pPr>
        <w:rPr>
          <w:rFonts w:ascii="Arial" w:hAnsi="Arial" w:cs="Arial"/>
          <w:sz w:val="22"/>
          <w:szCs w:val="22"/>
          <w:lang w:val="en-GB"/>
        </w:rPr>
      </w:pPr>
      <w:r w:rsidRPr="009D66D2">
        <w:rPr>
          <w:rFonts w:ascii="Arial" w:hAnsi="Arial" w:cs="Arial"/>
          <w:sz w:val="22"/>
          <w:szCs w:val="22"/>
          <w:lang w:val="en-GB"/>
        </w:rPr>
        <w:t xml:space="preserve">Thus, a mandatory use of two unique identifiers such as Full Name and Medical Record Number/DOB verified via physical wristbands prior to OT transfer is important for avoiding such </w:t>
      </w:r>
      <w:r w:rsidRPr="009D66D2">
        <w:rPr>
          <w:rFonts w:ascii="Arial" w:hAnsi="Arial" w:cs="Arial"/>
          <w:sz w:val="22"/>
          <w:szCs w:val="22"/>
          <w:lang w:val="en-GB"/>
        </w:rPr>
        <w:lastRenderedPageBreak/>
        <w:t>a vulnerable incident in future. The purpose-driven safety management under the guidance of a leader can be the only solution to continue proactive risk audits and psychological safety evaluations across all operating units.</w:t>
      </w:r>
    </w:p>
    <w:p w14:paraId="26472793" w14:textId="3B8A7E41" w:rsidR="000907B8" w:rsidRPr="009D66D2" w:rsidRDefault="00863020" w:rsidP="00666370">
      <w:pPr>
        <w:pStyle w:val="Heading2"/>
        <w:rPr>
          <w:rFonts w:ascii="Arial" w:eastAsia="Arial" w:hAnsi="Arial" w:cs="Arial"/>
          <w:sz w:val="22"/>
          <w:szCs w:val="22"/>
          <w:lang w:val="en-GB"/>
        </w:rPr>
      </w:pPr>
      <w:bookmarkStart w:id="10" w:name="_Toc235889754"/>
      <w:r w:rsidRPr="009D66D2">
        <w:rPr>
          <w:rFonts w:ascii="Arial" w:eastAsia="Arial" w:hAnsi="Arial" w:cs="Arial"/>
          <w:sz w:val="22"/>
          <w:szCs w:val="22"/>
          <w:lang w:val="en-GB"/>
        </w:rPr>
        <w:t>d. Improvement and Lessons Learned</w:t>
      </w:r>
      <w:bookmarkEnd w:id="10"/>
      <w:r w:rsidRPr="009D66D2">
        <w:rPr>
          <w:rFonts w:ascii="Arial" w:eastAsia="Arial" w:hAnsi="Arial" w:cs="Arial"/>
          <w:sz w:val="22"/>
          <w:szCs w:val="22"/>
          <w:lang w:val="en-GB"/>
        </w:rPr>
        <w:t xml:space="preserve"> </w:t>
      </w:r>
    </w:p>
    <w:p w14:paraId="12C60A25" w14:textId="77777777" w:rsidR="000907B8" w:rsidRPr="009D66D2" w:rsidRDefault="00863020" w:rsidP="00666370">
      <w:pPr>
        <w:rPr>
          <w:rFonts w:ascii="Arial" w:eastAsia="Arial" w:hAnsi="Arial" w:cs="Arial"/>
          <w:b/>
          <w:bCs/>
          <w:i/>
          <w:iCs/>
          <w:sz w:val="22"/>
          <w:szCs w:val="22"/>
          <w:lang w:val="en-GB"/>
        </w:rPr>
      </w:pPr>
      <w:bookmarkStart w:id="11" w:name="_hwh0zvoswuka" w:colFirst="0" w:colLast="0"/>
      <w:bookmarkEnd w:id="11"/>
      <w:r w:rsidRPr="009D66D2">
        <w:rPr>
          <w:rFonts w:ascii="Arial" w:eastAsia="Arial" w:hAnsi="Arial" w:cs="Arial"/>
          <w:b/>
          <w:bCs/>
          <w:i/>
          <w:iCs/>
          <w:sz w:val="22"/>
          <w:szCs w:val="22"/>
          <w:lang w:val="en-GB"/>
        </w:rPr>
        <w:t>Critical evaluation of leadership and governance interactions</w:t>
      </w:r>
    </w:p>
    <w:p w14:paraId="527FFBD1"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The leadership and governance structure at </w:t>
      </w:r>
      <w:r w:rsidRPr="009D66D2">
        <w:rPr>
          <w:rFonts w:ascii="Arial" w:eastAsia="Arial" w:hAnsi="Arial" w:cs="Arial"/>
          <w:b/>
          <w:bCs/>
          <w:i/>
          <w:iCs/>
          <w:sz w:val="22"/>
          <w:szCs w:val="22"/>
          <w:lang w:val="en-GB"/>
        </w:rPr>
        <w:t>Kota Medical College Hospital (KMCH)</w:t>
      </w:r>
      <w:r w:rsidRPr="009D66D2">
        <w:rPr>
          <w:rFonts w:ascii="Arial" w:eastAsia="Arial" w:hAnsi="Arial" w:cs="Arial"/>
          <w:sz w:val="22"/>
          <w:szCs w:val="22"/>
          <w:lang w:val="en-GB"/>
        </w:rPr>
        <w:t xml:space="preserve"> allowed an avoidable mistake to be passed down through several stages of investigations without being caught. The </w:t>
      </w:r>
      <w:r w:rsidRPr="009D66D2">
        <w:rPr>
          <w:rFonts w:ascii="Arial" w:eastAsia="Arial" w:hAnsi="Arial" w:cs="Arial"/>
          <w:b/>
          <w:bCs/>
          <w:i/>
          <w:iCs/>
          <w:sz w:val="22"/>
          <w:szCs w:val="22"/>
          <w:lang w:val="en-GB"/>
        </w:rPr>
        <w:t>Ministry of Health and Family Welfare</w:t>
      </w:r>
      <w:r w:rsidRPr="009D66D2">
        <w:rPr>
          <w:rFonts w:ascii="Arial" w:eastAsia="Arial" w:hAnsi="Arial" w:cs="Arial"/>
          <w:sz w:val="22"/>
          <w:szCs w:val="22"/>
          <w:lang w:val="en-GB"/>
        </w:rPr>
        <w:t xml:space="preserve"> introduced an </w:t>
      </w:r>
      <w:r w:rsidRPr="009D66D2">
        <w:rPr>
          <w:rFonts w:ascii="Arial" w:eastAsia="Arial" w:hAnsi="Arial" w:cs="Arial"/>
          <w:b/>
          <w:bCs/>
          <w:i/>
          <w:iCs/>
          <w:sz w:val="22"/>
          <w:szCs w:val="22"/>
          <w:lang w:val="en-GB"/>
        </w:rPr>
        <w:t>SHSRC framework</w:t>
      </w:r>
      <w:r w:rsidRPr="009D66D2">
        <w:rPr>
          <w:rFonts w:ascii="Arial" w:eastAsia="Arial" w:hAnsi="Arial" w:cs="Arial"/>
          <w:sz w:val="22"/>
          <w:szCs w:val="22"/>
          <w:lang w:val="en-GB"/>
        </w:rPr>
        <w:t xml:space="preserve"> in 2025, which outlines that governance structures are aimed at establishing accountability, technical leadership and oversight at the facility level (NHSRC, 2024). This is relevant to KMCH because the governance of the hospital existed formally, but failed to translate into active, moment-to-moment leadership presence within the pre-operative pathway. Therefore, in the hospital, the governance was a static compliance document and not a dynamic safety mechanism that was part of everyday practice. </w:t>
      </w:r>
    </w:p>
    <w:p w14:paraId="12EC5A9E" w14:textId="5D868C7F"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Clinical governance establishes accountability for patient safety and continuous quality improvement (Hibbert </w:t>
      </w:r>
      <w:r w:rsidRPr="009D66D2">
        <w:rPr>
          <w:rFonts w:ascii="Arial" w:eastAsia="Arial" w:hAnsi="Arial" w:cs="Arial"/>
          <w:i/>
          <w:iCs/>
          <w:sz w:val="22"/>
          <w:szCs w:val="22"/>
          <w:lang w:val="en-GB"/>
        </w:rPr>
        <w:t>et al.</w:t>
      </w:r>
      <w:r w:rsidR="00666370" w:rsidRPr="009D66D2">
        <w:rPr>
          <w:rFonts w:ascii="Arial" w:eastAsia="Arial" w:hAnsi="Arial" w:cs="Arial"/>
          <w:i/>
          <w:iCs/>
          <w:sz w:val="22"/>
          <w:szCs w:val="22"/>
          <w:lang w:val="en-GB"/>
        </w:rPr>
        <w:t>,</w:t>
      </w:r>
      <w:r w:rsidRPr="009D66D2">
        <w:rPr>
          <w:rFonts w:ascii="Arial" w:eastAsia="Arial" w:hAnsi="Arial" w:cs="Arial"/>
          <w:sz w:val="22"/>
          <w:szCs w:val="22"/>
          <w:lang w:val="en-GB"/>
        </w:rPr>
        <w:t xml:space="preserve"> 2023). Additionally, governance relies on evident leadership and ensures that the protocols are applied in practice consistently. Leadership commitments, open communication and balanced accountability are the primary keys to the implementation of governance policy that further helps in effective safe practices in the healthcare sector (Fukami, 2025). This is associated with KMCH, as there is no visible engagement of leadership for care provision. This enables a passive box-ticking approach, and staff assumed that their job protocols were satisfied simply because personnel were present. Therefore, governance in the absence of leadership support ensures a negative scene of security, unreal and unverified safety assurance in the KMCH. </w:t>
      </w:r>
    </w:p>
    <w:p w14:paraId="105D2323"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The interaction between centralisation and leadership helps to demonstrate the outcomes observed in the Kota Medical College regarding severe systemic breakdowns within patient identification, communication protocol and clinical oversight. Organisations that have a weak approach to distinguishing between governance and accountability are found to have delayed recognition of systematic weaknesses (Yan and Ramesh, 2026). In the case of KMCH, the error was not identified by the internal authority of the hospital, but by the patient's family; Manish Panchal suddenly noticed that his father was not present. Therefore, the case demonstrates that governance and leadership need to be a coherent system of integrated and interdependent components.</w:t>
      </w:r>
    </w:p>
    <w:p w14:paraId="6019B0FB" w14:textId="183BEAFB" w:rsidR="000907B8" w:rsidRPr="009D66D2" w:rsidRDefault="00863020" w:rsidP="00666370">
      <w:pPr>
        <w:rPr>
          <w:rFonts w:ascii="Arial" w:eastAsia="Arial" w:hAnsi="Arial" w:cs="Arial"/>
          <w:b/>
          <w:bCs/>
          <w:i/>
          <w:iCs/>
          <w:sz w:val="22"/>
          <w:szCs w:val="22"/>
          <w:lang w:val="en-GB"/>
        </w:rPr>
      </w:pPr>
      <w:bookmarkStart w:id="12" w:name="_nr0qge8tq96k" w:colFirst="0" w:colLast="0"/>
      <w:bookmarkEnd w:id="12"/>
      <w:r w:rsidRPr="009D66D2">
        <w:rPr>
          <w:rFonts w:ascii="Arial" w:eastAsia="Arial" w:hAnsi="Arial" w:cs="Arial"/>
          <w:b/>
          <w:bCs/>
          <w:i/>
          <w:iCs/>
          <w:sz w:val="22"/>
          <w:szCs w:val="22"/>
          <w:lang w:val="en-GB"/>
        </w:rPr>
        <w:t xml:space="preserve">Missed opportunities, evidence-based solutions, and discussion </w:t>
      </w:r>
    </w:p>
    <w:p w14:paraId="54A78106"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lastRenderedPageBreak/>
        <w:t xml:space="preserve">A series of missed opportunities are present in the Kota case, where leadership could have intervened. Application of </w:t>
      </w:r>
      <w:r w:rsidRPr="009D66D2">
        <w:rPr>
          <w:rFonts w:ascii="Arial" w:eastAsia="Arial" w:hAnsi="Arial" w:cs="Arial"/>
          <w:b/>
          <w:bCs/>
          <w:i/>
          <w:iCs/>
          <w:sz w:val="22"/>
          <w:szCs w:val="22"/>
          <w:lang w:val="en-GB"/>
        </w:rPr>
        <w:t>Soft Systems Methodology (SSM)</w:t>
      </w:r>
      <w:r w:rsidRPr="009D66D2">
        <w:rPr>
          <w:rFonts w:ascii="Arial" w:eastAsia="Arial" w:hAnsi="Arial" w:cs="Arial"/>
          <w:sz w:val="22"/>
          <w:szCs w:val="22"/>
          <w:lang w:val="en-GB"/>
        </w:rPr>
        <w:t xml:space="preserve"> can be used to break down the complex problem situation into a structured improvement model. SSM is an approach that helps to deal with arising problems in the hospital by focusing on diverse stakeholder perspectives to design actionable and feasible improvements (Goto and Miura, 2022). Controlling patient identification and consent before any individual enters the OT requires a verification system managed by the hospital. Therefore, Kota Hospitals need to use a verification system to confirm who the patient is and get their consent before entering the operating room. </w:t>
      </w:r>
    </w:p>
    <w:p w14:paraId="390D95FA" w14:textId="77777777" w:rsidR="000907B8" w:rsidRPr="009D66D2" w:rsidRDefault="00863020" w:rsidP="00666370">
      <w:pPr>
        <w:rPr>
          <w:rFonts w:ascii="Arial" w:eastAsia="Arial" w:hAnsi="Arial" w:cs="Arial"/>
          <w:b/>
          <w:bCs/>
          <w:i/>
          <w:iCs/>
          <w:sz w:val="22"/>
          <w:szCs w:val="22"/>
          <w:lang w:val="en-GB"/>
        </w:rPr>
      </w:pPr>
      <w:bookmarkStart w:id="13" w:name="_y3jh56kk0cbt" w:colFirst="0" w:colLast="0"/>
      <w:bookmarkEnd w:id="13"/>
      <w:r w:rsidRPr="009D66D2">
        <w:rPr>
          <w:rFonts w:ascii="Arial" w:eastAsia="Arial" w:hAnsi="Arial" w:cs="Arial"/>
          <w:b/>
          <w:bCs/>
          <w:i/>
          <w:iCs/>
          <w:sz w:val="22"/>
          <w:szCs w:val="22"/>
          <w:lang w:val="en-GB"/>
        </w:rPr>
        <w:t>CATWOE Analysis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7410"/>
      </w:tblGrid>
      <w:tr w:rsidR="00303FF1" w:rsidRPr="009D66D2" w14:paraId="0736C1A4" w14:textId="77777777">
        <w:tc>
          <w:tcPr>
            <w:tcW w:w="1950" w:type="dxa"/>
            <w:shd w:val="clear" w:color="auto" w:fill="CFE2F3"/>
            <w:tcMar>
              <w:top w:w="100" w:type="dxa"/>
              <w:left w:w="100" w:type="dxa"/>
              <w:bottom w:w="100" w:type="dxa"/>
              <w:right w:w="100" w:type="dxa"/>
            </w:tcMar>
          </w:tcPr>
          <w:p w14:paraId="593F66A5" w14:textId="77777777" w:rsidR="000907B8" w:rsidRPr="009D66D2" w:rsidRDefault="00863020" w:rsidP="00666370">
            <w:pPr>
              <w:widowControl w:val="0"/>
              <w:pBdr>
                <w:top w:val="nil"/>
                <w:left w:val="nil"/>
                <w:bottom w:val="nil"/>
                <w:right w:val="nil"/>
                <w:between w:val="nil"/>
              </w:pBdr>
              <w:jc w:val="center"/>
              <w:rPr>
                <w:rFonts w:ascii="Arial" w:eastAsia="Arial" w:hAnsi="Arial" w:cs="Arial"/>
                <w:b/>
                <w:bCs/>
                <w:i/>
                <w:iCs/>
                <w:sz w:val="22"/>
                <w:szCs w:val="22"/>
                <w:lang w:val="en-GB"/>
              </w:rPr>
            </w:pPr>
            <w:r w:rsidRPr="009D66D2">
              <w:rPr>
                <w:rFonts w:ascii="Arial" w:eastAsia="Arial" w:hAnsi="Arial" w:cs="Arial"/>
                <w:b/>
                <w:bCs/>
                <w:i/>
                <w:iCs/>
                <w:sz w:val="22"/>
                <w:szCs w:val="22"/>
                <w:lang w:val="en-GB"/>
              </w:rPr>
              <w:t>Element</w:t>
            </w:r>
          </w:p>
        </w:tc>
        <w:tc>
          <w:tcPr>
            <w:tcW w:w="7410" w:type="dxa"/>
            <w:shd w:val="clear" w:color="auto" w:fill="CFE2F3"/>
            <w:tcMar>
              <w:top w:w="100" w:type="dxa"/>
              <w:left w:w="100" w:type="dxa"/>
              <w:bottom w:w="100" w:type="dxa"/>
              <w:right w:w="100" w:type="dxa"/>
            </w:tcMar>
          </w:tcPr>
          <w:p w14:paraId="7051A513" w14:textId="77777777" w:rsidR="000907B8" w:rsidRPr="009D66D2" w:rsidRDefault="00863020" w:rsidP="00666370">
            <w:pPr>
              <w:widowControl w:val="0"/>
              <w:pBdr>
                <w:top w:val="nil"/>
                <w:left w:val="nil"/>
                <w:bottom w:val="nil"/>
                <w:right w:val="nil"/>
                <w:between w:val="nil"/>
              </w:pBdr>
              <w:jc w:val="center"/>
              <w:rPr>
                <w:rFonts w:ascii="Arial" w:eastAsia="Arial" w:hAnsi="Arial" w:cs="Arial"/>
                <w:b/>
                <w:bCs/>
                <w:i/>
                <w:iCs/>
                <w:sz w:val="22"/>
                <w:szCs w:val="22"/>
                <w:lang w:val="en-GB"/>
              </w:rPr>
            </w:pPr>
            <w:r w:rsidRPr="009D66D2">
              <w:rPr>
                <w:rFonts w:ascii="Arial" w:eastAsia="Arial" w:hAnsi="Arial" w:cs="Arial"/>
                <w:b/>
                <w:bCs/>
                <w:i/>
                <w:iCs/>
                <w:sz w:val="22"/>
                <w:szCs w:val="22"/>
                <w:lang w:val="en-GB"/>
              </w:rPr>
              <w:t>Application to the Kota Case</w:t>
            </w:r>
          </w:p>
        </w:tc>
      </w:tr>
      <w:tr w:rsidR="00303FF1" w:rsidRPr="009D66D2" w14:paraId="0842B300" w14:textId="77777777">
        <w:tc>
          <w:tcPr>
            <w:tcW w:w="1950" w:type="dxa"/>
            <w:shd w:val="clear" w:color="auto" w:fill="B6D7A8"/>
            <w:tcMar>
              <w:top w:w="100" w:type="dxa"/>
              <w:left w:w="100" w:type="dxa"/>
              <w:bottom w:w="100" w:type="dxa"/>
              <w:right w:w="100" w:type="dxa"/>
            </w:tcMar>
          </w:tcPr>
          <w:p w14:paraId="5AAF6E3E" w14:textId="77777777" w:rsidR="000907B8" w:rsidRPr="009D66D2" w:rsidRDefault="00863020" w:rsidP="00666370">
            <w:pPr>
              <w:widowControl w:val="0"/>
              <w:pBdr>
                <w:top w:val="nil"/>
                <w:left w:val="nil"/>
                <w:bottom w:val="nil"/>
                <w:right w:val="nil"/>
                <w:between w:val="nil"/>
              </w:pBdr>
              <w:jc w:val="left"/>
              <w:rPr>
                <w:rFonts w:ascii="Arial" w:eastAsia="Arial" w:hAnsi="Arial" w:cs="Arial"/>
                <w:b/>
                <w:bCs/>
                <w:sz w:val="22"/>
                <w:szCs w:val="22"/>
                <w:lang w:val="en-GB"/>
              </w:rPr>
            </w:pPr>
            <w:r w:rsidRPr="009D66D2">
              <w:rPr>
                <w:rFonts w:ascii="Arial" w:eastAsia="Arial" w:hAnsi="Arial" w:cs="Arial"/>
                <w:b/>
                <w:bCs/>
                <w:sz w:val="22"/>
                <w:szCs w:val="22"/>
                <w:lang w:val="en-GB"/>
              </w:rPr>
              <w:t>Customers</w:t>
            </w:r>
          </w:p>
        </w:tc>
        <w:tc>
          <w:tcPr>
            <w:tcW w:w="7410" w:type="dxa"/>
            <w:tcMar>
              <w:top w:w="100" w:type="dxa"/>
              <w:left w:w="100" w:type="dxa"/>
              <w:bottom w:w="100" w:type="dxa"/>
              <w:right w:w="100" w:type="dxa"/>
            </w:tcMar>
          </w:tcPr>
          <w:p w14:paraId="17252D2C" w14:textId="77777777" w:rsidR="000907B8" w:rsidRPr="009D66D2" w:rsidRDefault="00863020" w:rsidP="00666370">
            <w:pPr>
              <w:widowControl w:val="0"/>
              <w:pBdr>
                <w:top w:val="nil"/>
                <w:left w:val="nil"/>
                <w:bottom w:val="nil"/>
                <w:right w:val="nil"/>
                <w:between w:val="nil"/>
              </w:pBdr>
              <w:jc w:val="left"/>
              <w:rPr>
                <w:rFonts w:ascii="Arial" w:eastAsia="Arial" w:hAnsi="Arial" w:cs="Arial"/>
                <w:sz w:val="22"/>
                <w:szCs w:val="22"/>
                <w:lang w:val="en-GB"/>
              </w:rPr>
            </w:pPr>
            <w:r w:rsidRPr="009D66D2">
              <w:rPr>
                <w:rFonts w:ascii="Arial" w:eastAsia="Arial" w:hAnsi="Arial" w:cs="Arial"/>
                <w:sz w:val="22"/>
                <w:szCs w:val="22"/>
                <w:lang w:val="en-GB"/>
              </w:rPr>
              <w:t>Jagdish Panchal, his son Manish, and other patients were awaiting surgery</w:t>
            </w:r>
          </w:p>
        </w:tc>
      </w:tr>
      <w:tr w:rsidR="00303FF1" w:rsidRPr="009D66D2" w14:paraId="250D693F" w14:textId="77777777">
        <w:tc>
          <w:tcPr>
            <w:tcW w:w="1950" w:type="dxa"/>
            <w:shd w:val="clear" w:color="auto" w:fill="B6D7A8"/>
            <w:tcMar>
              <w:top w:w="100" w:type="dxa"/>
              <w:left w:w="100" w:type="dxa"/>
              <w:bottom w:w="100" w:type="dxa"/>
              <w:right w:w="100" w:type="dxa"/>
            </w:tcMar>
          </w:tcPr>
          <w:p w14:paraId="01D9BB74" w14:textId="77777777" w:rsidR="000907B8" w:rsidRPr="009D66D2" w:rsidRDefault="00863020" w:rsidP="00666370">
            <w:pPr>
              <w:widowControl w:val="0"/>
              <w:pBdr>
                <w:top w:val="nil"/>
                <w:left w:val="nil"/>
                <w:bottom w:val="nil"/>
                <w:right w:val="nil"/>
                <w:between w:val="nil"/>
              </w:pBdr>
              <w:jc w:val="left"/>
              <w:rPr>
                <w:rFonts w:ascii="Arial" w:eastAsia="Arial" w:hAnsi="Arial" w:cs="Arial"/>
                <w:b/>
                <w:bCs/>
                <w:sz w:val="22"/>
                <w:szCs w:val="22"/>
                <w:lang w:val="en-GB"/>
              </w:rPr>
            </w:pPr>
            <w:r w:rsidRPr="009D66D2">
              <w:rPr>
                <w:rFonts w:ascii="Arial" w:eastAsia="Arial" w:hAnsi="Arial" w:cs="Arial"/>
                <w:b/>
                <w:bCs/>
                <w:sz w:val="22"/>
                <w:szCs w:val="22"/>
                <w:lang w:val="en-GB"/>
              </w:rPr>
              <w:t>Actors</w:t>
            </w:r>
          </w:p>
        </w:tc>
        <w:tc>
          <w:tcPr>
            <w:tcW w:w="7410" w:type="dxa"/>
            <w:tcMar>
              <w:top w:w="100" w:type="dxa"/>
              <w:left w:w="100" w:type="dxa"/>
              <w:bottom w:w="100" w:type="dxa"/>
              <w:right w:w="100" w:type="dxa"/>
            </w:tcMar>
          </w:tcPr>
          <w:p w14:paraId="18F90A50" w14:textId="77777777" w:rsidR="000907B8" w:rsidRPr="009D66D2" w:rsidRDefault="00863020" w:rsidP="00666370">
            <w:pPr>
              <w:widowControl w:val="0"/>
              <w:pBdr>
                <w:top w:val="nil"/>
                <w:left w:val="nil"/>
                <w:bottom w:val="nil"/>
                <w:right w:val="nil"/>
                <w:between w:val="nil"/>
              </w:pBdr>
              <w:jc w:val="left"/>
              <w:rPr>
                <w:rFonts w:ascii="Arial" w:eastAsia="Arial" w:hAnsi="Arial" w:cs="Arial"/>
                <w:sz w:val="22"/>
                <w:szCs w:val="22"/>
                <w:lang w:val="en-GB"/>
              </w:rPr>
            </w:pPr>
            <w:r w:rsidRPr="009D66D2">
              <w:rPr>
                <w:rFonts w:ascii="Arial" w:eastAsia="Arial" w:hAnsi="Arial" w:cs="Arial"/>
                <w:sz w:val="22"/>
                <w:szCs w:val="22"/>
                <w:lang w:val="en-GB"/>
              </w:rPr>
              <w:t>OT staff, anaesthesia team, ward nurses, hospital administrations</w:t>
            </w:r>
          </w:p>
        </w:tc>
      </w:tr>
      <w:tr w:rsidR="00303FF1" w:rsidRPr="009D66D2" w14:paraId="1D6D922B" w14:textId="77777777">
        <w:tc>
          <w:tcPr>
            <w:tcW w:w="1950" w:type="dxa"/>
            <w:shd w:val="clear" w:color="auto" w:fill="B6D7A8"/>
            <w:tcMar>
              <w:top w:w="100" w:type="dxa"/>
              <w:left w:w="100" w:type="dxa"/>
              <w:bottom w:w="100" w:type="dxa"/>
              <w:right w:w="100" w:type="dxa"/>
            </w:tcMar>
          </w:tcPr>
          <w:p w14:paraId="0E8B59A0" w14:textId="77777777" w:rsidR="000907B8" w:rsidRPr="009D66D2" w:rsidRDefault="00863020" w:rsidP="00666370">
            <w:pPr>
              <w:widowControl w:val="0"/>
              <w:pBdr>
                <w:top w:val="nil"/>
                <w:left w:val="nil"/>
                <w:bottom w:val="nil"/>
                <w:right w:val="nil"/>
                <w:between w:val="nil"/>
              </w:pBdr>
              <w:jc w:val="left"/>
              <w:rPr>
                <w:rFonts w:ascii="Arial" w:eastAsia="Arial" w:hAnsi="Arial" w:cs="Arial"/>
                <w:b/>
                <w:bCs/>
                <w:sz w:val="22"/>
                <w:szCs w:val="22"/>
                <w:lang w:val="en-GB"/>
              </w:rPr>
            </w:pPr>
            <w:r w:rsidRPr="009D66D2">
              <w:rPr>
                <w:rFonts w:ascii="Arial" w:eastAsia="Arial" w:hAnsi="Arial" w:cs="Arial"/>
                <w:b/>
                <w:bCs/>
                <w:sz w:val="22"/>
                <w:szCs w:val="22"/>
                <w:lang w:val="en-GB"/>
              </w:rPr>
              <w:t>Transformation</w:t>
            </w:r>
          </w:p>
        </w:tc>
        <w:tc>
          <w:tcPr>
            <w:tcW w:w="7410" w:type="dxa"/>
            <w:tcMar>
              <w:top w:w="100" w:type="dxa"/>
              <w:left w:w="100" w:type="dxa"/>
              <w:bottom w:w="100" w:type="dxa"/>
              <w:right w:w="100" w:type="dxa"/>
            </w:tcMar>
          </w:tcPr>
          <w:p w14:paraId="12FA0A65" w14:textId="77777777" w:rsidR="000907B8" w:rsidRPr="009D66D2" w:rsidRDefault="00863020" w:rsidP="00666370">
            <w:pPr>
              <w:widowControl w:val="0"/>
              <w:pBdr>
                <w:top w:val="nil"/>
                <w:left w:val="nil"/>
                <w:bottom w:val="nil"/>
                <w:right w:val="nil"/>
                <w:between w:val="nil"/>
              </w:pBdr>
              <w:jc w:val="left"/>
              <w:rPr>
                <w:rFonts w:ascii="Arial" w:eastAsia="Arial" w:hAnsi="Arial" w:cs="Arial"/>
                <w:sz w:val="22"/>
                <w:szCs w:val="22"/>
                <w:lang w:val="en-GB"/>
              </w:rPr>
            </w:pPr>
            <w:r w:rsidRPr="009D66D2">
              <w:rPr>
                <w:rFonts w:ascii="Arial" w:eastAsia="Arial" w:hAnsi="Arial" w:cs="Arial"/>
                <w:sz w:val="22"/>
                <w:szCs w:val="22"/>
                <w:lang w:val="en-GB"/>
              </w:rPr>
              <w:t>Unverified, verbally identified patient to safely verified, correctly identified patient</w:t>
            </w:r>
          </w:p>
        </w:tc>
      </w:tr>
      <w:tr w:rsidR="00303FF1" w:rsidRPr="009D66D2" w14:paraId="7713E2CC" w14:textId="77777777">
        <w:tc>
          <w:tcPr>
            <w:tcW w:w="1950" w:type="dxa"/>
            <w:shd w:val="clear" w:color="auto" w:fill="B6D7A8"/>
            <w:tcMar>
              <w:top w:w="100" w:type="dxa"/>
              <w:left w:w="100" w:type="dxa"/>
              <w:bottom w:w="100" w:type="dxa"/>
              <w:right w:w="100" w:type="dxa"/>
            </w:tcMar>
          </w:tcPr>
          <w:p w14:paraId="0F8D4E6C" w14:textId="77777777" w:rsidR="000907B8" w:rsidRPr="009D66D2" w:rsidRDefault="00863020" w:rsidP="00666370">
            <w:pPr>
              <w:widowControl w:val="0"/>
              <w:pBdr>
                <w:top w:val="nil"/>
                <w:left w:val="nil"/>
                <w:bottom w:val="nil"/>
                <w:right w:val="nil"/>
                <w:between w:val="nil"/>
              </w:pBdr>
              <w:jc w:val="left"/>
              <w:rPr>
                <w:rFonts w:ascii="Arial" w:eastAsia="Arial" w:hAnsi="Arial" w:cs="Arial"/>
                <w:b/>
                <w:bCs/>
                <w:sz w:val="22"/>
                <w:szCs w:val="22"/>
                <w:lang w:val="en-GB"/>
              </w:rPr>
            </w:pPr>
            <w:r w:rsidRPr="009D66D2">
              <w:rPr>
                <w:rFonts w:ascii="Arial" w:eastAsia="Arial" w:hAnsi="Arial" w:cs="Arial"/>
                <w:b/>
                <w:bCs/>
                <w:sz w:val="22"/>
                <w:szCs w:val="22"/>
                <w:lang w:val="en-GB"/>
              </w:rPr>
              <w:t>Worldview</w:t>
            </w:r>
          </w:p>
        </w:tc>
        <w:tc>
          <w:tcPr>
            <w:tcW w:w="7410" w:type="dxa"/>
            <w:tcMar>
              <w:top w:w="100" w:type="dxa"/>
              <w:left w:w="100" w:type="dxa"/>
              <w:bottom w:w="100" w:type="dxa"/>
              <w:right w:w="100" w:type="dxa"/>
            </w:tcMar>
          </w:tcPr>
          <w:p w14:paraId="3B062DB2" w14:textId="77777777" w:rsidR="000907B8" w:rsidRPr="009D66D2" w:rsidRDefault="00863020" w:rsidP="00666370">
            <w:pPr>
              <w:widowControl w:val="0"/>
              <w:pBdr>
                <w:top w:val="nil"/>
                <w:left w:val="nil"/>
                <w:bottom w:val="nil"/>
                <w:right w:val="nil"/>
                <w:between w:val="nil"/>
              </w:pBdr>
              <w:jc w:val="left"/>
              <w:rPr>
                <w:rFonts w:ascii="Arial" w:eastAsia="Arial" w:hAnsi="Arial" w:cs="Arial"/>
                <w:sz w:val="22"/>
                <w:szCs w:val="22"/>
                <w:lang w:val="en-GB"/>
              </w:rPr>
            </w:pPr>
            <w:r w:rsidRPr="009D66D2">
              <w:rPr>
                <w:rFonts w:ascii="Arial" w:eastAsia="Arial" w:hAnsi="Arial" w:cs="Arial"/>
                <w:sz w:val="22"/>
                <w:szCs w:val="22"/>
                <w:lang w:val="en-GB"/>
              </w:rPr>
              <w:t>Patient safety requires active, multi-point identity verification rather than passive assumption</w:t>
            </w:r>
          </w:p>
        </w:tc>
      </w:tr>
      <w:tr w:rsidR="00303FF1" w:rsidRPr="009D66D2" w14:paraId="04A3E9C9" w14:textId="77777777">
        <w:tc>
          <w:tcPr>
            <w:tcW w:w="1950" w:type="dxa"/>
            <w:shd w:val="clear" w:color="auto" w:fill="B6D7A8"/>
            <w:tcMar>
              <w:top w:w="100" w:type="dxa"/>
              <w:left w:w="100" w:type="dxa"/>
              <w:bottom w:w="100" w:type="dxa"/>
              <w:right w:w="100" w:type="dxa"/>
            </w:tcMar>
          </w:tcPr>
          <w:p w14:paraId="50F0A3D8" w14:textId="77777777" w:rsidR="000907B8" w:rsidRPr="009D66D2" w:rsidRDefault="00863020" w:rsidP="00666370">
            <w:pPr>
              <w:widowControl w:val="0"/>
              <w:pBdr>
                <w:top w:val="nil"/>
                <w:left w:val="nil"/>
                <w:bottom w:val="nil"/>
                <w:right w:val="nil"/>
                <w:between w:val="nil"/>
              </w:pBdr>
              <w:jc w:val="left"/>
              <w:rPr>
                <w:rFonts w:ascii="Arial" w:eastAsia="Arial" w:hAnsi="Arial" w:cs="Arial"/>
                <w:b/>
                <w:bCs/>
                <w:sz w:val="22"/>
                <w:szCs w:val="22"/>
                <w:lang w:val="en-GB"/>
              </w:rPr>
            </w:pPr>
            <w:r w:rsidRPr="009D66D2">
              <w:rPr>
                <w:rFonts w:ascii="Arial" w:eastAsia="Arial" w:hAnsi="Arial" w:cs="Arial"/>
                <w:b/>
                <w:bCs/>
                <w:sz w:val="22"/>
                <w:szCs w:val="22"/>
                <w:lang w:val="en-GB"/>
              </w:rPr>
              <w:t>Owners</w:t>
            </w:r>
          </w:p>
        </w:tc>
        <w:tc>
          <w:tcPr>
            <w:tcW w:w="7410" w:type="dxa"/>
            <w:tcMar>
              <w:top w:w="100" w:type="dxa"/>
              <w:left w:w="100" w:type="dxa"/>
              <w:bottom w:w="100" w:type="dxa"/>
              <w:right w:w="100" w:type="dxa"/>
            </w:tcMar>
          </w:tcPr>
          <w:p w14:paraId="3ACA7980" w14:textId="77777777" w:rsidR="000907B8" w:rsidRPr="009D66D2" w:rsidRDefault="00863020" w:rsidP="00666370">
            <w:pPr>
              <w:widowControl w:val="0"/>
              <w:pBdr>
                <w:top w:val="nil"/>
                <w:left w:val="nil"/>
                <w:bottom w:val="nil"/>
                <w:right w:val="nil"/>
                <w:between w:val="nil"/>
              </w:pBdr>
              <w:jc w:val="left"/>
              <w:rPr>
                <w:rFonts w:ascii="Arial" w:eastAsia="Arial" w:hAnsi="Arial" w:cs="Arial"/>
                <w:sz w:val="22"/>
                <w:szCs w:val="22"/>
                <w:lang w:val="en-GB"/>
              </w:rPr>
            </w:pPr>
            <w:r w:rsidRPr="009D66D2">
              <w:rPr>
                <w:rFonts w:ascii="Arial" w:eastAsia="Arial" w:hAnsi="Arial" w:cs="Arial"/>
                <w:sz w:val="22"/>
                <w:szCs w:val="22"/>
                <w:lang w:val="en-GB"/>
              </w:rPr>
              <w:t>Kota Medical College Hospital leadership and Rajasthan state health governance</w:t>
            </w:r>
          </w:p>
        </w:tc>
      </w:tr>
      <w:tr w:rsidR="00303FF1" w:rsidRPr="009D66D2" w14:paraId="11346161" w14:textId="77777777">
        <w:tc>
          <w:tcPr>
            <w:tcW w:w="1950" w:type="dxa"/>
            <w:shd w:val="clear" w:color="auto" w:fill="B6D7A8"/>
            <w:tcMar>
              <w:top w:w="100" w:type="dxa"/>
              <w:left w:w="100" w:type="dxa"/>
              <w:bottom w:w="100" w:type="dxa"/>
              <w:right w:w="100" w:type="dxa"/>
            </w:tcMar>
          </w:tcPr>
          <w:p w14:paraId="1F4C8609" w14:textId="77777777" w:rsidR="000907B8" w:rsidRPr="009D66D2" w:rsidRDefault="00863020" w:rsidP="00666370">
            <w:pPr>
              <w:widowControl w:val="0"/>
              <w:pBdr>
                <w:top w:val="nil"/>
                <w:left w:val="nil"/>
                <w:bottom w:val="nil"/>
                <w:right w:val="nil"/>
                <w:between w:val="nil"/>
              </w:pBdr>
              <w:jc w:val="left"/>
              <w:rPr>
                <w:rFonts w:ascii="Arial" w:eastAsia="Arial" w:hAnsi="Arial" w:cs="Arial"/>
                <w:b/>
                <w:bCs/>
                <w:sz w:val="22"/>
                <w:szCs w:val="22"/>
                <w:lang w:val="en-GB"/>
              </w:rPr>
            </w:pPr>
            <w:r w:rsidRPr="009D66D2">
              <w:rPr>
                <w:rFonts w:ascii="Arial" w:eastAsia="Arial" w:hAnsi="Arial" w:cs="Arial"/>
                <w:b/>
                <w:bCs/>
                <w:sz w:val="22"/>
                <w:szCs w:val="22"/>
                <w:lang w:val="en-GB"/>
              </w:rPr>
              <w:t>Environmental Constrains</w:t>
            </w:r>
          </w:p>
        </w:tc>
        <w:tc>
          <w:tcPr>
            <w:tcW w:w="7410" w:type="dxa"/>
            <w:tcMar>
              <w:top w:w="100" w:type="dxa"/>
              <w:left w:w="100" w:type="dxa"/>
              <w:bottom w:w="100" w:type="dxa"/>
              <w:right w:w="100" w:type="dxa"/>
            </w:tcMar>
          </w:tcPr>
          <w:p w14:paraId="55BEBBB8" w14:textId="128BC719" w:rsidR="000907B8" w:rsidRPr="009D66D2" w:rsidRDefault="00863020" w:rsidP="00666370">
            <w:pPr>
              <w:widowControl w:val="0"/>
              <w:pBdr>
                <w:top w:val="nil"/>
                <w:left w:val="nil"/>
                <w:bottom w:val="nil"/>
                <w:right w:val="nil"/>
                <w:between w:val="nil"/>
              </w:pBdr>
              <w:jc w:val="left"/>
              <w:rPr>
                <w:rFonts w:ascii="Arial" w:eastAsia="Arial" w:hAnsi="Arial" w:cs="Arial"/>
                <w:sz w:val="22"/>
                <w:szCs w:val="22"/>
                <w:lang w:val="en-GB"/>
              </w:rPr>
            </w:pPr>
            <w:r w:rsidRPr="009D66D2">
              <w:rPr>
                <w:rFonts w:ascii="Arial" w:eastAsia="Arial" w:hAnsi="Arial" w:cs="Arial"/>
                <w:sz w:val="22"/>
                <w:szCs w:val="22"/>
                <w:lang w:val="en-GB"/>
              </w:rPr>
              <w:t xml:space="preserve">High patient volume, staff shortages, reliance on verbal communication, absence of </w:t>
            </w:r>
            <w:r w:rsidR="00273C94" w:rsidRPr="009D66D2">
              <w:rPr>
                <w:rFonts w:ascii="Arial" w:eastAsia="Arial" w:hAnsi="Arial" w:cs="Arial"/>
                <w:sz w:val="22"/>
                <w:szCs w:val="22"/>
                <w:lang w:val="en-GB"/>
              </w:rPr>
              <w:t xml:space="preserve">wrist banding as well as </w:t>
            </w:r>
            <w:r w:rsidRPr="009D66D2">
              <w:rPr>
                <w:rFonts w:ascii="Arial" w:eastAsia="Arial" w:hAnsi="Arial" w:cs="Arial"/>
                <w:sz w:val="22"/>
                <w:szCs w:val="22"/>
                <w:lang w:val="en-GB"/>
              </w:rPr>
              <w:t>photographic systems</w:t>
            </w:r>
          </w:p>
        </w:tc>
      </w:tr>
    </w:tbl>
    <w:p w14:paraId="2188906B" w14:textId="34190DCA" w:rsidR="000907B8" w:rsidRPr="009D66D2" w:rsidRDefault="00863020" w:rsidP="00666370">
      <w:pPr>
        <w:jc w:val="center"/>
        <w:rPr>
          <w:rFonts w:ascii="Arial" w:eastAsia="Arial" w:hAnsi="Arial" w:cs="Arial"/>
          <w:b/>
          <w:bCs/>
          <w:sz w:val="22"/>
          <w:szCs w:val="22"/>
          <w:lang w:val="en-GB"/>
        </w:rPr>
      </w:pPr>
      <w:r w:rsidRPr="009D66D2">
        <w:rPr>
          <w:rFonts w:ascii="Arial" w:eastAsia="Arial" w:hAnsi="Arial" w:cs="Arial"/>
          <w:b/>
          <w:bCs/>
          <w:sz w:val="22"/>
          <w:szCs w:val="22"/>
          <w:lang w:val="en-GB"/>
        </w:rPr>
        <w:t xml:space="preserve">Table </w:t>
      </w:r>
      <w:r w:rsidR="00176C62" w:rsidRPr="009D66D2">
        <w:rPr>
          <w:rFonts w:ascii="Arial" w:eastAsia="Arial" w:hAnsi="Arial" w:cs="Arial"/>
          <w:b/>
          <w:bCs/>
          <w:sz w:val="22"/>
          <w:szCs w:val="22"/>
          <w:lang w:val="en-GB"/>
        </w:rPr>
        <w:t>2</w:t>
      </w:r>
      <w:r w:rsidRPr="009D66D2">
        <w:rPr>
          <w:rFonts w:ascii="Arial" w:eastAsia="Arial" w:hAnsi="Arial" w:cs="Arial"/>
          <w:b/>
          <w:bCs/>
          <w:sz w:val="22"/>
          <w:szCs w:val="22"/>
          <w:lang w:val="en-GB"/>
        </w:rPr>
        <w:t>:</w:t>
      </w:r>
      <w:r w:rsidR="007715AA" w:rsidRPr="009D66D2">
        <w:rPr>
          <w:rFonts w:ascii="Arial" w:eastAsia="Arial" w:hAnsi="Arial" w:cs="Arial"/>
          <w:b/>
          <w:bCs/>
          <w:sz w:val="22"/>
          <w:szCs w:val="22"/>
          <w:lang w:val="en-GB"/>
        </w:rPr>
        <w:t xml:space="preserve"> </w:t>
      </w:r>
      <w:r w:rsidRPr="009D66D2">
        <w:rPr>
          <w:rFonts w:ascii="Arial" w:eastAsia="Arial" w:hAnsi="Arial" w:cs="Arial"/>
          <w:b/>
          <w:bCs/>
          <w:sz w:val="22"/>
          <w:szCs w:val="22"/>
          <w:lang w:val="en-GB"/>
        </w:rPr>
        <w:t>CATWOE framework</w:t>
      </w:r>
    </w:p>
    <w:p w14:paraId="0F192BF8" w14:textId="77777777" w:rsidR="000907B8" w:rsidRPr="009D66D2" w:rsidRDefault="00863020" w:rsidP="00666370">
      <w:pPr>
        <w:jc w:val="center"/>
        <w:rPr>
          <w:rFonts w:ascii="Arial" w:eastAsia="Arial" w:hAnsi="Arial" w:cs="Arial"/>
          <w:sz w:val="22"/>
          <w:szCs w:val="22"/>
          <w:lang w:val="en-GB"/>
        </w:rPr>
      </w:pPr>
      <w:r w:rsidRPr="009D66D2">
        <w:rPr>
          <w:rFonts w:ascii="Arial" w:eastAsia="Arial" w:hAnsi="Arial" w:cs="Arial"/>
          <w:sz w:val="22"/>
          <w:szCs w:val="22"/>
          <w:lang w:val="en-GB"/>
        </w:rPr>
        <w:t>(Source: Self-developed)</w:t>
      </w:r>
    </w:p>
    <w:p w14:paraId="53B88D6D"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CATWOE framework demonstrates the purpose of a system and the perspective of its stakeholders originating from the SSM model.  </w:t>
      </w:r>
      <w:r w:rsidRPr="009D66D2">
        <w:rPr>
          <w:rFonts w:ascii="Arial" w:eastAsia="Arial" w:hAnsi="Arial" w:cs="Arial"/>
          <w:i/>
          <w:iCs/>
          <w:sz w:val="22"/>
          <w:szCs w:val="22"/>
          <w:lang w:val="en-GB"/>
        </w:rPr>
        <w:t xml:space="preserve">Table 1 </w:t>
      </w:r>
      <w:r w:rsidRPr="009D66D2">
        <w:rPr>
          <w:rFonts w:ascii="Arial" w:eastAsia="Arial" w:hAnsi="Arial" w:cs="Arial"/>
          <w:sz w:val="22"/>
          <w:szCs w:val="22"/>
          <w:lang w:val="en-GB"/>
        </w:rPr>
        <w:t xml:space="preserve">identifies Customers (Jagdish Panchal), Actors (different hospital employees related to the incident), Transformation, Worldview (patient safety), Owners, and Environment (high patient volume) of the Kota case. </w:t>
      </w:r>
    </w:p>
    <w:p w14:paraId="6A16819C"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First, patients were not consistently identified, such as by wristbands and photographic identity, and this was the sole method used to decide surgical entry. According to the AHRQ </w:t>
      </w:r>
      <w:proofErr w:type="spellStart"/>
      <w:r w:rsidRPr="009D66D2">
        <w:rPr>
          <w:rFonts w:ascii="Arial" w:eastAsia="Arial" w:hAnsi="Arial" w:cs="Arial"/>
          <w:sz w:val="22"/>
          <w:szCs w:val="22"/>
          <w:lang w:val="en-GB"/>
        </w:rPr>
        <w:t>PSNet</w:t>
      </w:r>
      <w:proofErr w:type="spellEnd"/>
      <w:r w:rsidRPr="009D66D2">
        <w:rPr>
          <w:rFonts w:ascii="Arial" w:eastAsia="Arial" w:hAnsi="Arial" w:cs="Arial"/>
          <w:sz w:val="22"/>
          <w:szCs w:val="22"/>
          <w:lang w:val="en-GB"/>
        </w:rPr>
        <w:t xml:space="preserve"> 2024 primer on wrong-patient surgery, effective prevention depends on combining system solutions, </w:t>
      </w:r>
      <w:r w:rsidRPr="009D66D2">
        <w:rPr>
          <w:rFonts w:ascii="Arial" w:eastAsia="Arial" w:hAnsi="Arial" w:cs="Arial"/>
          <w:sz w:val="22"/>
          <w:szCs w:val="22"/>
          <w:lang w:val="en-GB"/>
        </w:rPr>
        <w:lastRenderedPageBreak/>
        <w:t>strong teamwork, and individual vigilance (AHRQ, 2026). This is applicable in the case of KMCH, as there was a lack of team effort and the only form of vigilance was seen by a single individual. However, the vigilance was not successful as the patient was incapable of correcting the error.</w:t>
      </w:r>
    </w:p>
    <w:p w14:paraId="7C7736E7" w14:textId="0DC8D7AE"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The lack of a sign-in stage on the WHO surgical safety checklist is also a missed structural opportunity in the hospital. Leadership intervention showed a higher checklist completion rate, emphasising that sustained institutional support and active multidisciplinary participation are important to overcome hierarchical barriers and improve patient safety (Paterson </w:t>
      </w:r>
      <w:r w:rsidRPr="009D66D2">
        <w:rPr>
          <w:rFonts w:ascii="Arial" w:eastAsia="Arial" w:hAnsi="Arial" w:cs="Arial"/>
          <w:i/>
          <w:iCs/>
          <w:sz w:val="22"/>
          <w:szCs w:val="22"/>
          <w:lang w:val="en-GB"/>
        </w:rPr>
        <w:t>et al.</w:t>
      </w:r>
      <w:r w:rsidR="00666370" w:rsidRPr="009D66D2">
        <w:rPr>
          <w:rFonts w:ascii="Arial" w:eastAsia="Arial" w:hAnsi="Arial" w:cs="Arial"/>
          <w:i/>
          <w:iCs/>
          <w:sz w:val="22"/>
          <w:szCs w:val="22"/>
          <w:lang w:val="en-GB"/>
        </w:rPr>
        <w:t>,</w:t>
      </w:r>
      <w:r w:rsidRPr="009D66D2">
        <w:rPr>
          <w:rFonts w:ascii="Arial" w:eastAsia="Arial" w:hAnsi="Arial" w:cs="Arial"/>
          <w:sz w:val="22"/>
          <w:szCs w:val="22"/>
          <w:lang w:val="en-GB"/>
        </w:rPr>
        <w:t xml:space="preserve"> 2023). This is relevant to Kota because a checklist culture was similarly enforced and leadership could have potentially caught the error before anaesthesia and incision took place.</w:t>
      </w:r>
    </w:p>
    <w:p w14:paraId="04823814" w14:textId="77777777" w:rsidR="000907B8" w:rsidRPr="009D66D2" w:rsidRDefault="00863020" w:rsidP="00666370">
      <w:pPr>
        <w:numPr>
          <w:ilvl w:val="0"/>
          <w:numId w:val="1"/>
        </w:numPr>
        <w:rPr>
          <w:rFonts w:ascii="Arial" w:hAnsi="Arial" w:cs="Arial"/>
          <w:b/>
          <w:bCs/>
          <w:i/>
          <w:iCs/>
          <w:sz w:val="22"/>
          <w:szCs w:val="22"/>
          <w:lang w:val="en-GB"/>
        </w:rPr>
      </w:pPr>
      <w:r w:rsidRPr="009D66D2">
        <w:rPr>
          <w:rFonts w:ascii="Arial" w:eastAsia="Arial" w:hAnsi="Arial" w:cs="Arial"/>
          <w:b/>
          <w:bCs/>
          <w:i/>
          <w:iCs/>
          <w:sz w:val="22"/>
          <w:szCs w:val="22"/>
          <w:lang w:val="en-GB"/>
        </w:rPr>
        <w:t xml:space="preserve">Problem: </w:t>
      </w:r>
      <w:r w:rsidRPr="009D66D2">
        <w:rPr>
          <w:rFonts w:ascii="Arial" w:eastAsia="Arial" w:hAnsi="Arial" w:cs="Arial"/>
          <w:sz w:val="22"/>
          <w:szCs w:val="22"/>
          <w:lang w:val="en-GB"/>
        </w:rPr>
        <w:t>Absence of a structured identification system</w:t>
      </w:r>
    </w:p>
    <w:p w14:paraId="12AE09FF"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b/>
          <w:bCs/>
          <w:i/>
          <w:iCs/>
          <w:sz w:val="22"/>
          <w:szCs w:val="22"/>
          <w:lang w:val="en-GB"/>
        </w:rPr>
        <w:t xml:space="preserve">Solution: </w:t>
      </w:r>
      <w:r w:rsidRPr="009D66D2">
        <w:rPr>
          <w:rFonts w:ascii="Arial" w:eastAsia="Arial" w:hAnsi="Arial" w:cs="Arial"/>
          <w:sz w:val="22"/>
          <w:szCs w:val="22"/>
          <w:lang w:val="en-GB"/>
        </w:rPr>
        <w:t xml:space="preserve">Mandatory wristband and photograph verification system needs to be developed to be reinforced through leadership-led audits. </w:t>
      </w:r>
    </w:p>
    <w:p w14:paraId="39C22DFD" w14:textId="77777777" w:rsidR="000907B8" w:rsidRPr="009D66D2" w:rsidRDefault="00863020" w:rsidP="00666370">
      <w:pPr>
        <w:numPr>
          <w:ilvl w:val="0"/>
          <w:numId w:val="1"/>
        </w:numPr>
        <w:rPr>
          <w:rFonts w:ascii="Arial" w:hAnsi="Arial" w:cs="Arial"/>
          <w:b/>
          <w:bCs/>
          <w:i/>
          <w:iCs/>
          <w:sz w:val="22"/>
          <w:szCs w:val="22"/>
          <w:lang w:val="en-GB"/>
        </w:rPr>
      </w:pPr>
      <w:r w:rsidRPr="009D66D2">
        <w:rPr>
          <w:rFonts w:ascii="Arial" w:eastAsia="Arial" w:hAnsi="Arial" w:cs="Arial"/>
          <w:b/>
          <w:bCs/>
          <w:i/>
          <w:iCs/>
          <w:sz w:val="22"/>
          <w:szCs w:val="22"/>
          <w:lang w:val="en-GB"/>
        </w:rPr>
        <w:t xml:space="preserve">Problem: </w:t>
      </w:r>
      <w:r w:rsidRPr="009D66D2">
        <w:rPr>
          <w:rFonts w:ascii="Arial" w:eastAsia="Arial" w:hAnsi="Arial" w:cs="Arial"/>
          <w:sz w:val="22"/>
          <w:szCs w:val="22"/>
          <w:lang w:val="en-GB"/>
        </w:rPr>
        <w:t>Passive compliance culture discouraging staff from questioning irregularities.</w:t>
      </w:r>
    </w:p>
    <w:p w14:paraId="696B1F25"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b/>
          <w:bCs/>
          <w:i/>
          <w:iCs/>
          <w:sz w:val="22"/>
          <w:szCs w:val="22"/>
          <w:lang w:val="en-GB"/>
        </w:rPr>
        <w:t xml:space="preserve">Solution: </w:t>
      </w:r>
      <w:r w:rsidRPr="009D66D2">
        <w:rPr>
          <w:rFonts w:ascii="Arial" w:eastAsia="Arial" w:hAnsi="Arial" w:cs="Arial"/>
          <w:sz w:val="22"/>
          <w:szCs w:val="22"/>
          <w:lang w:val="en-GB"/>
        </w:rPr>
        <w:t>Transformational leadership behaviours need to be developed that praise vigilance for maintaining safety culture.</w:t>
      </w:r>
    </w:p>
    <w:p w14:paraId="4D96BF48" w14:textId="77777777" w:rsidR="000907B8" w:rsidRPr="009D66D2" w:rsidRDefault="00863020" w:rsidP="00666370">
      <w:pPr>
        <w:rPr>
          <w:rFonts w:ascii="Arial" w:eastAsia="Arial" w:hAnsi="Arial" w:cs="Arial"/>
          <w:b/>
          <w:bCs/>
          <w:i/>
          <w:iCs/>
          <w:sz w:val="22"/>
          <w:szCs w:val="22"/>
          <w:lang w:val="en-GB"/>
        </w:rPr>
      </w:pPr>
      <w:r w:rsidRPr="009D66D2">
        <w:rPr>
          <w:rFonts w:ascii="Arial" w:eastAsia="Arial" w:hAnsi="Arial" w:cs="Arial"/>
          <w:b/>
          <w:bCs/>
          <w:i/>
          <w:iCs/>
          <w:sz w:val="22"/>
          <w:szCs w:val="22"/>
          <w:lang w:val="en-GB"/>
        </w:rPr>
        <w:t>Linking with findings</w:t>
      </w:r>
    </w:p>
    <w:p w14:paraId="2B351C20"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The SSM and CATWOE analysis demonstrate that there is a need for decentralisation of protocol, and transactional compliance needs to be accompanied by transformational culture-building in the hospital. The Kota Hospital needs to distribute accountability provisions against single-point failures in the hospital incidents. CATWOE is a governance tool that can be used to turn policy into action and owner-accountable design. Evidence and data from the hospital can then be used to monitor the ability to achieve the transformation in the hospital operation.</w:t>
      </w:r>
    </w:p>
    <w:p w14:paraId="2F84D1D7" w14:textId="77777777" w:rsidR="000907B8" w:rsidRPr="009D66D2" w:rsidRDefault="00863020" w:rsidP="00666370">
      <w:pPr>
        <w:pStyle w:val="Heading1"/>
        <w:rPr>
          <w:rFonts w:eastAsia="Arial"/>
        </w:rPr>
      </w:pPr>
      <w:bookmarkStart w:id="14" w:name="_hlmze0jbazya" w:colFirst="0" w:colLast="0"/>
      <w:bookmarkStart w:id="15" w:name="_Toc235889755"/>
      <w:bookmarkEnd w:id="14"/>
      <w:r w:rsidRPr="009D66D2">
        <w:rPr>
          <w:rFonts w:eastAsia="Arial"/>
        </w:rPr>
        <w:t>Recommendation</w:t>
      </w:r>
      <w:bookmarkEnd w:id="15"/>
      <w:r w:rsidRPr="009D66D2">
        <w:rPr>
          <w:rFonts w:eastAsia="Arial"/>
        </w:rPr>
        <w:t xml:space="preserve"> </w:t>
      </w:r>
    </w:p>
    <w:p w14:paraId="1572F342" w14:textId="5F6367D4" w:rsidR="000907B8" w:rsidRPr="009D66D2" w:rsidRDefault="00863020" w:rsidP="00666370">
      <w:pPr>
        <w:pStyle w:val="ListParagraph"/>
        <w:numPr>
          <w:ilvl w:val="0"/>
          <w:numId w:val="8"/>
        </w:numPr>
        <w:rPr>
          <w:rFonts w:ascii="Arial" w:eastAsia="Arial" w:hAnsi="Arial" w:cs="Arial"/>
          <w:b/>
          <w:bCs/>
          <w:i/>
          <w:iCs/>
          <w:sz w:val="22"/>
          <w:szCs w:val="22"/>
          <w:lang w:val="en-GB"/>
        </w:rPr>
      </w:pPr>
      <w:bookmarkStart w:id="16" w:name="_nbc6rkwbwen4" w:colFirst="0" w:colLast="0"/>
      <w:bookmarkEnd w:id="16"/>
      <w:r w:rsidRPr="009D66D2">
        <w:rPr>
          <w:rFonts w:ascii="Arial" w:eastAsia="Arial" w:hAnsi="Arial" w:cs="Arial"/>
          <w:b/>
          <w:bCs/>
          <w:i/>
          <w:iCs/>
          <w:sz w:val="22"/>
          <w:szCs w:val="22"/>
          <w:lang w:val="en-GB"/>
        </w:rPr>
        <w:t>Summary of next steps in the KMCH</w:t>
      </w:r>
    </w:p>
    <w:p w14:paraId="75EAEFC2"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The mandatory patient identification protocols need to be implemented in the OT of Kota Hospital. These protocols are enforced by a patient identification process that includes combined wrist banding, photo identification and a completed WHO surgical safety checklist sign-in process before any patient is taken to OT. According to Krstulović </w:t>
      </w:r>
      <w:r w:rsidRPr="009D66D2">
        <w:rPr>
          <w:rFonts w:ascii="Arial" w:eastAsia="Arial" w:hAnsi="Arial" w:cs="Arial"/>
          <w:i/>
          <w:iCs/>
          <w:sz w:val="22"/>
          <w:szCs w:val="22"/>
          <w:lang w:val="en-GB"/>
        </w:rPr>
        <w:t xml:space="preserve">et al. </w:t>
      </w:r>
      <w:r w:rsidRPr="009D66D2">
        <w:rPr>
          <w:rFonts w:ascii="Arial" w:eastAsia="Arial" w:hAnsi="Arial" w:cs="Arial"/>
          <w:sz w:val="22"/>
          <w:szCs w:val="22"/>
          <w:lang w:val="en-GB"/>
        </w:rPr>
        <w:t xml:space="preserve">(2025), structured leadership interventions raised checklist completeness from 78.3% to 94.7% within twelve months at University Hospital of Split, Croatia. This insight demonstrates that similar improvements can be seen in Kota Hospital by utilising this adaptation of the surgical safety checklist. </w:t>
      </w:r>
    </w:p>
    <w:p w14:paraId="50FCDBF0" w14:textId="5FD16113" w:rsidR="000907B8" w:rsidRPr="009D66D2" w:rsidRDefault="00863020" w:rsidP="00666370">
      <w:pPr>
        <w:pStyle w:val="ListParagraph"/>
        <w:numPr>
          <w:ilvl w:val="0"/>
          <w:numId w:val="7"/>
        </w:numPr>
        <w:rPr>
          <w:rFonts w:ascii="Arial" w:eastAsia="Arial" w:hAnsi="Arial" w:cs="Arial"/>
          <w:b/>
          <w:bCs/>
          <w:i/>
          <w:iCs/>
          <w:sz w:val="22"/>
          <w:szCs w:val="22"/>
          <w:lang w:val="en-GB"/>
        </w:rPr>
      </w:pPr>
      <w:bookmarkStart w:id="17" w:name="_qgxgymdxt2iz" w:colFirst="0" w:colLast="0"/>
      <w:bookmarkEnd w:id="17"/>
      <w:r w:rsidRPr="009D66D2">
        <w:rPr>
          <w:rFonts w:ascii="Arial" w:eastAsia="Arial" w:hAnsi="Arial" w:cs="Arial"/>
          <w:b/>
          <w:bCs/>
          <w:i/>
          <w:iCs/>
          <w:sz w:val="22"/>
          <w:szCs w:val="22"/>
          <w:lang w:val="en-GB"/>
        </w:rPr>
        <w:t>Recommendation for the most effective leadership styles for sustaining improvement.</w:t>
      </w:r>
    </w:p>
    <w:p w14:paraId="0F8E66C6" w14:textId="3C9128A9"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lastRenderedPageBreak/>
        <w:t xml:space="preserve">A combination of transformational and distributed leadership is suitable for sustaining in long-term quality improvement in the hospital. </w:t>
      </w:r>
      <w:r w:rsidR="00273C94" w:rsidRPr="009D66D2">
        <w:rPr>
          <w:rFonts w:ascii="Arial" w:eastAsia="Arial" w:hAnsi="Arial" w:cs="Arial"/>
          <w:sz w:val="22"/>
          <w:szCs w:val="22"/>
          <w:lang w:val="en-GB"/>
        </w:rPr>
        <w:t>Apart from this, t</w:t>
      </w:r>
      <w:r w:rsidRPr="009D66D2">
        <w:rPr>
          <w:rFonts w:ascii="Arial" w:eastAsia="Arial" w:hAnsi="Arial" w:cs="Arial"/>
          <w:sz w:val="22"/>
          <w:szCs w:val="22"/>
          <w:lang w:val="en-GB"/>
        </w:rPr>
        <w:t xml:space="preserve">he use of transformational leadership can increase patient safety culture and improve patient safety influence behaviour (Hamdan </w:t>
      </w:r>
      <w:r w:rsidRPr="009D66D2">
        <w:rPr>
          <w:rFonts w:ascii="Arial" w:eastAsia="Arial" w:hAnsi="Arial" w:cs="Arial"/>
          <w:i/>
          <w:iCs/>
          <w:sz w:val="22"/>
          <w:szCs w:val="22"/>
          <w:lang w:val="en-GB"/>
        </w:rPr>
        <w:t>et al.</w:t>
      </w:r>
      <w:r w:rsidR="00666370" w:rsidRPr="009D66D2">
        <w:rPr>
          <w:rFonts w:ascii="Arial" w:eastAsia="Arial" w:hAnsi="Arial" w:cs="Arial"/>
          <w:i/>
          <w:iCs/>
          <w:sz w:val="22"/>
          <w:szCs w:val="22"/>
          <w:lang w:val="en-GB"/>
        </w:rPr>
        <w:t>,</w:t>
      </w:r>
      <w:r w:rsidRPr="009D66D2">
        <w:rPr>
          <w:rFonts w:ascii="Arial" w:eastAsia="Arial" w:hAnsi="Arial" w:cs="Arial"/>
          <w:sz w:val="22"/>
          <w:szCs w:val="22"/>
          <w:lang w:val="en-GB"/>
        </w:rPr>
        <w:t xml:space="preserve"> 2024). Additionally, distributed leadership helps to prevent the single point failure concept by spreading the responsibility for safety across the surgical pathway (Carstensen </w:t>
      </w:r>
      <w:r w:rsidRPr="009D66D2">
        <w:rPr>
          <w:rFonts w:ascii="Arial" w:eastAsia="Arial" w:hAnsi="Arial" w:cs="Arial"/>
          <w:i/>
          <w:iCs/>
          <w:sz w:val="22"/>
          <w:szCs w:val="22"/>
          <w:lang w:val="en-GB"/>
        </w:rPr>
        <w:t>et al.</w:t>
      </w:r>
      <w:r w:rsidR="00666370" w:rsidRPr="009D66D2">
        <w:rPr>
          <w:rFonts w:ascii="Arial" w:eastAsia="Arial" w:hAnsi="Arial" w:cs="Arial"/>
          <w:i/>
          <w:iCs/>
          <w:sz w:val="22"/>
          <w:szCs w:val="22"/>
          <w:lang w:val="en-GB"/>
        </w:rPr>
        <w:t>,</w:t>
      </w:r>
      <w:r w:rsidRPr="009D66D2">
        <w:rPr>
          <w:rFonts w:ascii="Arial" w:eastAsia="Arial" w:hAnsi="Arial" w:cs="Arial"/>
          <w:sz w:val="22"/>
          <w:szCs w:val="22"/>
          <w:lang w:val="en-GB"/>
        </w:rPr>
        <w:t xml:space="preserve"> 2024). Therefore, transactional facilitation for checklists needs to be retained but as a part of a more comprehensive culture of transformational and distributed leadership in the hospital. </w:t>
      </w:r>
    </w:p>
    <w:p w14:paraId="65097293" w14:textId="40182CBE" w:rsidR="000907B8" w:rsidRPr="009D66D2" w:rsidRDefault="00863020" w:rsidP="00666370">
      <w:pPr>
        <w:pStyle w:val="ListParagraph"/>
        <w:numPr>
          <w:ilvl w:val="0"/>
          <w:numId w:val="6"/>
        </w:numPr>
        <w:rPr>
          <w:rFonts w:ascii="Arial" w:eastAsia="Arial" w:hAnsi="Arial" w:cs="Arial"/>
          <w:b/>
          <w:bCs/>
          <w:i/>
          <w:iCs/>
          <w:sz w:val="22"/>
          <w:szCs w:val="22"/>
          <w:lang w:val="en-GB"/>
        </w:rPr>
      </w:pPr>
      <w:bookmarkStart w:id="18" w:name="_jdz96z6be27h" w:colFirst="0" w:colLast="0"/>
      <w:bookmarkEnd w:id="18"/>
      <w:r w:rsidRPr="009D66D2">
        <w:rPr>
          <w:rFonts w:ascii="Arial" w:eastAsia="Arial" w:hAnsi="Arial" w:cs="Arial"/>
          <w:b/>
          <w:bCs/>
          <w:i/>
          <w:iCs/>
          <w:sz w:val="22"/>
          <w:szCs w:val="22"/>
          <w:lang w:val="en-GB"/>
        </w:rPr>
        <w:t>Strengthen governance, communication, and systems integration.</w:t>
      </w:r>
    </w:p>
    <w:p w14:paraId="0193C5FD" w14:textId="5F247629"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The hospital needs to establish a decentralised decision-making body at the facility level, enabling local leaders to customise protocols. These protocols and guidelines need to align with the national level of service, addressing the local risk profile within a decentralised health governance model in Karnataka (</w:t>
      </w:r>
      <w:proofErr w:type="spellStart"/>
      <w:r w:rsidRPr="009D66D2">
        <w:rPr>
          <w:rFonts w:ascii="Arial" w:eastAsia="Arial" w:hAnsi="Arial" w:cs="Arial"/>
          <w:sz w:val="22"/>
          <w:szCs w:val="22"/>
          <w:lang w:val="en-GB"/>
        </w:rPr>
        <w:t>Nanjunda</w:t>
      </w:r>
      <w:proofErr w:type="spellEnd"/>
      <w:r w:rsidRPr="009D66D2">
        <w:rPr>
          <w:rFonts w:ascii="Arial" w:eastAsia="Arial" w:hAnsi="Arial" w:cs="Arial"/>
          <w:sz w:val="22"/>
          <w:szCs w:val="22"/>
          <w:lang w:val="en-GB"/>
        </w:rPr>
        <w:t xml:space="preserve">, 2024). </w:t>
      </w:r>
      <w:r w:rsidR="00273C94" w:rsidRPr="009D66D2">
        <w:rPr>
          <w:rFonts w:ascii="Arial" w:eastAsia="Arial" w:hAnsi="Arial" w:cs="Arial"/>
          <w:sz w:val="22"/>
          <w:szCs w:val="22"/>
          <w:lang w:val="en-GB"/>
        </w:rPr>
        <w:t>Based on this aspect, t</w:t>
      </w:r>
      <w:r w:rsidRPr="009D66D2">
        <w:rPr>
          <w:rFonts w:ascii="Arial" w:eastAsia="Arial" w:hAnsi="Arial" w:cs="Arial"/>
          <w:sz w:val="22"/>
          <w:szCs w:val="22"/>
          <w:lang w:val="en-GB"/>
        </w:rPr>
        <w:t>he hospital needs to change its mode of communication from general verbal calling to a name-and-photo calling system, with electronic patient tracking as required where possible. The Ministry of Health and Family Welfare's 2024 SHSRC framework suggests integrating vertical programmes to minimise fragmentation across institutions (NHSRC, 2024). Therefore, Kota Hospital needs to establish a framework of formalised governance and technical leadership at a higher level and directly involve a safety committee at the facility level.</w:t>
      </w:r>
    </w:p>
    <w:p w14:paraId="1D1F3CA0" w14:textId="1860A227" w:rsidR="000907B8" w:rsidRPr="009D66D2" w:rsidRDefault="00863020" w:rsidP="00666370">
      <w:pPr>
        <w:pStyle w:val="ListParagraph"/>
        <w:numPr>
          <w:ilvl w:val="0"/>
          <w:numId w:val="5"/>
        </w:numPr>
        <w:rPr>
          <w:rFonts w:ascii="Arial" w:eastAsia="Arial" w:hAnsi="Arial" w:cs="Arial"/>
          <w:b/>
          <w:bCs/>
          <w:i/>
          <w:iCs/>
          <w:sz w:val="22"/>
          <w:szCs w:val="22"/>
          <w:lang w:val="en-GB"/>
        </w:rPr>
      </w:pPr>
      <w:bookmarkStart w:id="19" w:name="_1jo0le9tnp94" w:colFirst="0" w:colLast="0"/>
      <w:bookmarkEnd w:id="19"/>
      <w:r w:rsidRPr="009D66D2">
        <w:rPr>
          <w:rFonts w:ascii="Arial" w:eastAsia="Arial" w:hAnsi="Arial" w:cs="Arial"/>
          <w:b/>
          <w:bCs/>
          <w:i/>
          <w:iCs/>
          <w:sz w:val="22"/>
          <w:szCs w:val="22"/>
          <w:lang w:val="en-GB"/>
        </w:rPr>
        <w:t>Enhancing technical and allocative efficiency.</w:t>
      </w:r>
    </w:p>
    <w:p w14:paraId="52658511"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Technical efficiency can be improved by integrating identification checks into existing clinical workflow, rather than treating them as separate additional steps for already stretched staff. Moreover, allocative efficiency can be enhanced by focusing on high-value, low-cost investments in safeguards, such as wristbands and periodic checklist audits. Additionally, Krstulović </w:t>
      </w:r>
      <w:r w:rsidRPr="009D66D2">
        <w:rPr>
          <w:rFonts w:ascii="Arial" w:eastAsia="Arial" w:hAnsi="Arial" w:cs="Arial"/>
          <w:i/>
          <w:iCs/>
          <w:sz w:val="22"/>
          <w:szCs w:val="22"/>
          <w:lang w:val="en-GB"/>
        </w:rPr>
        <w:t>et al.</w:t>
      </w:r>
      <w:r w:rsidRPr="009D66D2">
        <w:rPr>
          <w:rFonts w:ascii="Arial" w:eastAsia="Arial" w:hAnsi="Arial" w:cs="Arial"/>
          <w:sz w:val="22"/>
          <w:szCs w:val="22"/>
          <w:lang w:val="en-GB"/>
        </w:rPr>
        <w:t xml:space="preserve"> (2025) claimed that allocative efficiency can be achieved by low-cost leadership and commitments and without deploying costly new technologies. </w:t>
      </w:r>
    </w:p>
    <w:p w14:paraId="1BAEB256" w14:textId="0D5321B8" w:rsidR="000907B8" w:rsidRPr="009D66D2" w:rsidRDefault="00863020" w:rsidP="00666370">
      <w:pPr>
        <w:pStyle w:val="ListParagraph"/>
        <w:numPr>
          <w:ilvl w:val="0"/>
          <w:numId w:val="4"/>
        </w:numPr>
        <w:rPr>
          <w:rFonts w:ascii="Arial" w:eastAsia="Arial" w:hAnsi="Arial" w:cs="Arial"/>
          <w:b/>
          <w:bCs/>
          <w:i/>
          <w:iCs/>
          <w:sz w:val="22"/>
          <w:szCs w:val="22"/>
          <w:lang w:val="en-GB"/>
        </w:rPr>
      </w:pPr>
      <w:bookmarkStart w:id="20" w:name="_h7fb1i953fir" w:colFirst="0" w:colLast="0"/>
      <w:bookmarkEnd w:id="20"/>
      <w:r w:rsidRPr="009D66D2">
        <w:rPr>
          <w:rFonts w:ascii="Arial" w:eastAsia="Arial" w:hAnsi="Arial" w:cs="Arial"/>
          <w:b/>
          <w:bCs/>
          <w:i/>
          <w:iCs/>
          <w:sz w:val="22"/>
          <w:szCs w:val="22"/>
          <w:lang w:val="en-GB"/>
        </w:rPr>
        <w:t>Continuous learning, stakeholder engagement, and co-production.</w:t>
      </w:r>
    </w:p>
    <w:p w14:paraId="17FC3E40" w14:textId="77777777"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Kota Medical College Hospital needs to have a system to maintain continuous learning from incidents and ensure that changes in the system are not merely corrective but are sustainable. Sustainable improvement requires commitments from leadership, open communication, and a balance of responsibility and accountability (Kumah, 2025). This is reliant on Kota, as a system of reporting has a no-penalty, justice-based system and would allow employees to share errors like unverified patients before they cause harm. </w:t>
      </w:r>
    </w:p>
    <w:p w14:paraId="42ECC8C9" w14:textId="11345693" w:rsidR="000907B8" w:rsidRPr="009D66D2" w:rsidRDefault="00863020" w:rsidP="00666370">
      <w:pPr>
        <w:rPr>
          <w:rFonts w:ascii="Arial" w:eastAsia="Arial" w:hAnsi="Arial" w:cs="Arial"/>
          <w:sz w:val="22"/>
          <w:szCs w:val="22"/>
          <w:lang w:val="en-GB"/>
        </w:rPr>
      </w:pPr>
      <w:r w:rsidRPr="009D66D2">
        <w:rPr>
          <w:rFonts w:ascii="Arial" w:eastAsia="Arial" w:hAnsi="Arial" w:cs="Arial"/>
          <w:sz w:val="22"/>
          <w:szCs w:val="22"/>
          <w:lang w:val="en-GB"/>
        </w:rPr>
        <w:t xml:space="preserve">For example, the Patient Safety Incident Response Framework (PSIRF) for NHS England, which was subsequently implemented at all NHS Secondary care providers by 2024. NHS has described </w:t>
      </w:r>
      <w:r w:rsidRPr="009D66D2">
        <w:rPr>
          <w:rFonts w:ascii="Arial" w:eastAsia="Arial" w:hAnsi="Arial" w:cs="Arial"/>
          <w:sz w:val="22"/>
          <w:szCs w:val="22"/>
          <w:lang w:val="en-GB"/>
        </w:rPr>
        <w:lastRenderedPageBreak/>
        <w:t>PSIRF as incorporating systems thinking and structured co-production with both patients and families and staff, rather than individual-blame reactive responses to incidents (NHS England, 2022). This is relevant to Kota as they would formally engage in revisiting and redoing the identification process with Panchal's family along with ward nurses and OT staff. Additionally, patients and front-line staff need to be actively involved in co-designing safeguards, tailored to actual working practice.</w:t>
      </w:r>
    </w:p>
    <w:p w14:paraId="71535AFF" w14:textId="77777777" w:rsidR="00D30001" w:rsidRPr="009D66D2" w:rsidRDefault="00D30001" w:rsidP="00666370">
      <w:pPr>
        <w:pStyle w:val="Heading1"/>
      </w:pPr>
      <w:bookmarkStart w:id="21" w:name="_Toc235889756"/>
      <w:r w:rsidRPr="009D66D2">
        <w:t>Conclusion</w:t>
      </w:r>
      <w:bookmarkEnd w:id="21"/>
    </w:p>
    <w:p w14:paraId="25D6EC10"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It can be concluded from the above discussion that the case report of Never Events defines the overall ineffectiveness of safety and managerial governance at the Kota Medical College Hospital.  The “WHO Surgical Safety Checklist” is recognised to be actively executed despite being treated as passive paperwork. On the other hand, a catastrophic identification breakdown within the healthcare system is recognised through this segment as the wrong-patient surgical procedure was executed on a non-patient bystander. This case signifies that the prevalence of never events is increasing rapidly within India as compared to other nations globally. The governance in the regional health department experiences challenges due to high patient loads, as well as overcrowding in public tertiary facilities and severe nurse-to-patient ratios.</w:t>
      </w:r>
    </w:p>
    <w:p w14:paraId="412AEC5E" w14:textId="77777777" w:rsidR="00D30001" w:rsidRPr="009D66D2" w:rsidRDefault="00D30001" w:rsidP="00666370">
      <w:pPr>
        <w:rPr>
          <w:rFonts w:ascii="Arial" w:hAnsi="Arial" w:cs="Arial"/>
          <w:sz w:val="22"/>
          <w:szCs w:val="22"/>
          <w:lang w:val="en-GB"/>
        </w:rPr>
      </w:pPr>
      <w:r w:rsidRPr="009D66D2">
        <w:rPr>
          <w:rFonts w:ascii="Arial" w:hAnsi="Arial" w:cs="Arial"/>
          <w:sz w:val="22"/>
          <w:szCs w:val="22"/>
          <w:lang w:val="en-GB"/>
        </w:rPr>
        <w:t>Communication barriers that have been a challenging phase for health as well as social care workers in the way of treating patients with disabilities, speech impairment, low literacy, or language variations. The Medical College Principal, Hospital Superintendent, and Heads of Departments (HODs) follow the structure of a centralised healthcare system.</w:t>
      </w:r>
    </w:p>
    <w:p w14:paraId="1FEA0F22" w14:textId="26BAA1B9" w:rsidR="00D30001" w:rsidRPr="009D66D2" w:rsidRDefault="00D30001" w:rsidP="00666370">
      <w:pPr>
        <w:rPr>
          <w:rFonts w:ascii="Arial" w:eastAsia="Arial" w:hAnsi="Arial" w:cs="Arial"/>
          <w:sz w:val="22"/>
          <w:szCs w:val="22"/>
          <w:lang w:val="en-GB"/>
        </w:rPr>
      </w:pPr>
      <w:r w:rsidRPr="009D66D2">
        <w:rPr>
          <w:rFonts w:ascii="Arial" w:hAnsi="Arial" w:cs="Arial"/>
          <w:sz w:val="22"/>
          <w:szCs w:val="22"/>
          <w:lang w:val="en-GB"/>
        </w:rPr>
        <w:t xml:space="preserve">The Bottlenecks are regarding frontline surgical staff who become dependent on top-down direction and can often delay real-time problem-solving on the floor. Advantages of a decentralised model in healthcare, when properly structured, include Agile Risk Mitigation. The ineffective decision-making across Indian hospitals has been recognised, which is mainly associated with the centralised model. On the other hand, a pure command-driven structure creates a punitive environment and staff passively execute tasks, driving to critical breakdowns like bypassing WHO Surgical Safety Checklists. On the other hand, moving forward, healthcare institutions must balance centralised quality auditing like mandatory dual-identifier wristbands with decentralised, multidisciplinary empowerment. By fostering emotionally intelligent leadership and empowering every healthcare team member, hospitals can prevent catastrophic communication failures and protect vulnerable patients in a systematic way. Transformational, transactional and distributed leadership applications can be helpful for establishing the structural implications of this improved healthcare system.  </w:t>
      </w:r>
    </w:p>
    <w:p w14:paraId="10DF8EF4" w14:textId="77777777" w:rsidR="000907B8" w:rsidRPr="009D66D2" w:rsidRDefault="00863020" w:rsidP="00B85BF5">
      <w:pPr>
        <w:rPr>
          <w:rFonts w:ascii="Arial" w:eastAsia="Arial" w:hAnsi="Arial" w:cs="Arial"/>
          <w:sz w:val="22"/>
          <w:szCs w:val="22"/>
          <w:lang w:val="en-GB"/>
        </w:rPr>
      </w:pPr>
      <w:r w:rsidRPr="009D66D2">
        <w:rPr>
          <w:rFonts w:ascii="Arial" w:hAnsi="Arial" w:cs="Arial"/>
          <w:sz w:val="22"/>
          <w:szCs w:val="22"/>
          <w:lang w:val="en-GB"/>
        </w:rPr>
        <w:br w:type="page"/>
      </w:r>
    </w:p>
    <w:p w14:paraId="6B7BE880" w14:textId="01C56A14" w:rsidR="000907B8" w:rsidRPr="009D66D2" w:rsidRDefault="00863020" w:rsidP="00B23989">
      <w:pPr>
        <w:pStyle w:val="Heading1"/>
        <w:rPr>
          <w:rFonts w:eastAsia="Arial"/>
        </w:rPr>
      </w:pPr>
      <w:bookmarkStart w:id="22" w:name="_p8iaaf8ohkur" w:colFirst="0" w:colLast="0"/>
      <w:bookmarkStart w:id="23" w:name="_Toc235889757"/>
      <w:bookmarkEnd w:id="22"/>
      <w:r w:rsidRPr="009D66D2">
        <w:rPr>
          <w:rFonts w:eastAsia="Arial"/>
        </w:rPr>
        <w:lastRenderedPageBreak/>
        <w:t>Reference</w:t>
      </w:r>
      <w:bookmarkEnd w:id="23"/>
      <w:r w:rsidR="00C024BC">
        <w:rPr>
          <w:rFonts w:eastAsia="Arial"/>
        </w:rPr>
        <w:t>s</w:t>
      </w:r>
    </w:p>
    <w:p w14:paraId="1F50DC21" w14:textId="77777777" w:rsidR="00666370" w:rsidRPr="00D92135" w:rsidRDefault="00666370" w:rsidP="00D92135">
      <w:pPr>
        <w:spacing w:before="240" w:after="240"/>
        <w:rPr>
          <w:rFonts w:ascii="Arial" w:hAnsi="Arial" w:cs="Arial"/>
          <w:color w:val="1155CC"/>
          <w:sz w:val="22"/>
          <w:szCs w:val="22"/>
          <w:u w:val="single"/>
          <w:lang w:val="en-GB"/>
        </w:rPr>
      </w:pPr>
      <w:proofErr w:type="spellStart"/>
      <w:r w:rsidRPr="00D92135">
        <w:rPr>
          <w:rFonts w:ascii="Arial" w:hAnsi="Arial" w:cs="Arial"/>
          <w:sz w:val="22"/>
          <w:szCs w:val="22"/>
          <w:lang w:val="en-GB"/>
        </w:rPr>
        <w:t>Abosheisha</w:t>
      </w:r>
      <w:proofErr w:type="spellEnd"/>
      <w:r w:rsidRPr="00D92135">
        <w:rPr>
          <w:rFonts w:ascii="Arial" w:hAnsi="Arial" w:cs="Arial"/>
          <w:sz w:val="22"/>
          <w:szCs w:val="22"/>
          <w:lang w:val="en-GB"/>
        </w:rPr>
        <w:t xml:space="preserve">, M., Hafez, A. and Omar, I., (2025). ‘Assessment of the trends of never events across </w:t>
      </w:r>
      <w:proofErr w:type="spellStart"/>
      <w:r w:rsidRPr="00D92135">
        <w:rPr>
          <w:rFonts w:ascii="Arial" w:hAnsi="Arial" w:cs="Arial"/>
          <w:sz w:val="22"/>
          <w:szCs w:val="22"/>
          <w:lang w:val="en-GB"/>
        </w:rPr>
        <w:t>nhs</w:t>
      </w:r>
      <w:proofErr w:type="spellEnd"/>
      <w:r w:rsidRPr="00D92135">
        <w:rPr>
          <w:rFonts w:ascii="Arial" w:hAnsi="Arial" w:cs="Arial"/>
          <w:sz w:val="22"/>
          <w:szCs w:val="22"/>
          <w:lang w:val="en-GB"/>
        </w:rPr>
        <w:t xml:space="preserve"> </w:t>
      </w:r>
      <w:proofErr w:type="spellStart"/>
      <w:r w:rsidRPr="00D92135">
        <w:rPr>
          <w:rFonts w:ascii="Arial" w:hAnsi="Arial" w:cs="Arial"/>
          <w:sz w:val="22"/>
          <w:szCs w:val="22"/>
          <w:lang w:val="en-GB"/>
        </w:rPr>
        <w:t>england</w:t>
      </w:r>
      <w:proofErr w:type="spellEnd"/>
      <w:r w:rsidRPr="00D92135">
        <w:rPr>
          <w:rFonts w:ascii="Arial" w:hAnsi="Arial" w:cs="Arial"/>
          <w:sz w:val="22"/>
          <w:szCs w:val="22"/>
          <w:lang w:val="en-GB"/>
        </w:rPr>
        <w:t xml:space="preserve">: a 6-year analysis’. </w:t>
      </w:r>
      <w:r w:rsidRPr="00D92135">
        <w:rPr>
          <w:rFonts w:ascii="Arial" w:hAnsi="Arial" w:cs="Arial"/>
          <w:i/>
          <w:iCs/>
          <w:sz w:val="22"/>
          <w:szCs w:val="22"/>
          <w:lang w:val="en-GB"/>
        </w:rPr>
        <w:t xml:space="preserve">International Journal </w:t>
      </w:r>
      <w:proofErr w:type="gramStart"/>
      <w:r w:rsidRPr="00D92135">
        <w:rPr>
          <w:rFonts w:ascii="Arial" w:hAnsi="Arial" w:cs="Arial"/>
          <w:i/>
          <w:iCs/>
          <w:sz w:val="22"/>
          <w:szCs w:val="22"/>
          <w:lang w:val="en-GB"/>
        </w:rPr>
        <w:t>For</w:t>
      </w:r>
      <w:proofErr w:type="gramEnd"/>
      <w:r w:rsidRPr="00D92135">
        <w:rPr>
          <w:rFonts w:ascii="Arial" w:hAnsi="Arial" w:cs="Arial"/>
          <w:i/>
          <w:iCs/>
          <w:sz w:val="22"/>
          <w:szCs w:val="22"/>
          <w:lang w:val="en-GB"/>
        </w:rPr>
        <w:t xml:space="preserve"> Quality </w:t>
      </w:r>
      <w:proofErr w:type="gramStart"/>
      <w:r w:rsidRPr="00D92135">
        <w:rPr>
          <w:rFonts w:ascii="Arial" w:hAnsi="Arial" w:cs="Arial"/>
          <w:i/>
          <w:iCs/>
          <w:sz w:val="22"/>
          <w:szCs w:val="22"/>
          <w:lang w:val="en-GB"/>
        </w:rPr>
        <w:t>In</w:t>
      </w:r>
      <w:proofErr w:type="gramEnd"/>
      <w:r w:rsidRPr="00D92135">
        <w:rPr>
          <w:rFonts w:ascii="Arial" w:hAnsi="Arial" w:cs="Arial"/>
          <w:i/>
          <w:iCs/>
          <w:sz w:val="22"/>
          <w:szCs w:val="22"/>
          <w:lang w:val="en-GB"/>
        </w:rPr>
        <w:t xml:space="preserve"> Health Care</w:t>
      </w:r>
      <w:r w:rsidRPr="00D92135">
        <w:rPr>
          <w:rFonts w:ascii="Arial" w:hAnsi="Arial" w:cs="Arial"/>
          <w:sz w:val="22"/>
          <w:szCs w:val="22"/>
          <w:lang w:val="en-GB"/>
        </w:rPr>
        <w:t xml:space="preserve">, </w:t>
      </w:r>
      <w:r w:rsidRPr="00D92135">
        <w:rPr>
          <w:rFonts w:ascii="Arial" w:hAnsi="Arial" w:cs="Arial"/>
          <w:i/>
          <w:iCs/>
          <w:sz w:val="22"/>
          <w:szCs w:val="22"/>
          <w:lang w:val="en-GB"/>
        </w:rPr>
        <w:t>37</w:t>
      </w:r>
      <w:r w:rsidRPr="00D92135">
        <w:rPr>
          <w:rFonts w:ascii="Arial" w:hAnsi="Arial" w:cs="Arial"/>
          <w:sz w:val="22"/>
          <w:szCs w:val="22"/>
          <w:lang w:val="en-GB"/>
        </w:rPr>
        <w:t xml:space="preserve">(4), </w:t>
      </w:r>
      <w:proofErr w:type="gramStart"/>
      <w:r w:rsidRPr="00D92135">
        <w:rPr>
          <w:rFonts w:ascii="Arial" w:hAnsi="Arial" w:cs="Arial"/>
          <w:sz w:val="22"/>
          <w:szCs w:val="22"/>
          <w:lang w:val="en-GB"/>
        </w:rPr>
        <w:t>p.mzaf</w:t>
      </w:r>
      <w:proofErr w:type="gramEnd"/>
      <w:r w:rsidRPr="00D92135">
        <w:rPr>
          <w:rFonts w:ascii="Arial" w:hAnsi="Arial" w:cs="Arial"/>
          <w:sz w:val="22"/>
          <w:szCs w:val="22"/>
          <w:lang w:val="en-GB"/>
        </w:rPr>
        <w:t xml:space="preserve">109. Available at: </w:t>
      </w:r>
      <w:hyperlink r:id="rId13">
        <w:r w:rsidRPr="00D92135">
          <w:rPr>
            <w:rFonts w:ascii="Arial" w:hAnsi="Arial" w:cs="Arial"/>
            <w:color w:val="1155CC"/>
            <w:sz w:val="22"/>
            <w:szCs w:val="22"/>
            <w:u w:val="single"/>
            <w:lang w:val="en-GB"/>
          </w:rPr>
          <w:t>https://doi.org/10.1093/intqhc/mzaf109</w:t>
        </w:r>
      </w:hyperlink>
    </w:p>
    <w:p w14:paraId="7C19AA0A" w14:textId="77777777" w:rsidR="00666370" w:rsidRPr="00D92135" w:rsidRDefault="00666370" w:rsidP="00D92135">
      <w:pPr>
        <w:spacing w:before="240" w:after="240"/>
        <w:rPr>
          <w:rFonts w:ascii="Arial" w:hAnsi="Arial" w:cs="Arial"/>
          <w:sz w:val="22"/>
          <w:szCs w:val="22"/>
          <w:lang w:val="en-GB"/>
        </w:rPr>
      </w:pPr>
      <w:proofErr w:type="spellStart"/>
      <w:r w:rsidRPr="00D92135">
        <w:rPr>
          <w:rFonts w:ascii="Arial" w:hAnsi="Arial" w:cs="Arial"/>
          <w:color w:val="222222"/>
          <w:sz w:val="22"/>
          <w:szCs w:val="22"/>
          <w:highlight w:val="white"/>
          <w:lang w:val="en-GB"/>
        </w:rPr>
        <w:t>Åhlin</w:t>
      </w:r>
      <w:proofErr w:type="spellEnd"/>
      <w:r w:rsidRPr="00D92135">
        <w:rPr>
          <w:rFonts w:ascii="Arial" w:hAnsi="Arial" w:cs="Arial"/>
          <w:color w:val="222222"/>
          <w:sz w:val="22"/>
          <w:szCs w:val="22"/>
          <w:highlight w:val="white"/>
          <w:lang w:val="en-GB"/>
        </w:rPr>
        <w:t xml:space="preserve">, P., (2026). ‘Bottom-up perspectives on hospital-wide patient flow–a multi-site qualitative study of solutions to organisational </w:t>
      </w:r>
      <w:proofErr w:type="gramStart"/>
      <w:r w:rsidRPr="00D92135">
        <w:rPr>
          <w:rFonts w:ascii="Arial" w:hAnsi="Arial" w:cs="Arial"/>
          <w:color w:val="222222"/>
          <w:sz w:val="22"/>
          <w:szCs w:val="22"/>
          <w:highlight w:val="white"/>
          <w:lang w:val="en-GB"/>
        </w:rPr>
        <w:t>paradoxes’</w:t>
      </w:r>
      <w:proofErr w:type="gramEnd"/>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BMC Health Services Research</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26</w:t>
      </w:r>
      <w:r w:rsidRPr="00D92135">
        <w:rPr>
          <w:rFonts w:ascii="Arial" w:hAnsi="Arial" w:cs="Arial"/>
          <w:color w:val="222222"/>
          <w:sz w:val="22"/>
          <w:szCs w:val="22"/>
          <w:highlight w:val="white"/>
          <w:lang w:val="en-GB"/>
        </w:rPr>
        <w:t>(1), p.306.</w:t>
      </w:r>
      <w:r w:rsidRPr="00D92135">
        <w:rPr>
          <w:rFonts w:ascii="Arial" w:hAnsi="Arial" w:cs="Arial"/>
          <w:sz w:val="22"/>
          <w:szCs w:val="22"/>
          <w:lang w:val="en-GB"/>
        </w:rPr>
        <w:t xml:space="preserve"> Available at: </w:t>
      </w:r>
      <w:hyperlink r:id="rId14">
        <w:r w:rsidRPr="00D92135">
          <w:rPr>
            <w:rFonts w:ascii="Arial" w:hAnsi="Arial" w:cs="Arial"/>
            <w:color w:val="1155CC"/>
            <w:sz w:val="22"/>
            <w:szCs w:val="22"/>
            <w:u w:val="single"/>
            <w:lang w:val="en-GB"/>
          </w:rPr>
          <w:t>https://link.springer.com/content/pdf/10.1186/s12913-026-14214-w.pdf</w:t>
        </w:r>
      </w:hyperlink>
      <w:r w:rsidRPr="00D92135">
        <w:rPr>
          <w:rFonts w:ascii="Arial" w:hAnsi="Arial" w:cs="Arial"/>
          <w:sz w:val="22"/>
          <w:szCs w:val="22"/>
          <w:lang w:val="en-GB"/>
        </w:rPr>
        <w:t xml:space="preserve"> </w:t>
      </w:r>
    </w:p>
    <w:p w14:paraId="7F9D297B" w14:textId="77777777" w:rsidR="00666370" w:rsidRPr="00D92135" w:rsidRDefault="00666370" w:rsidP="00D92135">
      <w:pPr>
        <w:spacing w:before="240" w:after="240"/>
        <w:rPr>
          <w:rFonts w:ascii="Arial" w:eastAsia="Arial" w:hAnsi="Arial" w:cs="Arial"/>
          <w:color w:val="1155CC"/>
          <w:sz w:val="22"/>
          <w:szCs w:val="22"/>
          <w:u w:val="single"/>
          <w:lang w:val="en-GB"/>
        </w:rPr>
      </w:pPr>
      <w:r w:rsidRPr="00D92135">
        <w:rPr>
          <w:rFonts w:ascii="Arial" w:eastAsia="Arial" w:hAnsi="Arial" w:cs="Arial"/>
          <w:sz w:val="22"/>
          <w:szCs w:val="22"/>
          <w:lang w:val="en-GB"/>
        </w:rPr>
        <w:t xml:space="preserve">AHRQ (2026). </w:t>
      </w:r>
      <w:r w:rsidRPr="00D92135">
        <w:rPr>
          <w:rFonts w:ascii="Arial" w:eastAsia="Arial" w:hAnsi="Arial" w:cs="Arial"/>
          <w:i/>
          <w:iCs/>
          <w:sz w:val="22"/>
          <w:szCs w:val="22"/>
          <w:lang w:val="en-GB"/>
        </w:rPr>
        <w:t xml:space="preserve">Wrong-Site, Wrong-Procedure, and Wrong-Patient Surgery. </w:t>
      </w:r>
      <w:r w:rsidRPr="00D92135">
        <w:rPr>
          <w:rFonts w:ascii="Arial" w:eastAsia="Arial" w:hAnsi="Arial" w:cs="Arial"/>
          <w:sz w:val="22"/>
          <w:szCs w:val="22"/>
          <w:lang w:val="en-GB"/>
        </w:rPr>
        <w:t>Available at:</w:t>
      </w:r>
      <w:hyperlink r:id="rId15">
        <w:r w:rsidRPr="00D92135">
          <w:rPr>
            <w:rFonts w:ascii="Arial" w:eastAsia="Arial" w:hAnsi="Arial" w:cs="Arial"/>
            <w:sz w:val="22"/>
            <w:szCs w:val="22"/>
            <w:lang w:val="en-GB"/>
          </w:rPr>
          <w:t xml:space="preserve"> </w:t>
        </w:r>
      </w:hyperlink>
      <w:hyperlink r:id="rId16">
        <w:r w:rsidRPr="00D92135">
          <w:rPr>
            <w:rFonts w:ascii="Arial" w:eastAsia="Arial" w:hAnsi="Arial" w:cs="Arial"/>
            <w:color w:val="1155CC"/>
            <w:sz w:val="22"/>
            <w:szCs w:val="22"/>
            <w:u w:val="single"/>
            <w:lang w:val="en-GB"/>
          </w:rPr>
          <w:t xml:space="preserve">https://psnet.ahrq.gov/primer/wrong-site-wrong-procedure-and-wrong-patient-surgery </w:t>
        </w:r>
      </w:hyperlink>
      <w:r w:rsidRPr="00D92135">
        <w:rPr>
          <w:rFonts w:ascii="Arial" w:eastAsia="Arial" w:hAnsi="Arial" w:cs="Arial"/>
          <w:sz w:val="22"/>
          <w:szCs w:val="22"/>
          <w:lang w:val="en-GB"/>
        </w:rPr>
        <w:t>(Accessed: 25 July 2026).</w:t>
      </w:r>
      <w:hyperlink r:id="rId17">
        <w:r w:rsidRPr="00D92135">
          <w:rPr>
            <w:rFonts w:ascii="Arial" w:eastAsia="Arial" w:hAnsi="Arial" w:cs="Arial"/>
            <w:color w:val="1155CC"/>
            <w:sz w:val="22"/>
            <w:szCs w:val="22"/>
            <w:u w:val="single"/>
            <w:lang w:val="en-GB"/>
          </w:rPr>
          <w:br/>
        </w:r>
      </w:hyperlink>
      <w:r w:rsidRPr="00D92135">
        <w:rPr>
          <w:rFonts w:ascii="Arial" w:eastAsia="Arial" w:hAnsi="Arial" w:cs="Arial"/>
          <w:sz w:val="22"/>
          <w:szCs w:val="22"/>
          <w:lang w:val="en-GB"/>
        </w:rPr>
        <w:t xml:space="preserve">Krstulović, J., </w:t>
      </w:r>
      <w:proofErr w:type="spellStart"/>
      <w:r w:rsidRPr="00D92135">
        <w:rPr>
          <w:rFonts w:ascii="Arial" w:eastAsia="Arial" w:hAnsi="Arial" w:cs="Arial"/>
          <w:sz w:val="22"/>
          <w:szCs w:val="22"/>
          <w:lang w:val="en-GB"/>
        </w:rPr>
        <w:t>Hrgović</w:t>
      </w:r>
      <w:proofErr w:type="spellEnd"/>
      <w:r w:rsidRPr="00D92135">
        <w:rPr>
          <w:rFonts w:ascii="Arial" w:eastAsia="Arial" w:hAnsi="Arial" w:cs="Arial"/>
          <w:sz w:val="22"/>
          <w:szCs w:val="22"/>
          <w:lang w:val="en-GB"/>
        </w:rPr>
        <w:t xml:space="preserve">, Z., Krešo, A., </w:t>
      </w:r>
      <w:proofErr w:type="spellStart"/>
      <w:r w:rsidRPr="00D92135">
        <w:rPr>
          <w:rFonts w:ascii="Arial" w:eastAsia="Arial" w:hAnsi="Arial" w:cs="Arial"/>
          <w:sz w:val="22"/>
          <w:szCs w:val="22"/>
          <w:lang w:val="en-GB"/>
        </w:rPr>
        <w:t>Tavra</w:t>
      </w:r>
      <w:proofErr w:type="spellEnd"/>
      <w:r w:rsidRPr="00D92135">
        <w:rPr>
          <w:rFonts w:ascii="Arial" w:eastAsia="Arial" w:hAnsi="Arial" w:cs="Arial"/>
          <w:sz w:val="22"/>
          <w:szCs w:val="22"/>
          <w:lang w:val="en-GB"/>
        </w:rPr>
        <w:t xml:space="preserve">, A., Znaor, L., &amp; Marušić, A. (2025). ‘Interventions to improve compliance to surgical safety checklist use: Before-and-after study at a tertiary public hospital in Croatia.’ </w:t>
      </w:r>
      <w:r w:rsidRPr="00D92135">
        <w:rPr>
          <w:rFonts w:ascii="Arial" w:eastAsia="Arial" w:hAnsi="Arial" w:cs="Arial"/>
          <w:i/>
          <w:iCs/>
          <w:sz w:val="22"/>
          <w:szCs w:val="22"/>
          <w:lang w:val="en-GB"/>
        </w:rPr>
        <w:t>Healthcare</w:t>
      </w:r>
      <w:r w:rsidRPr="00D92135">
        <w:rPr>
          <w:rFonts w:ascii="Arial" w:eastAsia="Arial" w:hAnsi="Arial" w:cs="Arial"/>
          <w:sz w:val="22"/>
          <w:szCs w:val="22"/>
          <w:lang w:val="en-GB"/>
        </w:rPr>
        <w:t>, 13(16), 1959. Available at:</w:t>
      </w:r>
      <w:hyperlink r:id="rId18">
        <w:r w:rsidRPr="00D92135">
          <w:rPr>
            <w:rFonts w:ascii="Arial" w:eastAsia="Arial" w:hAnsi="Arial" w:cs="Arial"/>
            <w:sz w:val="22"/>
            <w:szCs w:val="22"/>
            <w:lang w:val="en-GB"/>
          </w:rPr>
          <w:t xml:space="preserve"> </w:t>
        </w:r>
      </w:hyperlink>
      <w:hyperlink r:id="rId19">
        <w:r w:rsidRPr="00D92135">
          <w:rPr>
            <w:rFonts w:ascii="Arial" w:eastAsia="Arial" w:hAnsi="Arial" w:cs="Arial"/>
            <w:color w:val="1155CC"/>
            <w:sz w:val="22"/>
            <w:szCs w:val="22"/>
            <w:u w:val="single"/>
            <w:lang w:val="en-GB"/>
          </w:rPr>
          <w:t>https://doi.org/10.3390/healthcare13161959</w:t>
        </w:r>
      </w:hyperlink>
      <w:r w:rsidRPr="00D92135">
        <w:rPr>
          <w:rFonts w:ascii="Arial" w:eastAsia="Arial" w:hAnsi="Arial" w:cs="Arial"/>
          <w:color w:val="1155CC"/>
          <w:sz w:val="22"/>
          <w:szCs w:val="22"/>
          <w:u w:val="single"/>
          <w:lang w:val="en-GB"/>
        </w:rPr>
        <w:t xml:space="preserve"> </w:t>
      </w:r>
    </w:p>
    <w:p w14:paraId="4B4D4A98" w14:textId="77777777" w:rsidR="00666370" w:rsidRPr="00D92135" w:rsidRDefault="00666370" w:rsidP="00D92135">
      <w:pPr>
        <w:spacing w:before="240" w:after="240"/>
        <w:rPr>
          <w:rFonts w:ascii="Arial" w:hAnsi="Arial" w:cs="Arial"/>
          <w:color w:val="1155CC"/>
          <w:sz w:val="22"/>
          <w:szCs w:val="22"/>
          <w:u w:val="single"/>
          <w:lang w:val="en-GB"/>
        </w:rPr>
      </w:pPr>
      <w:proofErr w:type="spellStart"/>
      <w:r w:rsidRPr="00D92135">
        <w:rPr>
          <w:rFonts w:ascii="Arial" w:hAnsi="Arial" w:cs="Arial"/>
          <w:sz w:val="22"/>
          <w:szCs w:val="22"/>
          <w:lang w:val="en-GB"/>
        </w:rPr>
        <w:t>Ahrq</w:t>
      </w:r>
      <w:proofErr w:type="spellEnd"/>
      <w:r w:rsidRPr="00D92135">
        <w:rPr>
          <w:rFonts w:ascii="Arial" w:hAnsi="Arial" w:cs="Arial"/>
          <w:sz w:val="22"/>
          <w:szCs w:val="22"/>
          <w:lang w:val="en-GB"/>
        </w:rPr>
        <w:t>, (2026).</w:t>
      </w:r>
      <w:r w:rsidRPr="00D92135">
        <w:rPr>
          <w:rFonts w:ascii="Arial" w:hAnsi="Arial" w:cs="Arial"/>
          <w:i/>
          <w:iCs/>
          <w:sz w:val="22"/>
          <w:szCs w:val="22"/>
          <w:lang w:val="en-GB"/>
        </w:rPr>
        <w:t xml:space="preserve"> Wrong-Site, Wrong-Procedure, and Wrong-Patient Surgery. </w:t>
      </w:r>
      <w:r w:rsidRPr="00D92135">
        <w:rPr>
          <w:rFonts w:ascii="Arial" w:hAnsi="Arial" w:cs="Arial"/>
          <w:sz w:val="22"/>
          <w:szCs w:val="22"/>
          <w:lang w:val="en-GB"/>
        </w:rPr>
        <w:t>Available at:</w:t>
      </w:r>
      <w:hyperlink r:id="rId20">
        <w:r w:rsidRPr="00D92135">
          <w:rPr>
            <w:rFonts w:ascii="Arial" w:hAnsi="Arial" w:cs="Arial"/>
            <w:sz w:val="22"/>
            <w:szCs w:val="22"/>
            <w:lang w:val="en-GB"/>
          </w:rPr>
          <w:t xml:space="preserve"> </w:t>
        </w:r>
      </w:hyperlink>
      <w:hyperlink r:id="rId21">
        <w:r w:rsidRPr="00D92135">
          <w:rPr>
            <w:rFonts w:ascii="Arial" w:hAnsi="Arial" w:cs="Arial"/>
            <w:color w:val="1155CC"/>
            <w:sz w:val="22"/>
            <w:szCs w:val="22"/>
            <w:u w:val="single"/>
            <w:lang w:val="en-GB"/>
          </w:rPr>
          <w:t>https://psnet.ahrq.gov/primer/wrong-site-wrong-procedure-and-wrong-patient-surgery</w:t>
        </w:r>
      </w:hyperlink>
      <w:r w:rsidRPr="00D92135">
        <w:rPr>
          <w:rFonts w:ascii="Arial" w:hAnsi="Arial" w:cs="Arial"/>
          <w:color w:val="1155CC"/>
          <w:sz w:val="22"/>
          <w:szCs w:val="22"/>
          <w:u w:val="single"/>
          <w:lang w:val="en-GB"/>
        </w:rPr>
        <w:t xml:space="preserve"> </w:t>
      </w:r>
      <w:r w:rsidRPr="00D92135">
        <w:rPr>
          <w:rFonts w:ascii="Arial" w:hAnsi="Arial" w:cs="Arial"/>
          <w:sz w:val="22"/>
          <w:szCs w:val="22"/>
          <w:lang w:val="en-GB"/>
        </w:rPr>
        <w:t>(Accessed on: 25 July 2026).</w:t>
      </w:r>
    </w:p>
    <w:p w14:paraId="6F338D3F" w14:textId="77777777" w:rsidR="00666370" w:rsidRPr="00D92135" w:rsidRDefault="00666370" w:rsidP="00D92135">
      <w:pPr>
        <w:spacing w:before="240" w:after="240"/>
        <w:rPr>
          <w:rFonts w:ascii="Arial" w:hAnsi="Arial" w:cs="Arial"/>
          <w:color w:val="1155CC"/>
          <w:sz w:val="22"/>
          <w:szCs w:val="22"/>
          <w:u w:val="single"/>
          <w:lang w:val="en-GB"/>
        </w:rPr>
      </w:pPr>
      <w:proofErr w:type="spellStart"/>
      <w:r w:rsidRPr="00D92135">
        <w:rPr>
          <w:rFonts w:ascii="Arial" w:hAnsi="Arial" w:cs="Arial"/>
          <w:sz w:val="22"/>
          <w:szCs w:val="22"/>
          <w:lang w:val="en-GB"/>
        </w:rPr>
        <w:t>Aljumah</w:t>
      </w:r>
      <w:proofErr w:type="spellEnd"/>
      <w:r w:rsidRPr="00D92135">
        <w:rPr>
          <w:rFonts w:ascii="Arial" w:hAnsi="Arial" w:cs="Arial"/>
          <w:sz w:val="22"/>
          <w:szCs w:val="22"/>
          <w:lang w:val="en-GB"/>
        </w:rPr>
        <w:t xml:space="preserve">, A., (2023). ‘The impact of extrinsic and intrinsic motivation on job satisfaction: The mediating role of transactional leadership’. </w:t>
      </w:r>
      <w:r w:rsidRPr="00D92135">
        <w:rPr>
          <w:rFonts w:ascii="Arial" w:hAnsi="Arial" w:cs="Arial"/>
          <w:i/>
          <w:iCs/>
          <w:sz w:val="22"/>
          <w:szCs w:val="22"/>
          <w:lang w:val="en-GB"/>
        </w:rPr>
        <w:t>Cogent Business &amp; Management</w:t>
      </w:r>
      <w:r w:rsidRPr="00D92135">
        <w:rPr>
          <w:rFonts w:ascii="Arial" w:hAnsi="Arial" w:cs="Arial"/>
          <w:sz w:val="22"/>
          <w:szCs w:val="22"/>
          <w:lang w:val="en-GB"/>
        </w:rPr>
        <w:t xml:space="preserve">, </w:t>
      </w:r>
      <w:r w:rsidRPr="00D92135">
        <w:rPr>
          <w:rFonts w:ascii="Arial" w:hAnsi="Arial" w:cs="Arial"/>
          <w:i/>
          <w:iCs/>
          <w:sz w:val="22"/>
          <w:szCs w:val="22"/>
          <w:lang w:val="en-GB"/>
        </w:rPr>
        <w:t>10</w:t>
      </w:r>
      <w:r w:rsidRPr="00D92135">
        <w:rPr>
          <w:rFonts w:ascii="Arial" w:hAnsi="Arial" w:cs="Arial"/>
          <w:sz w:val="22"/>
          <w:szCs w:val="22"/>
          <w:lang w:val="en-GB"/>
        </w:rPr>
        <w:t>(3), p.2270813.</w:t>
      </w:r>
      <w:hyperlink r:id="rId22">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23">
        <w:r w:rsidRPr="00D92135">
          <w:rPr>
            <w:rFonts w:ascii="Arial" w:hAnsi="Arial" w:cs="Arial"/>
            <w:color w:val="1155CC"/>
            <w:sz w:val="22"/>
            <w:szCs w:val="22"/>
            <w:u w:val="single"/>
            <w:lang w:val="en-GB"/>
          </w:rPr>
          <w:t>https://doi.org/10.1080/23311975.2023.2270813</w:t>
        </w:r>
      </w:hyperlink>
    </w:p>
    <w:p w14:paraId="27BE9689"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Al-</w:t>
      </w:r>
      <w:proofErr w:type="spellStart"/>
      <w:r w:rsidRPr="00D92135">
        <w:rPr>
          <w:rFonts w:ascii="Arial" w:hAnsi="Arial" w:cs="Arial"/>
          <w:color w:val="222222"/>
          <w:sz w:val="22"/>
          <w:szCs w:val="22"/>
          <w:highlight w:val="white"/>
          <w:lang w:val="en-GB"/>
        </w:rPr>
        <w:t>Rjoub</w:t>
      </w:r>
      <w:proofErr w:type="spellEnd"/>
      <w:r w:rsidRPr="00D92135">
        <w:rPr>
          <w:rFonts w:ascii="Arial" w:hAnsi="Arial" w:cs="Arial"/>
          <w:color w:val="222222"/>
          <w:sz w:val="22"/>
          <w:szCs w:val="22"/>
          <w:highlight w:val="white"/>
          <w:lang w:val="en-GB"/>
        </w:rPr>
        <w:t xml:space="preserve">, S., </w:t>
      </w:r>
      <w:proofErr w:type="spellStart"/>
      <w:r w:rsidRPr="00D92135">
        <w:rPr>
          <w:rFonts w:ascii="Arial" w:hAnsi="Arial" w:cs="Arial"/>
          <w:color w:val="222222"/>
          <w:sz w:val="22"/>
          <w:szCs w:val="22"/>
          <w:highlight w:val="white"/>
          <w:lang w:val="en-GB"/>
        </w:rPr>
        <w:t>Alsharawneh</w:t>
      </w:r>
      <w:proofErr w:type="spellEnd"/>
      <w:r w:rsidRPr="00D92135">
        <w:rPr>
          <w:rFonts w:ascii="Arial" w:hAnsi="Arial" w:cs="Arial"/>
          <w:color w:val="222222"/>
          <w:sz w:val="22"/>
          <w:szCs w:val="22"/>
          <w:highlight w:val="white"/>
          <w:lang w:val="en-GB"/>
        </w:rPr>
        <w:t xml:space="preserve">, A., </w:t>
      </w:r>
      <w:proofErr w:type="spellStart"/>
      <w:r w:rsidRPr="00D92135">
        <w:rPr>
          <w:rFonts w:ascii="Arial" w:hAnsi="Arial" w:cs="Arial"/>
          <w:color w:val="222222"/>
          <w:sz w:val="22"/>
          <w:szCs w:val="22"/>
          <w:highlight w:val="white"/>
          <w:lang w:val="en-GB"/>
        </w:rPr>
        <w:t>Alhawajreh</w:t>
      </w:r>
      <w:proofErr w:type="spellEnd"/>
      <w:r w:rsidRPr="00D92135">
        <w:rPr>
          <w:rFonts w:ascii="Arial" w:hAnsi="Arial" w:cs="Arial"/>
          <w:color w:val="222222"/>
          <w:sz w:val="22"/>
          <w:szCs w:val="22"/>
          <w:highlight w:val="white"/>
          <w:lang w:val="en-GB"/>
        </w:rPr>
        <w:t xml:space="preserve">, M.J. and Othman, E.H., (2024). ‘Exploring the impact of transformational and transactional style of leadership on nursing care performance and patient </w:t>
      </w:r>
      <w:proofErr w:type="gramStart"/>
      <w:r w:rsidRPr="00D92135">
        <w:rPr>
          <w:rFonts w:ascii="Arial" w:hAnsi="Arial" w:cs="Arial"/>
          <w:color w:val="222222"/>
          <w:sz w:val="22"/>
          <w:szCs w:val="22"/>
          <w:highlight w:val="white"/>
          <w:lang w:val="en-GB"/>
        </w:rPr>
        <w:t>outcomes’</w:t>
      </w:r>
      <w:proofErr w:type="gramEnd"/>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Journal of Healthcare Leadership</w:t>
      </w:r>
      <w:r w:rsidRPr="00D92135">
        <w:rPr>
          <w:rFonts w:ascii="Arial" w:hAnsi="Arial" w:cs="Arial"/>
          <w:color w:val="222222"/>
          <w:sz w:val="22"/>
          <w:szCs w:val="22"/>
          <w:highlight w:val="white"/>
          <w:lang w:val="en-GB"/>
        </w:rPr>
        <w:t>, pp.557-568.</w:t>
      </w:r>
      <w:r w:rsidRPr="00D92135">
        <w:rPr>
          <w:rFonts w:ascii="Arial" w:hAnsi="Arial" w:cs="Arial"/>
          <w:sz w:val="22"/>
          <w:szCs w:val="22"/>
          <w:lang w:val="en-GB"/>
        </w:rPr>
        <w:t xml:space="preserve"> Available at: </w:t>
      </w:r>
      <w:hyperlink r:id="rId24">
        <w:r w:rsidRPr="00D92135">
          <w:rPr>
            <w:rFonts w:ascii="Arial" w:hAnsi="Arial" w:cs="Arial"/>
            <w:color w:val="1155CC"/>
            <w:sz w:val="22"/>
            <w:szCs w:val="22"/>
            <w:u w:val="single"/>
            <w:lang w:val="en-GB"/>
          </w:rPr>
          <w:t>https://www.tandfonline.com/doi/pdf/10.2147/jhl.s496266</w:t>
        </w:r>
      </w:hyperlink>
      <w:r w:rsidRPr="00D92135">
        <w:rPr>
          <w:rFonts w:ascii="Arial" w:hAnsi="Arial" w:cs="Arial"/>
          <w:sz w:val="22"/>
          <w:szCs w:val="22"/>
          <w:lang w:val="en-GB"/>
        </w:rPr>
        <w:t xml:space="preserve"> </w:t>
      </w:r>
    </w:p>
    <w:p w14:paraId="55A1C7EE"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Anker-Hansen, C., Olsen, L.B., Grøndahl, V.A., Leonardsen, A.C.L., Helgesen, A.K., </w:t>
      </w:r>
      <w:proofErr w:type="spellStart"/>
      <w:r w:rsidRPr="00D92135">
        <w:rPr>
          <w:rFonts w:ascii="Arial" w:hAnsi="Arial" w:cs="Arial"/>
          <w:sz w:val="22"/>
          <w:szCs w:val="22"/>
          <w:lang w:val="en-GB"/>
        </w:rPr>
        <w:t>Bååth</w:t>
      </w:r>
      <w:proofErr w:type="spellEnd"/>
      <w:r w:rsidRPr="00D92135">
        <w:rPr>
          <w:rFonts w:ascii="Arial" w:hAnsi="Arial" w:cs="Arial"/>
          <w:sz w:val="22"/>
          <w:szCs w:val="22"/>
          <w:lang w:val="en-GB"/>
        </w:rPr>
        <w:t xml:space="preserve">, C., Halvorsrud, L., Restad, G., McCormack, B. and </w:t>
      </w:r>
      <w:proofErr w:type="spellStart"/>
      <w:r w:rsidRPr="00D92135">
        <w:rPr>
          <w:rFonts w:ascii="Arial" w:hAnsi="Arial" w:cs="Arial"/>
          <w:sz w:val="22"/>
          <w:szCs w:val="22"/>
          <w:lang w:val="en-GB"/>
        </w:rPr>
        <w:t>Femdal</w:t>
      </w:r>
      <w:proofErr w:type="spellEnd"/>
      <w:r w:rsidRPr="00D92135">
        <w:rPr>
          <w:rFonts w:ascii="Arial" w:hAnsi="Arial" w:cs="Arial"/>
          <w:sz w:val="22"/>
          <w:szCs w:val="22"/>
          <w:lang w:val="en-GB"/>
        </w:rPr>
        <w:t xml:space="preserve">, I., (2025). ‘The interplay of leadership dynamics and person-centred practice in nursing homes: a mixed methods systematic review’. </w:t>
      </w:r>
      <w:r w:rsidRPr="00D92135">
        <w:rPr>
          <w:rFonts w:ascii="Arial" w:hAnsi="Arial" w:cs="Arial"/>
          <w:i/>
          <w:iCs/>
          <w:sz w:val="22"/>
          <w:szCs w:val="22"/>
          <w:lang w:val="en-GB"/>
        </w:rPr>
        <w:t>Frontiers in Health Services</w:t>
      </w:r>
      <w:r w:rsidRPr="00D92135">
        <w:rPr>
          <w:rFonts w:ascii="Arial" w:hAnsi="Arial" w:cs="Arial"/>
          <w:sz w:val="22"/>
          <w:szCs w:val="22"/>
          <w:lang w:val="en-GB"/>
        </w:rPr>
        <w:t xml:space="preserve">, </w:t>
      </w:r>
      <w:r w:rsidRPr="00D92135">
        <w:rPr>
          <w:rFonts w:ascii="Arial" w:hAnsi="Arial" w:cs="Arial"/>
          <w:i/>
          <w:iCs/>
          <w:sz w:val="22"/>
          <w:szCs w:val="22"/>
          <w:lang w:val="en-GB"/>
        </w:rPr>
        <w:t>5</w:t>
      </w:r>
      <w:r w:rsidRPr="00D92135">
        <w:rPr>
          <w:rFonts w:ascii="Arial" w:hAnsi="Arial" w:cs="Arial"/>
          <w:sz w:val="22"/>
          <w:szCs w:val="22"/>
          <w:lang w:val="en-GB"/>
        </w:rPr>
        <w:t>, p.1535414. Available at:</w:t>
      </w:r>
      <w:hyperlink r:id="rId25">
        <w:r w:rsidRPr="00D92135">
          <w:rPr>
            <w:rFonts w:ascii="Arial" w:hAnsi="Arial" w:cs="Arial"/>
            <w:sz w:val="22"/>
            <w:szCs w:val="22"/>
            <w:lang w:val="en-GB"/>
          </w:rPr>
          <w:t xml:space="preserve"> </w:t>
        </w:r>
      </w:hyperlink>
      <w:hyperlink r:id="rId26">
        <w:r w:rsidRPr="00D92135">
          <w:rPr>
            <w:rFonts w:ascii="Arial" w:hAnsi="Arial" w:cs="Arial"/>
            <w:color w:val="1155CC"/>
            <w:sz w:val="22"/>
            <w:szCs w:val="22"/>
            <w:u w:val="single"/>
            <w:lang w:val="en-GB"/>
          </w:rPr>
          <w:t>https://doi.org/10.3389/frhs.2025.1535414</w:t>
        </w:r>
      </w:hyperlink>
    </w:p>
    <w:p w14:paraId="3A7FDE36"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lastRenderedPageBreak/>
        <w:t xml:space="preserve">Aravinda, C., (2024). </w:t>
      </w:r>
      <w:r w:rsidRPr="00D92135">
        <w:rPr>
          <w:rFonts w:ascii="Arial" w:hAnsi="Arial" w:cs="Arial"/>
          <w:i/>
          <w:iCs/>
          <w:sz w:val="22"/>
          <w:szCs w:val="22"/>
          <w:lang w:val="en-GB"/>
        </w:rPr>
        <w:t xml:space="preserve">Understanding never events: unacceptable failures in patient safety. </w:t>
      </w:r>
      <w:r w:rsidRPr="00D92135">
        <w:rPr>
          <w:rFonts w:ascii="Arial" w:hAnsi="Arial" w:cs="Arial"/>
          <w:sz w:val="22"/>
          <w:szCs w:val="22"/>
          <w:lang w:val="en-GB"/>
        </w:rPr>
        <w:t>Available at:</w:t>
      </w:r>
      <w:hyperlink r:id="rId27">
        <w:r w:rsidRPr="00D92135">
          <w:rPr>
            <w:rFonts w:ascii="Arial" w:hAnsi="Arial" w:cs="Arial"/>
            <w:sz w:val="22"/>
            <w:szCs w:val="22"/>
            <w:lang w:val="en-GB"/>
          </w:rPr>
          <w:t xml:space="preserve"> </w:t>
        </w:r>
      </w:hyperlink>
      <w:hyperlink r:id="rId28">
        <w:r w:rsidRPr="00D92135">
          <w:rPr>
            <w:rFonts w:ascii="Arial" w:hAnsi="Arial" w:cs="Arial"/>
            <w:color w:val="1155CC"/>
            <w:sz w:val="22"/>
            <w:szCs w:val="22"/>
            <w:u w:val="single"/>
            <w:lang w:val="en-GB"/>
          </w:rPr>
          <w:t>https://www.thehindu.com/sci-tech/health/understanding-never-events-unacceptable-failures-in-patient-safety/article69003549.ece</w:t>
        </w:r>
      </w:hyperlink>
      <w:r w:rsidRPr="00D92135">
        <w:rPr>
          <w:rFonts w:ascii="Arial" w:hAnsi="Arial" w:cs="Arial"/>
          <w:color w:val="1155CC"/>
          <w:sz w:val="22"/>
          <w:szCs w:val="22"/>
          <w:u w:val="single"/>
          <w:lang w:val="en-GB"/>
        </w:rPr>
        <w:t xml:space="preserve"> </w:t>
      </w:r>
      <w:r w:rsidRPr="00D92135">
        <w:rPr>
          <w:rFonts w:ascii="Arial" w:hAnsi="Arial" w:cs="Arial"/>
          <w:sz w:val="22"/>
          <w:szCs w:val="22"/>
          <w:lang w:val="en-GB"/>
        </w:rPr>
        <w:t>(Accessed on: 25 July 2026).</w:t>
      </w:r>
    </w:p>
    <w:p w14:paraId="567C94E8"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Bautista-Bernal, I., </w:t>
      </w:r>
      <w:proofErr w:type="spellStart"/>
      <w:r w:rsidRPr="00D92135">
        <w:rPr>
          <w:rFonts w:ascii="Arial" w:hAnsi="Arial" w:cs="Arial"/>
          <w:color w:val="222222"/>
          <w:sz w:val="22"/>
          <w:szCs w:val="22"/>
          <w:highlight w:val="white"/>
          <w:lang w:val="en-GB"/>
        </w:rPr>
        <w:t>Quintana</w:t>
      </w:r>
      <w:proofErr w:type="spellEnd"/>
      <w:r w:rsidRPr="00D92135">
        <w:rPr>
          <w:rFonts w:ascii="Arial" w:hAnsi="Arial" w:cs="Arial"/>
          <w:color w:val="222222"/>
          <w:sz w:val="22"/>
          <w:szCs w:val="22"/>
          <w:highlight w:val="white"/>
          <w:lang w:val="en-GB"/>
        </w:rPr>
        <w:t xml:space="preserve">-García, C. and Marchante-Lara, M., (2024). ‘Safety culture, safety performance and financial performance. A longitudinal study’. </w:t>
      </w:r>
      <w:r w:rsidRPr="00D92135">
        <w:rPr>
          <w:rFonts w:ascii="Arial" w:hAnsi="Arial" w:cs="Arial"/>
          <w:i/>
          <w:iCs/>
          <w:color w:val="222222"/>
          <w:sz w:val="22"/>
          <w:szCs w:val="22"/>
          <w:highlight w:val="white"/>
          <w:lang w:val="en-GB"/>
        </w:rPr>
        <w:t>Safety science</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172</w:t>
      </w:r>
      <w:r w:rsidRPr="00D92135">
        <w:rPr>
          <w:rFonts w:ascii="Arial" w:hAnsi="Arial" w:cs="Arial"/>
          <w:color w:val="222222"/>
          <w:sz w:val="22"/>
          <w:szCs w:val="22"/>
          <w:highlight w:val="white"/>
          <w:lang w:val="en-GB"/>
        </w:rPr>
        <w:t>, p.106409.</w:t>
      </w:r>
      <w:r w:rsidRPr="00D92135">
        <w:rPr>
          <w:rFonts w:ascii="Arial" w:hAnsi="Arial" w:cs="Arial"/>
          <w:sz w:val="22"/>
          <w:szCs w:val="22"/>
          <w:lang w:val="en-GB"/>
        </w:rPr>
        <w:t xml:space="preserve"> Available at: </w:t>
      </w:r>
      <w:hyperlink r:id="rId29">
        <w:r w:rsidRPr="00D92135">
          <w:rPr>
            <w:rFonts w:ascii="Arial" w:hAnsi="Arial" w:cs="Arial"/>
            <w:color w:val="1155CC"/>
            <w:sz w:val="22"/>
            <w:szCs w:val="22"/>
            <w:u w:val="single"/>
            <w:lang w:val="en-GB"/>
          </w:rPr>
          <w:t>https://doi.org/10.1016/j.ssci.2023.106409</w:t>
        </w:r>
      </w:hyperlink>
      <w:r w:rsidRPr="00D92135">
        <w:rPr>
          <w:rFonts w:ascii="Arial" w:hAnsi="Arial" w:cs="Arial"/>
          <w:sz w:val="22"/>
          <w:szCs w:val="22"/>
          <w:lang w:val="en-GB"/>
        </w:rPr>
        <w:t xml:space="preserve"> </w:t>
      </w:r>
    </w:p>
    <w:p w14:paraId="04697994" w14:textId="77777777" w:rsidR="00666370" w:rsidRPr="00D92135" w:rsidRDefault="00666370" w:rsidP="00D92135">
      <w:pPr>
        <w:spacing w:before="240" w:after="240"/>
        <w:rPr>
          <w:rFonts w:ascii="Arial" w:hAnsi="Arial" w:cs="Arial"/>
          <w:color w:val="000000" w:themeColor="text1"/>
          <w:sz w:val="22"/>
          <w:szCs w:val="22"/>
          <w:lang w:val="en-GB"/>
        </w:rPr>
      </w:pPr>
      <w:r w:rsidRPr="00D92135">
        <w:rPr>
          <w:rFonts w:ascii="Arial" w:hAnsi="Arial" w:cs="Arial"/>
          <w:color w:val="000000" w:themeColor="text1"/>
          <w:sz w:val="22"/>
          <w:szCs w:val="22"/>
          <w:highlight w:val="white"/>
          <w:lang w:val="en-GB"/>
        </w:rPr>
        <w:t xml:space="preserve">Caldwell, C.H., (2025). </w:t>
      </w:r>
      <w:r w:rsidRPr="00D92135">
        <w:rPr>
          <w:rFonts w:ascii="Arial" w:hAnsi="Arial" w:cs="Arial"/>
          <w:i/>
          <w:iCs/>
          <w:color w:val="000000" w:themeColor="text1"/>
          <w:sz w:val="22"/>
          <w:szCs w:val="22"/>
          <w:highlight w:val="white"/>
          <w:lang w:val="en-GB"/>
        </w:rPr>
        <w:t>The EQ Advantage: Mastering Emotional Intelligence</w:t>
      </w:r>
      <w:r w:rsidRPr="00D92135">
        <w:rPr>
          <w:rFonts w:ascii="Arial" w:hAnsi="Arial" w:cs="Arial"/>
          <w:color w:val="000000" w:themeColor="text1"/>
          <w:sz w:val="22"/>
          <w:szCs w:val="22"/>
          <w:highlight w:val="white"/>
          <w:lang w:val="en-GB"/>
        </w:rPr>
        <w:t xml:space="preserve">. </w:t>
      </w:r>
      <w:proofErr w:type="spellStart"/>
      <w:r w:rsidRPr="00D92135">
        <w:rPr>
          <w:rFonts w:ascii="Arial" w:hAnsi="Arial" w:cs="Arial"/>
          <w:color w:val="000000" w:themeColor="text1"/>
          <w:sz w:val="22"/>
          <w:szCs w:val="22"/>
          <w:highlight w:val="white"/>
          <w:lang w:val="en-GB"/>
        </w:rPr>
        <w:t>eBookIt</w:t>
      </w:r>
      <w:proofErr w:type="spellEnd"/>
      <w:r w:rsidRPr="00D92135">
        <w:rPr>
          <w:rFonts w:ascii="Arial" w:hAnsi="Arial" w:cs="Arial"/>
          <w:color w:val="000000" w:themeColor="text1"/>
          <w:sz w:val="22"/>
          <w:szCs w:val="22"/>
          <w:highlight w:val="white"/>
          <w:lang w:val="en-GB"/>
        </w:rPr>
        <w:t>. com.</w:t>
      </w:r>
      <w:r w:rsidRPr="00D92135">
        <w:rPr>
          <w:rFonts w:ascii="Arial" w:hAnsi="Arial" w:cs="Arial"/>
          <w:color w:val="000000" w:themeColor="text1"/>
          <w:sz w:val="22"/>
          <w:szCs w:val="22"/>
          <w:lang w:val="en-GB"/>
        </w:rPr>
        <w:t xml:space="preserve"> </w:t>
      </w:r>
    </w:p>
    <w:p w14:paraId="5D69C874" w14:textId="77777777" w:rsidR="00666370" w:rsidRPr="00D92135" w:rsidRDefault="00666370" w:rsidP="00D92135">
      <w:pPr>
        <w:spacing w:before="240" w:after="240"/>
        <w:rPr>
          <w:rFonts w:ascii="Arial" w:eastAsia="Arial" w:hAnsi="Arial" w:cs="Arial"/>
          <w:color w:val="1155CC"/>
          <w:sz w:val="22"/>
          <w:szCs w:val="22"/>
          <w:u w:val="single"/>
          <w:lang w:val="en-GB"/>
        </w:rPr>
      </w:pPr>
      <w:r w:rsidRPr="00D92135">
        <w:rPr>
          <w:rFonts w:ascii="Arial" w:eastAsia="Arial" w:hAnsi="Arial" w:cs="Arial"/>
          <w:sz w:val="22"/>
          <w:szCs w:val="22"/>
          <w:lang w:val="en-GB"/>
        </w:rPr>
        <w:t xml:space="preserve">Carstensen, K., Kjeldsen, A. M., &amp; Nielsen, C. P. (2024). ‘Distributed leadership in health quality improvement collaboratives.’ </w:t>
      </w:r>
      <w:r w:rsidRPr="00D92135">
        <w:rPr>
          <w:rFonts w:ascii="Arial" w:eastAsia="Arial" w:hAnsi="Arial" w:cs="Arial"/>
          <w:i/>
          <w:iCs/>
          <w:sz w:val="22"/>
          <w:szCs w:val="22"/>
          <w:lang w:val="en-GB"/>
        </w:rPr>
        <w:t>Health Care Management Review</w:t>
      </w:r>
      <w:r w:rsidRPr="00D92135">
        <w:rPr>
          <w:rFonts w:ascii="Arial" w:eastAsia="Arial" w:hAnsi="Arial" w:cs="Arial"/>
          <w:sz w:val="22"/>
          <w:szCs w:val="22"/>
          <w:lang w:val="en-GB"/>
        </w:rPr>
        <w:t>, 49(1), 46–58.</w:t>
      </w:r>
      <w:hyperlink r:id="rId30">
        <w:r w:rsidRPr="00D92135">
          <w:rPr>
            <w:rFonts w:ascii="Arial" w:eastAsia="Arial" w:hAnsi="Arial" w:cs="Arial"/>
            <w:color w:val="1155CC"/>
            <w:sz w:val="22"/>
            <w:szCs w:val="22"/>
            <w:u w:val="single"/>
            <w:lang w:val="en-GB"/>
          </w:rPr>
          <w:t xml:space="preserve"> </w:t>
        </w:r>
      </w:hyperlink>
      <w:r w:rsidRPr="00D92135">
        <w:rPr>
          <w:rFonts w:ascii="Arial" w:eastAsia="Arial" w:hAnsi="Arial" w:cs="Arial"/>
          <w:sz w:val="22"/>
          <w:szCs w:val="22"/>
          <w:lang w:val="en-GB"/>
        </w:rPr>
        <w:t xml:space="preserve">Available at: </w:t>
      </w:r>
      <w:hyperlink r:id="rId31">
        <w:r w:rsidRPr="00D92135">
          <w:rPr>
            <w:rFonts w:ascii="Arial" w:eastAsia="Arial" w:hAnsi="Arial" w:cs="Arial"/>
            <w:color w:val="1155CC"/>
            <w:sz w:val="22"/>
            <w:szCs w:val="22"/>
            <w:u w:val="single"/>
            <w:lang w:val="en-GB"/>
          </w:rPr>
          <w:t>https://journals.lww.com/hcmrjournal/fulltext/2024/01000/distributed_leadership_in_health_quality.6.aspx</w:t>
        </w:r>
      </w:hyperlink>
      <w:r w:rsidRPr="00D92135">
        <w:rPr>
          <w:rFonts w:ascii="Arial" w:eastAsia="Arial" w:hAnsi="Arial" w:cs="Arial"/>
          <w:color w:val="1155CC"/>
          <w:sz w:val="22"/>
          <w:szCs w:val="22"/>
          <w:u w:val="single"/>
          <w:lang w:val="en-GB"/>
        </w:rPr>
        <w:t xml:space="preserve"> </w:t>
      </w:r>
    </w:p>
    <w:p w14:paraId="3E3BF1FE"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Conroy, N., Patton, D., Moore, Z., O’Connor, T., Nugent, L. and Derwin, R., (2023). ‘The relationship between transformational leadership and staff nurse retention in hospital settings: a systematic review’. </w:t>
      </w:r>
      <w:r w:rsidRPr="00D92135">
        <w:rPr>
          <w:rFonts w:ascii="Arial" w:hAnsi="Arial" w:cs="Arial"/>
          <w:i/>
          <w:iCs/>
          <w:sz w:val="22"/>
          <w:szCs w:val="22"/>
          <w:lang w:val="en-GB"/>
        </w:rPr>
        <w:t>Journal of nursing management</w:t>
      </w:r>
      <w:r w:rsidRPr="00D92135">
        <w:rPr>
          <w:rFonts w:ascii="Arial" w:hAnsi="Arial" w:cs="Arial"/>
          <w:sz w:val="22"/>
          <w:szCs w:val="22"/>
          <w:lang w:val="en-GB"/>
        </w:rPr>
        <w:t xml:space="preserve">, </w:t>
      </w:r>
      <w:r w:rsidRPr="00D92135">
        <w:rPr>
          <w:rFonts w:ascii="Arial" w:hAnsi="Arial" w:cs="Arial"/>
          <w:i/>
          <w:iCs/>
          <w:sz w:val="22"/>
          <w:szCs w:val="22"/>
          <w:lang w:val="en-GB"/>
        </w:rPr>
        <w:t>2023</w:t>
      </w:r>
      <w:r w:rsidRPr="00D92135">
        <w:rPr>
          <w:rFonts w:ascii="Arial" w:hAnsi="Arial" w:cs="Arial"/>
          <w:sz w:val="22"/>
          <w:szCs w:val="22"/>
          <w:lang w:val="en-GB"/>
        </w:rPr>
        <w:t>(1), p.9577200.</w:t>
      </w:r>
      <w:hyperlink r:id="rId32">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33">
        <w:r w:rsidRPr="00D92135">
          <w:rPr>
            <w:rFonts w:ascii="Arial" w:hAnsi="Arial" w:cs="Arial"/>
            <w:color w:val="1155CC"/>
            <w:sz w:val="22"/>
            <w:szCs w:val="22"/>
            <w:u w:val="single"/>
            <w:lang w:val="en-GB"/>
          </w:rPr>
          <w:t>https://doi.org/10.1155/2023/9577200</w:t>
        </w:r>
      </w:hyperlink>
    </w:p>
    <w:p w14:paraId="1CBF6DAD"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Fana, T. and Mokhele, M.O., (2025). ‘Centralisation of financial decision-making on public hospitals in the Eastern Cape province’. </w:t>
      </w:r>
      <w:r w:rsidRPr="00D92135">
        <w:rPr>
          <w:rFonts w:ascii="Arial" w:hAnsi="Arial" w:cs="Arial"/>
          <w:i/>
          <w:iCs/>
          <w:sz w:val="22"/>
          <w:szCs w:val="22"/>
          <w:lang w:val="en-GB"/>
        </w:rPr>
        <w:t>Africa’s Public Service Delivery and Performance Review</w:t>
      </w:r>
      <w:r w:rsidRPr="00D92135">
        <w:rPr>
          <w:rFonts w:ascii="Arial" w:hAnsi="Arial" w:cs="Arial"/>
          <w:sz w:val="22"/>
          <w:szCs w:val="22"/>
          <w:lang w:val="en-GB"/>
        </w:rPr>
        <w:t xml:space="preserve">, </w:t>
      </w:r>
      <w:r w:rsidRPr="00D92135">
        <w:rPr>
          <w:rFonts w:ascii="Arial" w:hAnsi="Arial" w:cs="Arial"/>
          <w:i/>
          <w:iCs/>
          <w:sz w:val="22"/>
          <w:szCs w:val="22"/>
          <w:lang w:val="en-GB"/>
        </w:rPr>
        <w:t>13</w:t>
      </w:r>
      <w:r w:rsidRPr="00D92135">
        <w:rPr>
          <w:rFonts w:ascii="Arial" w:hAnsi="Arial" w:cs="Arial"/>
          <w:sz w:val="22"/>
          <w:szCs w:val="22"/>
          <w:lang w:val="en-GB"/>
        </w:rPr>
        <w:t>(1), p.827.</w:t>
      </w:r>
      <w:hyperlink r:id="rId34">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35">
        <w:r w:rsidRPr="00D92135">
          <w:rPr>
            <w:rFonts w:ascii="Arial" w:hAnsi="Arial" w:cs="Arial"/>
            <w:color w:val="1155CC"/>
            <w:sz w:val="22"/>
            <w:szCs w:val="22"/>
            <w:u w:val="single"/>
            <w:lang w:val="en-GB"/>
          </w:rPr>
          <w:t>https://doi.org/10.4102/apsdpr.v13i1.827</w:t>
        </w:r>
      </w:hyperlink>
    </w:p>
    <w:p w14:paraId="76DF3580"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Fleck, A., (2026). </w:t>
      </w:r>
      <w:r w:rsidRPr="00D92135">
        <w:rPr>
          <w:rFonts w:ascii="Arial" w:hAnsi="Arial" w:cs="Arial"/>
          <w:i/>
          <w:iCs/>
          <w:sz w:val="22"/>
          <w:szCs w:val="22"/>
          <w:lang w:val="en-GB"/>
        </w:rPr>
        <w:t xml:space="preserve">The NHS's Most Serious (and Avoidable) Errors of 2021. </w:t>
      </w:r>
      <w:r w:rsidRPr="00D92135">
        <w:rPr>
          <w:rFonts w:ascii="Arial" w:hAnsi="Arial" w:cs="Arial"/>
          <w:sz w:val="22"/>
          <w:szCs w:val="22"/>
          <w:lang w:val="en-GB"/>
        </w:rPr>
        <w:t>Available at:</w:t>
      </w:r>
      <w:hyperlink r:id="rId36">
        <w:r w:rsidRPr="00D92135">
          <w:rPr>
            <w:rFonts w:ascii="Arial" w:hAnsi="Arial" w:cs="Arial"/>
            <w:sz w:val="22"/>
            <w:szCs w:val="22"/>
            <w:lang w:val="en-GB"/>
          </w:rPr>
          <w:t xml:space="preserve"> </w:t>
        </w:r>
      </w:hyperlink>
      <w:hyperlink r:id="rId37">
        <w:r w:rsidRPr="00D92135">
          <w:rPr>
            <w:rFonts w:ascii="Arial" w:hAnsi="Arial" w:cs="Arial"/>
            <w:color w:val="1155CC"/>
            <w:sz w:val="22"/>
            <w:szCs w:val="22"/>
            <w:u w:val="single"/>
            <w:lang w:val="en-GB"/>
          </w:rPr>
          <w:t>https://www.statista.com/chart/27444/nhs-never-events/?srsltid=AfmBOorhtQdzS7NjpYch6pZ7GP0OLCOzV3TCqzu6IHw_CmsNCM071_xM</w:t>
        </w:r>
      </w:hyperlink>
      <w:r w:rsidRPr="00D92135">
        <w:rPr>
          <w:rFonts w:ascii="Arial" w:hAnsi="Arial" w:cs="Arial"/>
          <w:color w:val="1155CC"/>
          <w:sz w:val="22"/>
          <w:szCs w:val="22"/>
          <w:u w:val="single"/>
          <w:lang w:val="en-GB"/>
        </w:rPr>
        <w:t xml:space="preserve"> </w:t>
      </w:r>
      <w:r w:rsidRPr="00D92135">
        <w:rPr>
          <w:rFonts w:ascii="Arial" w:hAnsi="Arial" w:cs="Arial"/>
          <w:sz w:val="22"/>
          <w:szCs w:val="22"/>
          <w:lang w:val="en-GB"/>
        </w:rPr>
        <w:t>(Accessed on: 25 July 2026).</w:t>
      </w:r>
    </w:p>
    <w:p w14:paraId="6C145D6B" w14:textId="77777777" w:rsidR="00666370" w:rsidRPr="00D92135" w:rsidRDefault="00666370" w:rsidP="00D92135">
      <w:pPr>
        <w:spacing w:before="240" w:after="240"/>
        <w:rPr>
          <w:rFonts w:ascii="Arial" w:eastAsia="Arial" w:hAnsi="Arial" w:cs="Arial"/>
          <w:sz w:val="22"/>
          <w:szCs w:val="22"/>
          <w:lang w:val="en-GB"/>
        </w:rPr>
      </w:pPr>
      <w:r w:rsidRPr="00D92135">
        <w:rPr>
          <w:rFonts w:ascii="Arial" w:eastAsia="Arial" w:hAnsi="Arial" w:cs="Arial"/>
          <w:sz w:val="22"/>
          <w:szCs w:val="22"/>
          <w:lang w:val="en-GB"/>
        </w:rPr>
        <w:t xml:space="preserve">Fukami, T. (2025). ‘The Importance of Supportive Leadership in Advancing Patient Safety.’ </w:t>
      </w:r>
      <w:r w:rsidRPr="00D92135">
        <w:rPr>
          <w:rFonts w:ascii="Arial" w:eastAsia="Arial" w:hAnsi="Arial" w:cs="Arial"/>
          <w:i/>
          <w:iCs/>
          <w:sz w:val="22"/>
          <w:szCs w:val="22"/>
          <w:lang w:val="en-GB"/>
        </w:rPr>
        <w:t>Cureus</w:t>
      </w:r>
      <w:r w:rsidRPr="00D92135">
        <w:rPr>
          <w:rFonts w:ascii="Arial" w:eastAsia="Arial" w:hAnsi="Arial" w:cs="Arial"/>
          <w:sz w:val="22"/>
          <w:szCs w:val="22"/>
          <w:lang w:val="en-GB"/>
        </w:rPr>
        <w:t xml:space="preserve">.  Available at: </w:t>
      </w:r>
      <w:hyperlink r:id="rId38">
        <w:r w:rsidRPr="00D92135">
          <w:rPr>
            <w:rFonts w:ascii="Arial" w:eastAsia="Arial" w:hAnsi="Arial" w:cs="Arial"/>
            <w:color w:val="1155CC"/>
            <w:sz w:val="22"/>
            <w:szCs w:val="22"/>
            <w:u w:val="single"/>
            <w:lang w:val="en-GB"/>
          </w:rPr>
          <w:t>https://doi.org/10.7759/cureus.94056</w:t>
        </w:r>
      </w:hyperlink>
      <w:r w:rsidRPr="00D92135">
        <w:rPr>
          <w:rFonts w:ascii="Arial" w:eastAsia="Arial" w:hAnsi="Arial" w:cs="Arial"/>
          <w:sz w:val="22"/>
          <w:szCs w:val="22"/>
          <w:lang w:val="en-GB"/>
        </w:rPr>
        <w:t xml:space="preserve"> </w:t>
      </w:r>
    </w:p>
    <w:p w14:paraId="6450BDB1" w14:textId="77777777" w:rsidR="00666370" w:rsidRPr="00D92135" w:rsidRDefault="00666370" w:rsidP="00D92135">
      <w:pPr>
        <w:spacing w:before="240" w:after="240"/>
        <w:rPr>
          <w:rFonts w:ascii="Arial" w:eastAsia="Arial" w:hAnsi="Arial" w:cs="Arial"/>
          <w:sz w:val="22"/>
          <w:szCs w:val="22"/>
          <w:lang w:val="en-GB"/>
        </w:rPr>
      </w:pPr>
      <w:r w:rsidRPr="00D92135">
        <w:rPr>
          <w:rFonts w:ascii="Arial" w:eastAsia="Arial" w:hAnsi="Arial" w:cs="Arial"/>
          <w:sz w:val="22"/>
          <w:szCs w:val="22"/>
          <w:lang w:val="en-GB"/>
        </w:rPr>
        <w:t xml:space="preserve">Goto, Y. and Miura, H. (2022). ‘Using the Soft Systems Methodology to Link Healthcare and Long-Term Care Delivery Systems: A Case Study of Community Policy Coordinator Activities in Japan.’ </w:t>
      </w:r>
      <w:r w:rsidRPr="00D92135">
        <w:rPr>
          <w:rFonts w:ascii="Arial" w:eastAsia="Arial" w:hAnsi="Arial" w:cs="Arial"/>
          <w:i/>
          <w:iCs/>
          <w:sz w:val="22"/>
          <w:szCs w:val="22"/>
          <w:lang w:val="en-GB"/>
        </w:rPr>
        <w:t>International Journal of Environmental Research and Public Health (IJERPH</w:t>
      </w:r>
      <w:proofErr w:type="gramStart"/>
      <w:r w:rsidRPr="00D92135">
        <w:rPr>
          <w:rFonts w:ascii="Arial" w:eastAsia="Arial" w:hAnsi="Arial" w:cs="Arial"/>
          <w:i/>
          <w:iCs/>
          <w:sz w:val="22"/>
          <w:szCs w:val="22"/>
          <w:lang w:val="en-GB"/>
        </w:rPr>
        <w:t>)</w:t>
      </w:r>
      <w:r w:rsidRPr="00D92135">
        <w:rPr>
          <w:rFonts w:ascii="Arial" w:eastAsia="Arial" w:hAnsi="Arial" w:cs="Arial"/>
          <w:sz w:val="22"/>
          <w:szCs w:val="22"/>
          <w:lang w:val="en-GB"/>
        </w:rPr>
        <w:t>,  19</w:t>
      </w:r>
      <w:proofErr w:type="gramEnd"/>
      <w:r w:rsidRPr="00D92135">
        <w:rPr>
          <w:rFonts w:ascii="Arial" w:eastAsia="Arial" w:hAnsi="Arial" w:cs="Arial"/>
          <w:sz w:val="22"/>
          <w:szCs w:val="22"/>
          <w:lang w:val="en-GB"/>
        </w:rPr>
        <w:t xml:space="preserve">(14), p.8462. Available at: </w:t>
      </w:r>
      <w:hyperlink r:id="rId39">
        <w:r w:rsidRPr="00D92135">
          <w:rPr>
            <w:rFonts w:ascii="Arial" w:eastAsia="Arial" w:hAnsi="Arial" w:cs="Arial"/>
            <w:color w:val="1155CC"/>
            <w:sz w:val="22"/>
            <w:szCs w:val="22"/>
            <w:u w:val="single"/>
            <w:lang w:val="en-GB"/>
          </w:rPr>
          <w:t>https://doi.org/10.3390/ijerph19148462?urlappend=%3Futm_source%3Dresearchgate.net%26utm_medium%3Darticle</w:t>
        </w:r>
      </w:hyperlink>
      <w:r w:rsidRPr="00D92135">
        <w:rPr>
          <w:rFonts w:ascii="Arial" w:eastAsia="Arial" w:hAnsi="Arial" w:cs="Arial"/>
          <w:sz w:val="22"/>
          <w:szCs w:val="22"/>
          <w:lang w:val="en-GB"/>
        </w:rPr>
        <w:t xml:space="preserve"> </w:t>
      </w:r>
    </w:p>
    <w:p w14:paraId="088A17D4"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Govil, D., Khan, R.A., Agarwal, A. and Ghosh, P., (2025). ‘Epidemiology of medication errors in Indian hospital settings: A systematic literature review’. </w:t>
      </w:r>
      <w:r w:rsidRPr="00D92135">
        <w:rPr>
          <w:rFonts w:ascii="Arial" w:hAnsi="Arial" w:cs="Arial"/>
          <w:i/>
          <w:iCs/>
          <w:sz w:val="22"/>
          <w:szCs w:val="22"/>
          <w:lang w:val="en-GB"/>
        </w:rPr>
        <w:t>Indian Journal of Critical Care Medicine: Peer-reviewed, Official Publication of Indian Society of Critical Care Medicine</w:t>
      </w:r>
      <w:r w:rsidRPr="00D92135">
        <w:rPr>
          <w:rFonts w:ascii="Arial" w:hAnsi="Arial" w:cs="Arial"/>
          <w:sz w:val="22"/>
          <w:szCs w:val="22"/>
          <w:lang w:val="en-GB"/>
        </w:rPr>
        <w:t xml:space="preserve">, </w:t>
      </w:r>
      <w:r w:rsidRPr="00D92135">
        <w:rPr>
          <w:rFonts w:ascii="Arial" w:hAnsi="Arial" w:cs="Arial"/>
          <w:i/>
          <w:iCs/>
          <w:sz w:val="22"/>
          <w:szCs w:val="22"/>
          <w:lang w:val="en-GB"/>
        </w:rPr>
        <w:t>29</w:t>
      </w:r>
      <w:r w:rsidRPr="00D92135">
        <w:rPr>
          <w:rFonts w:ascii="Arial" w:hAnsi="Arial" w:cs="Arial"/>
          <w:sz w:val="22"/>
          <w:szCs w:val="22"/>
          <w:lang w:val="en-GB"/>
        </w:rPr>
        <w:t>(11), p.954. Available at:</w:t>
      </w:r>
      <w:hyperlink r:id="rId40">
        <w:r w:rsidRPr="00D92135">
          <w:rPr>
            <w:rFonts w:ascii="Arial" w:hAnsi="Arial" w:cs="Arial"/>
            <w:sz w:val="22"/>
            <w:szCs w:val="22"/>
            <w:lang w:val="en-GB"/>
          </w:rPr>
          <w:t xml:space="preserve"> </w:t>
        </w:r>
      </w:hyperlink>
      <w:hyperlink r:id="rId41">
        <w:r w:rsidRPr="00D92135">
          <w:rPr>
            <w:rFonts w:ascii="Arial" w:hAnsi="Arial" w:cs="Arial"/>
            <w:color w:val="1155CC"/>
            <w:sz w:val="22"/>
            <w:szCs w:val="22"/>
            <w:u w:val="single"/>
            <w:lang w:val="en-GB"/>
          </w:rPr>
          <w:t>https://doi.org/10.5005/jp-journals-10071-25080</w:t>
        </w:r>
      </w:hyperlink>
    </w:p>
    <w:p w14:paraId="34C0E267" w14:textId="77777777" w:rsidR="00666370" w:rsidRPr="00D92135" w:rsidRDefault="00666370" w:rsidP="00D92135">
      <w:pPr>
        <w:spacing w:before="240" w:after="240"/>
        <w:rPr>
          <w:rFonts w:ascii="Arial" w:eastAsia="Arial" w:hAnsi="Arial" w:cs="Arial"/>
          <w:color w:val="1155CC"/>
          <w:sz w:val="22"/>
          <w:szCs w:val="22"/>
          <w:u w:val="single"/>
          <w:lang w:val="en-GB"/>
        </w:rPr>
      </w:pPr>
      <w:r w:rsidRPr="00D92135">
        <w:rPr>
          <w:rFonts w:ascii="Arial" w:eastAsia="Arial" w:hAnsi="Arial" w:cs="Arial"/>
          <w:sz w:val="22"/>
          <w:szCs w:val="22"/>
          <w:lang w:val="en-GB"/>
        </w:rPr>
        <w:t xml:space="preserve">Hamdan, M., Jaaffar, A. H., </w:t>
      </w:r>
      <w:proofErr w:type="spellStart"/>
      <w:r w:rsidRPr="00D92135">
        <w:rPr>
          <w:rFonts w:ascii="Arial" w:eastAsia="Arial" w:hAnsi="Arial" w:cs="Arial"/>
          <w:sz w:val="22"/>
          <w:szCs w:val="22"/>
          <w:lang w:val="en-GB"/>
        </w:rPr>
        <w:t>Khraisat</w:t>
      </w:r>
      <w:proofErr w:type="spellEnd"/>
      <w:r w:rsidRPr="00D92135">
        <w:rPr>
          <w:rFonts w:ascii="Arial" w:eastAsia="Arial" w:hAnsi="Arial" w:cs="Arial"/>
          <w:sz w:val="22"/>
          <w:szCs w:val="22"/>
          <w:lang w:val="en-GB"/>
        </w:rPr>
        <w:t xml:space="preserve">, O., Issa, M. R., &amp; Jarrar, M. (2024). ‘The association of transformational leadership on safety practices among nurses: The mediating role of patient safety culture.’ </w:t>
      </w:r>
      <w:r w:rsidRPr="00D92135">
        <w:rPr>
          <w:rFonts w:ascii="Arial" w:eastAsia="Arial" w:hAnsi="Arial" w:cs="Arial"/>
          <w:i/>
          <w:iCs/>
          <w:sz w:val="22"/>
          <w:szCs w:val="22"/>
          <w:lang w:val="en-GB"/>
        </w:rPr>
        <w:t>Risk Management and Healthcare Policy</w:t>
      </w:r>
      <w:r w:rsidRPr="00D92135">
        <w:rPr>
          <w:rFonts w:ascii="Arial" w:eastAsia="Arial" w:hAnsi="Arial" w:cs="Arial"/>
          <w:sz w:val="22"/>
          <w:szCs w:val="22"/>
          <w:lang w:val="en-GB"/>
        </w:rPr>
        <w:t>, 17, 1687–1700.</w:t>
      </w:r>
      <w:hyperlink r:id="rId42">
        <w:r w:rsidRPr="00D92135">
          <w:rPr>
            <w:rFonts w:ascii="Arial" w:eastAsia="Arial" w:hAnsi="Arial" w:cs="Arial"/>
            <w:color w:val="1155CC"/>
            <w:sz w:val="22"/>
            <w:szCs w:val="22"/>
            <w:u w:val="single"/>
            <w:lang w:val="en-GB"/>
          </w:rPr>
          <w:t xml:space="preserve"> </w:t>
        </w:r>
      </w:hyperlink>
      <w:r w:rsidRPr="00D92135">
        <w:rPr>
          <w:rFonts w:ascii="Arial" w:eastAsia="Arial" w:hAnsi="Arial" w:cs="Arial"/>
          <w:sz w:val="22"/>
          <w:szCs w:val="22"/>
          <w:lang w:val="en-GB"/>
        </w:rPr>
        <w:t xml:space="preserve">Available at: </w:t>
      </w:r>
      <w:hyperlink r:id="rId43">
        <w:r w:rsidRPr="00D92135">
          <w:rPr>
            <w:rFonts w:ascii="Arial" w:eastAsia="Arial" w:hAnsi="Arial" w:cs="Arial"/>
            <w:color w:val="1155CC"/>
            <w:sz w:val="22"/>
            <w:szCs w:val="22"/>
            <w:u w:val="single"/>
            <w:lang w:val="en-GB"/>
          </w:rPr>
          <w:t>https://www.dovepress.com/the-association-of-transformational-leadership-on-safety-practices-amo-peer-reviewed-fulltext-article-RMHP</w:t>
        </w:r>
      </w:hyperlink>
    </w:p>
    <w:p w14:paraId="66BA60B5"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Hamdan, M., Jaaffar, A.H., </w:t>
      </w:r>
      <w:proofErr w:type="spellStart"/>
      <w:r w:rsidRPr="00D92135">
        <w:rPr>
          <w:rFonts w:ascii="Arial" w:hAnsi="Arial" w:cs="Arial"/>
          <w:color w:val="222222"/>
          <w:sz w:val="22"/>
          <w:szCs w:val="22"/>
          <w:highlight w:val="white"/>
          <w:lang w:val="en-GB"/>
        </w:rPr>
        <w:t>Khraisat</w:t>
      </w:r>
      <w:proofErr w:type="spellEnd"/>
      <w:r w:rsidRPr="00D92135">
        <w:rPr>
          <w:rFonts w:ascii="Arial" w:hAnsi="Arial" w:cs="Arial"/>
          <w:color w:val="222222"/>
          <w:sz w:val="22"/>
          <w:szCs w:val="22"/>
          <w:highlight w:val="white"/>
          <w:lang w:val="en-GB"/>
        </w:rPr>
        <w:t xml:space="preserve">, O., Issa, M.R. and Jarrar, M.T., (2024). ‘The association of transformational leadership on safety practices among nurses: the mediating role of patient safety culture’. </w:t>
      </w:r>
      <w:r w:rsidRPr="00D92135">
        <w:rPr>
          <w:rFonts w:ascii="Arial" w:hAnsi="Arial" w:cs="Arial"/>
          <w:i/>
          <w:iCs/>
          <w:color w:val="222222"/>
          <w:sz w:val="22"/>
          <w:szCs w:val="22"/>
          <w:highlight w:val="white"/>
          <w:lang w:val="en-GB"/>
        </w:rPr>
        <w:t>Risk Management and Healthcare Policy</w:t>
      </w:r>
      <w:r w:rsidRPr="00D92135">
        <w:rPr>
          <w:rFonts w:ascii="Arial" w:hAnsi="Arial" w:cs="Arial"/>
          <w:color w:val="222222"/>
          <w:sz w:val="22"/>
          <w:szCs w:val="22"/>
          <w:highlight w:val="white"/>
          <w:lang w:val="en-GB"/>
        </w:rPr>
        <w:t>, pp.1687-1700.</w:t>
      </w:r>
      <w:r w:rsidRPr="00D92135">
        <w:rPr>
          <w:rFonts w:ascii="Arial" w:hAnsi="Arial" w:cs="Arial"/>
          <w:sz w:val="22"/>
          <w:szCs w:val="22"/>
          <w:lang w:val="en-GB"/>
        </w:rPr>
        <w:t xml:space="preserve"> Available at: </w:t>
      </w:r>
      <w:hyperlink r:id="rId44">
        <w:r w:rsidRPr="00D92135">
          <w:rPr>
            <w:rFonts w:ascii="Arial" w:hAnsi="Arial" w:cs="Arial"/>
            <w:color w:val="1155CC"/>
            <w:sz w:val="22"/>
            <w:szCs w:val="22"/>
            <w:u w:val="single"/>
            <w:lang w:val="en-GB"/>
          </w:rPr>
          <w:t>https://www.tandfonline.com/doi/pdf/10.2147/RMHP.S458505</w:t>
        </w:r>
      </w:hyperlink>
      <w:r w:rsidRPr="00D92135">
        <w:rPr>
          <w:rFonts w:ascii="Arial" w:hAnsi="Arial" w:cs="Arial"/>
          <w:sz w:val="22"/>
          <w:szCs w:val="22"/>
          <w:lang w:val="en-GB"/>
        </w:rPr>
        <w:t xml:space="preserve"> </w:t>
      </w:r>
    </w:p>
    <w:p w14:paraId="171CF10C" w14:textId="77777777" w:rsidR="00666370" w:rsidRPr="00D92135" w:rsidRDefault="00666370" w:rsidP="00D92135">
      <w:pPr>
        <w:spacing w:before="240" w:after="240"/>
        <w:rPr>
          <w:rFonts w:ascii="Arial" w:eastAsia="Arial" w:hAnsi="Arial" w:cs="Arial"/>
          <w:sz w:val="22"/>
          <w:szCs w:val="22"/>
          <w:lang w:val="en-GB"/>
        </w:rPr>
      </w:pPr>
      <w:r w:rsidRPr="00D92135">
        <w:rPr>
          <w:rFonts w:ascii="Arial" w:eastAsia="Arial" w:hAnsi="Arial" w:cs="Arial"/>
          <w:sz w:val="22"/>
          <w:szCs w:val="22"/>
          <w:lang w:val="en-GB"/>
        </w:rPr>
        <w:t xml:space="preserve">Hibbert, P. D, Stewart, S., Wiles, L.K., Braithwaite, J., Runciman, W.B. and Thomas, M.J.W. (2023). ‘Improving Patient Safety Governance And systems through Learning from Successes and failures: Qualitative Surveys And interviews with International Experts.’ </w:t>
      </w:r>
      <w:r w:rsidRPr="00D92135">
        <w:rPr>
          <w:rFonts w:ascii="Arial" w:eastAsia="Arial" w:hAnsi="Arial" w:cs="Arial"/>
          <w:i/>
          <w:iCs/>
          <w:sz w:val="22"/>
          <w:szCs w:val="22"/>
          <w:lang w:val="en-GB"/>
        </w:rPr>
        <w:t>International Journal for Quality in Health Care</w:t>
      </w:r>
      <w:r w:rsidRPr="00D92135">
        <w:rPr>
          <w:rFonts w:ascii="Arial" w:eastAsia="Arial" w:hAnsi="Arial" w:cs="Arial"/>
          <w:sz w:val="22"/>
          <w:szCs w:val="22"/>
          <w:lang w:val="en-GB"/>
        </w:rPr>
        <w:t xml:space="preserve">, 35(4). Available at: </w:t>
      </w:r>
      <w:hyperlink r:id="rId45">
        <w:r w:rsidRPr="00D92135">
          <w:rPr>
            <w:rFonts w:ascii="Arial" w:eastAsia="Arial" w:hAnsi="Arial" w:cs="Arial"/>
            <w:color w:val="1155CC"/>
            <w:sz w:val="22"/>
            <w:szCs w:val="22"/>
            <w:u w:val="single"/>
            <w:lang w:val="en-GB"/>
          </w:rPr>
          <w:t>https://doi.org/10.1093/intqhc/mzad088</w:t>
        </w:r>
      </w:hyperlink>
      <w:r w:rsidRPr="00D92135">
        <w:rPr>
          <w:rFonts w:ascii="Arial" w:eastAsia="Arial" w:hAnsi="Arial" w:cs="Arial"/>
          <w:sz w:val="22"/>
          <w:szCs w:val="22"/>
          <w:lang w:val="en-GB"/>
        </w:rPr>
        <w:t xml:space="preserve"> </w:t>
      </w:r>
    </w:p>
    <w:p w14:paraId="4C582569"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Jeevitha, G., (2025). ‘Health workforce status in India: A qualitative analysis of parliamentary questions documented in the last two </w:t>
      </w:r>
      <w:proofErr w:type="gramStart"/>
      <w:r w:rsidRPr="00D92135">
        <w:rPr>
          <w:rFonts w:ascii="Arial" w:hAnsi="Arial" w:cs="Arial"/>
          <w:sz w:val="22"/>
          <w:szCs w:val="22"/>
          <w:lang w:val="en-GB"/>
        </w:rPr>
        <w:t>decades’</w:t>
      </w:r>
      <w:proofErr w:type="gramEnd"/>
      <w:r w:rsidRPr="00D92135">
        <w:rPr>
          <w:rFonts w:ascii="Arial" w:hAnsi="Arial" w:cs="Arial"/>
          <w:sz w:val="22"/>
          <w:szCs w:val="22"/>
          <w:lang w:val="en-GB"/>
        </w:rPr>
        <w:t xml:space="preserve">. </w:t>
      </w:r>
      <w:r w:rsidRPr="00D92135">
        <w:rPr>
          <w:rFonts w:ascii="Arial" w:hAnsi="Arial" w:cs="Arial"/>
          <w:i/>
          <w:iCs/>
          <w:sz w:val="22"/>
          <w:szCs w:val="22"/>
          <w:lang w:val="en-GB"/>
        </w:rPr>
        <w:t>Journal of Family Medicine and Primary Care</w:t>
      </w:r>
      <w:r w:rsidRPr="00D92135">
        <w:rPr>
          <w:rFonts w:ascii="Arial" w:hAnsi="Arial" w:cs="Arial"/>
          <w:sz w:val="22"/>
          <w:szCs w:val="22"/>
          <w:lang w:val="en-GB"/>
        </w:rPr>
        <w:t xml:space="preserve">, </w:t>
      </w:r>
      <w:r w:rsidRPr="00D92135">
        <w:rPr>
          <w:rFonts w:ascii="Arial" w:hAnsi="Arial" w:cs="Arial"/>
          <w:i/>
          <w:iCs/>
          <w:sz w:val="22"/>
          <w:szCs w:val="22"/>
          <w:lang w:val="en-GB"/>
        </w:rPr>
        <w:t>14</w:t>
      </w:r>
      <w:r w:rsidRPr="00D92135">
        <w:rPr>
          <w:rFonts w:ascii="Arial" w:hAnsi="Arial" w:cs="Arial"/>
          <w:sz w:val="22"/>
          <w:szCs w:val="22"/>
          <w:lang w:val="en-GB"/>
        </w:rPr>
        <w:t>(6), pp.2351-2357.</w:t>
      </w:r>
      <w:hyperlink r:id="rId46">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47">
        <w:r w:rsidRPr="00D92135">
          <w:rPr>
            <w:rFonts w:ascii="Arial" w:hAnsi="Arial" w:cs="Arial"/>
            <w:color w:val="1155CC"/>
            <w:sz w:val="22"/>
            <w:szCs w:val="22"/>
            <w:u w:val="single"/>
            <w:lang w:val="en-GB"/>
          </w:rPr>
          <w:t>https://doi.org/10.4103/jfmpc.jfmpc_879_24</w:t>
        </w:r>
      </w:hyperlink>
    </w:p>
    <w:p w14:paraId="6CA014FE"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Krstulović, J., </w:t>
      </w:r>
      <w:proofErr w:type="spellStart"/>
      <w:r w:rsidRPr="00D92135">
        <w:rPr>
          <w:rFonts w:ascii="Arial" w:hAnsi="Arial" w:cs="Arial"/>
          <w:color w:val="222222"/>
          <w:sz w:val="22"/>
          <w:szCs w:val="22"/>
          <w:highlight w:val="white"/>
          <w:lang w:val="en-GB"/>
        </w:rPr>
        <w:t>Ursić</w:t>
      </w:r>
      <w:proofErr w:type="spellEnd"/>
      <w:r w:rsidRPr="00D92135">
        <w:rPr>
          <w:rFonts w:ascii="Arial" w:hAnsi="Arial" w:cs="Arial"/>
          <w:color w:val="222222"/>
          <w:sz w:val="22"/>
          <w:szCs w:val="22"/>
          <w:highlight w:val="white"/>
          <w:lang w:val="en-GB"/>
        </w:rPr>
        <w:t xml:space="preserve">, L., </w:t>
      </w:r>
      <w:proofErr w:type="spellStart"/>
      <w:r w:rsidRPr="00D92135">
        <w:rPr>
          <w:rFonts w:ascii="Arial" w:hAnsi="Arial" w:cs="Arial"/>
          <w:color w:val="222222"/>
          <w:sz w:val="22"/>
          <w:szCs w:val="22"/>
          <w:highlight w:val="white"/>
          <w:lang w:val="en-GB"/>
        </w:rPr>
        <w:t>Hrgović</w:t>
      </w:r>
      <w:proofErr w:type="spellEnd"/>
      <w:r w:rsidRPr="00D92135">
        <w:rPr>
          <w:rFonts w:ascii="Arial" w:hAnsi="Arial" w:cs="Arial"/>
          <w:color w:val="222222"/>
          <w:sz w:val="22"/>
          <w:szCs w:val="22"/>
          <w:highlight w:val="white"/>
          <w:lang w:val="en-GB"/>
        </w:rPr>
        <w:t xml:space="preserve">, Z., </w:t>
      </w:r>
      <w:proofErr w:type="spellStart"/>
      <w:r w:rsidRPr="00D92135">
        <w:rPr>
          <w:rFonts w:ascii="Arial" w:hAnsi="Arial" w:cs="Arial"/>
          <w:color w:val="222222"/>
          <w:sz w:val="22"/>
          <w:szCs w:val="22"/>
          <w:highlight w:val="white"/>
          <w:lang w:val="en-GB"/>
        </w:rPr>
        <w:t>Šuljić</w:t>
      </w:r>
      <w:proofErr w:type="spellEnd"/>
      <w:r w:rsidRPr="00D92135">
        <w:rPr>
          <w:rFonts w:ascii="Arial" w:hAnsi="Arial" w:cs="Arial"/>
          <w:color w:val="222222"/>
          <w:sz w:val="22"/>
          <w:szCs w:val="22"/>
          <w:highlight w:val="white"/>
          <w:lang w:val="en-GB"/>
        </w:rPr>
        <w:t xml:space="preserve">, N., </w:t>
      </w:r>
      <w:proofErr w:type="spellStart"/>
      <w:r w:rsidRPr="00D92135">
        <w:rPr>
          <w:rFonts w:ascii="Arial" w:hAnsi="Arial" w:cs="Arial"/>
          <w:color w:val="222222"/>
          <w:sz w:val="22"/>
          <w:szCs w:val="22"/>
          <w:highlight w:val="white"/>
          <w:lang w:val="en-GB"/>
        </w:rPr>
        <w:t>Roje</w:t>
      </w:r>
      <w:proofErr w:type="spellEnd"/>
      <w:r w:rsidRPr="00D92135">
        <w:rPr>
          <w:rFonts w:ascii="Arial" w:hAnsi="Arial" w:cs="Arial"/>
          <w:color w:val="222222"/>
          <w:sz w:val="22"/>
          <w:szCs w:val="22"/>
          <w:highlight w:val="white"/>
          <w:lang w:val="en-GB"/>
        </w:rPr>
        <w:t xml:space="preserve">, R., Znaor, L. and Marusic, A., (2025). ‘Barriers and facilitators for implementing WHO’s Surgical Safety Checklist in a publicly funded hospital: a qualitative study from a tertiary-level public hospital in Croatia’. </w:t>
      </w:r>
      <w:r w:rsidRPr="00D92135">
        <w:rPr>
          <w:rFonts w:ascii="Arial" w:hAnsi="Arial" w:cs="Arial"/>
          <w:i/>
          <w:iCs/>
          <w:color w:val="222222"/>
          <w:sz w:val="22"/>
          <w:szCs w:val="22"/>
          <w:highlight w:val="white"/>
          <w:lang w:val="en-GB"/>
        </w:rPr>
        <w:t>BMJ open</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15</w:t>
      </w:r>
      <w:r w:rsidRPr="00D92135">
        <w:rPr>
          <w:rFonts w:ascii="Arial" w:hAnsi="Arial" w:cs="Arial"/>
          <w:color w:val="222222"/>
          <w:sz w:val="22"/>
          <w:szCs w:val="22"/>
          <w:highlight w:val="white"/>
          <w:lang w:val="en-GB"/>
        </w:rPr>
        <w:t>(6), p.e095155.</w:t>
      </w:r>
      <w:r w:rsidRPr="00D92135">
        <w:rPr>
          <w:rFonts w:ascii="Arial" w:hAnsi="Arial" w:cs="Arial"/>
          <w:sz w:val="22"/>
          <w:szCs w:val="22"/>
          <w:lang w:val="en-GB"/>
        </w:rPr>
        <w:t xml:space="preserve"> Available at: </w:t>
      </w:r>
      <w:hyperlink r:id="rId48">
        <w:r w:rsidRPr="00D92135">
          <w:rPr>
            <w:rFonts w:ascii="Arial" w:hAnsi="Arial" w:cs="Arial"/>
            <w:color w:val="1155CC"/>
            <w:sz w:val="22"/>
            <w:szCs w:val="22"/>
            <w:u w:val="single"/>
            <w:lang w:val="en-GB"/>
          </w:rPr>
          <w:t>https://bmjopen.bmj.com/content/bmjopen/15/6/e095155.full.pdf</w:t>
        </w:r>
      </w:hyperlink>
      <w:r w:rsidRPr="00D92135">
        <w:rPr>
          <w:rFonts w:ascii="Arial" w:hAnsi="Arial" w:cs="Arial"/>
          <w:sz w:val="22"/>
          <w:szCs w:val="22"/>
          <w:lang w:val="en-GB"/>
        </w:rPr>
        <w:t xml:space="preserve"> </w:t>
      </w:r>
    </w:p>
    <w:p w14:paraId="54524B09" w14:textId="77777777" w:rsidR="00666370" w:rsidRPr="00D92135" w:rsidRDefault="00666370" w:rsidP="00D92135">
      <w:pPr>
        <w:spacing w:before="240" w:after="240"/>
        <w:rPr>
          <w:rFonts w:ascii="Arial" w:eastAsia="Arial" w:hAnsi="Arial" w:cs="Arial"/>
          <w:color w:val="1155CC"/>
          <w:sz w:val="22"/>
          <w:szCs w:val="22"/>
          <w:u w:val="single"/>
          <w:lang w:val="en-GB"/>
        </w:rPr>
      </w:pPr>
      <w:r w:rsidRPr="00D92135">
        <w:rPr>
          <w:rFonts w:ascii="Arial" w:eastAsia="Arial" w:hAnsi="Arial" w:cs="Arial"/>
          <w:sz w:val="22"/>
          <w:szCs w:val="22"/>
          <w:lang w:val="en-GB"/>
        </w:rPr>
        <w:t xml:space="preserve">Kumah, A. (2025). ‘Adverse event reporting and patient safety: The role of a just culture.’ </w:t>
      </w:r>
      <w:r w:rsidRPr="00D92135">
        <w:rPr>
          <w:rFonts w:ascii="Arial" w:eastAsia="Arial" w:hAnsi="Arial" w:cs="Arial"/>
          <w:i/>
          <w:iCs/>
          <w:sz w:val="22"/>
          <w:szCs w:val="22"/>
          <w:lang w:val="en-GB"/>
        </w:rPr>
        <w:t>Frontiers in Health Services</w:t>
      </w:r>
      <w:r w:rsidRPr="00D92135">
        <w:rPr>
          <w:rFonts w:ascii="Arial" w:eastAsia="Arial" w:hAnsi="Arial" w:cs="Arial"/>
          <w:sz w:val="22"/>
          <w:szCs w:val="22"/>
          <w:lang w:val="en-GB"/>
        </w:rPr>
        <w:t xml:space="preserve">, 5, 1581516. Available at: </w:t>
      </w:r>
      <w:hyperlink r:id="rId49">
        <w:r w:rsidRPr="00D92135">
          <w:rPr>
            <w:rFonts w:ascii="Arial" w:eastAsia="Arial" w:hAnsi="Arial" w:cs="Arial"/>
            <w:color w:val="1155CC"/>
            <w:sz w:val="22"/>
            <w:szCs w:val="22"/>
            <w:u w:val="single"/>
            <w:lang w:val="en-GB"/>
          </w:rPr>
          <w:t xml:space="preserve"> https://www.frontiersin.org/journals/health-services/articles/10.3389/frhs.2025.1581516/full</w:t>
        </w:r>
      </w:hyperlink>
    </w:p>
    <w:p w14:paraId="74156E5C"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lastRenderedPageBreak/>
        <w:t xml:space="preserve">Kumar, A., (2023). ‘The transformation of the Indian healthcare system’. </w:t>
      </w:r>
      <w:r w:rsidRPr="00D92135">
        <w:rPr>
          <w:rFonts w:ascii="Arial" w:hAnsi="Arial" w:cs="Arial"/>
          <w:i/>
          <w:iCs/>
          <w:color w:val="222222"/>
          <w:sz w:val="22"/>
          <w:szCs w:val="22"/>
          <w:highlight w:val="white"/>
          <w:lang w:val="en-GB"/>
        </w:rPr>
        <w:t>Cureus</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15</w:t>
      </w:r>
      <w:r w:rsidRPr="00D92135">
        <w:rPr>
          <w:rFonts w:ascii="Arial" w:hAnsi="Arial" w:cs="Arial"/>
          <w:color w:val="222222"/>
          <w:sz w:val="22"/>
          <w:szCs w:val="22"/>
          <w:highlight w:val="white"/>
          <w:lang w:val="en-GB"/>
        </w:rPr>
        <w:t>(5).</w:t>
      </w:r>
      <w:r w:rsidRPr="00D92135">
        <w:rPr>
          <w:rFonts w:ascii="Arial" w:hAnsi="Arial" w:cs="Arial"/>
          <w:sz w:val="22"/>
          <w:szCs w:val="22"/>
          <w:lang w:val="en-GB"/>
        </w:rPr>
        <w:t xml:space="preserve"> Available at: </w:t>
      </w:r>
      <w:hyperlink r:id="rId50">
        <w:r w:rsidRPr="00D92135">
          <w:rPr>
            <w:rFonts w:ascii="Arial" w:hAnsi="Arial" w:cs="Arial"/>
            <w:color w:val="1155CC"/>
            <w:sz w:val="22"/>
            <w:szCs w:val="22"/>
            <w:u w:val="single"/>
            <w:lang w:val="en-GB"/>
          </w:rPr>
          <w:t>https://doi.org/10.7759/cureus.39079</w:t>
        </w:r>
      </w:hyperlink>
      <w:r w:rsidRPr="00D92135">
        <w:rPr>
          <w:rFonts w:ascii="Arial" w:hAnsi="Arial" w:cs="Arial"/>
          <w:sz w:val="22"/>
          <w:szCs w:val="22"/>
          <w:lang w:val="en-GB"/>
        </w:rPr>
        <w:t xml:space="preserve"> </w:t>
      </w:r>
    </w:p>
    <w:p w14:paraId="7537B44F"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McCarthy, S., Motala, A., Lawson, E. and </w:t>
      </w:r>
      <w:proofErr w:type="spellStart"/>
      <w:r w:rsidRPr="00D92135">
        <w:rPr>
          <w:rFonts w:ascii="Arial" w:hAnsi="Arial" w:cs="Arial"/>
          <w:color w:val="222222"/>
          <w:sz w:val="22"/>
          <w:szCs w:val="22"/>
          <w:highlight w:val="white"/>
          <w:lang w:val="en-GB"/>
        </w:rPr>
        <w:t>Shekelle</w:t>
      </w:r>
      <w:proofErr w:type="spellEnd"/>
      <w:r w:rsidRPr="00D92135">
        <w:rPr>
          <w:rFonts w:ascii="Arial" w:hAnsi="Arial" w:cs="Arial"/>
          <w:color w:val="222222"/>
          <w:sz w:val="22"/>
          <w:szCs w:val="22"/>
          <w:highlight w:val="white"/>
          <w:lang w:val="en-GB"/>
        </w:rPr>
        <w:t xml:space="preserve">, P.G., (2025). ‘Use of structured handoff protocols for within-hospital unit transitions: a systematic review from Making Healthcare Safer IV’. </w:t>
      </w:r>
      <w:r w:rsidRPr="00D92135">
        <w:rPr>
          <w:rFonts w:ascii="Arial" w:hAnsi="Arial" w:cs="Arial"/>
          <w:i/>
          <w:iCs/>
          <w:color w:val="222222"/>
          <w:sz w:val="22"/>
          <w:szCs w:val="22"/>
          <w:highlight w:val="white"/>
          <w:lang w:val="en-GB"/>
        </w:rPr>
        <w:t>BMJ Quality &amp; Safety</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34</w:t>
      </w:r>
      <w:r w:rsidRPr="00D92135">
        <w:rPr>
          <w:rFonts w:ascii="Arial" w:hAnsi="Arial" w:cs="Arial"/>
          <w:color w:val="222222"/>
          <w:sz w:val="22"/>
          <w:szCs w:val="22"/>
          <w:highlight w:val="white"/>
          <w:lang w:val="en-GB"/>
        </w:rPr>
        <w:t>(10), pp.680-690.</w:t>
      </w:r>
      <w:r w:rsidRPr="00D92135">
        <w:rPr>
          <w:rFonts w:ascii="Arial" w:hAnsi="Arial" w:cs="Arial"/>
          <w:sz w:val="22"/>
          <w:szCs w:val="22"/>
          <w:lang w:val="en-GB"/>
        </w:rPr>
        <w:t xml:space="preserve"> Available at: </w:t>
      </w:r>
      <w:hyperlink r:id="rId51">
        <w:r w:rsidRPr="00D92135">
          <w:rPr>
            <w:rFonts w:ascii="Arial" w:hAnsi="Arial" w:cs="Arial"/>
            <w:color w:val="1155CC"/>
            <w:sz w:val="22"/>
            <w:szCs w:val="22"/>
            <w:u w:val="single"/>
            <w:lang w:val="en-GB"/>
          </w:rPr>
          <w:t>https://doi.org/10.1136/bmjqs-2024-018385</w:t>
        </w:r>
      </w:hyperlink>
      <w:r w:rsidRPr="00D92135">
        <w:rPr>
          <w:rFonts w:ascii="Arial" w:hAnsi="Arial" w:cs="Arial"/>
          <w:sz w:val="22"/>
          <w:szCs w:val="22"/>
          <w:lang w:val="en-GB"/>
        </w:rPr>
        <w:t xml:space="preserve"> </w:t>
      </w:r>
    </w:p>
    <w:p w14:paraId="750D2252"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Mikulic, M., (2026). </w:t>
      </w:r>
      <w:r w:rsidRPr="00D92135">
        <w:rPr>
          <w:rFonts w:ascii="Arial" w:hAnsi="Arial" w:cs="Arial"/>
          <w:i/>
          <w:iCs/>
          <w:sz w:val="22"/>
          <w:szCs w:val="22"/>
          <w:lang w:val="en-GB"/>
        </w:rPr>
        <w:t xml:space="preserve">NHS staff shortages. </w:t>
      </w:r>
      <w:r w:rsidRPr="00D92135">
        <w:rPr>
          <w:rFonts w:ascii="Arial" w:hAnsi="Arial" w:cs="Arial"/>
          <w:sz w:val="22"/>
          <w:szCs w:val="22"/>
          <w:lang w:val="en-GB"/>
        </w:rPr>
        <w:t>Available at:</w:t>
      </w:r>
      <w:hyperlink r:id="rId52">
        <w:r w:rsidRPr="00D92135">
          <w:rPr>
            <w:rFonts w:ascii="Arial" w:hAnsi="Arial" w:cs="Arial"/>
            <w:sz w:val="22"/>
            <w:szCs w:val="22"/>
            <w:lang w:val="en-GB"/>
          </w:rPr>
          <w:t xml:space="preserve"> </w:t>
        </w:r>
      </w:hyperlink>
      <w:hyperlink r:id="rId53">
        <w:r w:rsidRPr="00D92135">
          <w:rPr>
            <w:rFonts w:ascii="Arial" w:hAnsi="Arial" w:cs="Arial"/>
            <w:color w:val="1155CC"/>
            <w:sz w:val="22"/>
            <w:szCs w:val="22"/>
            <w:u w:val="single"/>
            <w:lang w:val="en-GB"/>
          </w:rPr>
          <w:t>https://www.statista.com/topics/9575/nhs-staff-shortage/?srsltid=AfmBOoqvz1154yrBbwWAyRW2jd66VH4a-HiGeoDuFFY_AHEdYzVaANkx</w:t>
        </w:r>
      </w:hyperlink>
      <w:r w:rsidRPr="00D92135">
        <w:rPr>
          <w:rFonts w:ascii="Arial" w:hAnsi="Arial" w:cs="Arial"/>
          <w:color w:val="1155CC"/>
          <w:sz w:val="22"/>
          <w:szCs w:val="22"/>
          <w:u w:val="single"/>
          <w:lang w:val="en-GB"/>
        </w:rPr>
        <w:t xml:space="preserve"> </w:t>
      </w:r>
      <w:r w:rsidRPr="00D92135">
        <w:rPr>
          <w:rFonts w:ascii="Arial" w:hAnsi="Arial" w:cs="Arial"/>
          <w:sz w:val="22"/>
          <w:szCs w:val="22"/>
          <w:lang w:val="en-GB"/>
        </w:rPr>
        <w:t>(Accessed on: 25 July 2026).</w:t>
      </w:r>
    </w:p>
    <w:p w14:paraId="13EAAC16"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Møller, K.E., McLeskey, O.W., Rosthøj, S., Trbovich, P., Grantcharov, T., Sorensen, J.L. and Strandbygaard, J., (2024). ‘Healthcare professionals’ perception of the World Health Organization Surgical Safety Checklist and psychological safety: a cross-sectional survey’. </w:t>
      </w:r>
      <w:r w:rsidRPr="00D92135">
        <w:rPr>
          <w:rFonts w:ascii="Arial" w:hAnsi="Arial" w:cs="Arial"/>
          <w:i/>
          <w:iCs/>
          <w:sz w:val="22"/>
          <w:szCs w:val="22"/>
          <w:lang w:val="en-GB"/>
        </w:rPr>
        <w:t>BMJ Open Quality</w:t>
      </w:r>
      <w:r w:rsidRPr="00D92135">
        <w:rPr>
          <w:rFonts w:ascii="Arial" w:hAnsi="Arial" w:cs="Arial"/>
          <w:sz w:val="22"/>
          <w:szCs w:val="22"/>
          <w:lang w:val="en-GB"/>
        </w:rPr>
        <w:t xml:space="preserve">, </w:t>
      </w:r>
      <w:r w:rsidRPr="00D92135">
        <w:rPr>
          <w:rFonts w:ascii="Arial" w:hAnsi="Arial" w:cs="Arial"/>
          <w:i/>
          <w:iCs/>
          <w:sz w:val="22"/>
          <w:szCs w:val="22"/>
          <w:lang w:val="en-GB"/>
        </w:rPr>
        <w:t>13</w:t>
      </w:r>
      <w:r w:rsidRPr="00D92135">
        <w:rPr>
          <w:rFonts w:ascii="Arial" w:hAnsi="Arial" w:cs="Arial"/>
          <w:sz w:val="22"/>
          <w:szCs w:val="22"/>
          <w:lang w:val="en-GB"/>
        </w:rPr>
        <w:t>(4).</w:t>
      </w:r>
      <w:hyperlink r:id="rId54">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55">
        <w:r w:rsidRPr="00D92135">
          <w:rPr>
            <w:rFonts w:ascii="Arial" w:hAnsi="Arial" w:cs="Arial"/>
            <w:color w:val="1155CC"/>
            <w:sz w:val="22"/>
            <w:szCs w:val="22"/>
            <w:u w:val="single"/>
            <w:lang w:val="en-GB"/>
          </w:rPr>
          <w:t>https://doi.org/10.1136/</w:t>
        </w:r>
      </w:hyperlink>
    </w:p>
    <w:p w14:paraId="2CD88B0E" w14:textId="77777777" w:rsidR="00666370" w:rsidRPr="00D92135" w:rsidRDefault="00666370" w:rsidP="00D92135">
      <w:pPr>
        <w:spacing w:before="240" w:after="240"/>
        <w:rPr>
          <w:rFonts w:ascii="Arial" w:eastAsia="Arial" w:hAnsi="Arial" w:cs="Arial"/>
          <w:sz w:val="22"/>
          <w:szCs w:val="22"/>
          <w:lang w:val="en-GB"/>
        </w:rPr>
      </w:pPr>
      <w:proofErr w:type="spellStart"/>
      <w:r w:rsidRPr="00D92135">
        <w:rPr>
          <w:rFonts w:ascii="Arial" w:eastAsia="Arial" w:hAnsi="Arial" w:cs="Arial"/>
          <w:sz w:val="22"/>
          <w:szCs w:val="22"/>
          <w:lang w:val="en-GB"/>
        </w:rPr>
        <w:t>Nanjunda</w:t>
      </w:r>
      <w:proofErr w:type="spellEnd"/>
      <w:r w:rsidRPr="00D92135">
        <w:rPr>
          <w:rFonts w:ascii="Arial" w:eastAsia="Arial" w:hAnsi="Arial" w:cs="Arial"/>
          <w:sz w:val="22"/>
          <w:szCs w:val="22"/>
          <w:lang w:val="en-GB"/>
        </w:rPr>
        <w:t xml:space="preserve"> (2024). ‘Political and Programmatic Health Decentralisation in Karnataka State: An Evidence-based Rural Participatory Decision-making.’ </w:t>
      </w:r>
      <w:r w:rsidRPr="00D92135">
        <w:rPr>
          <w:rFonts w:ascii="Arial" w:eastAsia="Arial" w:hAnsi="Arial" w:cs="Arial"/>
          <w:i/>
          <w:iCs/>
          <w:sz w:val="22"/>
          <w:szCs w:val="22"/>
          <w:lang w:val="en-GB"/>
        </w:rPr>
        <w:t>Indian Journal of Public Administration</w:t>
      </w:r>
      <w:r w:rsidRPr="00D92135">
        <w:rPr>
          <w:rFonts w:ascii="Arial" w:eastAsia="Arial" w:hAnsi="Arial" w:cs="Arial"/>
          <w:sz w:val="22"/>
          <w:szCs w:val="22"/>
          <w:lang w:val="en-GB"/>
        </w:rPr>
        <w:t xml:space="preserve">. Available at: </w:t>
      </w:r>
      <w:hyperlink r:id="rId56">
        <w:r w:rsidRPr="00D92135">
          <w:rPr>
            <w:rFonts w:ascii="Arial" w:eastAsia="Arial" w:hAnsi="Arial" w:cs="Arial"/>
            <w:color w:val="1155CC"/>
            <w:sz w:val="22"/>
            <w:szCs w:val="22"/>
            <w:u w:val="single"/>
            <w:lang w:val="en-GB"/>
          </w:rPr>
          <w:t>https://doi.org/10.1177/00195561241284320</w:t>
        </w:r>
      </w:hyperlink>
      <w:r w:rsidRPr="00D92135">
        <w:rPr>
          <w:rFonts w:ascii="Arial" w:eastAsia="Arial" w:hAnsi="Arial" w:cs="Arial"/>
          <w:sz w:val="22"/>
          <w:szCs w:val="22"/>
          <w:lang w:val="en-GB"/>
        </w:rPr>
        <w:t xml:space="preserve"> </w:t>
      </w:r>
    </w:p>
    <w:p w14:paraId="0A5B615F"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National Health Service (2026). </w:t>
      </w:r>
      <w:r w:rsidRPr="00D92135">
        <w:rPr>
          <w:rFonts w:ascii="Arial" w:hAnsi="Arial" w:cs="Arial"/>
          <w:i/>
          <w:iCs/>
          <w:sz w:val="22"/>
          <w:szCs w:val="22"/>
          <w:lang w:val="en-GB"/>
        </w:rPr>
        <w:t xml:space="preserve">Provisional publication of Never Events reported as occurring between April 2025 and November 2025. </w:t>
      </w:r>
      <w:r w:rsidRPr="00D92135">
        <w:rPr>
          <w:rFonts w:ascii="Arial" w:hAnsi="Arial" w:cs="Arial"/>
          <w:sz w:val="22"/>
          <w:szCs w:val="22"/>
          <w:lang w:val="en-GB"/>
        </w:rPr>
        <w:t>Available at:</w:t>
      </w:r>
      <w:hyperlink r:id="rId57">
        <w:r w:rsidRPr="00D92135">
          <w:rPr>
            <w:rFonts w:ascii="Arial" w:hAnsi="Arial" w:cs="Arial"/>
            <w:sz w:val="22"/>
            <w:szCs w:val="22"/>
            <w:lang w:val="en-GB"/>
          </w:rPr>
          <w:t xml:space="preserve"> </w:t>
        </w:r>
      </w:hyperlink>
      <w:hyperlink r:id="rId58">
        <w:r w:rsidRPr="00D92135">
          <w:rPr>
            <w:rFonts w:ascii="Arial" w:hAnsi="Arial" w:cs="Arial"/>
            <w:color w:val="1155CC"/>
            <w:sz w:val="22"/>
            <w:szCs w:val="22"/>
            <w:u w:val="single"/>
            <w:lang w:val="en-GB"/>
          </w:rPr>
          <w:t>https://www.england.nhs.uk/long-read/provisional-publication-of-never-events-reported-as-occurring-between-april-2025-and-november-2025/</w:t>
        </w:r>
      </w:hyperlink>
      <w:r w:rsidRPr="00D92135">
        <w:rPr>
          <w:rFonts w:ascii="Arial" w:hAnsi="Arial" w:cs="Arial"/>
          <w:color w:val="1155CC"/>
          <w:sz w:val="22"/>
          <w:szCs w:val="22"/>
          <w:u w:val="single"/>
          <w:lang w:val="en-GB"/>
        </w:rPr>
        <w:t xml:space="preserve"> </w:t>
      </w:r>
      <w:r w:rsidRPr="00D92135">
        <w:rPr>
          <w:rFonts w:ascii="Arial" w:hAnsi="Arial" w:cs="Arial"/>
          <w:sz w:val="22"/>
          <w:szCs w:val="22"/>
          <w:lang w:val="en-GB"/>
        </w:rPr>
        <w:t>(Accessed on: 25 July 2026).</w:t>
      </w:r>
    </w:p>
    <w:p w14:paraId="6EB31F59" w14:textId="77777777" w:rsidR="00666370" w:rsidRPr="00D92135" w:rsidRDefault="00666370" w:rsidP="00D92135">
      <w:pPr>
        <w:spacing w:before="240" w:after="240"/>
        <w:rPr>
          <w:rFonts w:ascii="Arial" w:eastAsia="Arial" w:hAnsi="Arial" w:cs="Arial"/>
          <w:color w:val="1155CC"/>
          <w:sz w:val="22"/>
          <w:szCs w:val="22"/>
          <w:u w:val="single"/>
          <w:lang w:val="en-GB"/>
        </w:rPr>
      </w:pPr>
      <w:r w:rsidRPr="00D92135">
        <w:rPr>
          <w:rFonts w:ascii="Arial" w:eastAsia="Arial" w:hAnsi="Arial" w:cs="Arial"/>
          <w:sz w:val="22"/>
          <w:szCs w:val="22"/>
          <w:lang w:val="en-GB"/>
        </w:rPr>
        <w:t xml:space="preserve">NHS England (2022). </w:t>
      </w:r>
      <w:r w:rsidRPr="00D92135">
        <w:rPr>
          <w:rFonts w:ascii="Arial" w:eastAsia="Arial" w:hAnsi="Arial" w:cs="Arial"/>
          <w:i/>
          <w:iCs/>
          <w:sz w:val="22"/>
          <w:szCs w:val="22"/>
          <w:lang w:val="en-GB"/>
        </w:rPr>
        <w:t>Patient Safety Incident Response Framework</w:t>
      </w:r>
      <w:r w:rsidRPr="00D92135">
        <w:rPr>
          <w:rFonts w:ascii="Arial" w:eastAsia="Arial" w:hAnsi="Arial" w:cs="Arial"/>
          <w:sz w:val="22"/>
          <w:szCs w:val="22"/>
          <w:lang w:val="en-GB"/>
        </w:rPr>
        <w:t>. Available at:</w:t>
      </w:r>
      <w:hyperlink r:id="rId59">
        <w:r w:rsidRPr="00D92135">
          <w:rPr>
            <w:rFonts w:ascii="Arial" w:eastAsia="Arial" w:hAnsi="Arial" w:cs="Arial"/>
            <w:sz w:val="22"/>
            <w:szCs w:val="22"/>
            <w:lang w:val="en-GB"/>
          </w:rPr>
          <w:t xml:space="preserve"> </w:t>
        </w:r>
      </w:hyperlink>
      <w:hyperlink r:id="rId60">
        <w:r w:rsidRPr="00D92135">
          <w:rPr>
            <w:rFonts w:ascii="Arial" w:eastAsia="Arial" w:hAnsi="Arial" w:cs="Arial"/>
            <w:color w:val="1155CC"/>
            <w:sz w:val="22"/>
            <w:szCs w:val="22"/>
            <w:u w:val="single"/>
            <w:lang w:val="en-GB"/>
          </w:rPr>
          <w:t>https://www.england.nhs.uk/patient-safety/patient-safety-insight/incident-response-framework/</w:t>
        </w:r>
      </w:hyperlink>
      <w:r w:rsidRPr="00D92135">
        <w:rPr>
          <w:rFonts w:ascii="Arial" w:eastAsia="Arial" w:hAnsi="Arial" w:cs="Arial"/>
          <w:sz w:val="22"/>
          <w:szCs w:val="22"/>
          <w:lang w:val="en-GB"/>
        </w:rPr>
        <w:t>(Accessed: 25 July 2026).</w:t>
      </w:r>
    </w:p>
    <w:p w14:paraId="68C68F1E" w14:textId="77777777" w:rsidR="00666370" w:rsidRPr="00D92135" w:rsidRDefault="00666370" w:rsidP="00D92135">
      <w:pPr>
        <w:spacing w:before="240" w:after="240"/>
        <w:rPr>
          <w:rFonts w:ascii="Arial" w:eastAsia="Arial" w:hAnsi="Arial" w:cs="Arial"/>
          <w:sz w:val="22"/>
          <w:szCs w:val="22"/>
          <w:lang w:val="en-GB"/>
        </w:rPr>
      </w:pPr>
      <w:r w:rsidRPr="00D92135">
        <w:rPr>
          <w:rFonts w:ascii="Arial" w:eastAsia="Arial" w:hAnsi="Arial" w:cs="Arial"/>
          <w:sz w:val="22"/>
          <w:szCs w:val="22"/>
          <w:lang w:val="en-GB"/>
        </w:rPr>
        <w:t xml:space="preserve">NHSRC (2024). </w:t>
      </w:r>
      <w:r w:rsidRPr="00D92135">
        <w:rPr>
          <w:rFonts w:ascii="Arial" w:eastAsia="Arial" w:hAnsi="Arial" w:cs="Arial"/>
          <w:i/>
          <w:iCs/>
          <w:sz w:val="22"/>
          <w:szCs w:val="22"/>
          <w:lang w:val="en-GB"/>
        </w:rPr>
        <w:t xml:space="preserve">STATE HEALTH SYSTEMS RESOURCE CENTRE FRAMEWORK. </w:t>
      </w:r>
      <w:r w:rsidRPr="00D92135">
        <w:rPr>
          <w:rFonts w:ascii="Arial" w:eastAsia="Arial" w:hAnsi="Arial" w:cs="Arial"/>
          <w:sz w:val="22"/>
          <w:szCs w:val="22"/>
          <w:lang w:val="en-GB"/>
        </w:rPr>
        <w:t>Available at:</w:t>
      </w:r>
      <w:hyperlink r:id="rId61">
        <w:r w:rsidRPr="00D92135">
          <w:rPr>
            <w:rFonts w:ascii="Arial" w:eastAsia="Arial" w:hAnsi="Arial" w:cs="Arial"/>
            <w:sz w:val="22"/>
            <w:szCs w:val="22"/>
            <w:lang w:val="en-GB"/>
          </w:rPr>
          <w:t xml:space="preserve"> </w:t>
        </w:r>
      </w:hyperlink>
      <w:hyperlink r:id="rId62">
        <w:r w:rsidRPr="00D92135">
          <w:rPr>
            <w:rFonts w:ascii="Arial" w:eastAsia="Arial" w:hAnsi="Arial" w:cs="Arial"/>
            <w:color w:val="1155CC"/>
            <w:sz w:val="22"/>
            <w:szCs w:val="22"/>
            <w:u w:val="single"/>
            <w:lang w:val="en-GB"/>
          </w:rPr>
          <w:t>https://nhsrcindia.org/sites/default/files/SHSRC%20(Webview).pdf</w:t>
        </w:r>
      </w:hyperlink>
      <w:r w:rsidRPr="00D92135">
        <w:rPr>
          <w:rFonts w:ascii="Arial" w:eastAsia="Arial" w:hAnsi="Arial" w:cs="Arial"/>
          <w:sz w:val="22"/>
          <w:szCs w:val="22"/>
          <w:lang w:val="en-GB"/>
        </w:rPr>
        <w:t xml:space="preserve"> (Accessed: 25 July 2026).</w:t>
      </w:r>
    </w:p>
    <w:p w14:paraId="246D606B" w14:textId="77777777" w:rsidR="00666370" w:rsidRPr="00D92135" w:rsidRDefault="00666370" w:rsidP="00D92135">
      <w:pPr>
        <w:spacing w:before="240" w:after="240"/>
        <w:rPr>
          <w:rFonts w:ascii="Arial" w:hAnsi="Arial" w:cs="Arial"/>
          <w:color w:val="1155CC"/>
          <w:sz w:val="22"/>
          <w:szCs w:val="22"/>
          <w:u w:val="single"/>
          <w:lang w:val="en-GB"/>
        </w:rPr>
      </w:pPr>
      <w:proofErr w:type="spellStart"/>
      <w:r w:rsidRPr="00D92135">
        <w:rPr>
          <w:rFonts w:ascii="Arial" w:hAnsi="Arial" w:cs="Arial"/>
          <w:sz w:val="22"/>
          <w:szCs w:val="22"/>
          <w:lang w:val="en-GB"/>
        </w:rPr>
        <w:t>Nhsrcindia</w:t>
      </w:r>
      <w:proofErr w:type="spellEnd"/>
      <w:r w:rsidRPr="00D92135">
        <w:rPr>
          <w:rFonts w:ascii="Arial" w:hAnsi="Arial" w:cs="Arial"/>
          <w:sz w:val="22"/>
          <w:szCs w:val="22"/>
          <w:lang w:val="en-GB"/>
        </w:rPr>
        <w:t xml:space="preserve">, (2026). </w:t>
      </w:r>
      <w:r w:rsidRPr="00D92135">
        <w:rPr>
          <w:rFonts w:ascii="Arial" w:hAnsi="Arial" w:cs="Arial"/>
          <w:i/>
          <w:iCs/>
          <w:sz w:val="22"/>
          <w:szCs w:val="22"/>
          <w:lang w:val="en-GB"/>
        </w:rPr>
        <w:t xml:space="preserve">Importance of Patient Safety. </w:t>
      </w:r>
      <w:r w:rsidRPr="00D92135">
        <w:rPr>
          <w:rFonts w:ascii="Arial" w:hAnsi="Arial" w:cs="Arial"/>
          <w:sz w:val="22"/>
          <w:szCs w:val="22"/>
          <w:lang w:val="en-GB"/>
        </w:rPr>
        <w:t>Available at:</w:t>
      </w:r>
      <w:hyperlink r:id="rId63">
        <w:r w:rsidRPr="00D92135">
          <w:rPr>
            <w:rFonts w:ascii="Arial" w:hAnsi="Arial" w:cs="Arial"/>
            <w:sz w:val="22"/>
            <w:szCs w:val="22"/>
            <w:lang w:val="en-GB"/>
          </w:rPr>
          <w:t xml:space="preserve"> </w:t>
        </w:r>
      </w:hyperlink>
      <w:hyperlink r:id="rId64">
        <w:r w:rsidRPr="00D92135">
          <w:rPr>
            <w:rFonts w:ascii="Arial" w:hAnsi="Arial" w:cs="Arial"/>
            <w:color w:val="1155CC"/>
            <w:sz w:val="22"/>
            <w:szCs w:val="22"/>
            <w:u w:val="single"/>
            <w:lang w:val="en-GB"/>
          </w:rPr>
          <w:t>https://qps.nhsrcindia.org/sites/default/files/2022-03/Overview%20Dr%20J%20N%20S%20.pdf</w:t>
        </w:r>
      </w:hyperlink>
      <w:r w:rsidRPr="00D92135">
        <w:rPr>
          <w:rFonts w:ascii="Arial" w:hAnsi="Arial" w:cs="Arial"/>
          <w:color w:val="1155CC"/>
          <w:sz w:val="22"/>
          <w:szCs w:val="22"/>
          <w:u w:val="single"/>
          <w:lang w:val="en-GB"/>
        </w:rPr>
        <w:t xml:space="preserve"> </w:t>
      </w:r>
      <w:r w:rsidRPr="00D92135">
        <w:rPr>
          <w:rFonts w:ascii="Arial" w:hAnsi="Arial" w:cs="Arial"/>
          <w:sz w:val="22"/>
          <w:szCs w:val="22"/>
          <w:lang w:val="en-GB"/>
        </w:rPr>
        <w:t>(Accessed on: 25 July 2026).</w:t>
      </w:r>
    </w:p>
    <w:p w14:paraId="1318BFA4" w14:textId="77777777" w:rsidR="00666370" w:rsidRPr="00D92135" w:rsidRDefault="00666370" w:rsidP="00D92135">
      <w:pPr>
        <w:spacing w:before="240" w:after="240"/>
        <w:rPr>
          <w:rFonts w:ascii="Arial" w:hAnsi="Arial" w:cs="Arial"/>
          <w:sz w:val="22"/>
          <w:szCs w:val="22"/>
          <w:lang w:val="en-GB"/>
        </w:rPr>
      </w:pPr>
      <w:proofErr w:type="spellStart"/>
      <w:r w:rsidRPr="00D92135">
        <w:rPr>
          <w:rFonts w:ascii="Arial" w:hAnsi="Arial" w:cs="Arial"/>
          <w:color w:val="222222"/>
          <w:sz w:val="22"/>
          <w:szCs w:val="22"/>
          <w:highlight w:val="white"/>
          <w:lang w:val="en-GB"/>
        </w:rPr>
        <w:lastRenderedPageBreak/>
        <w:t>Olatoye</w:t>
      </w:r>
      <w:proofErr w:type="spellEnd"/>
      <w:r w:rsidRPr="00D92135">
        <w:rPr>
          <w:rFonts w:ascii="Arial" w:hAnsi="Arial" w:cs="Arial"/>
          <w:color w:val="222222"/>
          <w:sz w:val="22"/>
          <w:szCs w:val="22"/>
          <w:highlight w:val="white"/>
          <w:lang w:val="en-GB"/>
        </w:rPr>
        <w:t xml:space="preserve">, F.O., </w:t>
      </w:r>
      <w:proofErr w:type="spellStart"/>
      <w:r w:rsidRPr="00D92135">
        <w:rPr>
          <w:rFonts w:ascii="Arial" w:hAnsi="Arial" w:cs="Arial"/>
          <w:color w:val="222222"/>
          <w:sz w:val="22"/>
          <w:szCs w:val="22"/>
          <w:highlight w:val="white"/>
          <w:lang w:val="en-GB"/>
        </w:rPr>
        <w:t>Elufioye</w:t>
      </w:r>
      <w:proofErr w:type="spellEnd"/>
      <w:r w:rsidRPr="00D92135">
        <w:rPr>
          <w:rFonts w:ascii="Arial" w:hAnsi="Arial" w:cs="Arial"/>
          <w:color w:val="222222"/>
          <w:sz w:val="22"/>
          <w:szCs w:val="22"/>
          <w:highlight w:val="white"/>
          <w:lang w:val="en-GB"/>
        </w:rPr>
        <w:t xml:space="preserve">, O.A., Okoye, C.C., Nwankwo, E.E. and Oladapo, J.O., (2024). ‘Leadership styles and their impact on healthcare management effectiveness: A review’. </w:t>
      </w:r>
      <w:r w:rsidRPr="00D92135">
        <w:rPr>
          <w:rFonts w:ascii="Arial" w:hAnsi="Arial" w:cs="Arial"/>
          <w:i/>
          <w:iCs/>
          <w:color w:val="222222"/>
          <w:sz w:val="22"/>
          <w:szCs w:val="22"/>
          <w:highlight w:val="white"/>
          <w:lang w:val="en-GB"/>
        </w:rPr>
        <w:t>International Journal of Science and Research Archive</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11</w:t>
      </w:r>
      <w:r w:rsidRPr="00D92135">
        <w:rPr>
          <w:rFonts w:ascii="Arial" w:hAnsi="Arial" w:cs="Arial"/>
          <w:color w:val="222222"/>
          <w:sz w:val="22"/>
          <w:szCs w:val="22"/>
          <w:highlight w:val="white"/>
          <w:lang w:val="en-GB"/>
        </w:rPr>
        <w:t>(1), pp.2022-2032.</w:t>
      </w:r>
      <w:r w:rsidRPr="00D92135">
        <w:rPr>
          <w:rFonts w:ascii="Arial" w:hAnsi="Arial" w:cs="Arial"/>
          <w:sz w:val="22"/>
          <w:szCs w:val="22"/>
          <w:lang w:val="en-GB"/>
        </w:rPr>
        <w:t xml:space="preserve"> Available at: </w:t>
      </w:r>
      <w:hyperlink r:id="rId65">
        <w:r w:rsidRPr="00D92135">
          <w:rPr>
            <w:rFonts w:ascii="Arial" w:hAnsi="Arial" w:cs="Arial"/>
            <w:color w:val="1155CC"/>
            <w:sz w:val="22"/>
            <w:szCs w:val="22"/>
            <w:u w:val="single"/>
            <w:lang w:val="en-GB"/>
          </w:rPr>
          <w:t>https://pdfs.semanticscholar.org/a2ae/87ee0b4292a1d5f2e6267ff040850b928d7d.pdf?utm_source=chatgpt.com</w:t>
        </w:r>
      </w:hyperlink>
      <w:r w:rsidRPr="00D92135">
        <w:rPr>
          <w:rFonts w:ascii="Arial" w:hAnsi="Arial" w:cs="Arial"/>
          <w:sz w:val="22"/>
          <w:szCs w:val="22"/>
          <w:lang w:val="en-GB"/>
        </w:rPr>
        <w:t xml:space="preserve"> </w:t>
      </w:r>
    </w:p>
    <w:p w14:paraId="377CB718" w14:textId="77777777" w:rsidR="00666370" w:rsidRPr="00D92135" w:rsidRDefault="00666370" w:rsidP="00D92135">
      <w:pPr>
        <w:spacing w:before="240" w:after="240"/>
        <w:rPr>
          <w:rFonts w:ascii="Arial" w:eastAsia="Arial" w:hAnsi="Arial" w:cs="Arial"/>
          <w:sz w:val="22"/>
          <w:szCs w:val="22"/>
          <w:lang w:val="en-GB"/>
        </w:rPr>
      </w:pPr>
      <w:r w:rsidRPr="00D92135">
        <w:rPr>
          <w:rFonts w:ascii="Arial" w:eastAsia="Arial" w:hAnsi="Arial" w:cs="Arial"/>
          <w:sz w:val="22"/>
          <w:szCs w:val="22"/>
          <w:lang w:val="en-GB"/>
        </w:rPr>
        <w:t xml:space="preserve">Paterson, C., </w:t>
      </w:r>
      <w:proofErr w:type="spellStart"/>
      <w:r w:rsidRPr="00D92135">
        <w:rPr>
          <w:rFonts w:ascii="Arial" w:eastAsia="Arial" w:hAnsi="Arial" w:cs="Arial"/>
          <w:sz w:val="22"/>
          <w:szCs w:val="22"/>
          <w:lang w:val="en-GB"/>
        </w:rPr>
        <w:t>Mckie</w:t>
      </w:r>
      <w:proofErr w:type="spellEnd"/>
      <w:r w:rsidRPr="00D92135">
        <w:rPr>
          <w:rFonts w:ascii="Arial" w:eastAsia="Arial" w:hAnsi="Arial" w:cs="Arial"/>
          <w:sz w:val="22"/>
          <w:szCs w:val="22"/>
          <w:lang w:val="en-GB"/>
        </w:rPr>
        <w:t xml:space="preserve">, A.L., Turner, M. and Kaak, V. (2023). ‘Barriers and facilitators associated with the implementation of surgical safety checklists: A qualitative systematic review.’ </w:t>
      </w:r>
      <w:r w:rsidRPr="00D92135">
        <w:rPr>
          <w:rFonts w:ascii="Arial" w:eastAsia="Arial" w:hAnsi="Arial" w:cs="Arial"/>
          <w:i/>
          <w:iCs/>
          <w:sz w:val="22"/>
          <w:szCs w:val="22"/>
          <w:lang w:val="en-GB"/>
        </w:rPr>
        <w:t>Journal of Advanced Nursing</w:t>
      </w:r>
      <w:r w:rsidRPr="00D92135">
        <w:rPr>
          <w:rFonts w:ascii="Arial" w:eastAsia="Arial" w:hAnsi="Arial" w:cs="Arial"/>
          <w:sz w:val="22"/>
          <w:szCs w:val="22"/>
          <w:lang w:val="en-GB"/>
        </w:rPr>
        <w:t xml:space="preserve">, 80(2). Available at: </w:t>
      </w:r>
      <w:hyperlink r:id="rId66">
        <w:r w:rsidRPr="00D92135">
          <w:rPr>
            <w:rFonts w:ascii="Arial" w:eastAsia="Arial" w:hAnsi="Arial" w:cs="Arial"/>
            <w:color w:val="1155CC"/>
            <w:sz w:val="22"/>
            <w:szCs w:val="22"/>
            <w:u w:val="single"/>
            <w:lang w:val="en-GB"/>
          </w:rPr>
          <w:t>https://doi.org/10.1111/jan.15841</w:t>
        </w:r>
      </w:hyperlink>
      <w:r w:rsidRPr="00D92135">
        <w:rPr>
          <w:rFonts w:ascii="Arial" w:eastAsia="Arial" w:hAnsi="Arial" w:cs="Arial"/>
          <w:sz w:val="22"/>
          <w:szCs w:val="22"/>
          <w:lang w:val="en-GB"/>
        </w:rPr>
        <w:t xml:space="preserve"> </w:t>
      </w:r>
    </w:p>
    <w:p w14:paraId="4688D641"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Peddie, N., Hoegh, J., Rice, G., Shetty, S., Ure, A. and Cogan, N., (2025). ‘Health and social care professionals’ experience of psychological safety within their occupational setting: a thematic synthesis review’. </w:t>
      </w:r>
      <w:r w:rsidRPr="00D92135">
        <w:rPr>
          <w:rFonts w:ascii="Arial" w:hAnsi="Arial" w:cs="Arial"/>
          <w:i/>
          <w:iCs/>
          <w:sz w:val="22"/>
          <w:szCs w:val="22"/>
          <w:lang w:val="en-GB"/>
        </w:rPr>
        <w:t>Nursing Reports</w:t>
      </w:r>
      <w:r w:rsidRPr="00D92135">
        <w:rPr>
          <w:rFonts w:ascii="Arial" w:hAnsi="Arial" w:cs="Arial"/>
          <w:sz w:val="22"/>
          <w:szCs w:val="22"/>
          <w:lang w:val="en-GB"/>
        </w:rPr>
        <w:t xml:space="preserve">, </w:t>
      </w:r>
      <w:r w:rsidRPr="00D92135">
        <w:rPr>
          <w:rFonts w:ascii="Arial" w:hAnsi="Arial" w:cs="Arial"/>
          <w:i/>
          <w:iCs/>
          <w:sz w:val="22"/>
          <w:szCs w:val="22"/>
          <w:lang w:val="en-GB"/>
        </w:rPr>
        <w:t>15</w:t>
      </w:r>
      <w:r w:rsidRPr="00D92135">
        <w:rPr>
          <w:rFonts w:ascii="Arial" w:hAnsi="Arial" w:cs="Arial"/>
          <w:sz w:val="22"/>
          <w:szCs w:val="22"/>
          <w:lang w:val="en-GB"/>
        </w:rPr>
        <w:t>(4), p.131.</w:t>
      </w:r>
      <w:hyperlink r:id="rId67">
        <w:r w:rsidRPr="00D92135">
          <w:rPr>
            <w:rFonts w:ascii="Arial" w:hAnsi="Arial" w:cs="Arial"/>
            <w:sz w:val="22"/>
            <w:szCs w:val="22"/>
            <w:lang w:val="en-GB"/>
          </w:rPr>
          <w:t xml:space="preserve"> </w:t>
        </w:r>
      </w:hyperlink>
      <w:hyperlink r:id="rId68">
        <w:r w:rsidRPr="00D92135">
          <w:rPr>
            <w:rFonts w:ascii="Arial" w:hAnsi="Arial" w:cs="Arial"/>
            <w:color w:val="1155CC"/>
            <w:sz w:val="22"/>
            <w:szCs w:val="22"/>
            <w:u w:val="single"/>
            <w:lang w:val="en-GB"/>
          </w:rPr>
          <w:t>https://doi.org/10.3390/nursrep15040131</w:t>
        </w:r>
      </w:hyperlink>
    </w:p>
    <w:p w14:paraId="0A9060D8"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Prætorius, T., Clausen, T., Dyreborg Larsen, A., Kirchheiner Rasmussen, J., Ricard, L.M. and Hasle, P., (2024). ‘Impact of decentralized management on sickness absence in hospitals: a two-wave cohort study of frontline managers in Danish hospital </w:t>
      </w:r>
      <w:proofErr w:type="gramStart"/>
      <w:r w:rsidRPr="00D92135">
        <w:rPr>
          <w:rFonts w:ascii="Arial" w:hAnsi="Arial" w:cs="Arial"/>
          <w:color w:val="222222"/>
          <w:sz w:val="22"/>
          <w:szCs w:val="22"/>
          <w:highlight w:val="white"/>
          <w:lang w:val="en-GB"/>
        </w:rPr>
        <w:t>wards’</w:t>
      </w:r>
      <w:proofErr w:type="gramEnd"/>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BMC Health Services Research</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24</w:t>
      </w:r>
      <w:r w:rsidRPr="00D92135">
        <w:rPr>
          <w:rFonts w:ascii="Arial" w:hAnsi="Arial" w:cs="Arial"/>
          <w:color w:val="222222"/>
          <w:sz w:val="22"/>
          <w:szCs w:val="22"/>
          <w:highlight w:val="white"/>
          <w:lang w:val="en-GB"/>
        </w:rPr>
        <w:t>(1), p.816.</w:t>
      </w:r>
      <w:r w:rsidRPr="00D92135">
        <w:rPr>
          <w:rFonts w:ascii="Arial" w:hAnsi="Arial" w:cs="Arial"/>
          <w:sz w:val="22"/>
          <w:szCs w:val="22"/>
          <w:lang w:val="en-GB"/>
        </w:rPr>
        <w:t xml:space="preserve"> Available at:  </w:t>
      </w:r>
      <w:hyperlink r:id="rId69">
        <w:r w:rsidRPr="00D92135">
          <w:rPr>
            <w:rFonts w:ascii="Arial" w:hAnsi="Arial" w:cs="Arial"/>
            <w:color w:val="1155CC"/>
            <w:sz w:val="22"/>
            <w:szCs w:val="22"/>
            <w:u w:val="single"/>
            <w:lang w:val="en-GB"/>
          </w:rPr>
          <w:t>https://doi.org/10.1186/s12913-024-11234-2</w:t>
        </w:r>
      </w:hyperlink>
      <w:r w:rsidRPr="00D92135">
        <w:rPr>
          <w:rFonts w:ascii="Arial" w:hAnsi="Arial" w:cs="Arial"/>
          <w:sz w:val="22"/>
          <w:szCs w:val="22"/>
          <w:lang w:val="en-GB"/>
        </w:rPr>
        <w:t xml:space="preserve"> </w:t>
      </w:r>
    </w:p>
    <w:p w14:paraId="5FE00127"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Restivo, V., Minutolo, G., Battaglini, A., Carli, A., Capraro, M., Gaeta, M., Odone, A., Trucchi, C., Favaretti, C., Vitale, F. and Casuccio, A., (2022). ‘Leadership effectiveness in healthcare settings: a systematic review and meta-analysis of cross-sectional and before–after </w:t>
      </w:r>
      <w:proofErr w:type="gramStart"/>
      <w:r w:rsidRPr="00D92135">
        <w:rPr>
          <w:rFonts w:ascii="Arial" w:hAnsi="Arial" w:cs="Arial"/>
          <w:color w:val="222222"/>
          <w:sz w:val="22"/>
          <w:szCs w:val="22"/>
          <w:highlight w:val="white"/>
          <w:lang w:val="en-GB"/>
        </w:rPr>
        <w:t>studies’</w:t>
      </w:r>
      <w:proofErr w:type="gramEnd"/>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International journal of environmental research and public health</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19</w:t>
      </w:r>
      <w:r w:rsidRPr="00D92135">
        <w:rPr>
          <w:rFonts w:ascii="Arial" w:hAnsi="Arial" w:cs="Arial"/>
          <w:color w:val="222222"/>
          <w:sz w:val="22"/>
          <w:szCs w:val="22"/>
          <w:highlight w:val="white"/>
          <w:lang w:val="en-GB"/>
        </w:rPr>
        <w:t>(17), p.10995.</w:t>
      </w:r>
      <w:r w:rsidRPr="00D92135">
        <w:rPr>
          <w:rFonts w:ascii="Arial" w:hAnsi="Arial" w:cs="Arial"/>
          <w:sz w:val="22"/>
          <w:szCs w:val="22"/>
          <w:lang w:val="en-GB"/>
        </w:rPr>
        <w:t xml:space="preserve"> Available at: </w:t>
      </w:r>
      <w:hyperlink r:id="rId70">
        <w:r w:rsidRPr="00D92135">
          <w:rPr>
            <w:rFonts w:ascii="Arial" w:hAnsi="Arial" w:cs="Arial"/>
            <w:color w:val="1155CC"/>
            <w:sz w:val="22"/>
            <w:szCs w:val="22"/>
            <w:u w:val="single"/>
            <w:lang w:val="en-GB"/>
          </w:rPr>
          <w:t>https://doi.org/10.3390/ijerph191710995</w:t>
        </w:r>
      </w:hyperlink>
    </w:p>
    <w:p w14:paraId="2F992856"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sz w:val="22"/>
          <w:szCs w:val="22"/>
          <w:lang w:val="en-GB"/>
        </w:rPr>
        <w:t xml:space="preserve">Sapkota, S., Dhakal, A., Rushton, S., van </w:t>
      </w:r>
      <w:proofErr w:type="spellStart"/>
      <w:r w:rsidRPr="00D92135">
        <w:rPr>
          <w:rFonts w:ascii="Arial" w:hAnsi="Arial" w:cs="Arial"/>
          <w:sz w:val="22"/>
          <w:szCs w:val="22"/>
          <w:lang w:val="en-GB"/>
        </w:rPr>
        <w:t>Teijlingen</w:t>
      </w:r>
      <w:proofErr w:type="spellEnd"/>
      <w:r w:rsidRPr="00D92135">
        <w:rPr>
          <w:rFonts w:ascii="Arial" w:hAnsi="Arial" w:cs="Arial"/>
          <w:sz w:val="22"/>
          <w:szCs w:val="22"/>
          <w:lang w:val="en-GB"/>
        </w:rPr>
        <w:t xml:space="preserve">, E., </w:t>
      </w:r>
      <w:proofErr w:type="spellStart"/>
      <w:r w:rsidRPr="00D92135">
        <w:rPr>
          <w:rFonts w:ascii="Arial" w:hAnsi="Arial" w:cs="Arial"/>
          <w:sz w:val="22"/>
          <w:szCs w:val="22"/>
          <w:lang w:val="en-GB"/>
        </w:rPr>
        <w:t>Marahatta</w:t>
      </w:r>
      <w:proofErr w:type="spellEnd"/>
      <w:r w:rsidRPr="00D92135">
        <w:rPr>
          <w:rFonts w:ascii="Arial" w:hAnsi="Arial" w:cs="Arial"/>
          <w:sz w:val="22"/>
          <w:szCs w:val="22"/>
          <w:lang w:val="en-GB"/>
        </w:rPr>
        <w:t xml:space="preserve">, S.B., Balen, J. and Lee, A.C., (2023). ‘The impact of decentralisation on health systems: a systematic review of </w:t>
      </w:r>
      <w:proofErr w:type="gramStart"/>
      <w:r w:rsidRPr="00D92135">
        <w:rPr>
          <w:rFonts w:ascii="Arial" w:hAnsi="Arial" w:cs="Arial"/>
          <w:sz w:val="22"/>
          <w:szCs w:val="22"/>
          <w:lang w:val="en-GB"/>
        </w:rPr>
        <w:t>reviews’</w:t>
      </w:r>
      <w:proofErr w:type="gramEnd"/>
      <w:r w:rsidRPr="00D92135">
        <w:rPr>
          <w:rFonts w:ascii="Arial" w:hAnsi="Arial" w:cs="Arial"/>
          <w:sz w:val="22"/>
          <w:szCs w:val="22"/>
          <w:lang w:val="en-GB"/>
        </w:rPr>
        <w:t xml:space="preserve">. </w:t>
      </w:r>
      <w:r w:rsidRPr="00D92135">
        <w:rPr>
          <w:rFonts w:ascii="Arial" w:hAnsi="Arial" w:cs="Arial"/>
          <w:i/>
          <w:iCs/>
          <w:sz w:val="22"/>
          <w:szCs w:val="22"/>
          <w:lang w:val="en-GB"/>
        </w:rPr>
        <w:t>BMJ Global Health</w:t>
      </w:r>
      <w:r w:rsidRPr="00D92135">
        <w:rPr>
          <w:rFonts w:ascii="Arial" w:hAnsi="Arial" w:cs="Arial"/>
          <w:sz w:val="22"/>
          <w:szCs w:val="22"/>
          <w:lang w:val="en-GB"/>
        </w:rPr>
        <w:t xml:space="preserve">, </w:t>
      </w:r>
      <w:r w:rsidRPr="00D92135">
        <w:rPr>
          <w:rFonts w:ascii="Arial" w:hAnsi="Arial" w:cs="Arial"/>
          <w:i/>
          <w:iCs/>
          <w:sz w:val="22"/>
          <w:szCs w:val="22"/>
          <w:lang w:val="en-GB"/>
        </w:rPr>
        <w:t>8</w:t>
      </w:r>
      <w:r w:rsidRPr="00D92135">
        <w:rPr>
          <w:rFonts w:ascii="Arial" w:hAnsi="Arial" w:cs="Arial"/>
          <w:sz w:val="22"/>
          <w:szCs w:val="22"/>
          <w:lang w:val="en-GB"/>
        </w:rPr>
        <w:t>(12).</w:t>
      </w:r>
      <w:hyperlink r:id="rId71">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72">
        <w:r w:rsidRPr="00D92135">
          <w:rPr>
            <w:rFonts w:ascii="Arial" w:hAnsi="Arial" w:cs="Arial"/>
            <w:color w:val="1155CC"/>
            <w:sz w:val="22"/>
            <w:szCs w:val="22"/>
            <w:u w:val="single"/>
            <w:lang w:val="en-GB"/>
          </w:rPr>
          <w:t>https://doi.org/10.1136/bmjgh-2023-013317</w:t>
        </w:r>
      </w:hyperlink>
      <w:r w:rsidRPr="00D92135">
        <w:rPr>
          <w:rFonts w:ascii="Arial" w:hAnsi="Arial" w:cs="Arial"/>
          <w:sz w:val="22"/>
          <w:szCs w:val="22"/>
          <w:lang w:val="en-GB"/>
        </w:rPr>
        <w:t xml:space="preserve">   </w:t>
      </w:r>
    </w:p>
    <w:p w14:paraId="21AD25B0"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Sapkota, S., Dhakal, A., Rushton, S., van </w:t>
      </w:r>
      <w:proofErr w:type="spellStart"/>
      <w:r w:rsidRPr="00D92135">
        <w:rPr>
          <w:rFonts w:ascii="Arial" w:hAnsi="Arial" w:cs="Arial"/>
          <w:color w:val="222222"/>
          <w:sz w:val="22"/>
          <w:szCs w:val="22"/>
          <w:highlight w:val="white"/>
          <w:lang w:val="en-GB"/>
        </w:rPr>
        <w:t>Teijlingen</w:t>
      </w:r>
      <w:proofErr w:type="spellEnd"/>
      <w:r w:rsidRPr="00D92135">
        <w:rPr>
          <w:rFonts w:ascii="Arial" w:hAnsi="Arial" w:cs="Arial"/>
          <w:color w:val="222222"/>
          <w:sz w:val="22"/>
          <w:szCs w:val="22"/>
          <w:highlight w:val="white"/>
          <w:lang w:val="en-GB"/>
        </w:rPr>
        <w:t xml:space="preserve">, E., </w:t>
      </w:r>
      <w:proofErr w:type="spellStart"/>
      <w:r w:rsidRPr="00D92135">
        <w:rPr>
          <w:rFonts w:ascii="Arial" w:hAnsi="Arial" w:cs="Arial"/>
          <w:color w:val="222222"/>
          <w:sz w:val="22"/>
          <w:szCs w:val="22"/>
          <w:highlight w:val="white"/>
          <w:lang w:val="en-GB"/>
        </w:rPr>
        <w:t>Marahatta</w:t>
      </w:r>
      <w:proofErr w:type="spellEnd"/>
      <w:r w:rsidRPr="00D92135">
        <w:rPr>
          <w:rFonts w:ascii="Arial" w:hAnsi="Arial" w:cs="Arial"/>
          <w:color w:val="222222"/>
          <w:sz w:val="22"/>
          <w:szCs w:val="22"/>
          <w:highlight w:val="white"/>
          <w:lang w:val="en-GB"/>
        </w:rPr>
        <w:t xml:space="preserve">, S.B., Balen, J. and Lee, A.C., (2023). ‘The impact of decentralisation on health systems: a systematic review of </w:t>
      </w:r>
      <w:proofErr w:type="gramStart"/>
      <w:r w:rsidRPr="00D92135">
        <w:rPr>
          <w:rFonts w:ascii="Arial" w:hAnsi="Arial" w:cs="Arial"/>
          <w:color w:val="222222"/>
          <w:sz w:val="22"/>
          <w:szCs w:val="22"/>
          <w:highlight w:val="white"/>
          <w:lang w:val="en-GB"/>
        </w:rPr>
        <w:t>reviews’</w:t>
      </w:r>
      <w:proofErr w:type="gramEnd"/>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BMJ Global Health</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8</w:t>
      </w:r>
      <w:r w:rsidRPr="00D92135">
        <w:rPr>
          <w:rFonts w:ascii="Arial" w:hAnsi="Arial" w:cs="Arial"/>
          <w:color w:val="222222"/>
          <w:sz w:val="22"/>
          <w:szCs w:val="22"/>
          <w:highlight w:val="white"/>
          <w:lang w:val="en-GB"/>
        </w:rPr>
        <w:t xml:space="preserve">(12). </w:t>
      </w:r>
      <w:r w:rsidRPr="00D92135">
        <w:rPr>
          <w:rFonts w:ascii="Arial" w:hAnsi="Arial" w:cs="Arial"/>
          <w:sz w:val="22"/>
          <w:szCs w:val="22"/>
          <w:lang w:val="en-GB"/>
        </w:rPr>
        <w:t xml:space="preserve">Available at: </w:t>
      </w:r>
      <w:hyperlink r:id="rId73">
        <w:r w:rsidRPr="00D92135">
          <w:rPr>
            <w:rFonts w:ascii="Arial" w:hAnsi="Arial" w:cs="Arial"/>
            <w:color w:val="1155CC"/>
            <w:sz w:val="22"/>
            <w:szCs w:val="22"/>
            <w:u w:val="single"/>
            <w:lang w:val="en-GB"/>
          </w:rPr>
          <w:t>https://gh.bmj.com/content/bmjgh/8/12/e013317.full.pdf</w:t>
        </w:r>
      </w:hyperlink>
      <w:r w:rsidRPr="00D92135">
        <w:rPr>
          <w:rFonts w:ascii="Arial" w:hAnsi="Arial" w:cs="Arial"/>
          <w:sz w:val="22"/>
          <w:szCs w:val="22"/>
          <w:lang w:val="en-GB"/>
        </w:rPr>
        <w:t xml:space="preserve"> </w:t>
      </w:r>
    </w:p>
    <w:p w14:paraId="0A8B9E7E"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Shady, K., Phillips, S. and Newman, S., (2024). ‘Barriers and facilitators to healthcare access in adults with intellectual and developmental disorders and communication difficulties: an integrative review’. </w:t>
      </w:r>
      <w:r w:rsidRPr="00D92135">
        <w:rPr>
          <w:rFonts w:ascii="Arial" w:hAnsi="Arial" w:cs="Arial"/>
          <w:i/>
          <w:iCs/>
          <w:sz w:val="22"/>
          <w:szCs w:val="22"/>
          <w:lang w:val="en-GB"/>
        </w:rPr>
        <w:t>Review Journal of Autism and Developmental Disorders</w:t>
      </w:r>
      <w:r w:rsidRPr="00D92135">
        <w:rPr>
          <w:rFonts w:ascii="Arial" w:hAnsi="Arial" w:cs="Arial"/>
          <w:sz w:val="22"/>
          <w:szCs w:val="22"/>
          <w:lang w:val="en-GB"/>
        </w:rPr>
        <w:t xml:space="preserve">, </w:t>
      </w:r>
      <w:r w:rsidRPr="00D92135">
        <w:rPr>
          <w:rFonts w:ascii="Arial" w:hAnsi="Arial" w:cs="Arial"/>
          <w:i/>
          <w:iCs/>
          <w:sz w:val="22"/>
          <w:szCs w:val="22"/>
          <w:lang w:val="en-GB"/>
        </w:rPr>
        <w:t>11</w:t>
      </w:r>
      <w:r w:rsidRPr="00D92135">
        <w:rPr>
          <w:rFonts w:ascii="Arial" w:hAnsi="Arial" w:cs="Arial"/>
          <w:sz w:val="22"/>
          <w:szCs w:val="22"/>
          <w:lang w:val="en-GB"/>
        </w:rPr>
        <w:t>(1), pp.39-51.</w:t>
      </w:r>
      <w:hyperlink r:id="rId74">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75">
        <w:r w:rsidRPr="00D92135">
          <w:rPr>
            <w:rFonts w:ascii="Arial" w:hAnsi="Arial" w:cs="Arial"/>
            <w:color w:val="1155CC"/>
            <w:sz w:val="22"/>
            <w:szCs w:val="22"/>
            <w:u w:val="single"/>
            <w:lang w:val="en-GB"/>
          </w:rPr>
          <w:t>https://doi.org/10.1007/s40489-022-00324-8</w:t>
        </w:r>
      </w:hyperlink>
    </w:p>
    <w:p w14:paraId="294BFB2D"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lastRenderedPageBreak/>
        <w:t xml:space="preserve">Shu, L., Fan, D., Wang, X. and Luo, J., (2026). ‘How does national power promote the improvement of the application level of electronic medical record’. </w:t>
      </w:r>
      <w:r w:rsidRPr="00D92135">
        <w:rPr>
          <w:rFonts w:ascii="Arial" w:hAnsi="Arial" w:cs="Arial"/>
          <w:i/>
          <w:iCs/>
          <w:color w:val="222222"/>
          <w:sz w:val="22"/>
          <w:szCs w:val="22"/>
          <w:highlight w:val="white"/>
          <w:lang w:val="en-GB"/>
        </w:rPr>
        <w:t>Frontiers in Public Health</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14</w:t>
      </w:r>
      <w:r w:rsidRPr="00D92135">
        <w:rPr>
          <w:rFonts w:ascii="Arial" w:hAnsi="Arial" w:cs="Arial"/>
          <w:color w:val="222222"/>
          <w:sz w:val="22"/>
          <w:szCs w:val="22"/>
          <w:highlight w:val="white"/>
          <w:lang w:val="en-GB"/>
        </w:rPr>
        <w:t>, p.1830370.</w:t>
      </w:r>
      <w:r w:rsidRPr="00D92135">
        <w:rPr>
          <w:rFonts w:ascii="Arial" w:hAnsi="Arial" w:cs="Arial"/>
          <w:sz w:val="22"/>
          <w:szCs w:val="22"/>
          <w:lang w:val="en-GB"/>
        </w:rPr>
        <w:t xml:space="preserve"> Available at: </w:t>
      </w:r>
      <w:hyperlink r:id="rId76">
        <w:r w:rsidRPr="00D92135">
          <w:rPr>
            <w:rFonts w:ascii="Arial" w:hAnsi="Arial" w:cs="Arial"/>
            <w:color w:val="1155CC"/>
            <w:sz w:val="22"/>
            <w:szCs w:val="22"/>
            <w:u w:val="single"/>
            <w:lang w:val="en-GB"/>
          </w:rPr>
          <w:t>https://www.frontiersin.org/journals/public-health/articles/10.3389/fpubh.2026.1830370/pdf</w:t>
        </w:r>
      </w:hyperlink>
      <w:r w:rsidRPr="00D92135">
        <w:rPr>
          <w:rFonts w:ascii="Arial" w:hAnsi="Arial" w:cs="Arial"/>
          <w:sz w:val="22"/>
          <w:szCs w:val="22"/>
          <w:lang w:val="en-GB"/>
        </w:rPr>
        <w:t xml:space="preserve"> </w:t>
      </w:r>
    </w:p>
    <w:p w14:paraId="62EFB80D" w14:textId="77777777" w:rsidR="00666370" w:rsidRPr="00D92135" w:rsidRDefault="00666370" w:rsidP="00D92135">
      <w:pPr>
        <w:spacing w:before="240" w:after="240"/>
        <w:rPr>
          <w:rFonts w:ascii="Arial" w:hAnsi="Arial" w:cs="Arial"/>
          <w:sz w:val="22"/>
          <w:szCs w:val="22"/>
          <w:lang w:val="en-GB"/>
        </w:rPr>
      </w:pPr>
      <w:proofErr w:type="spellStart"/>
      <w:r w:rsidRPr="00D92135">
        <w:rPr>
          <w:rFonts w:ascii="Arial" w:hAnsi="Arial" w:cs="Arial"/>
          <w:color w:val="222222"/>
          <w:sz w:val="22"/>
          <w:szCs w:val="22"/>
          <w:highlight w:val="white"/>
          <w:lang w:val="en-GB"/>
        </w:rPr>
        <w:t>Sikalgar</w:t>
      </w:r>
      <w:proofErr w:type="spellEnd"/>
      <w:r w:rsidRPr="00D92135">
        <w:rPr>
          <w:rFonts w:ascii="Arial" w:hAnsi="Arial" w:cs="Arial"/>
          <w:color w:val="222222"/>
          <w:sz w:val="22"/>
          <w:szCs w:val="22"/>
          <w:highlight w:val="white"/>
          <w:lang w:val="en-GB"/>
        </w:rPr>
        <w:t xml:space="preserve">, F.R., Bangera, D., Kumar, M.P., Paul, Y. and Muralidharan, S., (2025). ‘A review of leadership theories in healthcare’. </w:t>
      </w:r>
      <w:r w:rsidRPr="00D92135">
        <w:rPr>
          <w:rFonts w:ascii="Arial" w:hAnsi="Arial" w:cs="Arial"/>
          <w:i/>
          <w:iCs/>
          <w:color w:val="222222"/>
          <w:sz w:val="22"/>
          <w:szCs w:val="22"/>
          <w:highlight w:val="white"/>
          <w:lang w:val="en-GB"/>
        </w:rPr>
        <w:t xml:space="preserve">Journal of Pharmacy and </w:t>
      </w:r>
      <w:proofErr w:type="spellStart"/>
      <w:r w:rsidRPr="00D92135">
        <w:rPr>
          <w:rFonts w:ascii="Arial" w:hAnsi="Arial" w:cs="Arial"/>
          <w:i/>
          <w:iCs/>
          <w:color w:val="222222"/>
          <w:sz w:val="22"/>
          <w:szCs w:val="22"/>
          <w:highlight w:val="white"/>
          <w:lang w:val="en-GB"/>
        </w:rPr>
        <w:t>Bioallied</w:t>
      </w:r>
      <w:proofErr w:type="spellEnd"/>
      <w:r w:rsidRPr="00D92135">
        <w:rPr>
          <w:rFonts w:ascii="Arial" w:hAnsi="Arial" w:cs="Arial"/>
          <w:i/>
          <w:iCs/>
          <w:color w:val="222222"/>
          <w:sz w:val="22"/>
          <w:szCs w:val="22"/>
          <w:highlight w:val="white"/>
          <w:lang w:val="en-GB"/>
        </w:rPr>
        <w:t xml:space="preserve"> Sciences</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17</w:t>
      </w:r>
      <w:r w:rsidRPr="00D92135">
        <w:rPr>
          <w:rFonts w:ascii="Arial" w:hAnsi="Arial" w:cs="Arial"/>
          <w:color w:val="222222"/>
          <w:sz w:val="22"/>
          <w:szCs w:val="22"/>
          <w:highlight w:val="white"/>
          <w:lang w:val="en-GB"/>
        </w:rPr>
        <w:t xml:space="preserve">(Suppl 1), </w:t>
      </w:r>
      <w:proofErr w:type="gramStart"/>
      <w:r w:rsidRPr="00D92135">
        <w:rPr>
          <w:rFonts w:ascii="Arial" w:hAnsi="Arial" w:cs="Arial"/>
          <w:color w:val="222222"/>
          <w:sz w:val="22"/>
          <w:szCs w:val="22"/>
          <w:highlight w:val="white"/>
          <w:lang w:val="en-GB"/>
        </w:rPr>
        <w:t>pp.S</w:t>
      </w:r>
      <w:proofErr w:type="gramEnd"/>
      <w:r w:rsidRPr="00D92135">
        <w:rPr>
          <w:rFonts w:ascii="Arial" w:hAnsi="Arial" w:cs="Arial"/>
          <w:color w:val="222222"/>
          <w:sz w:val="22"/>
          <w:szCs w:val="22"/>
          <w:highlight w:val="white"/>
          <w:lang w:val="en-GB"/>
        </w:rPr>
        <w:t xml:space="preserve">163-S165. </w:t>
      </w:r>
      <w:r w:rsidRPr="00D92135">
        <w:rPr>
          <w:rFonts w:ascii="Arial" w:hAnsi="Arial" w:cs="Arial"/>
          <w:sz w:val="22"/>
          <w:szCs w:val="22"/>
          <w:lang w:val="en-GB"/>
        </w:rPr>
        <w:t xml:space="preserve">Available at: </w:t>
      </w:r>
      <w:hyperlink r:id="rId77">
        <w:r w:rsidRPr="00D92135">
          <w:rPr>
            <w:rFonts w:ascii="Arial" w:hAnsi="Arial" w:cs="Arial"/>
            <w:color w:val="1155CC"/>
            <w:sz w:val="22"/>
            <w:szCs w:val="22"/>
            <w:u w:val="single"/>
            <w:lang w:val="en-GB"/>
          </w:rPr>
          <w:t>https://doi.org/10.4103/jpbs.jpbs_1907_24</w:t>
        </w:r>
      </w:hyperlink>
    </w:p>
    <w:p w14:paraId="2174A83C"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Singh, P.K., Singh, S., Kumari, V. and Tiwari, M., (2024). ‘Navigating healthcare leadership: Theories, challenges, and practical insights for the future’. </w:t>
      </w:r>
      <w:r w:rsidRPr="00D92135">
        <w:rPr>
          <w:rFonts w:ascii="Arial" w:hAnsi="Arial" w:cs="Arial"/>
          <w:i/>
          <w:iCs/>
          <w:color w:val="222222"/>
          <w:sz w:val="22"/>
          <w:szCs w:val="22"/>
          <w:highlight w:val="white"/>
          <w:lang w:val="en-GB"/>
        </w:rPr>
        <w:t>Journal of postgraduate medicine</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70</w:t>
      </w:r>
      <w:r w:rsidRPr="00D92135">
        <w:rPr>
          <w:rFonts w:ascii="Arial" w:hAnsi="Arial" w:cs="Arial"/>
          <w:color w:val="222222"/>
          <w:sz w:val="22"/>
          <w:szCs w:val="22"/>
          <w:highlight w:val="white"/>
          <w:lang w:val="en-GB"/>
        </w:rPr>
        <w:t>(4), pp.232-241.</w:t>
      </w:r>
      <w:r w:rsidRPr="00D92135">
        <w:rPr>
          <w:rFonts w:ascii="Arial" w:hAnsi="Arial" w:cs="Arial"/>
          <w:sz w:val="22"/>
          <w:szCs w:val="22"/>
          <w:lang w:val="en-GB"/>
        </w:rPr>
        <w:t xml:space="preserve"> Available at: </w:t>
      </w:r>
      <w:hyperlink r:id="rId78">
        <w:r w:rsidRPr="00D92135">
          <w:rPr>
            <w:rFonts w:ascii="Arial" w:hAnsi="Arial" w:cs="Arial"/>
            <w:color w:val="1155CC"/>
            <w:sz w:val="22"/>
            <w:szCs w:val="22"/>
            <w:u w:val="single"/>
            <w:lang w:val="en-GB"/>
          </w:rPr>
          <w:t>https://doi.org/10.4103/jpgm.jpgm_533_24</w:t>
        </w:r>
      </w:hyperlink>
    </w:p>
    <w:p w14:paraId="1366D3A7"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Smith, R.W., Jarvis, T., Sandhu, H.S., Pinto, A.D., O'Neill, M., Di Ruggiero, E., Pawa, J., Rosella, L. and Allin, S., (2023). ‘Centralization and integration of public health systems: Perspectives of public health leaders on factors facilitating and impeding COVID-19 responses in three Canadian </w:t>
      </w:r>
      <w:proofErr w:type="gramStart"/>
      <w:r w:rsidRPr="00D92135">
        <w:rPr>
          <w:rFonts w:ascii="Arial" w:hAnsi="Arial" w:cs="Arial"/>
          <w:color w:val="222222"/>
          <w:sz w:val="22"/>
          <w:szCs w:val="22"/>
          <w:highlight w:val="white"/>
          <w:lang w:val="en-GB"/>
        </w:rPr>
        <w:t>provinces’</w:t>
      </w:r>
      <w:proofErr w:type="gramEnd"/>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Health Policy</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127</w:t>
      </w:r>
      <w:r w:rsidRPr="00D92135">
        <w:rPr>
          <w:rFonts w:ascii="Arial" w:hAnsi="Arial" w:cs="Arial"/>
          <w:color w:val="222222"/>
          <w:sz w:val="22"/>
          <w:szCs w:val="22"/>
          <w:highlight w:val="white"/>
          <w:lang w:val="en-GB"/>
        </w:rPr>
        <w:t>, pp.19-28.</w:t>
      </w:r>
      <w:r w:rsidRPr="00D92135">
        <w:rPr>
          <w:rFonts w:ascii="Arial" w:hAnsi="Arial" w:cs="Arial"/>
          <w:sz w:val="22"/>
          <w:szCs w:val="22"/>
          <w:lang w:val="en-GB"/>
        </w:rPr>
        <w:t xml:space="preserve"> Available at: </w:t>
      </w:r>
      <w:hyperlink r:id="rId79">
        <w:r w:rsidRPr="00D92135">
          <w:rPr>
            <w:rFonts w:ascii="Arial" w:hAnsi="Arial" w:cs="Arial"/>
            <w:color w:val="1155CC"/>
            <w:sz w:val="22"/>
            <w:szCs w:val="22"/>
            <w:u w:val="single"/>
            <w:lang w:val="en-GB"/>
          </w:rPr>
          <w:t>https://doi.org/10.1016/j.healthpol.2022.11.011</w:t>
        </w:r>
      </w:hyperlink>
      <w:r w:rsidRPr="00D92135">
        <w:rPr>
          <w:rFonts w:ascii="Arial" w:hAnsi="Arial" w:cs="Arial"/>
          <w:sz w:val="22"/>
          <w:szCs w:val="22"/>
          <w:lang w:val="en-GB"/>
        </w:rPr>
        <w:t xml:space="preserve"> </w:t>
      </w:r>
    </w:p>
    <w:p w14:paraId="6AD25694"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Surendran, A., Beccaria, L. and McIlveen, P., (2025). ‘Cognitive Burden in Emergency Care: A Qualitative Exploratory Study of Emergency Nurses’. </w:t>
      </w:r>
      <w:r w:rsidRPr="00D92135">
        <w:rPr>
          <w:rFonts w:ascii="Arial" w:hAnsi="Arial" w:cs="Arial"/>
          <w:i/>
          <w:iCs/>
          <w:sz w:val="22"/>
          <w:szCs w:val="22"/>
          <w:lang w:val="en-GB"/>
        </w:rPr>
        <w:t>Journal of Nursing Management</w:t>
      </w:r>
      <w:r w:rsidRPr="00D92135">
        <w:rPr>
          <w:rFonts w:ascii="Arial" w:hAnsi="Arial" w:cs="Arial"/>
          <w:sz w:val="22"/>
          <w:szCs w:val="22"/>
          <w:lang w:val="en-GB"/>
        </w:rPr>
        <w:t xml:space="preserve">, </w:t>
      </w:r>
      <w:r w:rsidRPr="00D92135">
        <w:rPr>
          <w:rFonts w:ascii="Arial" w:hAnsi="Arial" w:cs="Arial"/>
          <w:i/>
          <w:iCs/>
          <w:sz w:val="22"/>
          <w:szCs w:val="22"/>
          <w:lang w:val="en-GB"/>
        </w:rPr>
        <w:t>2025</w:t>
      </w:r>
      <w:r w:rsidRPr="00D92135">
        <w:rPr>
          <w:rFonts w:ascii="Arial" w:hAnsi="Arial" w:cs="Arial"/>
          <w:sz w:val="22"/>
          <w:szCs w:val="22"/>
          <w:lang w:val="en-GB"/>
        </w:rPr>
        <w:t>(1), p.6332434. Available at:</w:t>
      </w:r>
      <w:hyperlink r:id="rId80">
        <w:r w:rsidRPr="00D92135">
          <w:rPr>
            <w:rFonts w:ascii="Arial" w:hAnsi="Arial" w:cs="Arial"/>
            <w:sz w:val="22"/>
            <w:szCs w:val="22"/>
            <w:lang w:val="en-GB"/>
          </w:rPr>
          <w:t xml:space="preserve"> </w:t>
        </w:r>
      </w:hyperlink>
      <w:hyperlink r:id="rId81">
        <w:r w:rsidRPr="00D92135">
          <w:rPr>
            <w:rFonts w:ascii="Arial" w:hAnsi="Arial" w:cs="Arial"/>
            <w:color w:val="1155CC"/>
            <w:sz w:val="22"/>
            <w:szCs w:val="22"/>
            <w:u w:val="single"/>
            <w:lang w:val="en-GB"/>
          </w:rPr>
          <w:t>https://doi.org/10.1155/jonm/6332434</w:t>
        </w:r>
      </w:hyperlink>
    </w:p>
    <w:p w14:paraId="22504C5A"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Svensson, I. and von Knorring, M., (2025). ‘Connecting distributed leadership and leadership-as-practice to increase understanding of leadership as distributed in healthcare practice’. </w:t>
      </w:r>
      <w:r w:rsidRPr="00D92135">
        <w:rPr>
          <w:rFonts w:ascii="Arial" w:hAnsi="Arial" w:cs="Arial"/>
          <w:i/>
          <w:iCs/>
          <w:color w:val="222222"/>
          <w:sz w:val="22"/>
          <w:szCs w:val="22"/>
          <w:highlight w:val="white"/>
          <w:lang w:val="en-GB"/>
        </w:rPr>
        <w:t>Journal of change management</w:t>
      </w:r>
      <w:r w:rsidRPr="00D92135">
        <w:rPr>
          <w:rFonts w:ascii="Arial" w:hAnsi="Arial" w:cs="Arial"/>
          <w:color w:val="222222"/>
          <w:sz w:val="22"/>
          <w:szCs w:val="22"/>
          <w:highlight w:val="white"/>
          <w:lang w:val="en-GB"/>
        </w:rPr>
        <w:t xml:space="preserve">, </w:t>
      </w:r>
      <w:r w:rsidRPr="00D92135">
        <w:rPr>
          <w:rFonts w:ascii="Arial" w:hAnsi="Arial" w:cs="Arial"/>
          <w:i/>
          <w:iCs/>
          <w:color w:val="222222"/>
          <w:sz w:val="22"/>
          <w:szCs w:val="22"/>
          <w:highlight w:val="white"/>
          <w:lang w:val="en-GB"/>
        </w:rPr>
        <w:t>25</w:t>
      </w:r>
      <w:r w:rsidRPr="00D92135">
        <w:rPr>
          <w:rFonts w:ascii="Arial" w:hAnsi="Arial" w:cs="Arial"/>
          <w:color w:val="222222"/>
          <w:sz w:val="22"/>
          <w:szCs w:val="22"/>
          <w:highlight w:val="white"/>
          <w:lang w:val="en-GB"/>
        </w:rPr>
        <w:t>(1), pp.11-30.</w:t>
      </w:r>
      <w:r w:rsidRPr="00D92135">
        <w:rPr>
          <w:rFonts w:ascii="Arial" w:hAnsi="Arial" w:cs="Arial"/>
          <w:sz w:val="22"/>
          <w:szCs w:val="22"/>
          <w:lang w:val="en-GB"/>
        </w:rPr>
        <w:t xml:space="preserve"> Available at: </w:t>
      </w:r>
      <w:hyperlink r:id="rId82">
        <w:r w:rsidRPr="00D92135">
          <w:rPr>
            <w:rFonts w:ascii="Arial" w:hAnsi="Arial" w:cs="Arial"/>
            <w:color w:val="1155CC"/>
            <w:sz w:val="22"/>
            <w:szCs w:val="22"/>
            <w:u w:val="single"/>
            <w:lang w:val="en-GB"/>
          </w:rPr>
          <w:t>https://journals.lww.com/hcmrjournal/_layouts/15/oaks.journals/downloadpdf.aspx?an=00004010-202401000-00006</w:t>
        </w:r>
      </w:hyperlink>
      <w:r w:rsidRPr="00D92135">
        <w:rPr>
          <w:rFonts w:ascii="Arial" w:hAnsi="Arial" w:cs="Arial"/>
          <w:sz w:val="22"/>
          <w:szCs w:val="22"/>
          <w:lang w:val="en-GB"/>
        </w:rPr>
        <w:t xml:space="preserve"> </w:t>
      </w:r>
    </w:p>
    <w:p w14:paraId="7D8DD16A"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sz w:val="22"/>
          <w:szCs w:val="22"/>
          <w:lang w:val="en-GB"/>
        </w:rPr>
        <w:t xml:space="preserve">Times of India (2026). </w:t>
      </w:r>
      <w:r w:rsidRPr="00D92135">
        <w:rPr>
          <w:rFonts w:ascii="Arial" w:hAnsi="Arial" w:cs="Arial"/>
          <w:i/>
          <w:iCs/>
          <w:sz w:val="22"/>
          <w:szCs w:val="22"/>
          <w:lang w:val="en-GB"/>
        </w:rPr>
        <w:t xml:space="preserve">Beyond caregiving: The unseen burden of India's nurses. </w:t>
      </w:r>
      <w:r w:rsidRPr="00D92135">
        <w:rPr>
          <w:rFonts w:ascii="Arial" w:hAnsi="Arial" w:cs="Arial"/>
          <w:sz w:val="22"/>
          <w:szCs w:val="22"/>
          <w:lang w:val="en-GB"/>
        </w:rPr>
        <w:t xml:space="preserve">Available at: </w:t>
      </w:r>
      <w:hyperlink r:id="rId83">
        <w:r w:rsidRPr="00D92135">
          <w:rPr>
            <w:rFonts w:ascii="Arial" w:hAnsi="Arial" w:cs="Arial"/>
            <w:color w:val="1155CC"/>
            <w:sz w:val="22"/>
            <w:szCs w:val="22"/>
            <w:u w:val="single"/>
            <w:lang w:val="en-GB"/>
          </w:rPr>
          <w:t>https://timesofindia.indiatimes.com/india/beyond-caregiving-the-unseen-burden-of-indias-nurses/articleshow/131038924.cms</w:t>
        </w:r>
      </w:hyperlink>
      <w:r w:rsidRPr="00D92135">
        <w:rPr>
          <w:rFonts w:ascii="Arial" w:hAnsi="Arial" w:cs="Arial"/>
          <w:sz w:val="22"/>
          <w:szCs w:val="22"/>
          <w:lang w:val="en-GB"/>
        </w:rPr>
        <w:t xml:space="preserve">  (Accessed on: 25 July 2026).</w:t>
      </w:r>
    </w:p>
    <w:p w14:paraId="44A7BC9A" w14:textId="77777777" w:rsidR="00666370" w:rsidRPr="00D92135" w:rsidRDefault="00666370" w:rsidP="00D92135">
      <w:pPr>
        <w:spacing w:before="240" w:after="240"/>
        <w:rPr>
          <w:rFonts w:ascii="Arial" w:hAnsi="Arial" w:cs="Arial"/>
          <w:color w:val="1155CC"/>
          <w:sz w:val="22"/>
          <w:szCs w:val="22"/>
          <w:u w:val="single"/>
          <w:lang w:val="en-GB"/>
        </w:rPr>
      </w:pPr>
      <w:r w:rsidRPr="00D92135">
        <w:rPr>
          <w:rFonts w:ascii="Arial" w:hAnsi="Arial" w:cs="Arial"/>
          <w:sz w:val="22"/>
          <w:szCs w:val="22"/>
          <w:lang w:val="en-GB"/>
        </w:rPr>
        <w:t xml:space="preserve">Villalón López, F., Mundt, A.P., </w:t>
      </w:r>
      <w:proofErr w:type="spellStart"/>
      <w:r w:rsidRPr="00D92135">
        <w:rPr>
          <w:rFonts w:ascii="Arial" w:hAnsi="Arial" w:cs="Arial"/>
          <w:sz w:val="22"/>
          <w:szCs w:val="22"/>
          <w:lang w:val="en-GB"/>
        </w:rPr>
        <w:t>Hirmas</w:t>
      </w:r>
      <w:proofErr w:type="spellEnd"/>
      <w:r w:rsidRPr="00D92135">
        <w:rPr>
          <w:rFonts w:ascii="Arial" w:hAnsi="Arial" w:cs="Arial"/>
          <w:sz w:val="22"/>
          <w:szCs w:val="22"/>
          <w:lang w:val="en-GB"/>
        </w:rPr>
        <w:t xml:space="preserve">, A., Rivera, R.M. and </w:t>
      </w:r>
      <w:proofErr w:type="spellStart"/>
      <w:r w:rsidRPr="00D92135">
        <w:rPr>
          <w:rFonts w:ascii="Arial" w:hAnsi="Arial" w:cs="Arial"/>
          <w:sz w:val="22"/>
          <w:szCs w:val="22"/>
          <w:lang w:val="en-GB"/>
        </w:rPr>
        <w:t>Guiloff</w:t>
      </w:r>
      <w:proofErr w:type="spellEnd"/>
      <w:r w:rsidRPr="00D92135">
        <w:rPr>
          <w:rFonts w:ascii="Arial" w:hAnsi="Arial" w:cs="Arial"/>
          <w:sz w:val="22"/>
          <w:szCs w:val="22"/>
          <w:lang w:val="en-GB"/>
        </w:rPr>
        <w:t xml:space="preserve">, R., (2025). ‘Impact of burnout on turnover, medical errors, medical leave and a cross-sectional study of contributing factors among Chilean </w:t>
      </w:r>
      <w:proofErr w:type="gramStart"/>
      <w:r w:rsidRPr="00D92135">
        <w:rPr>
          <w:rFonts w:ascii="Arial" w:hAnsi="Arial" w:cs="Arial"/>
          <w:sz w:val="22"/>
          <w:szCs w:val="22"/>
          <w:lang w:val="en-GB"/>
        </w:rPr>
        <w:t>physicians’</w:t>
      </w:r>
      <w:proofErr w:type="gramEnd"/>
      <w:r w:rsidRPr="00D92135">
        <w:rPr>
          <w:rFonts w:ascii="Arial" w:hAnsi="Arial" w:cs="Arial"/>
          <w:sz w:val="22"/>
          <w:szCs w:val="22"/>
          <w:lang w:val="en-GB"/>
        </w:rPr>
        <w:t xml:space="preserve">. </w:t>
      </w:r>
      <w:r w:rsidRPr="00D92135">
        <w:rPr>
          <w:rFonts w:ascii="Arial" w:hAnsi="Arial" w:cs="Arial"/>
          <w:i/>
          <w:iCs/>
          <w:sz w:val="22"/>
          <w:szCs w:val="22"/>
          <w:lang w:val="en-GB"/>
        </w:rPr>
        <w:t>BMJ open</w:t>
      </w:r>
      <w:r w:rsidRPr="00D92135">
        <w:rPr>
          <w:rFonts w:ascii="Arial" w:hAnsi="Arial" w:cs="Arial"/>
          <w:sz w:val="22"/>
          <w:szCs w:val="22"/>
          <w:lang w:val="en-GB"/>
        </w:rPr>
        <w:t xml:space="preserve">, </w:t>
      </w:r>
      <w:r w:rsidRPr="00D92135">
        <w:rPr>
          <w:rFonts w:ascii="Arial" w:hAnsi="Arial" w:cs="Arial"/>
          <w:i/>
          <w:iCs/>
          <w:sz w:val="22"/>
          <w:szCs w:val="22"/>
          <w:lang w:val="en-GB"/>
        </w:rPr>
        <w:t>15</w:t>
      </w:r>
      <w:r w:rsidRPr="00D92135">
        <w:rPr>
          <w:rFonts w:ascii="Arial" w:hAnsi="Arial" w:cs="Arial"/>
          <w:sz w:val="22"/>
          <w:szCs w:val="22"/>
          <w:lang w:val="en-GB"/>
        </w:rPr>
        <w:t xml:space="preserve">(5), </w:t>
      </w:r>
      <w:proofErr w:type="gramStart"/>
      <w:r w:rsidRPr="00D92135">
        <w:rPr>
          <w:rFonts w:ascii="Arial" w:hAnsi="Arial" w:cs="Arial"/>
          <w:sz w:val="22"/>
          <w:szCs w:val="22"/>
          <w:lang w:val="en-GB"/>
        </w:rPr>
        <w:t>p.e</w:t>
      </w:r>
      <w:proofErr w:type="gramEnd"/>
      <w:r w:rsidRPr="00D92135">
        <w:rPr>
          <w:rFonts w:ascii="Arial" w:hAnsi="Arial" w:cs="Arial"/>
          <w:sz w:val="22"/>
          <w:szCs w:val="22"/>
          <w:lang w:val="en-GB"/>
        </w:rPr>
        <w:t>099773.</w:t>
      </w:r>
      <w:hyperlink r:id="rId84">
        <w:r w:rsidRPr="00D92135">
          <w:rPr>
            <w:rFonts w:ascii="Arial" w:hAnsi="Arial" w:cs="Arial"/>
            <w:sz w:val="22"/>
            <w:szCs w:val="22"/>
            <w:lang w:val="en-GB"/>
          </w:rPr>
          <w:t xml:space="preserve"> </w:t>
        </w:r>
      </w:hyperlink>
      <w:r w:rsidRPr="00D92135">
        <w:rPr>
          <w:rFonts w:ascii="Arial" w:hAnsi="Arial" w:cs="Arial"/>
          <w:sz w:val="22"/>
          <w:szCs w:val="22"/>
          <w:lang w:val="en-GB"/>
        </w:rPr>
        <w:t xml:space="preserve">Available at: </w:t>
      </w:r>
      <w:hyperlink r:id="rId85">
        <w:r w:rsidRPr="00D92135">
          <w:rPr>
            <w:rFonts w:ascii="Arial" w:hAnsi="Arial" w:cs="Arial"/>
            <w:color w:val="1155CC"/>
            <w:sz w:val="22"/>
            <w:szCs w:val="22"/>
            <w:u w:val="single"/>
            <w:lang w:val="en-GB"/>
          </w:rPr>
          <w:t>https://doi.org/10.1136/bmjopen-2025-099773</w:t>
        </w:r>
      </w:hyperlink>
    </w:p>
    <w:p w14:paraId="71FB4BC4"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sz w:val="22"/>
          <w:szCs w:val="22"/>
          <w:lang w:val="en-GB"/>
        </w:rPr>
        <w:lastRenderedPageBreak/>
        <w:t xml:space="preserve">WHO (2026). </w:t>
      </w:r>
      <w:r w:rsidRPr="00D92135">
        <w:rPr>
          <w:rFonts w:ascii="Arial" w:hAnsi="Arial" w:cs="Arial"/>
          <w:i/>
          <w:iCs/>
          <w:sz w:val="22"/>
          <w:szCs w:val="22"/>
          <w:lang w:val="en-GB"/>
        </w:rPr>
        <w:t xml:space="preserve">Safe Surgery Tools and Resources. </w:t>
      </w:r>
      <w:r w:rsidRPr="00D92135">
        <w:rPr>
          <w:rFonts w:ascii="Arial" w:hAnsi="Arial" w:cs="Arial"/>
          <w:sz w:val="22"/>
          <w:szCs w:val="22"/>
          <w:lang w:val="en-GB"/>
        </w:rPr>
        <w:t xml:space="preserve">Available at: </w:t>
      </w:r>
      <w:hyperlink r:id="rId86">
        <w:r w:rsidRPr="00D92135">
          <w:rPr>
            <w:rFonts w:ascii="Arial" w:hAnsi="Arial" w:cs="Arial"/>
            <w:color w:val="1155CC"/>
            <w:sz w:val="22"/>
            <w:szCs w:val="22"/>
            <w:u w:val="single"/>
            <w:lang w:val="en-GB"/>
          </w:rPr>
          <w:t>https://www.who.int/teams/integrated-health-services/patient-safety/research/safe-surgery/tool-and-resources</w:t>
        </w:r>
      </w:hyperlink>
      <w:r w:rsidRPr="00D92135">
        <w:rPr>
          <w:rFonts w:ascii="Arial" w:hAnsi="Arial" w:cs="Arial"/>
          <w:sz w:val="22"/>
          <w:szCs w:val="22"/>
          <w:lang w:val="en-GB"/>
        </w:rPr>
        <w:t xml:space="preserve"> (Accessed on: 25 July 2026).</w:t>
      </w:r>
    </w:p>
    <w:p w14:paraId="509686A7"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sz w:val="22"/>
          <w:szCs w:val="22"/>
          <w:lang w:val="en-GB"/>
        </w:rPr>
        <w:t xml:space="preserve">World Health Organisations, (2026). </w:t>
      </w:r>
      <w:r w:rsidRPr="00D92135">
        <w:rPr>
          <w:rFonts w:ascii="Arial" w:hAnsi="Arial" w:cs="Arial"/>
          <w:i/>
          <w:iCs/>
          <w:sz w:val="22"/>
          <w:szCs w:val="22"/>
          <w:lang w:val="en-GB"/>
        </w:rPr>
        <w:t xml:space="preserve">Patient safety. </w:t>
      </w:r>
      <w:r w:rsidRPr="00D92135">
        <w:rPr>
          <w:rFonts w:ascii="Arial" w:hAnsi="Arial" w:cs="Arial"/>
          <w:sz w:val="22"/>
          <w:szCs w:val="22"/>
          <w:lang w:val="en-GB"/>
        </w:rPr>
        <w:t>Available at:</w:t>
      </w:r>
      <w:hyperlink r:id="rId87">
        <w:r w:rsidRPr="00D92135">
          <w:rPr>
            <w:rFonts w:ascii="Arial" w:hAnsi="Arial" w:cs="Arial"/>
            <w:sz w:val="22"/>
            <w:szCs w:val="22"/>
            <w:lang w:val="en-GB"/>
          </w:rPr>
          <w:t xml:space="preserve"> </w:t>
        </w:r>
      </w:hyperlink>
      <w:hyperlink r:id="rId88">
        <w:r w:rsidRPr="00D92135">
          <w:rPr>
            <w:rFonts w:ascii="Arial" w:hAnsi="Arial" w:cs="Arial"/>
            <w:color w:val="1155CC"/>
            <w:sz w:val="22"/>
            <w:szCs w:val="22"/>
            <w:u w:val="single"/>
            <w:lang w:val="en-GB"/>
          </w:rPr>
          <w:t>https://www.who.int/news-room/fact-sheets/detail/patient-safety</w:t>
        </w:r>
      </w:hyperlink>
      <w:r w:rsidRPr="00D92135">
        <w:rPr>
          <w:rFonts w:ascii="Arial" w:hAnsi="Arial" w:cs="Arial"/>
          <w:color w:val="1155CC"/>
          <w:sz w:val="22"/>
          <w:szCs w:val="22"/>
          <w:u w:val="single"/>
          <w:lang w:val="en-GB"/>
        </w:rPr>
        <w:t xml:space="preserve"> </w:t>
      </w:r>
      <w:r w:rsidRPr="00D92135">
        <w:rPr>
          <w:rFonts w:ascii="Arial" w:hAnsi="Arial" w:cs="Arial"/>
          <w:sz w:val="22"/>
          <w:szCs w:val="22"/>
          <w:lang w:val="en-GB"/>
        </w:rPr>
        <w:t>(Accessed on: 25 July 2026).</w:t>
      </w:r>
    </w:p>
    <w:p w14:paraId="39B8969A" w14:textId="77777777" w:rsidR="00666370" w:rsidRPr="00D92135" w:rsidRDefault="00666370" w:rsidP="00D92135">
      <w:pPr>
        <w:spacing w:before="240" w:after="240"/>
        <w:rPr>
          <w:rFonts w:ascii="Arial" w:eastAsia="Arial" w:hAnsi="Arial" w:cs="Arial"/>
          <w:sz w:val="22"/>
          <w:szCs w:val="22"/>
          <w:lang w:val="en-GB"/>
        </w:rPr>
      </w:pPr>
      <w:r w:rsidRPr="00D92135">
        <w:rPr>
          <w:rFonts w:ascii="Arial" w:eastAsia="Arial" w:hAnsi="Arial" w:cs="Arial"/>
          <w:sz w:val="22"/>
          <w:szCs w:val="22"/>
          <w:lang w:val="en-GB"/>
        </w:rPr>
        <w:t xml:space="preserve">Yan, Y. and Ramesh, M. (2026). ‘Accountability for policy decisions: addressing gaps in theory and practice.’ </w:t>
      </w:r>
      <w:r w:rsidRPr="00D92135">
        <w:rPr>
          <w:rFonts w:ascii="Arial" w:eastAsia="Arial" w:hAnsi="Arial" w:cs="Arial"/>
          <w:i/>
          <w:iCs/>
          <w:sz w:val="22"/>
          <w:szCs w:val="22"/>
          <w:lang w:val="en-GB"/>
        </w:rPr>
        <w:t>Policy Sciences</w:t>
      </w:r>
      <w:r w:rsidRPr="00D92135">
        <w:rPr>
          <w:rFonts w:ascii="Arial" w:eastAsia="Arial" w:hAnsi="Arial" w:cs="Arial"/>
          <w:sz w:val="22"/>
          <w:szCs w:val="22"/>
          <w:lang w:val="en-GB"/>
        </w:rPr>
        <w:t xml:space="preserve">. Available at: </w:t>
      </w:r>
      <w:hyperlink r:id="rId89">
        <w:r w:rsidRPr="00D92135">
          <w:rPr>
            <w:rFonts w:ascii="Arial" w:eastAsia="Arial" w:hAnsi="Arial" w:cs="Arial"/>
            <w:color w:val="1155CC"/>
            <w:sz w:val="22"/>
            <w:szCs w:val="22"/>
            <w:u w:val="single"/>
            <w:lang w:val="en-GB"/>
          </w:rPr>
          <w:t>https://doi.org/10.1007/s11077-026-09601-3</w:t>
        </w:r>
      </w:hyperlink>
      <w:r w:rsidRPr="00D92135">
        <w:rPr>
          <w:rFonts w:ascii="Arial" w:eastAsia="Arial" w:hAnsi="Arial" w:cs="Arial"/>
          <w:sz w:val="22"/>
          <w:szCs w:val="22"/>
          <w:lang w:val="en-GB"/>
        </w:rPr>
        <w:t xml:space="preserve">  </w:t>
      </w:r>
    </w:p>
    <w:p w14:paraId="797654EE" w14:textId="77777777" w:rsidR="00666370" w:rsidRPr="00D92135" w:rsidRDefault="00666370" w:rsidP="00D92135">
      <w:pPr>
        <w:spacing w:before="240" w:after="240"/>
        <w:rPr>
          <w:rFonts w:ascii="Arial" w:hAnsi="Arial" w:cs="Arial"/>
          <w:sz w:val="22"/>
          <w:szCs w:val="22"/>
          <w:lang w:val="en-GB"/>
        </w:rPr>
      </w:pPr>
      <w:r w:rsidRPr="00D92135">
        <w:rPr>
          <w:rFonts w:ascii="Arial" w:hAnsi="Arial" w:cs="Arial"/>
          <w:color w:val="222222"/>
          <w:sz w:val="22"/>
          <w:szCs w:val="22"/>
          <w:highlight w:val="white"/>
          <w:lang w:val="en-GB"/>
        </w:rPr>
        <w:t xml:space="preserve">Zhu, Y., (2025). ‘Leading with purpose: The transformative impact of servant, authentic, and spiritual leadership on workplace well-being and </w:t>
      </w:r>
      <w:proofErr w:type="gramStart"/>
      <w:r w:rsidRPr="00D92135">
        <w:rPr>
          <w:rFonts w:ascii="Arial" w:hAnsi="Arial" w:cs="Arial"/>
          <w:color w:val="222222"/>
          <w:sz w:val="22"/>
          <w:szCs w:val="22"/>
          <w:highlight w:val="white"/>
          <w:lang w:val="en-GB"/>
        </w:rPr>
        <w:t>ethics’</w:t>
      </w:r>
      <w:proofErr w:type="gramEnd"/>
      <w:r w:rsidRPr="00D92135">
        <w:rPr>
          <w:rFonts w:ascii="Arial" w:hAnsi="Arial" w:cs="Arial"/>
          <w:color w:val="222222"/>
          <w:sz w:val="22"/>
          <w:szCs w:val="22"/>
          <w:highlight w:val="white"/>
          <w:lang w:val="en-GB"/>
        </w:rPr>
        <w:t xml:space="preserve">. In </w:t>
      </w:r>
      <w:r w:rsidRPr="00D92135">
        <w:rPr>
          <w:rFonts w:ascii="Arial" w:hAnsi="Arial" w:cs="Arial"/>
          <w:i/>
          <w:iCs/>
          <w:color w:val="222222"/>
          <w:sz w:val="22"/>
          <w:szCs w:val="22"/>
          <w:highlight w:val="white"/>
          <w:lang w:val="en-GB"/>
        </w:rPr>
        <w:t>Proceedings of the International Conference on Modern Research in Social Sciences</w:t>
      </w:r>
      <w:r w:rsidRPr="00D92135">
        <w:rPr>
          <w:rFonts w:ascii="Arial" w:hAnsi="Arial" w:cs="Arial"/>
          <w:color w:val="222222"/>
          <w:sz w:val="22"/>
          <w:szCs w:val="22"/>
          <w:highlight w:val="white"/>
          <w:lang w:val="en-GB"/>
        </w:rPr>
        <w:t xml:space="preserve"> (Vol. 2, No. 1, pp. 15-24).</w:t>
      </w:r>
      <w:r w:rsidRPr="00D92135">
        <w:rPr>
          <w:rFonts w:ascii="Arial" w:hAnsi="Arial" w:cs="Arial"/>
          <w:sz w:val="22"/>
          <w:szCs w:val="22"/>
          <w:lang w:val="en-GB"/>
        </w:rPr>
        <w:t xml:space="preserve"> Available at: </w:t>
      </w:r>
      <w:hyperlink r:id="rId90">
        <w:r w:rsidRPr="00D92135">
          <w:rPr>
            <w:rFonts w:ascii="Arial" w:hAnsi="Arial" w:cs="Arial"/>
            <w:color w:val="1155CC"/>
            <w:sz w:val="22"/>
            <w:szCs w:val="22"/>
            <w:u w:val="single"/>
            <w:lang w:val="en-GB"/>
          </w:rPr>
          <w:t>https://doi.org/10.33422/icmrss.v2i1.827</w:t>
        </w:r>
      </w:hyperlink>
      <w:r w:rsidRPr="00D92135">
        <w:rPr>
          <w:rFonts w:ascii="Arial" w:hAnsi="Arial" w:cs="Arial"/>
          <w:sz w:val="22"/>
          <w:szCs w:val="22"/>
          <w:lang w:val="en-GB"/>
        </w:rPr>
        <w:t xml:space="preserve"> </w:t>
      </w:r>
    </w:p>
    <w:p w14:paraId="4D6E598D" w14:textId="77777777" w:rsidR="00D30001" w:rsidRPr="009D66D2" w:rsidRDefault="00D30001" w:rsidP="00D92135">
      <w:pPr>
        <w:rPr>
          <w:rFonts w:ascii="Arial" w:eastAsia="Arial" w:hAnsi="Arial" w:cs="Arial"/>
          <w:sz w:val="22"/>
          <w:szCs w:val="22"/>
          <w:lang w:val="en-GB"/>
        </w:rPr>
      </w:pPr>
    </w:p>
    <w:sectPr w:rsidR="00D30001" w:rsidRPr="009D66D2" w:rsidSect="00F75414">
      <w:headerReference w:type="default" r:id="rId91"/>
      <w:footerReference w:type="default" r:id="rId9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C4C4D" w14:textId="77777777" w:rsidR="00B632EB" w:rsidRDefault="00B632EB">
      <w:pPr>
        <w:spacing w:line="240" w:lineRule="auto"/>
      </w:pPr>
      <w:r>
        <w:separator/>
      </w:r>
    </w:p>
  </w:endnote>
  <w:endnote w:type="continuationSeparator" w:id="0">
    <w:p w14:paraId="57660E55" w14:textId="77777777" w:rsidR="00B632EB" w:rsidRDefault="00B632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BE09596-A0F7-42A2-B520-EE364B5101BB}"/>
  </w:font>
  <w:font w:name="Cambria">
    <w:panose1 w:val="02040503050406030204"/>
    <w:charset w:val="00"/>
    <w:family w:val="roman"/>
    <w:pitch w:val="variable"/>
    <w:sig w:usb0="E00006FF" w:usb1="420024FF" w:usb2="02000000" w:usb3="00000000" w:csb0="0000019F" w:csb1="00000000"/>
    <w:embedRegular r:id="rId2" w:fontKey="{AD577ECE-7389-4768-B4B0-93C72B658FD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8122396"/>
      <w:docPartObj>
        <w:docPartGallery w:val="Page Numbers (Bottom of Page)"/>
        <w:docPartUnique/>
      </w:docPartObj>
    </w:sdtPr>
    <w:sdtEndPr>
      <w:rPr>
        <w:rFonts w:ascii="Arial" w:hAnsi="Arial" w:cs="Arial"/>
        <w:noProof/>
      </w:rPr>
    </w:sdtEndPr>
    <w:sdtContent>
      <w:p w14:paraId="179FF9D6" w14:textId="6237669E" w:rsidR="00B85BF5" w:rsidRPr="00A66629" w:rsidRDefault="00B85BF5">
        <w:pPr>
          <w:pStyle w:val="Footer"/>
          <w:jc w:val="right"/>
          <w:rPr>
            <w:rFonts w:ascii="Arial" w:hAnsi="Arial" w:cs="Arial"/>
          </w:rPr>
        </w:pPr>
        <w:r w:rsidRPr="00A66629">
          <w:rPr>
            <w:rFonts w:ascii="Arial" w:hAnsi="Arial" w:cs="Arial"/>
            <w:sz w:val="20"/>
            <w:szCs w:val="20"/>
          </w:rPr>
          <w:fldChar w:fldCharType="begin"/>
        </w:r>
        <w:r w:rsidRPr="00A66629">
          <w:rPr>
            <w:rFonts w:ascii="Arial" w:hAnsi="Arial" w:cs="Arial"/>
            <w:sz w:val="20"/>
            <w:szCs w:val="20"/>
          </w:rPr>
          <w:instrText xml:space="preserve"> PAGE   \* MERGEFORMAT </w:instrText>
        </w:r>
        <w:r w:rsidRPr="00A66629">
          <w:rPr>
            <w:rFonts w:ascii="Arial" w:hAnsi="Arial" w:cs="Arial"/>
            <w:sz w:val="20"/>
            <w:szCs w:val="20"/>
          </w:rPr>
          <w:fldChar w:fldCharType="separate"/>
        </w:r>
        <w:r w:rsidRPr="00A66629">
          <w:rPr>
            <w:rFonts w:ascii="Arial" w:hAnsi="Arial" w:cs="Arial"/>
            <w:noProof/>
            <w:sz w:val="20"/>
            <w:szCs w:val="20"/>
          </w:rPr>
          <w:t>2</w:t>
        </w:r>
        <w:r w:rsidRPr="00A66629">
          <w:rPr>
            <w:rFonts w:ascii="Arial" w:hAnsi="Arial" w:cs="Arial"/>
            <w:noProof/>
            <w:sz w:val="20"/>
            <w:szCs w:val="20"/>
          </w:rPr>
          <w:fldChar w:fldCharType="end"/>
        </w:r>
      </w:p>
    </w:sdtContent>
  </w:sdt>
  <w:p w14:paraId="66A3D118" w14:textId="77777777" w:rsidR="00B85BF5" w:rsidRDefault="00B85B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6D84D" w14:textId="77777777" w:rsidR="00B632EB" w:rsidRDefault="00B632EB">
      <w:pPr>
        <w:spacing w:line="240" w:lineRule="auto"/>
      </w:pPr>
      <w:r>
        <w:separator/>
      </w:r>
    </w:p>
  </w:footnote>
  <w:footnote w:type="continuationSeparator" w:id="0">
    <w:p w14:paraId="6F0F85E9" w14:textId="77777777" w:rsidR="00B632EB" w:rsidRDefault="00B632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0C3A9" w14:textId="77777777" w:rsidR="000907B8" w:rsidRDefault="000907B8">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A72FC"/>
    <w:multiLevelType w:val="hybridMultilevel"/>
    <w:tmpl w:val="E37209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34542C"/>
    <w:multiLevelType w:val="multilevel"/>
    <w:tmpl w:val="EAEE29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292C5B"/>
    <w:multiLevelType w:val="multilevel"/>
    <w:tmpl w:val="BB82D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8F5179"/>
    <w:multiLevelType w:val="hybridMultilevel"/>
    <w:tmpl w:val="B234E9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11B5E3F"/>
    <w:multiLevelType w:val="multilevel"/>
    <w:tmpl w:val="B5868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BD4988"/>
    <w:multiLevelType w:val="hybridMultilevel"/>
    <w:tmpl w:val="3D86A6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CA356C0"/>
    <w:multiLevelType w:val="hybridMultilevel"/>
    <w:tmpl w:val="94D065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CA51FD0"/>
    <w:multiLevelType w:val="hybridMultilevel"/>
    <w:tmpl w:val="2B7825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CC72C8E"/>
    <w:multiLevelType w:val="hybridMultilevel"/>
    <w:tmpl w:val="F81AA5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968637">
    <w:abstractNumId w:val="1"/>
  </w:num>
  <w:num w:numId="2" w16cid:durableId="1156187588">
    <w:abstractNumId w:val="4"/>
  </w:num>
  <w:num w:numId="3" w16cid:durableId="1894805384">
    <w:abstractNumId w:val="2"/>
  </w:num>
  <w:num w:numId="4" w16cid:durableId="758017115">
    <w:abstractNumId w:val="0"/>
  </w:num>
  <w:num w:numId="5" w16cid:durableId="1035041545">
    <w:abstractNumId w:val="7"/>
  </w:num>
  <w:num w:numId="6" w16cid:durableId="1121266183">
    <w:abstractNumId w:val="8"/>
  </w:num>
  <w:num w:numId="7" w16cid:durableId="190845741">
    <w:abstractNumId w:val="3"/>
  </w:num>
  <w:num w:numId="8" w16cid:durableId="1601260127">
    <w:abstractNumId w:val="6"/>
  </w:num>
  <w:num w:numId="9" w16cid:durableId="18519176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7B8"/>
    <w:rsid w:val="00042AC1"/>
    <w:rsid w:val="00044AC2"/>
    <w:rsid w:val="00050090"/>
    <w:rsid w:val="0007417C"/>
    <w:rsid w:val="000907B8"/>
    <w:rsid w:val="00176C62"/>
    <w:rsid w:val="00177DCB"/>
    <w:rsid w:val="001A72C1"/>
    <w:rsid w:val="00202B12"/>
    <w:rsid w:val="00273C94"/>
    <w:rsid w:val="00303FF1"/>
    <w:rsid w:val="003F03CD"/>
    <w:rsid w:val="0045189C"/>
    <w:rsid w:val="00514B1D"/>
    <w:rsid w:val="0056082C"/>
    <w:rsid w:val="005839A8"/>
    <w:rsid w:val="00666370"/>
    <w:rsid w:val="00737DDD"/>
    <w:rsid w:val="007715AA"/>
    <w:rsid w:val="00863020"/>
    <w:rsid w:val="008A73A6"/>
    <w:rsid w:val="008B6442"/>
    <w:rsid w:val="009C1CAE"/>
    <w:rsid w:val="009D66D2"/>
    <w:rsid w:val="00A17AAD"/>
    <w:rsid w:val="00A37557"/>
    <w:rsid w:val="00A66629"/>
    <w:rsid w:val="00B23989"/>
    <w:rsid w:val="00B632EB"/>
    <w:rsid w:val="00B85BF5"/>
    <w:rsid w:val="00B86926"/>
    <w:rsid w:val="00C024BC"/>
    <w:rsid w:val="00C2691A"/>
    <w:rsid w:val="00C4732F"/>
    <w:rsid w:val="00CC3B22"/>
    <w:rsid w:val="00D30001"/>
    <w:rsid w:val="00D92135"/>
    <w:rsid w:val="00E11143"/>
    <w:rsid w:val="00EC313E"/>
    <w:rsid w:val="00F41D45"/>
    <w:rsid w:val="00F75414"/>
    <w:rsid w:val="00FC7419"/>
    <w:rsid w:val="00FF6C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4D114"/>
  <w15:docId w15:val="{630B5FFF-9810-47C2-A606-76E5EBDB8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23989"/>
    <w:pPr>
      <w:keepNext/>
      <w:keepLines/>
      <w:outlineLvl w:val="0"/>
    </w:pPr>
    <w:rPr>
      <w:rFonts w:ascii="Arial" w:hAnsi="Arial" w:cs="Arial"/>
      <w:b/>
      <w:bCs/>
      <w:sz w:val="22"/>
      <w:szCs w:val="22"/>
      <w:lang w:val="en-GB"/>
    </w:rPr>
  </w:style>
  <w:style w:type="paragraph" w:styleId="Heading2">
    <w:name w:val="heading 2"/>
    <w:basedOn w:val="Normal"/>
    <w:next w:val="Normal"/>
    <w:uiPriority w:val="9"/>
    <w:unhideWhenUsed/>
    <w:qFormat/>
    <w:pPr>
      <w:keepNext/>
      <w:keepLines/>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85BF5"/>
    <w:pPr>
      <w:tabs>
        <w:tab w:val="center" w:pos="4513"/>
        <w:tab w:val="right" w:pos="9026"/>
      </w:tabs>
      <w:spacing w:line="240" w:lineRule="auto"/>
    </w:pPr>
  </w:style>
  <w:style w:type="character" w:customStyle="1" w:styleId="HeaderChar">
    <w:name w:val="Header Char"/>
    <w:basedOn w:val="DefaultParagraphFont"/>
    <w:link w:val="Header"/>
    <w:uiPriority w:val="99"/>
    <w:rsid w:val="00B85BF5"/>
  </w:style>
  <w:style w:type="paragraph" w:styleId="Footer">
    <w:name w:val="footer"/>
    <w:basedOn w:val="Normal"/>
    <w:link w:val="FooterChar"/>
    <w:uiPriority w:val="99"/>
    <w:unhideWhenUsed/>
    <w:rsid w:val="00B85BF5"/>
    <w:pPr>
      <w:tabs>
        <w:tab w:val="center" w:pos="4513"/>
        <w:tab w:val="right" w:pos="9026"/>
      </w:tabs>
      <w:spacing w:line="240" w:lineRule="auto"/>
    </w:pPr>
  </w:style>
  <w:style w:type="character" w:customStyle="1" w:styleId="FooterChar">
    <w:name w:val="Footer Char"/>
    <w:basedOn w:val="DefaultParagraphFont"/>
    <w:link w:val="Footer"/>
    <w:uiPriority w:val="99"/>
    <w:rsid w:val="00B85BF5"/>
  </w:style>
  <w:style w:type="paragraph" w:styleId="TOCHeading">
    <w:name w:val="TOC Heading"/>
    <w:basedOn w:val="Heading1"/>
    <w:next w:val="Normal"/>
    <w:uiPriority w:val="39"/>
    <w:unhideWhenUsed/>
    <w:qFormat/>
    <w:rsid w:val="00B85BF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85BF5"/>
    <w:pPr>
      <w:spacing w:after="100"/>
    </w:pPr>
  </w:style>
  <w:style w:type="paragraph" w:styleId="TOC2">
    <w:name w:val="toc 2"/>
    <w:basedOn w:val="Normal"/>
    <w:next w:val="Normal"/>
    <w:autoRedefine/>
    <w:uiPriority w:val="39"/>
    <w:unhideWhenUsed/>
    <w:rsid w:val="00B85BF5"/>
    <w:pPr>
      <w:spacing w:after="100"/>
      <w:ind w:left="240"/>
    </w:pPr>
  </w:style>
  <w:style w:type="character" w:styleId="Hyperlink">
    <w:name w:val="Hyperlink"/>
    <w:basedOn w:val="DefaultParagraphFont"/>
    <w:uiPriority w:val="99"/>
    <w:unhideWhenUsed/>
    <w:rsid w:val="00B85BF5"/>
    <w:rPr>
      <w:color w:val="0000FF" w:themeColor="hyperlink"/>
      <w:u w:val="single"/>
    </w:rPr>
  </w:style>
  <w:style w:type="paragraph" w:styleId="ListParagraph">
    <w:name w:val="List Paragraph"/>
    <w:basedOn w:val="Normal"/>
    <w:uiPriority w:val="34"/>
    <w:qFormat/>
    <w:rsid w:val="008B64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89/frhs.2025.1535414" TargetMode="External"/><Relationship Id="rId21" Type="http://schemas.openxmlformats.org/officeDocument/2006/relationships/hyperlink" Target="https://psnet.ahrq.gov/primer/wrong-site-wrong-procedure-and-wrong-patient-surgery" TargetMode="External"/><Relationship Id="rId42" Type="http://schemas.openxmlformats.org/officeDocument/2006/relationships/hyperlink" Target="https://www.dovepress.com/the-association-of-transformational-leadership-on-safety-practices-amo-peer-reviewed-fulltext-article-RMHP" TargetMode="External"/><Relationship Id="rId47" Type="http://schemas.openxmlformats.org/officeDocument/2006/relationships/hyperlink" Target="https://doi.org/10.4103/jfmpc.jfmpc_879_24" TargetMode="External"/><Relationship Id="rId63" Type="http://schemas.openxmlformats.org/officeDocument/2006/relationships/hyperlink" Target="https://qps.nhsrcindia.org/sites/default/files/2022-03/Overview%20Dr%20J%20N%20S%20.pdf" TargetMode="External"/><Relationship Id="rId68" Type="http://schemas.openxmlformats.org/officeDocument/2006/relationships/hyperlink" Target="https://doi.org/10.3390/nursrep15040131" TargetMode="External"/><Relationship Id="rId84" Type="http://schemas.openxmlformats.org/officeDocument/2006/relationships/hyperlink" Target="https://doi.org/10.1136/bmjopen-2025-099773" TargetMode="External"/><Relationship Id="rId89" Type="http://schemas.openxmlformats.org/officeDocument/2006/relationships/hyperlink" Target="https://doi.org/10.1007/s11077-026-09601-3" TargetMode="External"/><Relationship Id="rId16" Type="http://schemas.openxmlformats.org/officeDocument/2006/relationships/hyperlink" Target="https://psnet.ahrq.gov/primer/wrong-site-wrong-procedure-and-wrong-patient-surgery" TargetMode="External"/><Relationship Id="rId11" Type="http://schemas.openxmlformats.org/officeDocument/2006/relationships/image" Target="media/image4.png"/><Relationship Id="rId32" Type="http://schemas.openxmlformats.org/officeDocument/2006/relationships/hyperlink" Target="https://doi.org/10.1155/2023/9577200" TargetMode="External"/><Relationship Id="rId37" Type="http://schemas.openxmlformats.org/officeDocument/2006/relationships/hyperlink" Target="https://www.statista.com/chart/27444/nhs-never-events/?srsltid=AfmBOorhtQdzS7NjpYch6pZ7GP0OLCOzV3TCqzu6IHw_CmsNCM071_xM" TargetMode="External"/><Relationship Id="rId53" Type="http://schemas.openxmlformats.org/officeDocument/2006/relationships/hyperlink" Target="https://www.statista.com/topics/9575/nhs-staff-shortage/?srsltid=AfmBOoqvz1154yrBbwWAyRW2jd66VH4a-HiGeoDuFFY_AHEdYzVaANkx" TargetMode="External"/><Relationship Id="rId58" Type="http://schemas.openxmlformats.org/officeDocument/2006/relationships/hyperlink" Target="https://www.england.nhs.uk/long-read/provisional-publication-of-never-events-reported-as-occurring-between-april-2025-and-november-2025/" TargetMode="External"/><Relationship Id="rId74" Type="http://schemas.openxmlformats.org/officeDocument/2006/relationships/hyperlink" Target="https://doi.org/10.1007/s40489-022-00324-8" TargetMode="External"/><Relationship Id="rId79" Type="http://schemas.openxmlformats.org/officeDocument/2006/relationships/hyperlink" Target="https://doi.org/10.1016/j.healthpol.2022.11.011" TargetMode="External"/><Relationship Id="rId5" Type="http://schemas.openxmlformats.org/officeDocument/2006/relationships/webSettings" Target="webSettings.xml"/><Relationship Id="rId90" Type="http://schemas.openxmlformats.org/officeDocument/2006/relationships/hyperlink" Target="https://doi.org/10.33422/icmrss.v2i1.827" TargetMode="External"/><Relationship Id="rId22" Type="http://schemas.openxmlformats.org/officeDocument/2006/relationships/hyperlink" Target="https://doi.org/10.1080/23311975.2023.2270813" TargetMode="External"/><Relationship Id="rId27" Type="http://schemas.openxmlformats.org/officeDocument/2006/relationships/hyperlink" Target="https://www.thehindu.com/sci-tech/health/understanding-never-events-unacceptable-failures-in-patient-safety/article69003549.ece" TargetMode="External"/><Relationship Id="rId43" Type="http://schemas.openxmlformats.org/officeDocument/2006/relationships/hyperlink" Target="https://www.dovepress.com/the-association-of-transformational-leadership-on-safety-practices-amo-peer-reviewed-fulltext-article-RMHP" TargetMode="External"/><Relationship Id="rId48" Type="http://schemas.openxmlformats.org/officeDocument/2006/relationships/hyperlink" Target="https://bmjopen.bmj.com/content/bmjopen/15/6/e095155.full.pdf" TargetMode="External"/><Relationship Id="rId64" Type="http://schemas.openxmlformats.org/officeDocument/2006/relationships/hyperlink" Target="https://qps.nhsrcindia.org/sites/default/files/2022-03/Overview%20Dr%20J%20N%20S%20.pdf" TargetMode="External"/><Relationship Id="rId69" Type="http://schemas.openxmlformats.org/officeDocument/2006/relationships/hyperlink" Target="https://doi.org/10.1186/s12913-024-11234-2" TargetMode="External"/><Relationship Id="rId8" Type="http://schemas.openxmlformats.org/officeDocument/2006/relationships/image" Target="media/image1.png"/><Relationship Id="rId51" Type="http://schemas.openxmlformats.org/officeDocument/2006/relationships/hyperlink" Target="https://doi.org/10.1136/bmjqs-2024-018385" TargetMode="External"/><Relationship Id="rId72" Type="http://schemas.openxmlformats.org/officeDocument/2006/relationships/hyperlink" Target="https://doi.org/10.1136/bmjgh-2023-013317" TargetMode="External"/><Relationship Id="rId80" Type="http://schemas.openxmlformats.org/officeDocument/2006/relationships/hyperlink" Target="https://doi.org/10.1155/jonm/6332434" TargetMode="External"/><Relationship Id="rId85" Type="http://schemas.openxmlformats.org/officeDocument/2006/relationships/hyperlink" Target="https://doi.org/10.1136/bmjopen-2025-099773"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snet.ahrq.gov/primer/wrong-site-wrong-procedure-and-wrong-patient-surgery" TargetMode="External"/><Relationship Id="rId25" Type="http://schemas.openxmlformats.org/officeDocument/2006/relationships/hyperlink" Target="https://doi.org/10.3389/frhs.2025.1535414" TargetMode="External"/><Relationship Id="rId33" Type="http://schemas.openxmlformats.org/officeDocument/2006/relationships/hyperlink" Target="https://doi.org/10.1155/2023/9577200" TargetMode="External"/><Relationship Id="rId38" Type="http://schemas.openxmlformats.org/officeDocument/2006/relationships/hyperlink" Target="https://doi.org/10.7759/cureus.94056" TargetMode="External"/><Relationship Id="rId46" Type="http://schemas.openxmlformats.org/officeDocument/2006/relationships/hyperlink" Target="https://doi.org/10.4103/jfmpc.jfmpc_879_24" TargetMode="External"/><Relationship Id="rId59" Type="http://schemas.openxmlformats.org/officeDocument/2006/relationships/hyperlink" Target="https://www.england.nhs.uk/patient-safety/patient-safety-insight/incident-response-framework/" TargetMode="External"/><Relationship Id="rId67" Type="http://schemas.openxmlformats.org/officeDocument/2006/relationships/hyperlink" Target="https://doi.org/10.3390/nursrep15040131" TargetMode="External"/><Relationship Id="rId20" Type="http://schemas.openxmlformats.org/officeDocument/2006/relationships/hyperlink" Target="https://psnet.ahrq.gov/primer/wrong-site-wrong-procedure-and-wrong-patient-surgery" TargetMode="External"/><Relationship Id="rId41" Type="http://schemas.openxmlformats.org/officeDocument/2006/relationships/hyperlink" Target="https://doi.org/10.5005/jp-journals-10071-25080" TargetMode="External"/><Relationship Id="rId54" Type="http://schemas.openxmlformats.org/officeDocument/2006/relationships/hyperlink" Target="https://doi.org/10.1136/" TargetMode="External"/><Relationship Id="rId62" Type="http://schemas.openxmlformats.org/officeDocument/2006/relationships/hyperlink" Target="https://nhsrcindia.org/sites/default/files/SHSRC%20(Webview).pdf" TargetMode="External"/><Relationship Id="rId70" Type="http://schemas.openxmlformats.org/officeDocument/2006/relationships/hyperlink" Target="https://doi.org/10.3390/ijerph191710995" TargetMode="External"/><Relationship Id="rId75" Type="http://schemas.openxmlformats.org/officeDocument/2006/relationships/hyperlink" Target="https://doi.org/10.1007/s40489-022-00324-8" TargetMode="External"/><Relationship Id="rId83" Type="http://schemas.openxmlformats.org/officeDocument/2006/relationships/hyperlink" Target="https://timesofindia.indiatimes.com/india/beyond-caregiving-the-unseen-burden-of-indias-nurses/articleshow/131038924.cms" TargetMode="External"/><Relationship Id="rId88" Type="http://schemas.openxmlformats.org/officeDocument/2006/relationships/hyperlink" Target="https://www.who.int/news-room/fact-sheets/detail/patient-safety" TargetMode="External"/><Relationship Id="rId9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snet.ahrq.gov/primer/wrong-site-wrong-procedure-and-wrong-patient-surgery" TargetMode="External"/><Relationship Id="rId23" Type="http://schemas.openxmlformats.org/officeDocument/2006/relationships/hyperlink" Target="https://doi.org/10.1080/23311975.2023.2270813" TargetMode="External"/><Relationship Id="rId28" Type="http://schemas.openxmlformats.org/officeDocument/2006/relationships/hyperlink" Target="https://www.thehindu.com/sci-tech/health/understanding-never-events-unacceptable-failures-in-patient-safety/article69003549.ece" TargetMode="External"/><Relationship Id="rId36" Type="http://schemas.openxmlformats.org/officeDocument/2006/relationships/hyperlink" Target="https://www.statista.com/chart/27444/nhs-never-events/?srsltid=AfmBOorhtQdzS7NjpYch6pZ7GP0OLCOzV3TCqzu6IHw_CmsNCM071_xM" TargetMode="External"/><Relationship Id="rId49" Type="http://schemas.openxmlformats.org/officeDocument/2006/relationships/hyperlink" Target="https://www.frontiersin.org/journals/health-services/articles/10.3389/frhs.2025.1581516/full" TargetMode="External"/><Relationship Id="rId57" Type="http://schemas.openxmlformats.org/officeDocument/2006/relationships/hyperlink" Target="https://www.england.nhs.uk/long-read/provisional-publication-of-never-events-reported-as-occurring-between-april-2025-and-november-2025/" TargetMode="External"/><Relationship Id="rId10" Type="http://schemas.openxmlformats.org/officeDocument/2006/relationships/image" Target="media/image3.jpg"/><Relationship Id="rId31" Type="http://schemas.openxmlformats.org/officeDocument/2006/relationships/hyperlink" Target="https://journals.lww.com/hcmrjournal/fulltext/2024/01000/distributed_leadership_in_health_quality.6.aspx" TargetMode="External"/><Relationship Id="rId44" Type="http://schemas.openxmlformats.org/officeDocument/2006/relationships/hyperlink" Target="https://www.tandfonline.com/doi/pdf/10.2147/RMHP.S458505" TargetMode="External"/><Relationship Id="rId52" Type="http://schemas.openxmlformats.org/officeDocument/2006/relationships/hyperlink" Target="https://www.statista.com/topics/9575/nhs-staff-shortage/?srsltid=AfmBOoqvz1154yrBbwWAyRW2jd66VH4a-HiGeoDuFFY_AHEdYzVaANkx" TargetMode="External"/><Relationship Id="rId60" Type="http://schemas.openxmlformats.org/officeDocument/2006/relationships/hyperlink" Target="https://www.england.nhs.uk/patient-safety/patient-safety-insight/incident-response-framework/" TargetMode="External"/><Relationship Id="rId65" Type="http://schemas.openxmlformats.org/officeDocument/2006/relationships/hyperlink" Target="https://pdfs.semanticscholar.org/a2ae/87ee0b4292a1d5f2e6267ff040850b928d7d.pdf?utm_source=chatgpt.com" TargetMode="External"/><Relationship Id="rId73" Type="http://schemas.openxmlformats.org/officeDocument/2006/relationships/hyperlink" Target="https://gh.bmj.com/content/bmjgh/8/12/e013317.full.pdf" TargetMode="External"/><Relationship Id="rId78" Type="http://schemas.openxmlformats.org/officeDocument/2006/relationships/hyperlink" Target="https://doi.org/10.4103/jpgm.jpgm_533_24" TargetMode="External"/><Relationship Id="rId81" Type="http://schemas.openxmlformats.org/officeDocument/2006/relationships/hyperlink" Target="https://doi.org/10.1155/jonm/6332434" TargetMode="External"/><Relationship Id="rId86" Type="http://schemas.openxmlformats.org/officeDocument/2006/relationships/hyperlink" Target="https://www.who.int/teams/integrated-health-services/patient-safety/research/safe-surgery/tool-and-resources"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093/intqhc/mzaf109" TargetMode="External"/><Relationship Id="rId18" Type="http://schemas.openxmlformats.org/officeDocument/2006/relationships/hyperlink" Target="https://doi.org/10.3390/healthcare13161959" TargetMode="External"/><Relationship Id="rId39" Type="http://schemas.openxmlformats.org/officeDocument/2006/relationships/hyperlink" Target="https://doi.org/10.3390/ijerph19148462?urlappend=%3Futm_source%3Dresearchgate.net%26utm_medium%3Darticle" TargetMode="External"/><Relationship Id="rId34" Type="http://schemas.openxmlformats.org/officeDocument/2006/relationships/hyperlink" Target="https://doi.org/10.4102/apsdpr.v13i1.827" TargetMode="External"/><Relationship Id="rId50" Type="http://schemas.openxmlformats.org/officeDocument/2006/relationships/hyperlink" Target="https://doi.org/10.7759/cureus.39079" TargetMode="External"/><Relationship Id="rId55" Type="http://schemas.openxmlformats.org/officeDocument/2006/relationships/hyperlink" Target="https://doi.org/10.1136/" TargetMode="External"/><Relationship Id="rId76" Type="http://schemas.openxmlformats.org/officeDocument/2006/relationships/hyperlink" Target="https://www.frontiersin.org/journals/public-health/articles/10.3389/fpubh.2026.1830370/pdf" TargetMode="External"/><Relationship Id="rId7" Type="http://schemas.openxmlformats.org/officeDocument/2006/relationships/endnotes" Target="endnotes.xml"/><Relationship Id="rId71" Type="http://schemas.openxmlformats.org/officeDocument/2006/relationships/hyperlink" Target="https://doi.org/10.1136/bmjgh-2023-013317" TargetMode="External"/><Relationship Id="rId9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doi.org/10.1016/j.ssci.2023.106409" TargetMode="External"/><Relationship Id="rId24" Type="http://schemas.openxmlformats.org/officeDocument/2006/relationships/hyperlink" Target="https://www.tandfonline.com/doi/pdf/10.2147/jhl.s496266" TargetMode="External"/><Relationship Id="rId40" Type="http://schemas.openxmlformats.org/officeDocument/2006/relationships/hyperlink" Target="https://doi.org/10.5005/jp-journals-10071-25080" TargetMode="External"/><Relationship Id="rId45" Type="http://schemas.openxmlformats.org/officeDocument/2006/relationships/hyperlink" Target="https://doi.org/10.1093/intqhc/mzad088" TargetMode="External"/><Relationship Id="rId66" Type="http://schemas.openxmlformats.org/officeDocument/2006/relationships/hyperlink" Target="https://doi.org/10.1111/jan.15841" TargetMode="External"/><Relationship Id="rId87" Type="http://schemas.openxmlformats.org/officeDocument/2006/relationships/hyperlink" Target="https://www.who.int/news-room/fact-sheets/detail/patient-safety" TargetMode="External"/><Relationship Id="rId61" Type="http://schemas.openxmlformats.org/officeDocument/2006/relationships/hyperlink" Target="https://nhsrcindia.org/sites/default/files/SHSRC%20(Webview).pdf" TargetMode="External"/><Relationship Id="rId82" Type="http://schemas.openxmlformats.org/officeDocument/2006/relationships/hyperlink" Target="https://journals.lww.com/hcmrjournal/_layouts/15/oaks.journals/downloadpdf.aspx?an=00004010-202401000-00006" TargetMode="External"/><Relationship Id="rId19" Type="http://schemas.openxmlformats.org/officeDocument/2006/relationships/hyperlink" Target="https://doi.org/10.3390/healthcare13161959" TargetMode="External"/><Relationship Id="rId14" Type="http://schemas.openxmlformats.org/officeDocument/2006/relationships/hyperlink" Target="https://link.springer.com/content/pdf/10.1186/s12913-026-14214-w.pdf" TargetMode="External"/><Relationship Id="rId30" Type="http://schemas.openxmlformats.org/officeDocument/2006/relationships/hyperlink" Target="https://journals.lww.com/hcmrjournal/fulltext/2024/01000/distributed_leadership_in_health_quality.6.aspx" TargetMode="External"/><Relationship Id="rId35" Type="http://schemas.openxmlformats.org/officeDocument/2006/relationships/hyperlink" Target="https://doi.org/10.4102/apsdpr.v13i1.827" TargetMode="External"/><Relationship Id="rId56" Type="http://schemas.openxmlformats.org/officeDocument/2006/relationships/hyperlink" Target="https://doi.org/10.1177/00195561241284320" TargetMode="External"/><Relationship Id="rId77" Type="http://schemas.openxmlformats.org/officeDocument/2006/relationships/hyperlink" Target="https://doi.org/10.4103/jpbs.jpbs_1907_2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DB668-AC21-465E-99B8-00C04364F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25</Pages>
  <Words>8908</Words>
  <Characters>50781</Characters>
  <Application>Microsoft Office Word</Application>
  <DocSecurity>0</DocSecurity>
  <Lines>423</Lines>
  <Paragraphs>119</Paragraphs>
  <ScaleCrop>false</ScaleCrop>
  <Company/>
  <LinksUpToDate>false</LinksUpToDate>
  <CharactersWithSpaces>59570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SMILE EXPORTS</cp:lastModifiedBy>
  <cp:revision>5</cp:revision>
  <dcterms:created xsi:type="dcterms:W3CDTF">2026-07-25T10:29:00Z</dcterms:created>
  <dcterms:modified xsi:type="dcterms:W3CDTF">2026-08-11T08:24:00Z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d990b18b-8580-489e-a051-b73e83ebc1c5</vt:lpwstr>
  </property>
</Properties>
</file>