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56EDE73A" w14:textId="70F11913" w:rsidR="00F21EFF" w:rsidRDefault="00000000">
      <w:pPr>
        <w:spacing w:line="360" w:lineRule="auto"/>
        <w:rPr>
          <w:rFonts w:ascii="Times New Roman" w:hAnsi="Times New Roman" w:cs="Times New Roman"/>
          <w:sz w:val="22"/>
        </w:rPr>
      </w:pPr>
      <w:r>
        <w:rPr>
          <w:rFonts w:ascii="Times New Roman" w:hAnsi="Times New Roman" w:cs="Times New Roman"/>
          <w:noProof/>
          <w:sz w:val="22"/>
        </w:rPr>
        <w:pict w14:anchorId="0C7895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30" type="#_x0000_t75" style="width:268.3pt;height:88.7pt;visibility:visible;mso-wrap-style:square">
            <v:imagedata r:id="rId7" o:title=""/>
            <o:lock v:ext="edit" aspectratio="f"/>
          </v:shape>
        </w:pict>
      </w:r>
    </w:p>
    <w:p w14:paraId="7FCC6E43" w14:textId="77777777" w:rsidR="00F21EFF" w:rsidRDefault="00F21EFF">
      <w:pPr>
        <w:pBdr>
          <w:top w:val="none" w:sz="4" w:space="0" w:color="auto"/>
          <w:left w:val="none" w:sz="4" w:space="0" w:color="auto"/>
          <w:bottom w:val="none" w:sz="4" w:space="0" w:color="auto"/>
          <w:right w:val="none" w:sz="4" w:space="0" w:color="auto"/>
          <w:between w:val="none" w:sz="4" w:space="0" w:color="auto"/>
        </w:pBdr>
        <w:spacing w:after="0" w:line="360" w:lineRule="auto"/>
        <w:jc w:val="right"/>
        <w:rPr>
          <w:rFonts w:ascii="Times New Roman" w:hAnsi="Times New Roman" w:cs="Times New Roman"/>
          <w:sz w:val="22"/>
        </w:rPr>
      </w:pPr>
    </w:p>
    <w:p w14:paraId="60AF0A82" w14:textId="77777777" w:rsidR="00F21EFF" w:rsidRDefault="00F21EFF">
      <w:pPr>
        <w:pBdr>
          <w:top w:val="none" w:sz="4" w:space="0" w:color="auto"/>
          <w:left w:val="none" w:sz="4" w:space="0" w:color="auto"/>
          <w:bottom w:val="none" w:sz="4" w:space="0" w:color="auto"/>
          <w:right w:val="none" w:sz="4" w:space="0" w:color="auto"/>
          <w:between w:val="none" w:sz="4" w:space="0" w:color="auto"/>
        </w:pBdr>
        <w:spacing w:after="0" w:line="480" w:lineRule="auto"/>
        <w:jc w:val="right"/>
        <w:rPr>
          <w:rFonts w:ascii="Times New Roman" w:hAnsi="Times New Roman" w:cs="Times New Roman"/>
          <w:sz w:val="24"/>
          <w:szCs w:val="24"/>
        </w:rPr>
      </w:pPr>
    </w:p>
    <w:p w14:paraId="3632F4F8" w14:textId="77777777" w:rsidR="00F21EFF" w:rsidRDefault="00F21EFF">
      <w:pPr>
        <w:pBdr>
          <w:top w:val="none" w:sz="4" w:space="0" w:color="auto"/>
          <w:left w:val="none" w:sz="4" w:space="0" w:color="auto"/>
          <w:bottom w:val="none" w:sz="4" w:space="0" w:color="auto"/>
          <w:right w:val="none" w:sz="4" w:space="0" w:color="auto"/>
          <w:between w:val="none" w:sz="4" w:space="0" w:color="auto"/>
        </w:pBdr>
        <w:spacing w:after="0" w:line="480" w:lineRule="auto"/>
        <w:jc w:val="right"/>
        <w:rPr>
          <w:rFonts w:ascii="Times New Roman" w:hAnsi="Times New Roman" w:cs="Times New Roman"/>
          <w:sz w:val="24"/>
          <w:szCs w:val="24"/>
        </w:rPr>
      </w:pPr>
    </w:p>
    <w:p w14:paraId="5BEC9C78"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480" w:lineRule="auto"/>
        <w:jc w:val="right"/>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sz w:val="24"/>
          <w:szCs w:val="24"/>
        </w:rPr>
        <w:t xml:space="preserve">Academic Discipline of Hospitality and Tourism Management </w:t>
      </w:r>
    </w:p>
    <w:p w14:paraId="1F3B8149"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480" w:lineRule="auto"/>
        <w:jc w:val="right"/>
        <w:rPr>
          <w:rFonts w:ascii="Times New Roman" w:hAnsi="Times New Roman" w:cs="Times New Roman"/>
          <w:sz w:val="24"/>
          <w:szCs w:val="24"/>
        </w:rPr>
      </w:pPr>
      <w:r>
        <w:rPr>
          <w:rFonts w:ascii="Times New Roman" w:hAnsi="Times New Roman" w:cs="Times New Roman"/>
          <w:b/>
          <w:sz w:val="24"/>
          <w:szCs w:val="24"/>
        </w:rPr>
        <w:t xml:space="preserve">BA (Hons) International Hotel Management </w:t>
      </w:r>
    </w:p>
    <w:p w14:paraId="48DB9141"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480" w:lineRule="auto"/>
        <w:jc w:val="right"/>
        <w:rPr>
          <w:rFonts w:ascii="Times New Roman" w:hAnsi="Times New Roman" w:cs="Times New Roman"/>
          <w:sz w:val="24"/>
          <w:szCs w:val="24"/>
          <w:u w:val="single"/>
        </w:rPr>
      </w:pPr>
      <w:r>
        <w:rPr>
          <w:rFonts w:ascii="Times New Roman" w:hAnsi="Times New Roman" w:cs="Times New Roman"/>
          <w:b/>
          <w:sz w:val="24"/>
          <w:szCs w:val="24"/>
          <w:u w:val="single"/>
        </w:rPr>
        <w:t xml:space="preserve">Module Handbook Autumn Term 2024 </w:t>
      </w:r>
    </w:p>
    <w:p w14:paraId="2A604C3F"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480" w:lineRule="auto"/>
        <w:jc w:val="right"/>
        <w:rPr>
          <w:rFonts w:ascii="Times New Roman" w:hAnsi="Times New Roman" w:cs="Times New Roman"/>
          <w:sz w:val="24"/>
          <w:szCs w:val="24"/>
        </w:rPr>
      </w:pPr>
      <w:r>
        <w:rPr>
          <w:rFonts w:ascii="Times New Roman" w:hAnsi="Times New Roman" w:cs="Times New Roman"/>
          <w:sz w:val="24"/>
          <w:szCs w:val="24"/>
        </w:rPr>
        <w:t xml:space="preserve">BMIH5006 </w:t>
      </w:r>
    </w:p>
    <w:p w14:paraId="4B59DA5D"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480" w:lineRule="auto"/>
        <w:jc w:val="right"/>
        <w:rPr>
          <w:rFonts w:ascii="Times New Roman" w:hAnsi="Times New Roman" w:cs="Times New Roman"/>
          <w:sz w:val="24"/>
          <w:szCs w:val="24"/>
        </w:rPr>
      </w:pPr>
      <w:r>
        <w:rPr>
          <w:rFonts w:ascii="Times New Roman" w:hAnsi="Times New Roman" w:cs="Times New Roman"/>
          <w:b/>
          <w:sz w:val="24"/>
          <w:szCs w:val="24"/>
        </w:rPr>
        <w:t xml:space="preserve">Sustainable Hospitality &amp; Tourism Management </w:t>
      </w:r>
    </w:p>
    <w:p w14:paraId="511AF495"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480" w:lineRule="auto"/>
        <w:jc w:val="right"/>
        <w:rPr>
          <w:rFonts w:ascii="Times New Roman" w:hAnsi="Times New Roman" w:cs="Times New Roman"/>
          <w:sz w:val="24"/>
          <w:szCs w:val="24"/>
        </w:rPr>
      </w:pPr>
      <w:r>
        <w:rPr>
          <w:rFonts w:ascii="Times New Roman" w:hAnsi="Times New Roman" w:cs="Times New Roman"/>
          <w:b/>
          <w:sz w:val="24"/>
          <w:szCs w:val="24"/>
        </w:rPr>
        <w:t xml:space="preserve">LEVEL 5 </w:t>
      </w:r>
    </w:p>
    <w:p w14:paraId="1225C6F5"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480" w:lineRule="auto"/>
        <w:jc w:val="right"/>
        <w:rPr>
          <w:rFonts w:ascii="Times New Roman" w:hAnsi="Times New Roman" w:cs="Times New Roman"/>
          <w:sz w:val="24"/>
          <w:szCs w:val="24"/>
          <w:u w:val="single"/>
        </w:rPr>
      </w:pPr>
      <w:r>
        <w:rPr>
          <w:rFonts w:ascii="Times New Roman" w:hAnsi="Times New Roman" w:cs="Times New Roman"/>
          <w:b/>
          <w:sz w:val="24"/>
          <w:szCs w:val="24"/>
          <w:u w:val="single"/>
        </w:rPr>
        <w:t xml:space="preserve">Module Lead: Charlotte Joyner </w:t>
      </w:r>
    </w:p>
    <w:p w14:paraId="4E4E5BC7"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480" w:lineRule="auto"/>
        <w:jc w:val="right"/>
        <w:rPr>
          <w:rFonts w:ascii="Times New Roman" w:hAnsi="Times New Roman" w:cs="Times New Roman"/>
          <w:sz w:val="24"/>
          <w:szCs w:val="24"/>
          <w:u w:val="single"/>
        </w:rPr>
      </w:pPr>
      <w:r>
        <w:rPr>
          <w:rFonts w:ascii="Times New Roman" w:hAnsi="Times New Roman" w:cs="Times New Roman"/>
          <w:b/>
          <w:sz w:val="24"/>
          <w:szCs w:val="24"/>
          <w:u w:val="single"/>
        </w:rPr>
        <w:t xml:space="preserve">Lecturers: Lisa-Marie Bassler </w:t>
      </w:r>
    </w:p>
    <w:p w14:paraId="2F23B2AB"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480" w:lineRule="auto"/>
        <w:jc w:val="right"/>
        <w:rPr>
          <w:rFonts w:ascii="Times New Roman" w:hAnsi="Times New Roman" w:cs="Times New Roman"/>
          <w:sz w:val="24"/>
          <w:szCs w:val="24"/>
          <w:u w:val="single"/>
        </w:rPr>
      </w:pPr>
      <w:r>
        <w:rPr>
          <w:rFonts w:ascii="Times New Roman" w:hAnsi="Times New Roman" w:cs="Times New Roman"/>
          <w:b/>
          <w:sz w:val="24"/>
          <w:szCs w:val="24"/>
          <w:u w:val="single"/>
        </w:rPr>
        <w:t xml:space="preserve">Giulia Chifari </w:t>
      </w:r>
    </w:p>
    <w:p w14:paraId="078A07A4" w14:textId="77777777" w:rsidR="00F21EFF" w:rsidRDefault="00000000">
      <w:pPr>
        <w:spacing w:line="480" w:lineRule="auto"/>
        <w:jc w:val="right"/>
        <w:rPr>
          <w:rFonts w:ascii="Times New Roman" w:hAnsi="Times New Roman" w:cs="Times New Roman"/>
          <w:sz w:val="24"/>
          <w:szCs w:val="24"/>
          <w:u w:val="single"/>
        </w:rPr>
      </w:pPr>
      <w:r>
        <w:rPr>
          <w:rFonts w:ascii="Times New Roman" w:hAnsi="Times New Roman" w:cs="Times New Roman"/>
          <w:b/>
          <w:sz w:val="24"/>
          <w:szCs w:val="24"/>
          <w:u w:val="single"/>
        </w:rPr>
        <w:t xml:space="preserve">Lisa Knight </w:t>
      </w:r>
    </w:p>
    <w:p w14:paraId="5553D6EC" w14:textId="77777777" w:rsidR="00F21EFF" w:rsidRDefault="00F21EFF">
      <w:pPr>
        <w:spacing w:line="360" w:lineRule="auto"/>
        <w:rPr>
          <w:rFonts w:ascii="Times New Roman" w:hAnsi="Times New Roman" w:cs="Times New Roman"/>
          <w:sz w:val="22"/>
        </w:rPr>
      </w:pPr>
    </w:p>
    <w:p w14:paraId="0C690C5B" w14:textId="77777777" w:rsidR="00F21EFF" w:rsidRDefault="00F21EFF">
      <w:pPr>
        <w:spacing w:line="360" w:lineRule="auto"/>
        <w:rPr>
          <w:rFonts w:ascii="Times New Roman" w:hAnsi="Times New Roman" w:cs="Times New Roman"/>
          <w:sz w:val="22"/>
        </w:rPr>
      </w:pPr>
    </w:p>
    <w:p w14:paraId="350BB2C3" w14:textId="77777777" w:rsidR="00F21EFF" w:rsidRDefault="00F21EFF">
      <w:pPr>
        <w:spacing w:line="360" w:lineRule="auto"/>
        <w:rPr>
          <w:rFonts w:ascii="Times New Roman" w:hAnsi="Times New Roman" w:cs="Times New Roman"/>
          <w:sz w:val="22"/>
        </w:rPr>
      </w:pPr>
    </w:p>
    <w:p w14:paraId="1CD5A30E" w14:textId="77777777" w:rsidR="00F21EFF" w:rsidRDefault="00F21EFF">
      <w:pPr>
        <w:spacing w:line="360" w:lineRule="auto"/>
        <w:rPr>
          <w:rFonts w:ascii="Times New Roman" w:hAnsi="Times New Roman" w:cs="Times New Roman"/>
          <w:sz w:val="22"/>
        </w:rPr>
      </w:pPr>
    </w:p>
    <w:p w14:paraId="4ADD1D1D" w14:textId="77777777" w:rsidR="00F21EFF" w:rsidRDefault="00F21EFF">
      <w:pPr>
        <w:spacing w:line="360" w:lineRule="auto"/>
        <w:rPr>
          <w:rFonts w:ascii="Times New Roman" w:hAnsi="Times New Roman" w:cs="Times New Roman"/>
          <w:sz w:val="22"/>
        </w:rPr>
      </w:pPr>
    </w:p>
    <w:p w14:paraId="1FB2B0E3" w14:textId="77777777" w:rsidR="00F21EFF" w:rsidRDefault="00F21EFF">
      <w:pPr>
        <w:spacing w:line="360" w:lineRule="auto"/>
        <w:rPr>
          <w:rFonts w:ascii="Times New Roman" w:hAnsi="Times New Roman" w:cs="Times New Roman"/>
          <w:sz w:val="22"/>
        </w:rPr>
      </w:pPr>
    </w:p>
    <w:p w14:paraId="2538B5A8" w14:textId="77777777" w:rsidR="00F21EFF" w:rsidRDefault="00F21EFF">
      <w:pPr>
        <w:spacing w:line="360" w:lineRule="auto"/>
        <w:rPr>
          <w:rFonts w:ascii="Times New Roman" w:hAnsi="Times New Roman" w:cs="Times New Roman"/>
          <w:sz w:val="22"/>
        </w:rPr>
      </w:pPr>
    </w:p>
    <w:p w14:paraId="154A0F4E" w14:textId="42AF7657" w:rsidR="00964C95" w:rsidRDefault="00964C95" w:rsidP="00964C95">
      <w:bookmarkStart w:id="0" w:name="_Toc8"/>
    </w:p>
    <w:p w14:paraId="4F154860" w14:textId="77777777" w:rsidR="00964C95" w:rsidRPr="00964C95" w:rsidRDefault="00964C95" w:rsidP="00964C95">
      <w:pPr>
        <w:rPr>
          <w:rFonts w:ascii="Times New Roman" w:hAnsi="Times New Roman" w:cs="Times New Roman"/>
          <w:sz w:val="22"/>
        </w:rPr>
      </w:pPr>
      <w:r w:rsidRPr="00964C95">
        <w:rPr>
          <w:rFonts w:ascii="Times New Roman" w:hAnsi="Times New Roman" w:cs="Times New Roman"/>
          <w:sz w:val="22"/>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05BD2D4" w14:textId="77777777" w:rsidR="00964C95" w:rsidRDefault="00964C95">
      <w:pPr>
        <w:spacing w:after="0" w:line="240" w:lineRule="auto"/>
      </w:pPr>
      <w:r>
        <w:br w:type="page"/>
      </w:r>
    </w:p>
    <w:p w14:paraId="6CC452F5" w14:textId="77777777" w:rsidR="00964C95" w:rsidRDefault="00964C95" w:rsidP="00964C95"/>
    <w:p w14:paraId="72D641A5" w14:textId="77777777" w:rsidR="00964C95" w:rsidRDefault="00964C95" w:rsidP="00964C95"/>
    <w:p w14:paraId="060C3F00" w14:textId="2B4E3865" w:rsidR="00F21EFF" w:rsidRPr="00964C95" w:rsidRDefault="00000000" w:rsidP="00964C95">
      <w:pPr>
        <w:rPr>
          <w:b/>
          <w:bCs/>
        </w:rPr>
      </w:pPr>
      <w:r w:rsidRPr="00964C95">
        <w:rPr>
          <w:rFonts w:ascii="Times New Roman" w:hAnsi="Times New Roman" w:cs="Times New Roman"/>
          <w:b/>
          <w:bCs/>
          <w:sz w:val="22"/>
        </w:rPr>
        <w:t>Executive Summary</w:t>
      </w:r>
      <w:bookmarkEnd w:id="0"/>
      <w:r w:rsidRPr="00964C95">
        <w:rPr>
          <w:rFonts w:ascii="Times New Roman" w:hAnsi="Times New Roman" w:cs="Times New Roman"/>
          <w:b/>
          <w:bCs/>
          <w:sz w:val="22"/>
        </w:rPr>
        <w:t xml:space="preserve">  </w:t>
      </w:r>
    </w:p>
    <w:p w14:paraId="1ED99B0C"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2"/>
        </w:rPr>
      </w:pPr>
      <w:r>
        <w:rPr>
          <w:rFonts w:ascii="Times New Roman" w:hAnsi="Times New Roman" w:cs="Times New Roman"/>
          <w:sz w:val="22"/>
        </w:rPr>
        <w:t xml:space="preserve">The hotel industry is increasingly prioritising sustainable practices, responding to both regulatory pressures and the growing market of eco-conscious consumers. This report focuses on Marriott International’s efforts to integrate sustainability through the adoption of greywater recycling at select properties. Specifically, Marriott’s implementation of greywater systems at the </w:t>
      </w:r>
      <w:r>
        <w:rPr>
          <w:rFonts w:ascii="Times New Roman" w:hAnsi="Times New Roman" w:cs="Times New Roman"/>
          <w:b/>
          <w:bCs/>
          <w:sz w:val="22"/>
        </w:rPr>
        <w:t>Moxy Downtown Los Angeles</w:t>
      </w:r>
      <w:r>
        <w:rPr>
          <w:rFonts w:ascii="Times New Roman" w:hAnsi="Times New Roman" w:cs="Times New Roman"/>
          <w:sz w:val="22"/>
        </w:rPr>
        <w:t xml:space="preserve"> works as a model for operational efficiency, reducing water use by reusing greywater for non-potable purposes. Benefits of this approach include cost savings, compliance with sustainability certifications, and improved brand value. This report also identifies gaps in scalability and training requirements, providing recommendations to strengthen Marriott’s environmental impact and reinforce its leadership in sustainable hospitality.</w:t>
      </w:r>
      <w:r>
        <w:rPr>
          <w:rFonts w:ascii="Times New Roman" w:hAnsi="Times New Roman" w:cs="Times New Roman"/>
          <w:sz w:val="22"/>
        </w:rPr>
        <w:br/>
      </w:r>
    </w:p>
    <w:p w14:paraId="1D1DF01B" w14:textId="77777777" w:rsidR="00F21EFF" w:rsidRDefault="00F21EFF">
      <w:pPr>
        <w:spacing w:line="360" w:lineRule="auto"/>
        <w:rPr>
          <w:rFonts w:ascii="Times New Roman" w:hAnsi="Times New Roman" w:cs="Times New Roman"/>
          <w:sz w:val="22"/>
        </w:rPr>
      </w:pPr>
    </w:p>
    <w:p w14:paraId="2090FFFF" w14:textId="77777777" w:rsidR="00F21EFF" w:rsidRDefault="00F21EFF">
      <w:pPr>
        <w:spacing w:line="360" w:lineRule="auto"/>
        <w:rPr>
          <w:rFonts w:ascii="Times New Roman" w:hAnsi="Times New Roman" w:cs="Times New Roman"/>
          <w:sz w:val="22"/>
        </w:rPr>
      </w:pPr>
    </w:p>
    <w:p w14:paraId="75B99859" w14:textId="77777777" w:rsidR="00F21EFF" w:rsidRDefault="00F21EFF">
      <w:pPr>
        <w:spacing w:line="360" w:lineRule="auto"/>
        <w:rPr>
          <w:rFonts w:ascii="Times New Roman" w:hAnsi="Times New Roman" w:cs="Times New Roman"/>
          <w:sz w:val="22"/>
        </w:rPr>
      </w:pPr>
    </w:p>
    <w:p w14:paraId="6C168FCE" w14:textId="77777777" w:rsidR="00F21EFF" w:rsidRDefault="00F21EFF">
      <w:pPr>
        <w:spacing w:line="360" w:lineRule="auto"/>
        <w:rPr>
          <w:rFonts w:ascii="Times New Roman" w:hAnsi="Times New Roman" w:cs="Times New Roman"/>
          <w:sz w:val="22"/>
        </w:rPr>
      </w:pPr>
    </w:p>
    <w:p w14:paraId="3897CD3E" w14:textId="77777777" w:rsidR="00F21EFF" w:rsidRDefault="00F21EFF">
      <w:pPr>
        <w:spacing w:line="360" w:lineRule="auto"/>
        <w:rPr>
          <w:rFonts w:ascii="Times New Roman" w:hAnsi="Times New Roman" w:cs="Times New Roman"/>
          <w:sz w:val="22"/>
        </w:rPr>
      </w:pPr>
    </w:p>
    <w:p w14:paraId="32A9A3A8" w14:textId="77777777" w:rsidR="00F21EFF" w:rsidRDefault="00F21EFF">
      <w:pPr>
        <w:spacing w:line="360" w:lineRule="auto"/>
        <w:rPr>
          <w:rFonts w:ascii="Times New Roman" w:hAnsi="Times New Roman" w:cs="Times New Roman"/>
          <w:sz w:val="22"/>
        </w:rPr>
      </w:pPr>
    </w:p>
    <w:p w14:paraId="30F83F98" w14:textId="77777777" w:rsidR="00F21EFF" w:rsidRDefault="00F21EFF">
      <w:pPr>
        <w:spacing w:line="360" w:lineRule="auto"/>
        <w:rPr>
          <w:rFonts w:ascii="Times New Roman" w:hAnsi="Times New Roman" w:cs="Times New Roman"/>
          <w:sz w:val="22"/>
        </w:rPr>
      </w:pPr>
    </w:p>
    <w:p w14:paraId="3EAC82B6" w14:textId="77777777" w:rsidR="00F21EFF" w:rsidRDefault="00F21EFF">
      <w:pPr>
        <w:spacing w:line="360" w:lineRule="auto"/>
        <w:rPr>
          <w:rFonts w:ascii="Times New Roman" w:hAnsi="Times New Roman" w:cs="Times New Roman"/>
          <w:sz w:val="22"/>
        </w:rPr>
      </w:pPr>
    </w:p>
    <w:p w14:paraId="7B1F4772" w14:textId="77777777" w:rsidR="00F21EFF" w:rsidRDefault="00F21EFF">
      <w:pPr>
        <w:spacing w:line="360" w:lineRule="auto"/>
        <w:rPr>
          <w:rFonts w:ascii="Times New Roman" w:hAnsi="Times New Roman" w:cs="Times New Roman"/>
          <w:sz w:val="22"/>
        </w:rPr>
      </w:pPr>
    </w:p>
    <w:p w14:paraId="7A04DD9E" w14:textId="77777777" w:rsidR="00F21EFF" w:rsidRDefault="00F21EFF">
      <w:pPr>
        <w:spacing w:line="360" w:lineRule="auto"/>
        <w:rPr>
          <w:rFonts w:ascii="Times New Roman" w:hAnsi="Times New Roman" w:cs="Times New Roman"/>
          <w:sz w:val="22"/>
        </w:rPr>
      </w:pPr>
    </w:p>
    <w:p w14:paraId="27B6E452" w14:textId="77777777" w:rsidR="00F21EFF" w:rsidRDefault="00F21EFF">
      <w:pPr>
        <w:spacing w:line="360" w:lineRule="auto"/>
        <w:rPr>
          <w:rFonts w:ascii="Times New Roman" w:hAnsi="Times New Roman" w:cs="Times New Roman"/>
          <w:sz w:val="22"/>
        </w:rPr>
      </w:pPr>
    </w:p>
    <w:p w14:paraId="2E61E340" w14:textId="77777777" w:rsidR="00F21EFF" w:rsidRDefault="00F21EFF">
      <w:pPr>
        <w:spacing w:line="360" w:lineRule="auto"/>
        <w:rPr>
          <w:rFonts w:ascii="Times New Roman" w:hAnsi="Times New Roman" w:cs="Times New Roman"/>
          <w:sz w:val="22"/>
        </w:rPr>
      </w:pPr>
    </w:p>
    <w:p w14:paraId="7C57D055" w14:textId="77777777" w:rsidR="00F21EFF" w:rsidRDefault="00F21EFF">
      <w:pPr>
        <w:spacing w:line="360" w:lineRule="auto"/>
        <w:rPr>
          <w:rFonts w:ascii="Times New Roman" w:hAnsi="Times New Roman" w:cs="Times New Roman"/>
          <w:sz w:val="22"/>
        </w:rPr>
      </w:pPr>
    </w:p>
    <w:p w14:paraId="4FE05506" w14:textId="77777777" w:rsidR="00F21EFF" w:rsidRDefault="00F21EFF">
      <w:pPr>
        <w:spacing w:line="360" w:lineRule="auto"/>
        <w:rPr>
          <w:rFonts w:ascii="Times New Roman" w:hAnsi="Times New Roman" w:cs="Times New Roman"/>
          <w:sz w:val="22"/>
        </w:rPr>
      </w:pPr>
    </w:p>
    <w:p w14:paraId="6C2AA2AA" w14:textId="77777777" w:rsidR="00F21EFF" w:rsidRDefault="00000000">
      <w:pPr>
        <w:pStyle w:val="TOCHeading"/>
        <w:spacing w:line="360" w:lineRule="auto"/>
        <w:jc w:val="center"/>
        <w:rPr>
          <w:rFonts w:ascii="Times New Roman" w:hAnsi="Times New Roman"/>
          <w:b/>
          <w:bCs/>
          <w:color w:val="000000"/>
          <w:sz w:val="22"/>
          <w:szCs w:val="22"/>
        </w:rPr>
      </w:pPr>
      <w:r>
        <w:rPr>
          <w:rFonts w:ascii="Times New Roman" w:hAnsi="Times New Roman"/>
          <w:b/>
          <w:bCs/>
          <w:color w:val="000000"/>
          <w:sz w:val="22"/>
          <w:szCs w:val="22"/>
        </w:rPr>
        <w:lastRenderedPageBreak/>
        <w:fldChar w:fldCharType="begin"/>
      </w:r>
      <w:r>
        <w:rPr>
          <w:rFonts w:ascii="Times New Roman" w:hAnsi="Times New Roman"/>
          <w:b/>
          <w:bCs/>
          <w:color w:val="000000"/>
          <w:sz w:val="22"/>
          <w:szCs w:val="22"/>
        </w:rPr>
        <w:instrText>TOC \o "1 - 3" \h \u</w:instrText>
      </w:r>
      <w:r>
        <w:rPr>
          <w:rFonts w:ascii="Times New Roman" w:hAnsi="Times New Roman"/>
          <w:b/>
          <w:bCs/>
          <w:color w:val="000000"/>
          <w:sz w:val="22"/>
          <w:szCs w:val="22"/>
        </w:rPr>
        <w:fldChar w:fldCharType="separate"/>
      </w:r>
      <w:r>
        <w:rPr>
          <w:rFonts w:ascii="Times New Roman" w:hAnsi="Times New Roman"/>
          <w:b/>
          <w:bCs/>
          <w:color w:val="000000"/>
          <w:sz w:val="22"/>
          <w:szCs w:val="22"/>
        </w:rPr>
        <w:t>TABLE OF CONTENTS</w:t>
      </w:r>
    </w:p>
    <w:p w14:paraId="3AAF4BA5" w14:textId="77777777" w:rsidR="00F21EFF" w:rsidRDefault="00000000">
      <w:pPr>
        <w:pStyle w:val="TOC1"/>
        <w:tabs>
          <w:tab w:val="right" w:leader="dot" w:pos="9016"/>
        </w:tabs>
        <w:spacing w:line="360" w:lineRule="auto"/>
        <w:rPr>
          <w:rFonts w:ascii="Times New Roman" w:hAnsi="Times New Roman" w:cs="Times New Roman"/>
          <w:sz w:val="22"/>
        </w:rPr>
      </w:pPr>
      <w:hyperlink w:anchor="_Toc8" w:history="1">
        <w:r>
          <w:rPr>
            <w:rStyle w:val="Hyperlink"/>
            <w:rFonts w:ascii="Times New Roman" w:hAnsi="Times New Roman" w:cs="Times New Roman"/>
            <w:sz w:val="22"/>
          </w:rPr>
          <w:t>Executive Summary</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_Toc8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2</w:t>
        </w:r>
        <w:r>
          <w:rPr>
            <w:rFonts w:ascii="Times New Roman" w:hAnsi="Times New Roman" w:cs="Times New Roman"/>
            <w:sz w:val="22"/>
          </w:rPr>
          <w:fldChar w:fldCharType="end"/>
        </w:r>
      </w:hyperlink>
    </w:p>
    <w:p w14:paraId="71F5C464" w14:textId="77777777" w:rsidR="00F21EFF" w:rsidRDefault="00000000">
      <w:pPr>
        <w:pStyle w:val="TOC1"/>
        <w:tabs>
          <w:tab w:val="right" w:leader="dot" w:pos="9016"/>
        </w:tabs>
        <w:spacing w:line="360" w:lineRule="auto"/>
        <w:rPr>
          <w:rFonts w:ascii="Times New Roman" w:hAnsi="Times New Roman" w:cs="Times New Roman"/>
          <w:sz w:val="22"/>
        </w:rPr>
      </w:pPr>
      <w:hyperlink w:anchor="_Toc1" w:history="1">
        <w:r>
          <w:rPr>
            <w:rStyle w:val="Hyperlink"/>
            <w:rFonts w:ascii="Times New Roman" w:hAnsi="Times New Roman" w:cs="Times New Roman"/>
            <w:sz w:val="22"/>
          </w:rPr>
          <w:t>Introduction to Greener Practices</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_Toc1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4</w:t>
        </w:r>
        <w:r>
          <w:rPr>
            <w:rFonts w:ascii="Times New Roman" w:hAnsi="Times New Roman" w:cs="Times New Roman"/>
            <w:sz w:val="22"/>
          </w:rPr>
          <w:fldChar w:fldCharType="end"/>
        </w:r>
      </w:hyperlink>
    </w:p>
    <w:p w14:paraId="7C7C2D28" w14:textId="77777777" w:rsidR="00F21EFF" w:rsidRDefault="00000000">
      <w:pPr>
        <w:pStyle w:val="TOC1"/>
        <w:tabs>
          <w:tab w:val="right" w:leader="dot" w:pos="9016"/>
        </w:tabs>
        <w:spacing w:line="360" w:lineRule="auto"/>
        <w:rPr>
          <w:rFonts w:ascii="Times New Roman" w:hAnsi="Times New Roman" w:cs="Times New Roman"/>
          <w:sz w:val="22"/>
        </w:rPr>
      </w:pPr>
      <w:hyperlink w:anchor="_Toc2" w:history="1">
        <w:r>
          <w:rPr>
            <w:rStyle w:val="Hyperlink"/>
            <w:rFonts w:ascii="Times New Roman" w:hAnsi="Times New Roman" w:cs="Times New Roman"/>
            <w:sz w:val="22"/>
          </w:rPr>
          <w:t>Benefits and challenges of integrating sustainability in hospitality operations</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_Toc2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5</w:t>
        </w:r>
        <w:r>
          <w:rPr>
            <w:rFonts w:ascii="Times New Roman" w:hAnsi="Times New Roman" w:cs="Times New Roman"/>
            <w:sz w:val="22"/>
          </w:rPr>
          <w:fldChar w:fldCharType="end"/>
        </w:r>
      </w:hyperlink>
    </w:p>
    <w:p w14:paraId="42DD490C" w14:textId="77777777" w:rsidR="00F21EFF" w:rsidRDefault="00000000">
      <w:pPr>
        <w:pStyle w:val="TOC1"/>
        <w:tabs>
          <w:tab w:val="right" w:leader="dot" w:pos="9016"/>
        </w:tabs>
        <w:spacing w:line="360" w:lineRule="auto"/>
        <w:rPr>
          <w:rFonts w:ascii="Times New Roman" w:hAnsi="Times New Roman" w:cs="Times New Roman"/>
          <w:sz w:val="22"/>
        </w:rPr>
      </w:pPr>
      <w:hyperlink w:anchor="_Toc3" w:history="1">
        <w:r>
          <w:rPr>
            <w:rStyle w:val="Hyperlink"/>
            <w:rFonts w:ascii="Times New Roman" w:hAnsi="Times New Roman" w:cs="Times New Roman"/>
            <w:sz w:val="22"/>
          </w:rPr>
          <w:t>Case study: sustainable practices at Moxy Downtown, Los Angeles</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_Toc3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7</w:t>
        </w:r>
        <w:r>
          <w:rPr>
            <w:rFonts w:ascii="Times New Roman" w:hAnsi="Times New Roman" w:cs="Times New Roman"/>
            <w:sz w:val="22"/>
          </w:rPr>
          <w:fldChar w:fldCharType="end"/>
        </w:r>
      </w:hyperlink>
    </w:p>
    <w:p w14:paraId="3E483264" w14:textId="77777777" w:rsidR="00F21EFF" w:rsidRDefault="00000000">
      <w:pPr>
        <w:pStyle w:val="TOC1"/>
        <w:tabs>
          <w:tab w:val="right" w:leader="dot" w:pos="9016"/>
        </w:tabs>
        <w:spacing w:line="360" w:lineRule="auto"/>
        <w:rPr>
          <w:rFonts w:ascii="Times New Roman" w:hAnsi="Times New Roman" w:cs="Times New Roman"/>
          <w:sz w:val="22"/>
        </w:rPr>
      </w:pPr>
      <w:hyperlink w:anchor="_Toc4" w:history="1">
        <w:r>
          <w:rPr>
            <w:rStyle w:val="Hyperlink"/>
            <w:rFonts w:ascii="Times New Roman" w:hAnsi="Times New Roman" w:cs="Times New Roman"/>
            <w:sz w:val="22"/>
          </w:rPr>
          <w:t>Gap analysis and proposed solution</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_Toc4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8</w:t>
        </w:r>
        <w:r>
          <w:rPr>
            <w:rFonts w:ascii="Times New Roman" w:hAnsi="Times New Roman" w:cs="Times New Roman"/>
            <w:sz w:val="22"/>
          </w:rPr>
          <w:fldChar w:fldCharType="end"/>
        </w:r>
      </w:hyperlink>
    </w:p>
    <w:p w14:paraId="72C208C8" w14:textId="77777777" w:rsidR="00F21EFF" w:rsidRDefault="00000000">
      <w:pPr>
        <w:pStyle w:val="TOC1"/>
        <w:tabs>
          <w:tab w:val="right" w:leader="dot" w:pos="9016"/>
        </w:tabs>
        <w:spacing w:line="360" w:lineRule="auto"/>
        <w:rPr>
          <w:rFonts w:ascii="Times New Roman" w:hAnsi="Times New Roman" w:cs="Times New Roman"/>
          <w:sz w:val="22"/>
        </w:rPr>
      </w:pPr>
      <w:hyperlink w:anchor="_Toc5" w:history="1">
        <w:r>
          <w:rPr>
            <w:rStyle w:val="Hyperlink"/>
            <w:rFonts w:ascii="Times New Roman" w:hAnsi="Times New Roman" w:cs="Times New Roman"/>
            <w:sz w:val="22"/>
          </w:rPr>
          <w:t>Benefits of the proposed solution for the Moxy Downtown Los Angeles</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_Toc5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9</w:t>
        </w:r>
        <w:r>
          <w:rPr>
            <w:rFonts w:ascii="Times New Roman" w:hAnsi="Times New Roman" w:cs="Times New Roman"/>
            <w:sz w:val="22"/>
          </w:rPr>
          <w:fldChar w:fldCharType="end"/>
        </w:r>
      </w:hyperlink>
    </w:p>
    <w:p w14:paraId="18D7D46C" w14:textId="77777777" w:rsidR="00F21EFF" w:rsidRDefault="00000000">
      <w:pPr>
        <w:pStyle w:val="TOC2"/>
        <w:tabs>
          <w:tab w:val="right" w:leader="dot" w:pos="9016"/>
        </w:tabs>
        <w:spacing w:line="360" w:lineRule="auto"/>
        <w:rPr>
          <w:rFonts w:ascii="Times New Roman" w:hAnsi="Times New Roman" w:cs="Times New Roman"/>
          <w:sz w:val="22"/>
        </w:rPr>
      </w:pPr>
      <w:hyperlink w:anchor="_Toc9" w:history="1">
        <w:r>
          <w:rPr>
            <w:rStyle w:val="Hyperlink"/>
            <w:rFonts w:ascii="Times New Roman" w:hAnsi="Times New Roman" w:cs="Times New Roman"/>
            <w:sz w:val="22"/>
          </w:rPr>
          <w:t>Environmental impact</w:t>
        </w:r>
        <w:r>
          <w:rPr>
            <w:rStyle w:val="Hyperlink"/>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PAGEREF _Toc9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9</w:t>
        </w:r>
        <w:r>
          <w:rPr>
            <w:rFonts w:ascii="Times New Roman" w:hAnsi="Times New Roman" w:cs="Times New Roman"/>
            <w:sz w:val="22"/>
          </w:rPr>
          <w:fldChar w:fldCharType="end"/>
        </w:r>
      </w:hyperlink>
    </w:p>
    <w:p w14:paraId="2AFCFF23" w14:textId="77777777" w:rsidR="00F21EFF" w:rsidRDefault="00000000">
      <w:pPr>
        <w:pStyle w:val="TOC2"/>
        <w:tabs>
          <w:tab w:val="right" w:leader="dot" w:pos="9016"/>
        </w:tabs>
        <w:spacing w:line="360" w:lineRule="auto"/>
        <w:rPr>
          <w:rFonts w:ascii="Times New Roman" w:hAnsi="Times New Roman" w:cs="Times New Roman"/>
          <w:sz w:val="22"/>
        </w:rPr>
      </w:pPr>
      <w:hyperlink w:anchor="_Toc10" w:history="1">
        <w:r>
          <w:rPr>
            <w:rStyle w:val="Hyperlink"/>
            <w:rFonts w:ascii="Times New Roman" w:hAnsi="Times New Roman" w:cs="Times New Roman"/>
            <w:sz w:val="22"/>
          </w:rPr>
          <w:t>Challenges of Implementation</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_Toc10 \h</w:instrText>
        </w:r>
        <w:r>
          <w:rPr>
            <w:rStyle w:val="Hyperlink"/>
          </w:rPr>
        </w:r>
        <w:r>
          <w:rPr>
            <w:rStyle w:val="Hyperlink"/>
          </w:rPr>
          <w:fldChar w:fldCharType="separate"/>
        </w:r>
        <w:r>
          <w:rPr>
            <w:rStyle w:val="Hyperlink"/>
            <w:rFonts w:ascii="Times New Roman" w:hAnsi="Times New Roman" w:cs="Times New Roman"/>
            <w:sz w:val="22"/>
          </w:rPr>
          <w:t>10</w:t>
        </w:r>
        <w:r>
          <w:rPr>
            <w:rFonts w:ascii="Times New Roman" w:hAnsi="Times New Roman" w:cs="Times New Roman"/>
            <w:sz w:val="22"/>
          </w:rPr>
          <w:fldChar w:fldCharType="end"/>
        </w:r>
      </w:hyperlink>
    </w:p>
    <w:p w14:paraId="46D4BBA1" w14:textId="77777777" w:rsidR="00F21EFF" w:rsidRDefault="00000000">
      <w:pPr>
        <w:pStyle w:val="TOC1"/>
        <w:tabs>
          <w:tab w:val="right" w:leader="dot" w:pos="9016"/>
        </w:tabs>
        <w:spacing w:line="360" w:lineRule="auto"/>
        <w:rPr>
          <w:rFonts w:ascii="Times New Roman" w:hAnsi="Times New Roman" w:cs="Times New Roman"/>
          <w:sz w:val="22"/>
        </w:rPr>
      </w:pPr>
      <w:hyperlink w:anchor="_Toc6" w:history="1">
        <w:r>
          <w:rPr>
            <w:rStyle w:val="Hyperlink"/>
            <w:rFonts w:ascii="Times New Roman" w:hAnsi="Times New Roman" w:cs="Times New Roman"/>
            <w:sz w:val="22"/>
          </w:rPr>
          <w:t>Conclusion</w:t>
        </w:r>
        <w:r>
          <w:rPr>
            <w:rStyle w:val="Hyperlink"/>
            <w:rFonts w:ascii="Times New Roman" w:hAnsi="Times New Roman" w:cs="Times New Roman"/>
            <w:sz w:val="22"/>
          </w:rPr>
          <w:tab/>
        </w:r>
        <w:r>
          <w:rPr>
            <w:rStyle w:val="Hyperlink"/>
          </w:rPr>
          <w:fldChar w:fldCharType="begin"/>
        </w:r>
        <w:r>
          <w:rPr>
            <w:rStyle w:val="Hyperlink"/>
            <w:rFonts w:ascii="Times New Roman" w:hAnsi="Times New Roman" w:cs="Times New Roman"/>
            <w:sz w:val="22"/>
          </w:rPr>
          <w:instrText>PAGEREF _Toc6 \h</w:instrText>
        </w:r>
        <w:r>
          <w:rPr>
            <w:rStyle w:val="Hyperlink"/>
          </w:rPr>
        </w:r>
        <w:r>
          <w:rPr>
            <w:rStyle w:val="Hyperlink"/>
          </w:rPr>
          <w:fldChar w:fldCharType="separate"/>
        </w:r>
        <w:r>
          <w:rPr>
            <w:rStyle w:val="Hyperlink"/>
            <w:rFonts w:ascii="Times New Roman" w:hAnsi="Times New Roman" w:cs="Times New Roman"/>
            <w:sz w:val="22"/>
          </w:rPr>
          <w:t>12</w:t>
        </w:r>
        <w:r>
          <w:rPr>
            <w:rFonts w:ascii="Times New Roman" w:hAnsi="Times New Roman" w:cs="Times New Roman"/>
            <w:sz w:val="22"/>
          </w:rPr>
          <w:fldChar w:fldCharType="end"/>
        </w:r>
      </w:hyperlink>
    </w:p>
    <w:p w14:paraId="6A2EE820" w14:textId="77777777" w:rsidR="00F21EFF" w:rsidRDefault="00000000">
      <w:pPr>
        <w:pStyle w:val="TOC1"/>
        <w:tabs>
          <w:tab w:val="right" w:leader="dot" w:pos="9016"/>
        </w:tabs>
        <w:spacing w:line="360" w:lineRule="auto"/>
        <w:rPr>
          <w:rFonts w:ascii="Times New Roman" w:hAnsi="Times New Roman" w:cs="Times New Roman"/>
          <w:sz w:val="22"/>
        </w:rPr>
      </w:pPr>
      <w:hyperlink w:anchor="_Toc7" w:history="1">
        <w:r>
          <w:rPr>
            <w:rStyle w:val="Hyperlink"/>
            <w:rFonts w:ascii="Times New Roman" w:hAnsi="Times New Roman" w:cs="Times New Roman"/>
            <w:sz w:val="22"/>
            <w:lang w:val="en-US"/>
          </w:rPr>
          <w:t>References</w:t>
        </w:r>
        <w:r>
          <w:rPr>
            <w:rStyle w:val="Hyperlink"/>
            <w:rFonts w:ascii="Times New Roman" w:hAnsi="Times New Roman" w:cs="Times New Roman"/>
            <w:sz w:val="22"/>
            <w:lang w:val="en-US"/>
          </w:rPr>
          <w:tab/>
        </w:r>
        <w:r>
          <w:rPr>
            <w:rStyle w:val="Hyperlink"/>
            <w:lang w:val="en-US"/>
          </w:rPr>
          <w:fldChar w:fldCharType="begin"/>
        </w:r>
        <w:r>
          <w:rPr>
            <w:rStyle w:val="Hyperlink"/>
            <w:rFonts w:ascii="Times New Roman" w:hAnsi="Times New Roman" w:cs="Times New Roman"/>
            <w:sz w:val="22"/>
            <w:lang w:val="en-US"/>
          </w:rPr>
          <w:instrText>PAGEREF _Toc7 \h</w:instrText>
        </w:r>
        <w:r>
          <w:rPr>
            <w:rStyle w:val="Hyperlink"/>
            <w:lang w:val="en-US"/>
          </w:rPr>
        </w:r>
        <w:r>
          <w:rPr>
            <w:rStyle w:val="Hyperlink"/>
            <w:lang w:val="en-US"/>
          </w:rPr>
          <w:fldChar w:fldCharType="separate"/>
        </w:r>
        <w:r>
          <w:rPr>
            <w:rStyle w:val="Hyperlink"/>
            <w:rFonts w:ascii="Times New Roman" w:hAnsi="Times New Roman" w:cs="Times New Roman"/>
            <w:sz w:val="22"/>
            <w:lang w:val="en-US"/>
          </w:rPr>
          <w:t>13</w:t>
        </w:r>
        <w:r>
          <w:rPr>
            <w:rFonts w:ascii="Times New Roman" w:hAnsi="Times New Roman" w:cs="Times New Roman"/>
            <w:sz w:val="22"/>
          </w:rPr>
          <w:fldChar w:fldCharType="end"/>
        </w:r>
      </w:hyperlink>
    </w:p>
    <w:p w14:paraId="248C0F42" w14:textId="77777777" w:rsidR="00F21EFF" w:rsidRDefault="00F21EFF">
      <w:pPr>
        <w:tabs>
          <w:tab w:val="right" w:leader="dot" w:pos="9016"/>
        </w:tabs>
        <w:spacing w:line="360" w:lineRule="auto"/>
        <w:rPr>
          <w:rFonts w:ascii="Times New Roman" w:hAnsi="Times New Roman" w:cs="Times New Roman"/>
          <w:sz w:val="22"/>
        </w:rPr>
      </w:pPr>
    </w:p>
    <w:p w14:paraId="2C322594" w14:textId="77777777" w:rsidR="00F21EFF" w:rsidRDefault="00000000">
      <w:pPr>
        <w:spacing w:line="360" w:lineRule="auto"/>
        <w:rPr>
          <w:rFonts w:ascii="Times New Roman" w:hAnsi="Times New Roman" w:cs="Times New Roman"/>
          <w:sz w:val="22"/>
        </w:rPr>
      </w:pPr>
      <w:r>
        <w:rPr>
          <w:rFonts w:ascii="Times New Roman" w:hAnsi="Times New Roman" w:cs="Times New Roman"/>
          <w:sz w:val="22"/>
        </w:rPr>
        <w:fldChar w:fldCharType="end"/>
      </w:r>
    </w:p>
    <w:p w14:paraId="1AD86700" w14:textId="77777777" w:rsidR="00F21EFF" w:rsidRDefault="00F21EFF">
      <w:pPr>
        <w:spacing w:line="360" w:lineRule="auto"/>
        <w:rPr>
          <w:rFonts w:ascii="Times New Roman" w:hAnsi="Times New Roman" w:cs="Times New Roman"/>
          <w:sz w:val="22"/>
        </w:rPr>
      </w:pPr>
    </w:p>
    <w:p w14:paraId="7AF4225E" w14:textId="77777777" w:rsidR="00F21EFF" w:rsidRDefault="00F21EFF">
      <w:pPr>
        <w:spacing w:line="360" w:lineRule="auto"/>
        <w:rPr>
          <w:rFonts w:ascii="Times New Roman" w:hAnsi="Times New Roman" w:cs="Times New Roman"/>
          <w:sz w:val="22"/>
        </w:rPr>
      </w:pPr>
    </w:p>
    <w:p w14:paraId="02D77945" w14:textId="77777777" w:rsidR="00F21EFF" w:rsidRDefault="00F21EFF">
      <w:pPr>
        <w:spacing w:line="360" w:lineRule="auto"/>
        <w:rPr>
          <w:rFonts w:ascii="Times New Roman" w:hAnsi="Times New Roman" w:cs="Times New Roman"/>
          <w:sz w:val="22"/>
        </w:rPr>
      </w:pPr>
    </w:p>
    <w:p w14:paraId="1F540F21" w14:textId="77777777" w:rsidR="00F21EFF" w:rsidRDefault="00F21EFF">
      <w:pPr>
        <w:spacing w:line="360" w:lineRule="auto"/>
        <w:rPr>
          <w:rFonts w:ascii="Times New Roman" w:hAnsi="Times New Roman" w:cs="Times New Roman"/>
          <w:sz w:val="22"/>
        </w:rPr>
      </w:pPr>
    </w:p>
    <w:p w14:paraId="76D52E44" w14:textId="77777777" w:rsidR="00F21EFF" w:rsidRDefault="00F21EFF">
      <w:pPr>
        <w:spacing w:line="360" w:lineRule="auto"/>
        <w:rPr>
          <w:rFonts w:ascii="Times New Roman" w:hAnsi="Times New Roman" w:cs="Times New Roman"/>
          <w:sz w:val="22"/>
        </w:rPr>
      </w:pPr>
    </w:p>
    <w:p w14:paraId="6B5CF045" w14:textId="77777777" w:rsidR="00F21EFF" w:rsidRDefault="00F21EFF">
      <w:pPr>
        <w:spacing w:line="360" w:lineRule="auto"/>
        <w:rPr>
          <w:rFonts w:ascii="Times New Roman" w:hAnsi="Times New Roman" w:cs="Times New Roman"/>
          <w:sz w:val="22"/>
        </w:rPr>
      </w:pPr>
    </w:p>
    <w:p w14:paraId="677A73C9" w14:textId="77777777" w:rsidR="00F21EFF" w:rsidRDefault="00F21EFF">
      <w:pPr>
        <w:spacing w:line="360" w:lineRule="auto"/>
        <w:rPr>
          <w:rFonts w:ascii="Times New Roman" w:hAnsi="Times New Roman" w:cs="Times New Roman"/>
          <w:sz w:val="22"/>
        </w:rPr>
      </w:pPr>
    </w:p>
    <w:p w14:paraId="5FB8D570" w14:textId="77777777" w:rsidR="00F21EFF" w:rsidRDefault="00F21EFF">
      <w:pPr>
        <w:spacing w:line="360" w:lineRule="auto"/>
        <w:rPr>
          <w:rFonts w:ascii="Times New Roman" w:hAnsi="Times New Roman" w:cs="Times New Roman"/>
          <w:sz w:val="22"/>
        </w:rPr>
      </w:pPr>
    </w:p>
    <w:p w14:paraId="50E10759" w14:textId="77777777" w:rsidR="00F21EFF" w:rsidRDefault="00F21EFF">
      <w:pPr>
        <w:spacing w:line="360" w:lineRule="auto"/>
        <w:rPr>
          <w:rFonts w:ascii="Times New Roman" w:hAnsi="Times New Roman" w:cs="Times New Roman"/>
          <w:sz w:val="22"/>
        </w:rPr>
      </w:pPr>
    </w:p>
    <w:p w14:paraId="63E3BD1E" w14:textId="77777777" w:rsidR="00F21EFF" w:rsidRDefault="00F21EFF">
      <w:pPr>
        <w:spacing w:line="360" w:lineRule="auto"/>
        <w:rPr>
          <w:rFonts w:ascii="Times New Roman" w:hAnsi="Times New Roman" w:cs="Times New Roman"/>
          <w:sz w:val="22"/>
        </w:rPr>
      </w:pPr>
    </w:p>
    <w:p w14:paraId="32DB154B" w14:textId="77777777" w:rsidR="00F21EFF" w:rsidRDefault="00F21EFF">
      <w:pPr>
        <w:spacing w:line="360" w:lineRule="auto"/>
        <w:rPr>
          <w:rFonts w:ascii="Times New Roman" w:hAnsi="Times New Roman" w:cs="Times New Roman"/>
          <w:sz w:val="22"/>
        </w:rPr>
      </w:pPr>
    </w:p>
    <w:p w14:paraId="19CCBF95" w14:textId="77777777" w:rsidR="00F21EFF" w:rsidRDefault="00F21EFF">
      <w:pPr>
        <w:spacing w:line="360" w:lineRule="auto"/>
        <w:rPr>
          <w:rFonts w:ascii="Times New Roman" w:hAnsi="Times New Roman" w:cs="Times New Roman"/>
          <w:sz w:val="22"/>
        </w:rPr>
      </w:pPr>
    </w:p>
    <w:p w14:paraId="5EDE68BB" w14:textId="77777777" w:rsidR="00F21EFF" w:rsidRDefault="00000000">
      <w:pPr>
        <w:pStyle w:val="Heading1"/>
        <w:spacing w:line="360" w:lineRule="auto"/>
        <w:rPr>
          <w:rFonts w:ascii="Times New Roman" w:hAnsi="Times New Roman"/>
          <w:color w:val="000000"/>
          <w:sz w:val="22"/>
          <w:szCs w:val="22"/>
        </w:rPr>
      </w:pPr>
      <w:bookmarkStart w:id="1" w:name="_Toc1"/>
      <w:r>
        <w:rPr>
          <w:rFonts w:ascii="Times New Roman" w:hAnsi="Times New Roman"/>
          <w:color w:val="000000"/>
          <w:sz w:val="22"/>
          <w:szCs w:val="22"/>
        </w:rPr>
        <w:lastRenderedPageBreak/>
        <w:t>Introduction to Greener Practices</w:t>
      </w:r>
      <w:bookmarkEnd w:id="1"/>
    </w:p>
    <w:p w14:paraId="1564B137" w14:textId="77777777" w:rsidR="00F21EFF" w:rsidRDefault="00000000">
      <w:pPr>
        <w:spacing w:line="360" w:lineRule="auto"/>
        <w:rPr>
          <w:rFonts w:ascii="Times New Roman" w:hAnsi="Times New Roman" w:cs="Times New Roman"/>
          <w:sz w:val="22"/>
        </w:rPr>
      </w:pPr>
      <w:r>
        <w:rPr>
          <w:rFonts w:ascii="Times New Roman" w:hAnsi="Times New Roman" w:cs="Times New Roman"/>
          <w:sz w:val="22"/>
        </w:rPr>
        <w:t>In the hotel industry, greener practices involve a set of sustainability-oriented projects meant to reduce environmental effect and advance resource economy. Global standards like the Paris Agreement, requesting to feed a 90% decrease in emissions from the hotel sector by 2050, highlight the significance of these programs Reducing carbon emissions, water and energy efficiency, waste management, and the promotion of sustainable food source and consumption define significant aspects of green practices. Within this context, eco-certifications such as the Green Key and LEED (Leadership in Energy and Environmental Design) provide standards and incentives for hotels to adopt sustainable practices. For instance, Marriott International, a leading global hospitality brand, has introduced the "Serve 360" initiative, which sets measurable goals for each property to manage environmental impact through transparency, conservation, and community support. This report explores the green practices applied at Moxy Downtown Los Angeles, and highlights a gap in its sustainable practices, proposing an effective solution to address this issue.</w:t>
      </w:r>
    </w:p>
    <w:p w14:paraId="52EF584E" w14:textId="77777777" w:rsidR="00F21EFF" w:rsidRDefault="00F21EFF">
      <w:pPr>
        <w:spacing w:line="360" w:lineRule="auto"/>
        <w:rPr>
          <w:rFonts w:ascii="Times New Roman" w:hAnsi="Times New Roman" w:cs="Times New Roman"/>
          <w:sz w:val="22"/>
        </w:rPr>
      </w:pPr>
    </w:p>
    <w:p w14:paraId="431B938F" w14:textId="07249F33" w:rsidR="00F21EFF" w:rsidRDefault="00000000">
      <w:pPr>
        <w:spacing w:line="360" w:lineRule="auto"/>
        <w:jc w:val="center"/>
        <w:rPr>
          <w:rFonts w:ascii="Times New Roman" w:hAnsi="Times New Roman" w:cs="Times New Roman"/>
          <w:sz w:val="22"/>
        </w:rPr>
      </w:pPr>
      <w:r>
        <w:rPr>
          <w:rFonts w:ascii="Times New Roman" w:hAnsi="Times New Roman" w:cs="Times New Roman"/>
          <w:noProof/>
          <w:sz w:val="22"/>
        </w:rPr>
        <w:pict w14:anchorId="238158FD">
          <v:shape id="Picture 2" o:spid="_x0000_i1029" type="#_x0000_t75" style="width:374.55pt;height:210.45pt;visibility:visible;mso-wrap-style:square">
            <v:imagedata r:id="rId8" o:title=""/>
            <o:lock v:ext="edit" aspectratio="f"/>
          </v:shape>
        </w:pict>
      </w:r>
    </w:p>
    <w:p w14:paraId="13F8AC05" w14:textId="77777777" w:rsidR="00F21EFF" w:rsidRDefault="00000000">
      <w:pPr>
        <w:spacing w:line="360" w:lineRule="auto"/>
        <w:jc w:val="center"/>
        <w:rPr>
          <w:rFonts w:ascii="Times New Roman" w:hAnsi="Times New Roman" w:cs="Times New Roman"/>
          <w:sz w:val="22"/>
        </w:rPr>
      </w:pPr>
      <w:r>
        <w:rPr>
          <w:rFonts w:ascii="Times New Roman" w:hAnsi="Times New Roman" w:cs="Times New Roman"/>
          <w:b/>
          <w:bCs/>
          <w:sz w:val="22"/>
        </w:rPr>
        <w:t xml:space="preserve">Figure 1. </w:t>
      </w:r>
      <w:r>
        <w:rPr>
          <w:rFonts w:ascii="Times New Roman" w:hAnsi="Times New Roman" w:cs="Times New Roman"/>
          <w:sz w:val="22"/>
        </w:rPr>
        <w:t>"Green Key" and its 13 categories involved</w:t>
      </w:r>
    </w:p>
    <w:p w14:paraId="45EBF1D7" w14:textId="77777777" w:rsidR="00F21EFF" w:rsidRDefault="00000000">
      <w:pPr>
        <w:spacing w:line="360" w:lineRule="auto"/>
        <w:jc w:val="center"/>
        <w:rPr>
          <w:rFonts w:ascii="Times New Roman" w:hAnsi="Times New Roman" w:cs="Times New Roman"/>
          <w:sz w:val="22"/>
        </w:rPr>
      </w:pPr>
      <w:r>
        <w:rPr>
          <w:rFonts w:ascii="Times New Roman" w:hAnsi="Times New Roman" w:cs="Times New Roman"/>
          <w:sz w:val="22"/>
        </w:rPr>
        <w:t>Source: (Green Key, no date).</w:t>
      </w:r>
    </w:p>
    <w:p w14:paraId="07A99D86" w14:textId="77777777" w:rsidR="00F21EFF" w:rsidRDefault="00F21EFF">
      <w:pPr>
        <w:spacing w:line="360" w:lineRule="auto"/>
        <w:rPr>
          <w:rFonts w:ascii="Times New Roman" w:hAnsi="Times New Roman" w:cs="Times New Roman"/>
          <w:sz w:val="22"/>
        </w:rPr>
      </w:pPr>
    </w:p>
    <w:p w14:paraId="110CDE0C" w14:textId="77777777" w:rsidR="00F21EFF" w:rsidRDefault="00F21EFF">
      <w:pPr>
        <w:spacing w:line="360" w:lineRule="auto"/>
        <w:rPr>
          <w:rFonts w:ascii="Times New Roman" w:hAnsi="Times New Roman" w:cs="Times New Roman"/>
          <w:sz w:val="22"/>
        </w:rPr>
      </w:pPr>
    </w:p>
    <w:p w14:paraId="35AF26F6" w14:textId="77777777" w:rsidR="00F21EFF" w:rsidRDefault="00000000">
      <w:pPr>
        <w:pStyle w:val="Heading1"/>
        <w:spacing w:line="360" w:lineRule="auto"/>
        <w:rPr>
          <w:rFonts w:ascii="Times New Roman" w:hAnsi="Times New Roman"/>
          <w:color w:val="000000"/>
          <w:sz w:val="22"/>
          <w:szCs w:val="22"/>
        </w:rPr>
      </w:pPr>
      <w:bookmarkStart w:id="2" w:name="_Toc2"/>
      <w:r>
        <w:rPr>
          <w:rFonts w:ascii="Times New Roman" w:hAnsi="Times New Roman"/>
          <w:color w:val="000000"/>
          <w:sz w:val="22"/>
          <w:szCs w:val="22"/>
        </w:rPr>
        <w:t>Benefits and challenges of integrating sustainability in hospitality operations</w:t>
      </w:r>
      <w:bookmarkEnd w:id="2"/>
    </w:p>
    <w:p w14:paraId="1B76727A" w14:textId="77777777" w:rsidR="00F21EFF" w:rsidRDefault="00000000">
      <w:pPr>
        <w:spacing w:line="360" w:lineRule="auto"/>
        <w:rPr>
          <w:rFonts w:ascii="Times New Roman" w:hAnsi="Times New Roman" w:cs="Times New Roman"/>
          <w:sz w:val="22"/>
        </w:rPr>
      </w:pPr>
      <w:r>
        <w:rPr>
          <w:rFonts w:ascii="Times New Roman" w:hAnsi="Times New Roman" w:cs="Times New Roman"/>
          <w:sz w:val="22"/>
        </w:rPr>
        <w:t xml:space="preserve">There are quite advantages when sustainable methods are included into hotel operations. Economic benefits are also rather important since cutting water and energy consumption usually leads to </w:t>
      </w:r>
      <w:r>
        <w:rPr>
          <w:rFonts w:ascii="Times New Roman" w:hAnsi="Times New Roman" w:cs="Times New Roman"/>
          <w:sz w:val="22"/>
        </w:rPr>
        <w:lastRenderedPageBreak/>
        <w:t>operational savings. . On the other hand, integrating sustainability into hotel operations presents difficulties, though, especially for mid-scale hotels. The first expenses of installing energy-efficient equipment including LED lighting and water-saving fixtures might be significant high. Moreover, the operational changes necessary to apply green practices call for personnel training and organisational cultural changes (Wijethilake, Upadhaya and Lama, 2021). Studies show that although customers want environmentally beneficial methods, they are aware of greenwashing, the practice in which companies confuse people about such efforts (De Freitas Netto et al., 2020; Fella and Bausa, 2024). For example, if sustainability projects are weak or poorly presented, the risk of greenwashing is significant and might damage the brand of a hotel and lower confidence within ecologically conscious customers.</w:t>
      </w:r>
    </w:p>
    <w:p w14:paraId="2A127442" w14:textId="77777777" w:rsidR="00F21EFF" w:rsidRDefault="00000000">
      <w:pPr>
        <w:spacing w:line="360" w:lineRule="auto"/>
        <w:rPr>
          <w:rFonts w:ascii="Times New Roman" w:hAnsi="Times New Roman" w:cs="Times New Roman"/>
          <w:sz w:val="22"/>
        </w:rPr>
      </w:pPr>
      <w:r>
        <w:rPr>
          <w:rFonts w:ascii="Times New Roman" w:hAnsi="Times New Roman" w:cs="Times New Roman"/>
          <w:sz w:val="22"/>
        </w:rPr>
        <w:t xml:space="preserve">Numerous hotels undertake measures such, as using in a different way the soap and excess food and contributing in a good way to the communities (Abdou, Hassan and Dief, 2020). Hotels that manage waste in this manner not decrease their impact, on the environment. Also cut down on waste disposal expenses and improve their sustainability initiatives.  Starting with savings would be a benefit, for hotels that incorporate energy saving and water conservation measures as they can lower their utility costs in the long run (MacAskill, Becken and Coghlan, 2023). However, sustainability initiatives not improve a hotels reputation. Also make it more appealing, to environmentally conscious tourists. According to a survey conducted by TripAdvisor says that 62 % of travelers factor in concerns when selecting lodging (Abdou et al., 2020). Hotels that have certifications may be able to charge more for their rooms since guests are usually willing to pay extra for eco friendly accommodations. </w:t>
      </w:r>
    </w:p>
    <w:p w14:paraId="2102DBD3" w14:textId="77777777" w:rsidR="00F21EFF" w:rsidRDefault="00000000">
      <w:pPr>
        <w:spacing w:line="360" w:lineRule="auto"/>
        <w:rPr>
          <w:rFonts w:ascii="Times New Roman" w:hAnsi="Times New Roman" w:cs="Times New Roman"/>
          <w:sz w:val="22"/>
        </w:rPr>
      </w:pPr>
      <w:r>
        <w:rPr>
          <w:rFonts w:ascii="Times New Roman" w:hAnsi="Times New Roman" w:cs="Times New Roman"/>
          <w:sz w:val="22"/>
        </w:rPr>
        <w:t xml:space="preserve">Green initiatives, in the hotel industry play an important role in promoting sustainability and align with development objectives (Prakash et al., 2022). When hotels adopt these practices it not reduces their footprint but also leads to cost savings and enhances customer appeal. Sustainability certifications are used as evidence of a hotels dedication to practices giving them an advantage in front of their guests, especially in an industry increasingly focused on environmental concerns (Bianco, Bernard and Singal, 2022).  </w:t>
      </w:r>
    </w:p>
    <w:p w14:paraId="05B7EAF3" w14:textId="0CB2395A" w:rsidR="00F21EFF" w:rsidRDefault="00000000">
      <w:pPr>
        <w:spacing w:line="360" w:lineRule="auto"/>
        <w:jc w:val="center"/>
        <w:rPr>
          <w:rFonts w:ascii="Times New Roman" w:hAnsi="Times New Roman" w:cs="Times New Roman"/>
          <w:sz w:val="22"/>
        </w:rPr>
      </w:pPr>
      <w:r>
        <w:rPr>
          <w:rFonts w:ascii="Times New Roman" w:hAnsi="Times New Roman" w:cs="Times New Roman"/>
          <w:noProof/>
          <w:sz w:val="22"/>
        </w:rPr>
        <w:lastRenderedPageBreak/>
        <w:pict w14:anchorId="7090DD2B">
          <v:shape id="Picture 3" o:spid="_x0000_i1028" type="#_x0000_t75" style="width:451.7pt;height:222pt;visibility:visible;mso-wrap-style:square">
            <v:imagedata r:id="rId9" o:title=""/>
            <o:lock v:ext="edit" aspectratio="f"/>
          </v:shape>
        </w:pict>
      </w:r>
    </w:p>
    <w:p w14:paraId="7BBD0FB7"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2"/>
          <w:lang w:val="en-US"/>
        </w:rPr>
      </w:pPr>
      <w:r>
        <w:rPr>
          <w:rFonts w:ascii="Times New Roman" w:hAnsi="Times New Roman" w:cs="Times New Roman"/>
          <w:b/>
          <w:bCs/>
          <w:sz w:val="22"/>
        </w:rPr>
        <w:t>Figure 2</w:t>
      </w:r>
      <w:r>
        <w:rPr>
          <w:rFonts w:ascii="Times New Roman" w:hAnsi="Times New Roman" w:cs="Times New Roman"/>
          <w:sz w:val="22"/>
        </w:rPr>
        <w:t>. P</w:t>
      </w:r>
      <w:r>
        <w:rPr>
          <w:rFonts w:ascii="Times New Roman" w:hAnsi="Times New Roman" w:cs="Times New Roman"/>
          <w:color w:val="222222"/>
          <w:sz w:val="22"/>
          <w:highlight w:val="white"/>
          <w:lang w:val="en-US"/>
        </w:rPr>
        <w:t>ollution from business activities and processes in the hotel.</w:t>
      </w:r>
      <w:r>
        <w:rPr>
          <w:rFonts w:ascii="Times New Roman" w:hAnsi="Times New Roman" w:cs="Times New Roman"/>
          <w:sz w:val="22"/>
          <w:lang w:val="en-US"/>
        </w:rPr>
        <w:t xml:space="preserve"> </w:t>
      </w:r>
    </w:p>
    <w:p w14:paraId="1F10DC77"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2"/>
        </w:rPr>
      </w:pPr>
      <w:r>
        <w:rPr>
          <w:rFonts w:ascii="Times New Roman" w:hAnsi="Times New Roman" w:cs="Times New Roman"/>
          <w:sz w:val="22"/>
          <w:lang w:val="en-US"/>
        </w:rPr>
        <w:t xml:space="preserve">Source: </w:t>
      </w:r>
      <w:r>
        <w:rPr>
          <w:rFonts w:ascii="Times New Roman" w:hAnsi="Times New Roman" w:cs="Times New Roman"/>
          <w:sz w:val="22"/>
        </w:rPr>
        <w:t>(Duric and Topler, 2021).</w:t>
      </w:r>
    </w:p>
    <w:p w14:paraId="64E673CE" w14:textId="77777777" w:rsidR="00F21EFF" w:rsidRDefault="00F21EFF">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cs="Times New Roman"/>
          <w:sz w:val="22"/>
        </w:rPr>
      </w:pPr>
    </w:p>
    <w:p w14:paraId="77F596F9" w14:textId="77777777" w:rsidR="00F21EFF" w:rsidRDefault="00000000">
      <w:pPr>
        <w:spacing w:line="360" w:lineRule="auto"/>
        <w:rPr>
          <w:rFonts w:ascii="Times New Roman" w:hAnsi="Times New Roman" w:cs="Times New Roman"/>
          <w:sz w:val="22"/>
        </w:rPr>
      </w:pPr>
      <w:r>
        <w:rPr>
          <w:rFonts w:ascii="Times New Roman" w:cs="Times New Roman"/>
          <w:sz w:val="22"/>
        </w:rPr>
        <w:t>According to a study, by Duric and Topler (2021) suggests that there are multiple ways for hotels to reduce their footprint if they choose eco materials energy, efficient lighting, and water saving practices. This not positively impacts the environment, also attracts environmentally conscious guests for the hotels image and competitive edge. However, hotels are actively tackling pollution issues through sustainability initiatives that focus on energy efficiency waste management enhancements and water conservation efforts to effectively combat this problem</w:t>
      </w:r>
      <w:r>
        <w:rPr>
          <w:rFonts w:ascii="Times New Roman" w:hAnsi="Times New Roman" w:cs="Times New Roman"/>
          <w:sz w:val="22"/>
        </w:rPr>
        <w:t xml:space="preserve">. </w:t>
      </w:r>
    </w:p>
    <w:p w14:paraId="23ADD94D" w14:textId="77777777" w:rsidR="00F21EFF" w:rsidRDefault="00F21EFF">
      <w:pPr>
        <w:spacing w:line="360" w:lineRule="auto"/>
        <w:rPr>
          <w:rFonts w:ascii="Times New Roman" w:hAnsi="Times New Roman" w:cs="Times New Roman"/>
          <w:sz w:val="22"/>
        </w:rPr>
      </w:pPr>
    </w:p>
    <w:p w14:paraId="5F7628C7" w14:textId="77777777" w:rsidR="00F21EFF" w:rsidRDefault="00F21EFF">
      <w:pPr>
        <w:spacing w:line="360" w:lineRule="auto"/>
        <w:rPr>
          <w:rFonts w:ascii="Times New Roman" w:hAnsi="Times New Roman" w:cs="Times New Roman"/>
          <w:sz w:val="22"/>
        </w:rPr>
      </w:pPr>
    </w:p>
    <w:p w14:paraId="530730E9" w14:textId="77777777" w:rsidR="00F21EFF" w:rsidRDefault="00F21EFF">
      <w:pPr>
        <w:spacing w:line="360" w:lineRule="auto"/>
        <w:rPr>
          <w:rFonts w:ascii="Times New Roman" w:hAnsi="Times New Roman" w:cs="Times New Roman"/>
          <w:sz w:val="22"/>
        </w:rPr>
      </w:pPr>
    </w:p>
    <w:p w14:paraId="55EC3395" w14:textId="77777777" w:rsidR="00F21EFF" w:rsidRDefault="00F21EFF">
      <w:pPr>
        <w:spacing w:line="360" w:lineRule="auto"/>
        <w:rPr>
          <w:rFonts w:ascii="Times New Roman" w:hAnsi="Times New Roman" w:cs="Times New Roman"/>
          <w:sz w:val="22"/>
        </w:rPr>
      </w:pPr>
    </w:p>
    <w:p w14:paraId="6183CC45" w14:textId="77777777" w:rsidR="00F21EFF" w:rsidRDefault="00F21EFF">
      <w:pPr>
        <w:spacing w:line="360" w:lineRule="auto"/>
        <w:rPr>
          <w:rFonts w:ascii="Times New Roman" w:hAnsi="Times New Roman" w:cs="Times New Roman"/>
          <w:sz w:val="22"/>
        </w:rPr>
      </w:pPr>
    </w:p>
    <w:p w14:paraId="1840578C" w14:textId="77777777" w:rsidR="00F21EFF" w:rsidRDefault="00000000">
      <w:pPr>
        <w:pStyle w:val="Heading1"/>
        <w:spacing w:line="360" w:lineRule="auto"/>
        <w:rPr>
          <w:rFonts w:ascii="Times New Roman" w:hAnsi="Times New Roman"/>
          <w:color w:val="000000"/>
          <w:sz w:val="22"/>
          <w:szCs w:val="22"/>
        </w:rPr>
      </w:pPr>
      <w:bookmarkStart w:id="3" w:name="_Toc3"/>
      <w:r>
        <w:rPr>
          <w:rFonts w:ascii="Times New Roman" w:hAnsi="Times New Roman"/>
          <w:color w:val="000000"/>
          <w:sz w:val="22"/>
          <w:szCs w:val="22"/>
        </w:rPr>
        <w:t>Sustainable practices at Moxy Downtown, Los Angeles</w:t>
      </w:r>
      <w:bookmarkEnd w:id="3"/>
    </w:p>
    <w:p w14:paraId="776B5F96" w14:textId="77777777" w:rsidR="00F21EFF" w:rsidRDefault="00000000">
      <w:pPr>
        <w:spacing w:line="360" w:lineRule="auto"/>
        <w:rPr>
          <w:rFonts w:ascii="Times New Roman" w:hAnsi="Times New Roman" w:cs="Times New Roman"/>
          <w:sz w:val="22"/>
        </w:rPr>
      </w:pPr>
      <w:r>
        <w:rPr>
          <w:rFonts w:ascii="Times New Roman" w:hAnsi="Times New Roman" w:cs="Times New Roman"/>
          <w:sz w:val="22"/>
        </w:rPr>
        <w:t xml:space="preserve">According to Marriot 360 report, Marriott's Moxy Downtown Los Angeles has demonstrated its commitment to sustainability through a number of actions that fall. This is a global platform for social influence and sustainability that works towards goals that are in line with the Sustainable Development Goals (SDGs) of the United Nations. Moxy Downtown Los Angeles uses important environmentally friendly practices like lighting that uses less energy and a recycling program that </w:t>
      </w:r>
      <w:r>
        <w:rPr>
          <w:rFonts w:ascii="Times New Roman" w:hAnsi="Times New Roman" w:cs="Times New Roman"/>
          <w:sz w:val="22"/>
        </w:rPr>
        <w:lastRenderedPageBreak/>
        <w:t>focus to lower the amount of trash that ends up in landfills. The Moxy Downtown also takes part in Marriott's linen reuse program, which advice customers to use towels and other linens more than once even if the hotel appeal to younger travellers who prioritise experiences and sustainability. This saves water and energy that would otherwise be used for washing (O'Neill, 2024). Even with these efforts, Moxy Downtown Los Angeles still doesn't have a complete water management system. This is a very important part of its sustainable plan because Los Angeles is likely to experience droughts and lack of water (Colgan, 2023). The hotel has done a lot to make its operations more environmentally friendly, but it could do even better with a focused water conservation plan that fits in with other conservation efforts in the area.</w:t>
      </w:r>
    </w:p>
    <w:p w14:paraId="6D3EF380" w14:textId="3D78D5C5"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2"/>
        </w:rPr>
      </w:pPr>
      <w:r>
        <w:rPr>
          <w:rFonts w:ascii="Times New Roman" w:hAnsi="Times New Roman" w:cs="Times New Roman"/>
          <w:noProof/>
          <w:sz w:val="22"/>
        </w:rPr>
        <w:pict w14:anchorId="43B7432A">
          <v:shape id="Picture 4" o:spid="_x0000_i1027" type="#_x0000_t75" style="width:405.85pt;height:294.85pt;visibility:visible;mso-wrap-style:square">
            <v:imagedata r:id="rId10" o:title=""/>
            <o:lock v:ext="edit" aspectratio="f"/>
          </v:shape>
        </w:pict>
      </w:r>
    </w:p>
    <w:p w14:paraId="23107900"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2"/>
        </w:rPr>
      </w:pPr>
      <w:r>
        <w:rPr>
          <w:rFonts w:ascii="Times New Roman" w:hAnsi="Times New Roman" w:cs="Times New Roman"/>
          <w:b/>
          <w:bCs/>
          <w:sz w:val="22"/>
        </w:rPr>
        <w:t xml:space="preserve">Figure 3. </w:t>
      </w:r>
      <w:r>
        <w:rPr>
          <w:rFonts w:ascii="Times New Roman" w:hAnsi="Times New Roman" w:cs="Times New Roman"/>
          <w:sz w:val="22"/>
        </w:rPr>
        <w:t>Marriott`s Serve360 Plan for 2025</w:t>
      </w:r>
    </w:p>
    <w:p w14:paraId="49FEC672"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2"/>
        </w:rPr>
      </w:pPr>
      <w:r>
        <w:rPr>
          <w:rFonts w:ascii="Times New Roman" w:hAnsi="Times New Roman" w:cs="Times New Roman"/>
          <w:sz w:val="22"/>
        </w:rPr>
        <w:t>Source: (Marriott International, 2024).</w:t>
      </w:r>
    </w:p>
    <w:p w14:paraId="4E0FEE43" w14:textId="77777777" w:rsidR="00F21EFF" w:rsidRDefault="00F21EFF">
      <w:pPr>
        <w:spacing w:line="360" w:lineRule="auto"/>
        <w:rPr>
          <w:rFonts w:ascii="Times New Roman" w:hAnsi="Times New Roman" w:cs="Times New Roman"/>
          <w:sz w:val="22"/>
        </w:rPr>
      </w:pPr>
    </w:p>
    <w:p w14:paraId="54345AED" w14:textId="77777777" w:rsidR="00F21EFF" w:rsidRDefault="00000000">
      <w:pPr>
        <w:pStyle w:val="Heading1"/>
        <w:spacing w:line="360" w:lineRule="auto"/>
        <w:rPr>
          <w:rFonts w:ascii="Times New Roman" w:hAnsi="Times New Roman"/>
          <w:color w:val="000000"/>
          <w:sz w:val="22"/>
          <w:szCs w:val="22"/>
        </w:rPr>
      </w:pPr>
      <w:bookmarkStart w:id="4" w:name="_Toc4"/>
      <w:r>
        <w:rPr>
          <w:rFonts w:ascii="Times New Roman" w:hAnsi="Times New Roman"/>
          <w:color w:val="000000"/>
          <w:sz w:val="22"/>
          <w:szCs w:val="22"/>
        </w:rPr>
        <w:t>Gap analysis and proposed solution</w:t>
      </w:r>
      <w:bookmarkEnd w:id="4"/>
    </w:p>
    <w:p w14:paraId="77912716" w14:textId="77777777" w:rsidR="00F21EFF" w:rsidRDefault="00000000">
      <w:pPr>
        <w:spacing w:line="360" w:lineRule="auto"/>
        <w:rPr>
          <w:rFonts w:ascii="Times New Roman" w:hAnsi="Times New Roman" w:cs="Times New Roman"/>
          <w:sz w:val="22"/>
        </w:rPr>
      </w:pPr>
      <w:r>
        <w:rPr>
          <w:rFonts w:ascii="Times New Roman" w:hAnsi="Times New Roman" w:cs="Times New Roman"/>
          <w:sz w:val="22"/>
        </w:rPr>
        <w:t>Moxy Downtown Los Angeles’s the water management is limited, focusing primarily on the reuse of linens and customer education on water conservation. However, the scope and impact of these practices remain narrow, particularly in a state where water scarcity is a recurrent issue. According to the Environmental Protection Agency (EPA), hotels contribute significantly to local water demand, and implementing advanced conservation measures, such as greywater recycling and low-flow plumbing fixtures, can substantially decrease water consumption (Howard, 2014).</w:t>
      </w:r>
    </w:p>
    <w:p w14:paraId="169573E7" w14:textId="77777777" w:rsidR="00F21EFF" w:rsidRDefault="00000000">
      <w:pPr>
        <w:spacing w:line="360" w:lineRule="auto"/>
        <w:rPr>
          <w:rFonts w:ascii="Times New Roman" w:hAnsi="Times New Roman" w:cs="Times New Roman"/>
          <w:sz w:val="22"/>
        </w:rPr>
      </w:pPr>
      <w:r>
        <w:rPr>
          <w:rFonts w:ascii="Times New Roman" w:hAnsi="Times New Roman" w:cs="Times New Roman"/>
          <w:sz w:val="22"/>
        </w:rPr>
        <w:lastRenderedPageBreak/>
        <w:t>Moxy Downtown Los Angeles might use a dual approach including both infrastructure enhancements and behavioural changes in order to close this difference. A basic modification would also be adding water-saving devices in every room and public area. Low-flow fixtures, according to studies by the American Hotel &amp; Lodging Association (AHLA), can significantly save water, therefore lowering the environmental impact of the hotel. Moreover, greywater recycling would let the hotel use water from sinks and showers for non-potable purposes like toilet flushing and irrigation, hence reducing pressure on municipal water supply (Boano et al., 2019).</w:t>
      </w:r>
    </w:p>
    <w:p w14:paraId="7E8C1099" w14:textId="77777777" w:rsidR="00F21EFF" w:rsidRDefault="00000000">
      <w:pPr>
        <w:spacing w:line="360" w:lineRule="auto"/>
        <w:rPr>
          <w:rFonts w:ascii="Times New Roman" w:hAnsi="Times New Roman" w:cs="Times New Roman"/>
          <w:sz w:val="22"/>
        </w:rPr>
      </w:pPr>
      <w:r>
        <w:rPr>
          <w:rFonts w:ascii="Times New Roman" w:hAnsi="Times New Roman" w:cs="Times New Roman"/>
          <w:sz w:val="22"/>
        </w:rPr>
        <w:t>In addition to these infrastructure improvements, Moxy Downtown Los Angeles should improve its conservation communication in order motivate customers to participate in water-saving initiatives. Advertising that provides information on the significance of cutting water consumption and incentives for customers who choose to engage in conservation programs are examples of what can fall under this category. According to Green Lodging, consumers are more likely to engage in sustainable behaviours when the environmental impact is clearly conveyed to them and when there are incentives for participation.</w:t>
      </w:r>
    </w:p>
    <w:p w14:paraId="5E65B9D0" w14:textId="77777777" w:rsidR="00F21EFF" w:rsidRDefault="00F21EFF">
      <w:pPr>
        <w:spacing w:line="360" w:lineRule="auto"/>
        <w:rPr>
          <w:rFonts w:ascii="Times New Roman" w:hAnsi="Times New Roman" w:cs="Times New Roman"/>
          <w:sz w:val="22"/>
        </w:rPr>
      </w:pPr>
    </w:p>
    <w:p w14:paraId="7F9640B1" w14:textId="77777777" w:rsidR="00F21EFF" w:rsidRDefault="00F21EFF">
      <w:pPr>
        <w:spacing w:line="360" w:lineRule="auto"/>
        <w:rPr>
          <w:rFonts w:ascii="Times New Roman" w:hAnsi="Times New Roman" w:cs="Times New Roman"/>
          <w:sz w:val="22"/>
        </w:rPr>
      </w:pPr>
    </w:p>
    <w:p w14:paraId="423CC83A" w14:textId="77777777" w:rsidR="00F21EFF" w:rsidRDefault="00F21EFF">
      <w:pPr>
        <w:spacing w:line="360" w:lineRule="auto"/>
        <w:rPr>
          <w:rFonts w:ascii="Times New Roman" w:hAnsi="Times New Roman" w:cs="Times New Roman"/>
          <w:sz w:val="22"/>
        </w:rPr>
      </w:pPr>
    </w:p>
    <w:p w14:paraId="30DA31B6" w14:textId="77777777" w:rsidR="00F21EFF" w:rsidRDefault="00F21EFF">
      <w:pPr>
        <w:spacing w:line="360" w:lineRule="auto"/>
        <w:rPr>
          <w:rFonts w:ascii="Times New Roman" w:hAnsi="Times New Roman" w:cs="Times New Roman"/>
          <w:sz w:val="22"/>
        </w:rPr>
      </w:pPr>
    </w:p>
    <w:p w14:paraId="3DB1E863" w14:textId="77777777" w:rsidR="00F21EFF" w:rsidRDefault="00F21EFF">
      <w:pPr>
        <w:spacing w:line="360" w:lineRule="auto"/>
        <w:rPr>
          <w:rFonts w:ascii="Times New Roman" w:hAnsi="Times New Roman" w:cs="Times New Roman"/>
          <w:sz w:val="22"/>
        </w:rPr>
      </w:pPr>
    </w:p>
    <w:p w14:paraId="6D2CEC90" w14:textId="77777777" w:rsidR="00F21EFF" w:rsidRDefault="00000000">
      <w:pPr>
        <w:pStyle w:val="Heading1"/>
        <w:spacing w:line="360" w:lineRule="auto"/>
        <w:rPr>
          <w:rFonts w:ascii="Times New Roman" w:hAnsi="Times New Roman"/>
          <w:color w:val="000000"/>
          <w:sz w:val="22"/>
          <w:szCs w:val="22"/>
        </w:rPr>
      </w:pPr>
      <w:bookmarkStart w:id="5" w:name="_Toc5"/>
      <w:r>
        <w:rPr>
          <w:rFonts w:ascii="Times New Roman" w:hAnsi="Times New Roman"/>
          <w:color w:val="000000"/>
          <w:sz w:val="22"/>
          <w:szCs w:val="22"/>
        </w:rPr>
        <w:t>Benefits of the proposed solution for the Moxy Downtown Los Angeles</w:t>
      </w:r>
      <w:bookmarkEnd w:id="5"/>
      <w:r>
        <w:rPr>
          <w:rFonts w:ascii="Times New Roman" w:hAnsi="Times New Roman"/>
          <w:color w:val="000000"/>
          <w:sz w:val="22"/>
          <w:szCs w:val="22"/>
        </w:rPr>
        <w:t xml:space="preserve">  </w:t>
      </w:r>
    </w:p>
    <w:p w14:paraId="6F7C3EE7" w14:textId="77777777" w:rsidR="00F21EFF" w:rsidRDefault="00000000">
      <w:pPr>
        <w:spacing w:line="360" w:lineRule="auto"/>
        <w:rPr>
          <w:rFonts w:ascii="Times New Roman" w:hAnsi="Times New Roman" w:cs="Times New Roman"/>
          <w:sz w:val="22"/>
        </w:rPr>
      </w:pPr>
      <w:r>
        <w:rPr>
          <w:rFonts w:ascii="Times New Roman" w:hAnsi="Times New Roman" w:cs="Times New Roman"/>
          <w:sz w:val="22"/>
        </w:rPr>
        <w:t>If the Moxy Downtown Los Angeles will implement an improved water management strategy, it would result in significant benefits not only for the hotel but also for the environment (INTEWA GmbH, 2022). Reduced water consumption would have a positive impact on the environment that helps to preserve local water supplies. This would be in line with the long-term conservation policies of California as well as the goals of Marriott's Serve 360 initiative.  If the hotel reduces its reliance on municipal water supplies, the hotel will also be able to establish itself as a responsible member of the community, which will enhance its brand reputation in a market that is environmentally concerned.</w:t>
      </w:r>
    </w:p>
    <w:p w14:paraId="0C862805" w14:textId="77777777" w:rsidR="00F21EFF" w:rsidRDefault="00000000">
      <w:pPr>
        <w:spacing w:line="360" w:lineRule="auto"/>
        <w:rPr>
          <w:rFonts w:ascii="Times New Roman" w:hAnsi="Times New Roman" w:cs="Times New Roman"/>
          <w:sz w:val="22"/>
        </w:rPr>
      </w:pPr>
      <w:r>
        <w:rPr>
          <w:rFonts w:ascii="Times New Roman" w:hAnsi="Times New Roman" w:cs="Times New Roman"/>
          <w:sz w:val="22"/>
        </w:rPr>
        <w:t xml:space="preserve">From a financial point of view, water conservation results in lower utility bills. This is because decreased consumption has a direct impact on operational expenses (Dolan et al., 2021). Various studies shows that hotels that have implemented greywater systems typically report a reduction in their overall water expenses 30-40% (Thomsen, 2016). Additionally, an efficient water management system has the potential to serve as a differentiator for Moxy Downtown Los Angeles, attracting </w:t>
      </w:r>
      <w:r>
        <w:rPr>
          <w:rFonts w:ascii="Times New Roman" w:hAnsi="Times New Roman" w:cs="Times New Roman"/>
          <w:sz w:val="22"/>
        </w:rPr>
        <w:lastRenderedPageBreak/>
        <w:t>guests who are environmentally conscious and possibly raising occupancy rates (Space, 2024). However, in reaction to climate change, regional authorities are implementing stricter laws regarding water usage. Hotels that have comprehensive conservation policies will be in a better position to adapt and grow as a result of these regulations.</w:t>
      </w:r>
    </w:p>
    <w:p w14:paraId="11BA0449" w14:textId="77777777" w:rsidR="00F21EFF" w:rsidRDefault="00000000">
      <w:pPr>
        <w:pStyle w:val="Heading2"/>
        <w:spacing w:line="360" w:lineRule="auto"/>
        <w:rPr>
          <w:rFonts w:ascii="Times New Roman" w:hAnsi="Times New Roman"/>
          <w:color w:val="000000"/>
          <w:sz w:val="22"/>
          <w:szCs w:val="22"/>
        </w:rPr>
      </w:pPr>
      <w:bookmarkStart w:id="6" w:name="_Toc9"/>
      <w:r>
        <w:rPr>
          <w:rFonts w:ascii="Times New Roman" w:hAnsi="Times New Roman"/>
          <w:color w:val="000000"/>
          <w:sz w:val="22"/>
          <w:szCs w:val="22"/>
        </w:rPr>
        <w:t>Environmental impact</w:t>
      </w:r>
      <w:bookmarkEnd w:id="6"/>
    </w:p>
    <w:p w14:paraId="28432E67" w14:textId="77777777" w:rsidR="00F21EFF" w:rsidRDefault="00000000">
      <w:pPr>
        <w:spacing w:line="360" w:lineRule="auto"/>
        <w:rPr>
          <w:rFonts w:ascii="Times New Roman" w:hAnsi="Times New Roman" w:cs="Times New Roman"/>
          <w:sz w:val="22"/>
        </w:rPr>
      </w:pPr>
      <w:r>
        <w:rPr>
          <w:rFonts w:ascii="Times New Roman" w:hAnsi="Times New Roman" w:cs="Times New Roman"/>
          <w:sz w:val="22"/>
        </w:rPr>
        <w:t>One main result of these programs is environmental impact reductions. Moreover. energy-saving measures and sustainable water management helps Marriott's total carbon footprint to be lowered. For example, environmentally responsible renovations across Marriott hotels have lowered greenhouse gas emissions and preserved local water supplies provides qualities for sustaining the ecosystems surrounding every site. These initiatives help Marriott to match world sustainability objectives and offer real environmental advantages that support operational sustainability as well as public image of the business. Moreover, Marriott’s RevPAR (Revenue per Available Room) data by region shows resilience, highlighting the value that sustainable practices add to its revenue stability. As shown in Figure 5, RevPAR by Region (2010-2023), Marriott’s RevPAR in North America saw a recovery and even growth in 2023, illustrating the financial benefits linked to their eco-friendly adaptations (Statista, 2024)</w:t>
      </w:r>
    </w:p>
    <w:p w14:paraId="3457DCA4" w14:textId="488D6981"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b/>
          <w:sz w:val="22"/>
        </w:rPr>
      </w:pPr>
      <w:r>
        <w:rPr>
          <w:rFonts w:ascii="Times New Roman" w:hAnsi="Times New Roman" w:cs="Times New Roman"/>
          <w:b/>
          <w:noProof/>
          <w:sz w:val="22"/>
        </w:rPr>
        <w:pict w14:anchorId="469E9F91">
          <v:shape id="Picture 5" o:spid="_x0000_i1026" type="#_x0000_t75" style="width:413.55pt;height:330.85pt;visibility:visible;mso-wrap-style:square">
            <v:imagedata r:id="rId11" o:title=""/>
            <o:lock v:ext="edit" aspectratio="f"/>
          </v:shape>
        </w:pict>
      </w:r>
    </w:p>
    <w:p w14:paraId="29B85466"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2"/>
          <w:lang w:val="en-US"/>
        </w:rPr>
      </w:pPr>
      <w:r>
        <w:rPr>
          <w:rFonts w:ascii="Times New Roman" w:hAnsi="Times New Roman" w:cs="Times New Roman"/>
          <w:b/>
          <w:sz w:val="22"/>
          <w:lang w:val="en-US"/>
        </w:rPr>
        <w:t>Figure 4</w:t>
      </w:r>
      <w:r>
        <w:rPr>
          <w:rFonts w:ascii="Times New Roman" w:hAnsi="Times New Roman" w:cs="Times New Roman"/>
          <w:sz w:val="22"/>
          <w:lang w:val="en-US"/>
        </w:rPr>
        <w:t xml:space="preserve">: </w:t>
      </w:r>
      <w:r>
        <w:rPr>
          <w:rFonts w:ascii="Times New Roman" w:hAnsi="Times New Roman" w:cs="Times New Roman"/>
          <w:i/>
          <w:sz w:val="22"/>
          <w:lang w:val="en-US"/>
        </w:rPr>
        <w:t>RevPAR by Region (2010-2023)</w:t>
      </w:r>
      <w:r>
        <w:rPr>
          <w:rFonts w:ascii="Times New Roman" w:hAnsi="Times New Roman" w:cs="Times New Roman"/>
          <w:sz w:val="22"/>
          <w:lang w:val="en-US"/>
        </w:rPr>
        <w:t xml:space="preserve"> </w:t>
      </w:r>
    </w:p>
    <w:p w14:paraId="1F8A9836"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2"/>
        </w:rPr>
      </w:pPr>
      <w:r>
        <w:rPr>
          <w:rFonts w:ascii="Times New Roman" w:hAnsi="Times New Roman" w:cs="Times New Roman"/>
          <w:sz w:val="22"/>
        </w:rPr>
        <w:t>Source: (Statista, 2024).</w:t>
      </w:r>
    </w:p>
    <w:p w14:paraId="22FE0A37" w14:textId="77777777" w:rsidR="00F21EFF" w:rsidRDefault="00000000">
      <w:pPr>
        <w:pStyle w:val="Heading2"/>
        <w:spacing w:line="360" w:lineRule="auto"/>
        <w:rPr>
          <w:rFonts w:ascii="Times New Roman" w:hAnsi="Times New Roman"/>
          <w:color w:val="000000"/>
          <w:sz w:val="22"/>
          <w:szCs w:val="22"/>
        </w:rPr>
      </w:pPr>
      <w:bookmarkStart w:id="7" w:name="_Toc10"/>
      <w:r>
        <w:rPr>
          <w:rFonts w:ascii="Times New Roman" w:hAnsi="Times New Roman"/>
          <w:color w:val="000000"/>
          <w:sz w:val="22"/>
          <w:szCs w:val="22"/>
        </w:rPr>
        <w:lastRenderedPageBreak/>
        <w:t>Challenges of Implementation</w:t>
      </w:r>
      <w:bookmarkEnd w:id="7"/>
    </w:p>
    <w:p w14:paraId="06DA951C"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2"/>
        </w:rPr>
      </w:pPr>
      <w:r>
        <w:rPr>
          <w:rFonts w:ascii="Times New Roman" w:hAnsi="Times New Roman" w:cs="Times New Roman"/>
          <w:sz w:val="22"/>
        </w:rPr>
        <w:t xml:space="preserve">The investigation on greywater systems says that significant beginning investments, such as building treatment plants and supply infrastructure, are often the reason of go back from recycling greywater. (Tripathy et al., 2024)  For example, a </w:t>
      </w:r>
      <w:r>
        <w:rPr>
          <w:rFonts w:ascii="Times New Roman" w:hAnsi="Times New Roman" w:cs="Times New Roman"/>
          <w:b/>
          <w:bCs/>
          <w:sz w:val="22"/>
        </w:rPr>
        <w:t>cost-benefit analysis (CBA)</w:t>
      </w:r>
      <w:r>
        <w:rPr>
          <w:rFonts w:ascii="Times New Roman" w:hAnsi="Times New Roman" w:cs="Times New Roman"/>
          <w:sz w:val="22"/>
        </w:rPr>
        <w:t xml:space="preserve"> framework for greywater systems mentions that these upfront costs can be reduced by government incentives or financial support for the environment (Dallman et al., 2021). This is one way that hotels with limited water use show their long-term ROI.</w:t>
      </w:r>
    </w:p>
    <w:p w14:paraId="0A96FE56" w14:textId="0ADC991F" w:rsidR="00F21EFF" w:rsidRDefault="00000000">
      <w:pPr>
        <w:pStyle w:val="Heading2"/>
        <w:spacing w:line="360" w:lineRule="auto"/>
        <w:jc w:val="center"/>
        <w:rPr>
          <w:rFonts w:ascii="Times New Roman" w:hAnsi="Times New Roman"/>
          <w:color w:val="000000"/>
          <w:sz w:val="22"/>
          <w:szCs w:val="22"/>
        </w:rPr>
      </w:pPr>
      <w:r>
        <w:rPr>
          <w:rFonts w:ascii="Times New Roman" w:hAnsi="Times New Roman"/>
          <w:color w:val="000000"/>
          <w:sz w:val="22"/>
          <w:szCs w:val="22"/>
        </w:rPr>
        <w:t xml:space="preserve"> </w:t>
      </w:r>
      <w:r>
        <w:rPr>
          <w:rFonts w:ascii="Times New Roman" w:hAnsi="Times New Roman"/>
          <w:noProof/>
          <w:color w:val="000000"/>
          <w:sz w:val="22"/>
          <w:szCs w:val="22"/>
        </w:rPr>
        <w:pict w14:anchorId="7F62ACDE">
          <v:shape id="Picture 6" o:spid="_x0000_i1025" type="#_x0000_t75" style="width:414pt;height:303pt;visibility:visible;mso-wrap-style:square">
            <v:imagedata r:id="rId12" o:title=""/>
            <o:lock v:ext="edit" aspectratio="f"/>
          </v:shape>
        </w:pict>
      </w:r>
    </w:p>
    <w:p w14:paraId="5DA7CE55"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2"/>
        </w:rPr>
      </w:pPr>
      <w:r>
        <w:rPr>
          <w:rFonts w:ascii="Times New Roman" w:hAnsi="Times New Roman" w:cs="Times New Roman"/>
          <w:b/>
          <w:bCs/>
          <w:sz w:val="22"/>
        </w:rPr>
        <w:t xml:space="preserve">Figure 5.  </w:t>
      </w:r>
      <w:r>
        <w:rPr>
          <w:rFonts w:ascii="Times New Roman" w:hAnsi="Times New Roman" w:cs="Times New Roman"/>
          <w:sz w:val="22"/>
        </w:rPr>
        <w:t>Cost-Benefit Analysis of Greywater Recycling</w:t>
      </w:r>
    </w:p>
    <w:p w14:paraId="09A3695A"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2"/>
        </w:rPr>
      </w:pPr>
      <w:r>
        <w:rPr>
          <w:rFonts w:ascii="Times New Roman" w:hAnsi="Times New Roman" w:cs="Times New Roman"/>
          <w:sz w:val="22"/>
        </w:rPr>
        <w:t>Source: (Dallman et al., 2021).</w:t>
      </w:r>
    </w:p>
    <w:p w14:paraId="5D0D4655" w14:textId="77777777" w:rsidR="00F21EFF" w:rsidRDefault="00F21EF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2"/>
        </w:rPr>
      </w:pPr>
    </w:p>
    <w:p w14:paraId="61502443"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2"/>
        </w:rPr>
      </w:pPr>
      <w:r>
        <w:rPr>
          <w:rFonts w:ascii="Times New Roman" w:hAnsi="Times New Roman" w:cs="Times New Roman"/>
          <w:sz w:val="22"/>
        </w:rPr>
        <w:t xml:space="preserve">Based on a study by Van De Walle et al. (2023), greywater systems require regular </w:t>
      </w:r>
      <w:r>
        <w:rPr>
          <w:rFonts w:ascii="Times New Roman" w:hAnsi="Times New Roman" w:cs="Times New Roman"/>
          <w:b/>
          <w:bCs/>
          <w:sz w:val="22"/>
        </w:rPr>
        <w:t>maintenance</w:t>
      </w:r>
      <w:r>
        <w:rPr>
          <w:rFonts w:ascii="Times New Roman" w:hAnsi="Times New Roman" w:cs="Times New Roman"/>
          <w:sz w:val="22"/>
        </w:rPr>
        <w:t xml:space="preserve"> to assure efficiency and safety, with particular attention to mitigating health risks from untreated greywater. Technical expertise is for maintaining system integrity and ensuring water quality standards are upheld. An article by Tripathy et al. (2024) highlights that differences in demographics and diverse quality of greywater create extra costs, making it necessary to tailor treatment methods and control systems. Esiner (2023) stated that this complexity adds to the maintenance cost, as hotels must often train or hire skilled personnel to monitor processes based on water quality and usage patterns</w:t>
      </w:r>
      <w:bookmarkStart w:id="8" w:name="_Toc6"/>
      <w:r>
        <w:rPr>
          <w:rFonts w:ascii="Times New Roman" w:hAnsi="Times New Roman" w:cs="Times New Roman"/>
          <w:sz w:val="22"/>
        </w:rPr>
        <w:t>.</w:t>
      </w:r>
    </w:p>
    <w:p w14:paraId="5A8C0211" w14:textId="77777777" w:rsidR="00F21EFF" w:rsidRDefault="00000000">
      <w:pPr>
        <w:pStyle w:val="Heading1"/>
        <w:spacing w:line="360" w:lineRule="auto"/>
        <w:rPr>
          <w:rFonts w:ascii="Times New Roman" w:hAnsi="Times New Roman"/>
          <w:color w:val="000000"/>
          <w:sz w:val="22"/>
          <w:szCs w:val="22"/>
        </w:rPr>
      </w:pPr>
      <w:r>
        <w:rPr>
          <w:rFonts w:ascii="Times New Roman" w:hAnsi="Times New Roman"/>
          <w:color w:val="000000"/>
          <w:sz w:val="22"/>
          <w:szCs w:val="22"/>
        </w:rPr>
        <w:lastRenderedPageBreak/>
        <w:t>Conclusion</w:t>
      </w:r>
      <w:bookmarkEnd w:id="8"/>
    </w:p>
    <w:p w14:paraId="48383D50" w14:textId="77777777" w:rsidR="00F21EFF" w:rsidRDefault="00000000">
      <w:pPr>
        <w:spacing w:line="360" w:lineRule="auto"/>
        <w:rPr>
          <w:rFonts w:ascii="Times New Roman" w:hAnsi="Times New Roman" w:cs="Times New Roman"/>
          <w:sz w:val="22"/>
        </w:rPr>
      </w:pPr>
      <w:r>
        <w:rPr>
          <w:rFonts w:ascii="Times New Roman" w:hAnsi="Times New Roman" w:cs="Times New Roman"/>
          <w:sz w:val="22"/>
        </w:rPr>
        <w:t>In line with Marriott International's Serve 360 platform, Moxy Downtown Los Angeles has done a great job of incorporating sustainability into its green practices. On the other hand, the hotel needs to take a more holistic approach of water management, though, if it wants to fully support environmental goals and help with water shortages in the area. The use of water-saving fixtures and a greywater recycling system, along with teaching guests how to save water, would make the hotel's environmental effect and operational efficiency much better. However, through implementing these things, Moxy Downtown Los Angeles would not only save money but also build its image as a leader in eco-friendly hospitality. As tourists become more eco-conscious, the hotel can adapt to their needs by using these methods. They will also help the environment and gain a competitive edge in the hospitality market.</w:t>
      </w:r>
    </w:p>
    <w:p w14:paraId="3094F88F" w14:textId="77777777" w:rsidR="00F21EFF" w:rsidRDefault="00F21EFF">
      <w:pPr>
        <w:spacing w:line="360" w:lineRule="auto"/>
        <w:rPr>
          <w:rFonts w:ascii="Times New Roman" w:hAnsi="Times New Roman" w:cs="Times New Roman"/>
          <w:sz w:val="22"/>
        </w:rPr>
      </w:pPr>
    </w:p>
    <w:p w14:paraId="5E105F43" w14:textId="77777777" w:rsidR="00F21EFF" w:rsidRDefault="00F21EFF">
      <w:pPr>
        <w:spacing w:line="360" w:lineRule="auto"/>
        <w:rPr>
          <w:rFonts w:ascii="Times New Roman" w:hAnsi="Times New Roman" w:cs="Times New Roman"/>
          <w:sz w:val="22"/>
        </w:rPr>
      </w:pPr>
    </w:p>
    <w:p w14:paraId="35237AF6" w14:textId="77777777" w:rsidR="00F21EFF" w:rsidRDefault="00F21EFF">
      <w:pPr>
        <w:spacing w:line="360" w:lineRule="auto"/>
        <w:rPr>
          <w:rFonts w:ascii="Times New Roman" w:hAnsi="Times New Roman" w:cs="Times New Roman"/>
          <w:sz w:val="22"/>
        </w:rPr>
      </w:pPr>
    </w:p>
    <w:p w14:paraId="2D30FF3E" w14:textId="77777777" w:rsidR="00F21EFF" w:rsidRDefault="00F21EFF">
      <w:pPr>
        <w:spacing w:line="360" w:lineRule="auto"/>
        <w:rPr>
          <w:rFonts w:ascii="Times New Roman" w:hAnsi="Times New Roman" w:cs="Times New Roman"/>
          <w:sz w:val="22"/>
        </w:rPr>
      </w:pPr>
    </w:p>
    <w:p w14:paraId="4BBCB920" w14:textId="77777777" w:rsidR="00F21EFF" w:rsidRDefault="00F21EFF">
      <w:pPr>
        <w:spacing w:line="360" w:lineRule="auto"/>
        <w:rPr>
          <w:rFonts w:ascii="Times New Roman" w:hAnsi="Times New Roman" w:cs="Times New Roman"/>
          <w:sz w:val="22"/>
        </w:rPr>
      </w:pPr>
    </w:p>
    <w:p w14:paraId="2216E508" w14:textId="77777777" w:rsidR="00F21EFF" w:rsidRDefault="00F21EFF">
      <w:pPr>
        <w:spacing w:line="360" w:lineRule="auto"/>
        <w:rPr>
          <w:rFonts w:ascii="Times New Roman" w:hAnsi="Times New Roman" w:cs="Times New Roman"/>
          <w:sz w:val="22"/>
        </w:rPr>
      </w:pPr>
    </w:p>
    <w:p w14:paraId="635D26AA" w14:textId="77777777" w:rsidR="00F21EFF" w:rsidRDefault="00F21EFF">
      <w:pPr>
        <w:spacing w:line="360" w:lineRule="auto"/>
        <w:rPr>
          <w:rFonts w:ascii="Times New Roman" w:hAnsi="Times New Roman" w:cs="Times New Roman"/>
          <w:sz w:val="22"/>
        </w:rPr>
      </w:pPr>
    </w:p>
    <w:p w14:paraId="07A141E5" w14:textId="77777777" w:rsidR="00F21EFF" w:rsidRDefault="00F21EFF">
      <w:pPr>
        <w:spacing w:line="360" w:lineRule="auto"/>
        <w:rPr>
          <w:rFonts w:ascii="Times New Roman" w:hAnsi="Times New Roman" w:cs="Times New Roman"/>
          <w:sz w:val="22"/>
        </w:rPr>
      </w:pPr>
    </w:p>
    <w:p w14:paraId="5069A484" w14:textId="77777777" w:rsidR="00F21EFF" w:rsidRDefault="00F21EFF">
      <w:pPr>
        <w:spacing w:line="360" w:lineRule="auto"/>
        <w:rPr>
          <w:rFonts w:ascii="Times New Roman" w:hAnsi="Times New Roman" w:cs="Times New Roman"/>
          <w:sz w:val="22"/>
        </w:rPr>
      </w:pPr>
    </w:p>
    <w:p w14:paraId="7FD929E0" w14:textId="77777777" w:rsidR="00F21EFF" w:rsidRDefault="00F21EFF">
      <w:pPr>
        <w:spacing w:line="360" w:lineRule="auto"/>
        <w:rPr>
          <w:rFonts w:ascii="Times New Roman" w:hAnsi="Times New Roman" w:cs="Times New Roman"/>
          <w:sz w:val="22"/>
        </w:rPr>
      </w:pPr>
    </w:p>
    <w:p w14:paraId="492872FB" w14:textId="77777777" w:rsidR="00F21EFF" w:rsidRDefault="00F21EFF">
      <w:pPr>
        <w:spacing w:line="360" w:lineRule="auto"/>
        <w:rPr>
          <w:rFonts w:ascii="Times New Roman" w:hAnsi="Times New Roman" w:cs="Times New Roman"/>
          <w:sz w:val="22"/>
        </w:rPr>
      </w:pPr>
    </w:p>
    <w:p w14:paraId="2FCFE3B9" w14:textId="77777777" w:rsidR="00F21EFF" w:rsidRDefault="00F21EFF">
      <w:pPr>
        <w:spacing w:line="360" w:lineRule="auto"/>
        <w:rPr>
          <w:rFonts w:ascii="Times New Roman" w:hAnsi="Times New Roman" w:cs="Times New Roman"/>
          <w:sz w:val="22"/>
        </w:rPr>
      </w:pPr>
    </w:p>
    <w:p w14:paraId="555FF032" w14:textId="77777777" w:rsidR="00F21EFF" w:rsidRDefault="00F21EFF">
      <w:pPr>
        <w:spacing w:line="360" w:lineRule="auto"/>
        <w:rPr>
          <w:rFonts w:ascii="Times New Roman" w:hAnsi="Times New Roman" w:cs="Times New Roman"/>
          <w:sz w:val="22"/>
        </w:rPr>
      </w:pPr>
    </w:p>
    <w:p w14:paraId="5C8E8CA6" w14:textId="77777777" w:rsidR="00F21EFF" w:rsidRDefault="00F21EFF">
      <w:pPr>
        <w:spacing w:line="360" w:lineRule="auto"/>
        <w:rPr>
          <w:rFonts w:ascii="Times New Roman" w:hAnsi="Times New Roman" w:cs="Times New Roman"/>
          <w:sz w:val="22"/>
        </w:rPr>
      </w:pPr>
    </w:p>
    <w:p w14:paraId="63B69804" w14:textId="77777777" w:rsidR="00F21EFF" w:rsidRDefault="00F21EFF">
      <w:pPr>
        <w:spacing w:line="360" w:lineRule="auto"/>
        <w:rPr>
          <w:rFonts w:ascii="Times New Roman" w:hAnsi="Times New Roman" w:cs="Times New Roman"/>
          <w:sz w:val="22"/>
        </w:rPr>
      </w:pPr>
    </w:p>
    <w:p w14:paraId="6EF2B7E1" w14:textId="77777777" w:rsidR="00F21EFF" w:rsidRDefault="00F21EFF">
      <w:pPr>
        <w:spacing w:line="360" w:lineRule="auto"/>
        <w:rPr>
          <w:rFonts w:ascii="Times New Roman" w:hAnsi="Times New Roman" w:cs="Times New Roman"/>
          <w:sz w:val="22"/>
        </w:rPr>
      </w:pPr>
    </w:p>
    <w:p w14:paraId="70851830" w14:textId="77777777" w:rsidR="00F21EFF" w:rsidRDefault="00000000">
      <w:pPr>
        <w:pStyle w:val="Heading1"/>
        <w:spacing w:line="360" w:lineRule="auto"/>
        <w:rPr>
          <w:rStyle w:val="Heading1Char"/>
          <w:rFonts w:ascii="Times New Roman" w:hAnsi="Times New Roman"/>
          <w:color w:val="000000"/>
          <w:sz w:val="22"/>
          <w:szCs w:val="22"/>
          <w:lang w:val="en-US"/>
        </w:rPr>
      </w:pPr>
      <w:bookmarkStart w:id="9" w:name="_Toc7"/>
      <w:r>
        <w:rPr>
          <w:rFonts w:ascii="Times New Roman" w:hAnsi="Times New Roman"/>
          <w:color w:val="000000"/>
          <w:sz w:val="22"/>
          <w:szCs w:val="22"/>
          <w:lang w:val="en-US"/>
        </w:rPr>
        <w:lastRenderedPageBreak/>
        <w:t>References</w:t>
      </w:r>
      <w:bookmarkEnd w:id="9"/>
      <w:r>
        <w:rPr>
          <w:rFonts w:ascii="Times New Roman" w:hAnsi="Times New Roman"/>
          <w:color w:val="000000"/>
          <w:sz w:val="22"/>
          <w:szCs w:val="22"/>
          <w:lang w:val="en-US"/>
        </w:rPr>
        <w:t xml:space="preserve"> </w:t>
      </w:r>
    </w:p>
    <w:p w14:paraId="3CFDE78B"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ind w:left="720" w:hanging="720"/>
        <w:rPr>
          <w:rFonts w:ascii="Times New Roman" w:hAnsi="Times New Roman" w:cs="Times New Roman"/>
          <w:sz w:val="22"/>
          <w:lang w:val="en-US"/>
        </w:rPr>
      </w:pPr>
      <w:r>
        <w:rPr>
          <w:rFonts w:ascii="Times New Roman" w:hAnsi="Times New Roman" w:cs="Times New Roman"/>
          <w:sz w:val="22"/>
          <w:lang w:val="en-US"/>
        </w:rPr>
        <w:t xml:space="preserve">Abdou, A.H., Hassan, T.H. and Dief, M.M.E. (2020) “A Description of Green Hotel Practices and Their Role in Achieving Sustainable Development,” </w:t>
      </w:r>
      <w:r>
        <w:rPr>
          <w:rFonts w:ascii="Times New Roman" w:hAnsi="Times New Roman" w:cs="Times New Roman"/>
          <w:i/>
          <w:sz w:val="22"/>
          <w:lang w:val="en-US"/>
        </w:rPr>
        <w:t>Sustainability</w:t>
      </w:r>
      <w:r>
        <w:rPr>
          <w:rFonts w:ascii="Times New Roman" w:hAnsi="Times New Roman" w:cs="Times New Roman"/>
          <w:sz w:val="22"/>
          <w:lang w:val="en-US"/>
        </w:rPr>
        <w:t>, 12(22), p. 9624. doi:10.3390/su12229624.</w:t>
      </w:r>
    </w:p>
    <w:p w14:paraId="73A88DF1" w14:textId="77777777" w:rsidR="00F21EFF"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AHLA (2024) </w:t>
      </w:r>
      <w:r>
        <w:rPr>
          <w:rFonts w:ascii="Times New Roman" w:hAnsi="Times New Roman" w:cs="Times New Roman"/>
          <w:i/>
          <w:iCs/>
          <w:sz w:val="22"/>
        </w:rPr>
        <w:t>Sustainability</w:t>
      </w:r>
      <w:r>
        <w:rPr>
          <w:rFonts w:ascii="Times New Roman" w:hAnsi="Times New Roman" w:cs="Times New Roman"/>
          <w:sz w:val="22"/>
        </w:rPr>
        <w:t>. Available at: https://www.ahla.com/issue/sustainability.</w:t>
      </w:r>
    </w:p>
    <w:p w14:paraId="245A5D93" w14:textId="77777777" w:rsidR="00F21EFF"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Boano, F. </w:t>
      </w:r>
      <w:r>
        <w:rPr>
          <w:rFonts w:ascii="Times New Roman" w:hAnsi="Times New Roman" w:cs="Times New Roman"/>
          <w:i/>
          <w:iCs/>
          <w:sz w:val="22"/>
        </w:rPr>
        <w:t>et al.</w:t>
      </w:r>
      <w:r>
        <w:rPr>
          <w:rFonts w:ascii="Times New Roman" w:hAnsi="Times New Roman" w:cs="Times New Roman"/>
          <w:sz w:val="22"/>
        </w:rPr>
        <w:t xml:space="preserve"> (2019) “A review of nature-based solutions for greywater treatment: Applications, hydraulic design, and environmental benefits,” </w:t>
      </w:r>
      <w:r>
        <w:rPr>
          <w:rFonts w:ascii="Times New Roman" w:hAnsi="Times New Roman" w:cs="Times New Roman"/>
          <w:i/>
          <w:iCs/>
          <w:sz w:val="22"/>
        </w:rPr>
        <w:t>The Science of the Total Environment</w:t>
      </w:r>
      <w:r>
        <w:rPr>
          <w:rFonts w:ascii="Times New Roman" w:hAnsi="Times New Roman" w:cs="Times New Roman"/>
          <w:sz w:val="22"/>
        </w:rPr>
        <w:t>, 711, p. 134731. doi:10.1016/j.scitotenv.2019.134731.</w:t>
      </w:r>
    </w:p>
    <w:p w14:paraId="39C4902B" w14:textId="77777777" w:rsidR="00F21EFF"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Colgan, D. (2023) “Vegetation browning from drought hits L.A.’s disadvantaged communities hardest,” </w:t>
      </w:r>
      <w:r>
        <w:rPr>
          <w:rFonts w:ascii="Times New Roman" w:hAnsi="Times New Roman" w:cs="Times New Roman"/>
          <w:i/>
          <w:iCs/>
          <w:sz w:val="22"/>
        </w:rPr>
        <w:t>UCLA</w:t>
      </w:r>
      <w:r>
        <w:rPr>
          <w:rFonts w:ascii="Times New Roman" w:hAnsi="Times New Roman" w:cs="Times New Roman"/>
          <w:sz w:val="22"/>
        </w:rPr>
        <w:t>, 27 March. Available at: https://newsroom.ucla.edu/releases/vegetation-browning-drought-los-angeles-disadvantaged-communities#:~:text=Despite%20all%20of%20the%20recent,role%20in%20moderating%20extreme%20heat.</w:t>
      </w:r>
    </w:p>
    <w:p w14:paraId="44DB8B33"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ind w:left="720" w:hanging="720"/>
        <w:rPr>
          <w:rFonts w:ascii="Times New Roman" w:hAnsi="Times New Roman" w:cs="Times New Roman"/>
          <w:sz w:val="22"/>
          <w:lang w:val="en-US"/>
        </w:rPr>
      </w:pPr>
      <w:r>
        <w:rPr>
          <w:rFonts w:ascii="Times New Roman" w:hAnsi="Times New Roman" w:cs="Times New Roman"/>
          <w:sz w:val="22"/>
          <w:lang w:val="en-US"/>
        </w:rPr>
        <w:t xml:space="preserve">Dallman, S. </w:t>
      </w:r>
      <w:r>
        <w:rPr>
          <w:rFonts w:ascii="Times New Roman" w:hAnsi="Times New Roman" w:cs="Times New Roman"/>
          <w:i/>
          <w:sz w:val="22"/>
          <w:lang w:val="en-US"/>
        </w:rPr>
        <w:t>et al.</w:t>
      </w:r>
      <w:r>
        <w:rPr>
          <w:rFonts w:ascii="Times New Roman" w:hAnsi="Times New Roman" w:cs="Times New Roman"/>
          <w:sz w:val="22"/>
          <w:lang w:val="en-US"/>
        </w:rPr>
        <w:t xml:space="preserve"> (2021) “Is Rainwater Harvesting Worthwhile? A Benefit–Cost Analysis,” </w:t>
      </w:r>
      <w:r>
        <w:rPr>
          <w:rFonts w:ascii="Times New Roman" w:hAnsi="Times New Roman" w:cs="Times New Roman"/>
          <w:i/>
          <w:sz w:val="22"/>
          <w:lang w:val="en-US"/>
        </w:rPr>
        <w:t>Journal of Water Resources Planning and Management</w:t>
      </w:r>
      <w:r>
        <w:rPr>
          <w:rFonts w:ascii="Times New Roman" w:hAnsi="Times New Roman" w:cs="Times New Roman"/>
          <w:sz w:val="22"/>
          <w:lang w:val="en-US"/>
        </w:rPr>
        <w:t>, 147(4). doi:10.1061/(asce)wr.1943-5452.0001361.</w:t>
      </w:r>
    </w:p>
    <w:p w14:paraId="35780B9B" w14:textId="77777777" w:rsidR="00F21EFF"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De Freitas Netto, S.V. </w:t>
      </w:r>
      <w:r>
        <w:rPr>
          <w:rFonts w:ascii="Times New Roman" w:hAnsi="Times New Roman" w:cs="Times New Roman"/>
          <w:i/>
          <w:iCs/>
          <w:sz w:val="22"/>
        </w:rPr>
        <w:t>et al.</w:t>
      </w:r>
      <w:r>
        <w:rPr>
          <w:rFonts w:ascii="Times New Roman" w:hAnsi="Times New Roman" w:cs="Times New Roman"/>
          <w:sz w:val="22"/>
        </w:rPr>
        <w:t xml:space="preserve"> (2020) “Concepts and forms of greenwashing: a systematic review,” </w:t>
      </w:r>
      <w:r>
        <w:rPr>
          <w:rFonts w:ascii="Times New Roman" w:hAnsi="Times New Roman" w:cs="Times New Roman"/>
          <w:i/>
          <w:iCs/>
          <w:sz w:val="22"/>
        </w:rPr>
        <w:t>Environmental Sciences Europe</w:t>
      </w:r>
      <w:r>
        <w:rPr>
          <w:rFonts w:ascii="Times New Roman" w:hAnsi="Times New Roman" w:cs="Times New Roman"/>
          <w:sz w:val="22"/>
        </w:rPr>
        <w:t>, 32(1). doi:10.1186/s12302-020-0300-3.</w:t>
      </w:r>
    </w:p>
    <w:p w14:paraId="5961F83F"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ind w:left="720" w:hanging="720"/>
        <w:rPr>
          <w:rFonts w:ascii="Times New Roman" w:hAnsi="Times New Roman" w:cs="Times New Roman"/>
          <w:sz w:val="22"/>
        </w:rPr>
      </w:pPr>
      <w:r>
        <w:rPr>
          <w:rFonts w:ascii="Times New Roman"/>
          <w:sz w:val="22"/>
          <w:lang w:val="en-US"/>
        </w:rPr>
        <w:t xml:space="preserve">Dolan, F. </w:t>
      </w:r>
      <w:r>
        <w:rPr>
          <w:rFonts w:ascii="Times New Roman"/>
          <w:i/>
          <w:sz w:val="22"/>
          <w:lang w:val="en-US"/>
        </w:rPr>
        <w:t>et al.</w:t>
      </w:r>
      <w:r>
        <w:rPr>
          <w:rFonts w:ascii="Times New Roman"/>
          <w:sz w:val="22"/>
          <w:lang w:val="en-US"/>
        </w:rPr>
        <w:t xml:space="preserve"> (2021) </w:t>
      </w:r>
      <w:r>
        <w:rPr>
          <w:rFonts w:ascii="Times New Roman"/>
          <w:sz w:val="22"/>
          <w:lang w:val="en-US"/>
        </w:rPr>
        <w:t>“</w:t>
      </w:r>
      <w:r>
        <w:rPr>
          <w:rFonts w:ascii="Times New Roman"/>
          <w:sz w:val="22"/>
          <w:lang w:val="en-US"/>
        </w:rPr>
        <w:t>Evaluating the economic impact of water scarcity in a changing world,</w:t>
      </w:r>
      <w:r>
        <w:rPr>
          <w:rFonts w:ascii="Times New Roman"/>
          <w:sz w:val="22"/>
          <w:lang w:val="en-US"/>
        </w:rPr>
        <w:t>”</w:t>
      </w:r>
      <w:r>
        <w:rPr>
          <w:rFonts w:ascii="Times New Roman"/>
          <w:sz w:val="22"/>
          <w:lang w:val="en-US"/>
        </w:rPr>
        <w:t xml:space="preserve"> </w:t>
      </w:r>
      <w:r>
        <w:rPr>
          <w:rFonts w:ascii="Times New Roman"/>
          <w:i/>
          <w:sz w:val="22"/>
          <w:lang w:val="en-US"/>
        </w:rPr>
        <w:t>Nature Communications</w:t>
      </w:r>
      <w:r>
        <w:rPr>
          <w:rFonts w:ascii="Times New Roman"/>
          <w:sz w:val="22"/>
          <w:lang w:val="en-US"/>
        </w:rPr>
        <w:t>, 12(1). doi:10.1038/s41467-021-22194-0.</w:t>
      </w:r>
    </w:p>
    <w:p w14:paraId="1E7D78E8" w14:textId="77777777" w:rsidR="00F21EFF"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Duric, Z. and Topler, J.P. (2021) “The Role of Performance and Environmental Sustainability Indicators in Hotel Competitiveness,” </w:t>
      </w:r>
      <w:r>
        <w:rPr>
          <w:rFonts w:ascii="Times New Roman" w:hAnsi="Times New Roman" w:cs="Times New Roman"/>
          <w:i/>
          <w:iCs/>
          <w:sz w:val="22"/>
        </w:rPr>
        <w:t>Sustainability</w:t>
      </w:r>
      <w:r>
        <w:rPr>
          <w:rFonts w:ascii="Times New Roman" w:hAnsi="Times New Roman" w:cs="Times New Roman"/>
          <w:sz w:val="22"/>
        </w:rPr>
        <w:t>, 13(12), p. 6574. doi:10.3390/su13126574.</w:t>
      </w:r>
    </w:p>
    <w:p w14:paraId="4E9424F6" w14:textId="77777777" w:rsidR="00F21EFF"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Eisner, C. (2023) </w:t>
      </w:r>
      <w:r>
        <w:rPr>
          <w:rFonts w:ascii="Times New Roman" w:hAnsi="Times New Roman" w:cs="Times New Roman"/>
          <w:i/>
          <w:iCs/>
          <w:sz w:val="22"/>
        </w:rPr>
        <w:t>Hotel Maintenance Guide</w:t>
      </w:r>
      <w:r>
        <w:rPr>
          <w:rFonts w:ascii="Times New Roman" w:hAnsi="Times New Roman" w:cs="Times New Roman"/>
          <w:sz w:val="22"/>
        </w:rPr>
        <w:t>. Available at: https://www.getmaintainx.com/learning-center/hotel-maintenance.</w:t>
      </w:r>
    </w:p>
    <w:p w14:paraId="245AD28D" w14:textId="77777777" w:rsidR="00F21EFF"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Fella, S. and Bausa, E. (2024) “Green or greenwashed? Examining consumers’ ability to identify greenwashing,” </w:t>
      </w:r>
      <w:r>
        <w:rPr>
          <w:rFonts w:ascii="Times New Roman" w:hAnsi="Times New Roman" w:cs="Times New Roman"/>
          <w:i/>
          <w:iCs/>
          <w:sz w:val="22"/>
        </w:rPr>
        <w:t>Journal of Environmental Psychology</w:t>
      </w:r>
      <w:r>
        <w:rPr>
          <w:rFonts w:ascii="Times New Roman" w:hAnsi="Times New Roman" w:cs="Times New Roman"/>
          <w:sz w:val="22"/>
        </w:rPr>
        <w:t>, 95, p. 102281. doi:10.1016/j.jenvp.2024.102281.</w:t>
      </w:r>
    </w:p>
    <w:p w14:paraId="4B4C3540" w14:textId="77777777" w:rsidR="00F21EFF"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Green Key (no date) </w:t>
      </w:r>
      <w:r>
        <w:rPr>
          <w:rFonts w:ascii="Times New Roman" w:hAnsi="Times New Roman" w:cs="Times New Roman"/>
          <w:i/>
          <w:iCs/>
          <w:sz w:val="22"/>
        </w:rPr>
        <w:t>Green Key Criteria</w:t>
      </w:r>
      <w:r>
        <w:rPr>
          <w:rFonts w:ascii="Times New Roman" w:hAnsi="Times New Roman" w:cs="Times New Roman"/>
          <w:sz w:val="22"/>
        </w:rPr>
        <w:t xml:space="preserve">, </w:t>
      </w:r>
      <w:r>
        <w:rPr>
          <w:rFonts w:ascii="Times New Roman" w:hAnsi="Times New Roman" w:cs="Times New Roman"/>
          <w:i/>
          <w:iCs/>
          <w:sz w:val="22"/>
        </w:rPr>
        <w:t>Green Key</w:t>
      </w:r>
      <w:r>
        <w:rPr>
          <w:rFonts w:ascii="Times New Roman" w:hAnsi="Times New Roman" w:cs="Times New Roman"/>
          <w:sz w:val="22"/>
        </w:rPr>
        <w:t>. Available at: https://www.greenkey.global/criteria.</w:t>
      </w:r>
    </w:p>
    <w:p w14:paraId="45A3C3C6" w14:textId="77777777" w:rsidR="00F21EFF"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Howard, B.C. (2014) “Hotels Save Energy With a Push to Save Water,” </w:t>
      </w:r>
      <w:r>
        <w:rPr>
          <w:rFonts w:ascii="Times New Roman" w:hAnsi="Times New Roman" w:cs="Times New Roman"/>
          <w:i/>
          <w:iCs/>
          <w:sz w:val="22"/>
        </w:rPr>
        <w:t>Science</w:t>
      </w:r>
      <w:r>
        <w:rPr>
          <w:rFonts w:ascii="Times New Roman" w:hAnsi="Times New Roman" w:cs="Times New Roman"/>
          <w:sz w:val="22"/>
        </w:rPr>
        <w:t>, 24 February. Available at: https://www.nationalgeographic.com/science/article/140224-hotels-save-energy-</w:t>
      </w:r>
      <w:r>
        <w:rPr>
          <w:rFonts w:ascii="Times New Roman" w:hAnsi="Times New Roman" w:cs="Times New Roman"/>
          <w:sz w:val="22"/>
        </w:rPr>
        <w:lastRenderedPageBreak/>
        <w:t>with-push-to-save-water#:~:text=The%20U.S.%20Environmental%20Protection%20Agency,to%20agency%20spokesperson%20Carissa%20Cyran.</w:t>
      </w:r>
    </w:p>
    <w:p w14:paraId="369A4F82"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ind w:left="720" w:hanging="720"/>
        <w:rPr>
          <w:rFonts w:ascii="Times New Roman"/>
          <w:sz w:val="22"/>
          <w:lang w:val="en-US"/>
        </w:rPr>
      </w:pPr>
      <w:r>
        <w:rPr>
          <w:rFonts w:ascii="Times New Roman"/>
          <w:sz w:val="22"/>
          <w:lang w:val="en-US"/>
        </w:rPr>
        <w:t xml:space="preserve">INTEWA GmbH (2022) </w:t>
      </w:r>
      <w:r>
        <w:rPr>
          <w:rFonts w:ascii="Times New Roman"/>
          <w:i/>
          <w:sz w:val="22"/>
          <w:lang w:val="en-US"/>
        </w:rPr>
        <w:t>Marriott Hotel Moxy with greywater recycling &amp; adiabatic cooling</w:t>
      </w:r>
      <w:r>
        <w:rPr>
          <w:rFonts w:ascii="Times New Roman"/>
          <w:sz w:val="22"/>
          <w:lang w:val="en-US"/>
        </w:rPr>
        <w:t>. Available at: https://www.intewa.com/en/references/marriott-hotel-moxy-with-greywater-recycling-adiabatic-cooling/#:~:text=A%20greywater%20recycling%20system%20with,an%20I%2DCONNECT%20control%20system.</w:t>
      </w:r>
    </w:p>
    <w:p w14:paraId="58E8FA21" w14:textId="77777777" w:rsidR="00F21EFF" w:rsidRDefault="00F21EFF">
      <w:pPr>
        <w:pStyle w:val="Bibliography"/>
        <w:spacing w:line="360" w:lineRule="auto"/>
        <w:rPr>
          <w:rFonts w:ascii="Times New Roman" w:hAnsi="Times New Roman" w:cs="Times New Roman"/>
          <w:sz w:val="22"/>
        </w:rPr>
      </w:pPr>
    </w:p>
    <w:p w14:paraId="7CD09DE6"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ind w:left="720" w:hanging="720"/>
        <w:rPr>
          <w:rFonts w:ascii="Times New Roman" w:hAnsi="Times New Roman" w:cs="Times New Roman"/>
          <w:sz w:val="22"/>
        </w:rPr>
      </w:pPr>
      <w:r>
        <w:rPr>
          <w:rFonts w:ascii="Times New Roman" w:hAnsi="Times New Roman" w:cs="Times New Roman"/>
          <w:sz w:val="22"/>
          <w:lang w:val="en-US"/>
        </w:rPr>
        <w:t xml:space="preserve">Marriott International (2024) </w:t>
      </w:r>
      <w:r>
        <w:rPr>
          <w:rFonts w:ascii="Times New Roman" w:hAnsi="Times New Roman" w:cs="Times New Roman"/>
          <w:i/>
          <w:sz w:val="22"/>
          <w:lang w:val="en-US"/>
        </w:rPr>
        <w:t>Sustainability &amp; Social Impact Goals 2025</w:t>
      </w:r>
      <w:r>
        <w:rPr>
          <w:rFonts w:ascii="Times New Roman" w:hAnsi="Times New Roman" w:cs="Times New Roman"/>
          <w:sz w:val="22"/>
          <w:lang w:val="en-US"/>
        </w:rPr>
        <w:t>. Available at: https://serve360.marriott.com/wp-content/uploads/2019/10/Serve-360-goals-page-tabloid_2-updated-20180916-English.pdf.</w:t>
      </w:r>
    </w:p>
    <w:p w14:paraId="6A467F8E" w14:textId="77777777" w:rsidR="00F21EFF"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O’Neill, S. (2024) “Moxy Hotels at 10: How Marriott&amp;#8217;s Gen Z Brand Grew Up,” </w:t>
      </w:r>
      <w:r>
        <w:rPr>
          <w:rFonts w:ascii="Times New Roman" w:hAnsi="Times New Roman" w:cs="Times New Roman"/>
          <w:i/>
          <w:iCs/>
          <w:sz w:val="22"/>
        </w:rPr>
        <w:t>Skift</w:t>
      </w:r>
      <w:r>
        <w:rPr>
          <w:rFonts w:ascii="Times New Roman" w:hAnsi="Times New Roman" w:cs="Times New Roman"/>
          <w:sz w:val="22"/>
        </w:rPr>
        <w:t>, 1 October. Available at: https://skift.com/2024/10/01/moxy-hotels-at-10-how-marriotts-gen-z-brand-grew-up/#:~:text=Moxy%20Hotels%2C%20a%20Marriott%20brand,and%20plans%20for%20further%20expansion.</w:t>
      </w:r>
    </w:p>
    <w:p w14:paraId="2D98664B" w14:textId="77777777" w:rsidR="00F21EFF"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Salvia, G. </w:t>
      </w:r>
      <w:r>
        <w:rPr>
          <w:rFonts w:ascii="Times New Roman" w:hAnsi="Times New Roman" w:cs="Times New Roman"/>
          <w:i/>
          <w:iCs/>
          <w:sz w:val="22"/>
        </w:rPr>
        <w:t>et al.</w:t>
      </w:r>
      <w:r>
        <w:rPr>
          <w:rFonts w:ascii="Times New Roman" w:hAnsi="Times New Roman" w:cs="Times New Roman"/>
          <w:sz w:val="22"/>
        </w:rPr>
        <w:t xml:space="preserve"> (2021) “The wicked problem of waste management: An attention-based analysis of stakeholder behaviours,” </w:t>
      </w:r>
      <w:r>
        <w:rPr>
          <w:rFonts w:ascii="Times New Roman" w:hAnsi="Times New Roman" w:cs="Times New Roman"/>
          <w:i/>
          <w:iCs/>
          <w:sz w:val="22"/>
        </w:rPr>
        <w:t>Journal of Cleaner Production</w:t>
      </w:r>
      <w:r>
        <w:rPr>
          <w:rFonts w:ascii="Times New Roman" w:hAnsi="Times New Roman" w:cs="Times New Roman"/>
          <w:sz w:val="22"/>
        </w:rPr>
        <w:t>, 326, p. 129200. doi:10.1016/j.jclepro.2021.129200.</w:t>
      </w:r>
    </w:p>
    <w:p w14:paraId="4A9920D0"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ind w:left="720" w:hanging="720"/>
        <w:rPr>
          <w:rFonts w:ascii="Times New Roman" w:hAnsi="Times New Roman" w:cs="Times New Roman"/>
          <w:sz w:val="22"/>
        </w:rPr>
      </w:pPr>
      <w:r>
        <w:rPr>
          <w:rFonts w:ascii="Times New Roman"/>
          <w:sz w:val="22"/>
          <w:lang w:val="en-US"/>
        </w:rPr>
        <w:t xml:space="preserve">Space (2024) </w:t>
      </w:r>
      <w:r>
        <w:rPr>
          <w:rFonts w:ascii="Times New Roman"/>
          <w:i/>
          <w:sz w:val="22"/>
          <w:lang w:val="en-US"/>
        </w:rPr>
        <w:t>Moxy Downtown Los Angeles &amp; AC Hotel Downtown Los Angeles - SPACE | International Hotel Design</w:t>
      </w:r>
      <w:r>
        <w:rPr>
          <w:rFonts w:ascii="Times New Roman"/>
          <w:sz w:val="22"/>
          <w:lang w:val="en-US"/>
        </w:rPr>
        <w:t xml:space="preserve">, </w:t>
      </w:r>
      <w:r>
        <w:rPr>
          <w:rFonts w:ascii="Times New Roman"/>
          <w:i/>
          <w:sz w:val="22"/>
          <w:lang w:val="en-US"/>
        </w:rPr>
        <w:t>SPACE | International Hotel Design</w:t>
      </w:r>
      <w:r>
        <w:rPr>
          <w:rFonts w:ascii="Times New Roman"/>
          <w:sz w:val="22"/>
          <w:lang w:val="en-US"/>
        </w:rPr>
        <w:t>. Available at: https://hotelspaceonline.com/projects/moxy-downtown-los-angeles-ac-hotel-downtown-los-angeles/.</w:t>
      </w:r>
    </w:p>
    <w:p w14:paraId="6F8CB608"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ind w:left="720" w:hanging="720"/>
        <w:rPr>
          <w:rFonts w:ascii="Times New Roman" w:hAnsi="Times New Roman" w:cs="Times New Roman"/>
          <w:sz w:val="22"/>
        </w:rPr>
      </w:pPr>
      <w:r>
        <w:rPr>
          <w:rFonts w:ascii="Times New Roman" w:hAnsi="Times New Roman" w:cs="Times New Roman"/>
          <w:sz w:val="22"/>
          <w:lang w:val="en-US"/>
        </w:rPr>
        <w:t xml:space="preserve">Tripathy, P. </w:t>
      </w:r>
      <w:r>
        <w:rPr>
          <w:rFonts w:ascii="Times New Roman" w:hAnsi="Times New Roman" w:cs="Times New Roman"/>
          <w:i/>
          <w:sz w:val="22"/>
          <w:lang w:val="en-US"/>
        </w:rPr>
        <w:t>et al.</w:t>
      </w:r>
      <w:r>
        <w:rPr>
          <w:rFonts w:ascii="Times New Roman" w:hAnsi="Times New Roman" w:cs="Times New Roman"/>
          <w:sz w:val="22"/>
          <w:lang w:val="en-US"/>
        </w:rPr>
        <w:t xml:space="preserve"> (2024) “Facets of cost-benefit analysis of greywater recycling system in the framework of sustainable water security,” </w:t>
      </w:r>
      <w:r>
        <w:rPr>
          <w:rFonts w:ascii="Times New Roman" w:hAnsi="Times New Roman" w:cs="Times New Roman"/>
          <w:i/>
          <w:sz w:val="22"/>
          <w:lang w:val="en-US"/>
        </w:rPr>
        <w:t>Journal of Cleaner Production</w:t>
      </w:r>
      <w:r>
        <w:rPr>
          <w:rFonts w:ascii="Times New Roman" w:hAnsi="Times New Roman" w:cs="Times New Roman"/>
          <w:sz w:val="22"/>
          <w:lang w:val="en-US"/>
        </w:rPr>
        <w:t>, 451, p. 142048. doi:10.1016/j.jclepro.2024.142048.</w:t>
      </w:r>
    </w:p>
    <w:p w14:paraId="04305562"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ind w:left="720" w:hanging="720"/>
        <w:rPr>
          <w:rFonts w:ascii="Times New Roman" w:hAnsi="Times New Roman" w:cs="Times New Roman"/>
          <w:sz w:val="22"/>
        </w:rPr>
      </w:pPr>
      <w:r>
        <w:rPr>
          <w:rFonts w:ascii="Times New Roman"/>
          <w:sz w:val="22"/>
          <w:lang w:val="en-US"/>
        </w:rPr>
        <w:t xml:space="preserve">Thomsen, F.B. (2016) </w:t>
      </w:r>
      <w:r>
        <w:rPr>
          <w:rFonts w:ascii="Times New Roman"/>
          <w:i/>
          <w:sz w:val="22"/>
          <w:lang w:val="en-US"/>
        </w:rPr>
        <w:t xml:space="preserve">Green Key </w:t>
      </w:r>
      <w:r>
        <w:rPr>
          <w:rFonts w:ascii="Times New Roman"/>
          <w:i/>
          <w:sz w:val="22"/>
          <w:lang w:val="en-US"/>
        </w:rPr>
        <w:t>—</w:t>
      </w:r>
      <w:r>
        <w:rPr>
          <w:rFonts w:ascii="Times New Roman"/>
          <w:i/>
          <w:sz w:val="22"/>
          <w:lang w:val="en-US"/>
        </w:rPr>
        <w:t xml:space="preserve"> Greywater Harvesting for Hotels</w:t>
      </w:r>
      <w:r>
        <w:rPr>
          <w:rFonts w:ascii="Times New Roman"/>
          <w:sz w:val="22"/>
          <w:lang w:val="en-US"/>
        </w:rPr>
        <w:t xml:space="preserve">, </w:t>
      </w:r>
      <w:r>
        <w:rPr>
          <w:rFonts w:ascii="Times New Roman"/>
          <w:i/>
          <w:sz w:val="22"/>
          <w:lang w:val="en-US"/>
        </w:rPr>
        <w:t>Green Key</w:t>
      </w:r>
      <w:r>
        <w:rPr>
          <w:rFonts w:ascii="Times New Roman"/>
          <w:sz w:val="22"/>
          <w:lang w:val="en-US"/>
        </w:rPr>
        <w:t>. Available at: https://www.greenkey.global/stories-news-1/2016/7/11/greywater-harvesting-for-hotels.</w:t>
      </w:r>
    </w:p>
    <w:p w14:paraId="4D484979" w14:textId="77777777" w:rsidR="00F21EFF"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United Nations Sustainable Development (2023) </w:t>
      </w:r>
      <w:r>
        <w:rPr>
          <w:rFonts w:ascii="Times New Roman" w:hAnsi="Times New Roman" w:cs="Times New Roman"/>
          <w:i/>
          <w:iCs/>
          <w:sz w:val="22"/>
        </w:rPr>
        <w:t>Take Action for the Sustainable Development Goals - United Nations Sustainable Development</w:t>
      </w:r>
      <w:r>
        <w:rPr>
          <w:rFonts w:ascii="Times New Roman" w:hAnsi="Times New Roman" w:cs="Times New Roman"/>
          <w:sz w:val="22"/>
        </w:rPr>
        <w:t xml:space="preserve">, </w:t>
      </w:r>
      <w:r>
        <w:rPr>
          <w:rFonts w:ascii="Times New Roman" w:hAnsi="Times New Roman" w:cs="Times New Roman"/>
          <w:i/>
          <w:iCs/>
          <w:sz w:val="22"/>
        </w:rPr>
        <w:t>United Nations Sustainable Development</w:t>
      </w:r>
      <w:r>
        <w:rPr>
          <w:rFonts w:ascii="Times New Roman" w:hAnsi="Times New Roman" w:cs="Times New Roman"/>
          <w:sz w:val="22"/>
        </w:rPr>
        <w:t>. Available at: https://www.un.org/sustainabledevelopment/sustainable-development-goals/.</w:t>
      </w:r>
    </w:p>
    <w:p w14:paraId="69377BA0" w14:textId="77777777" w:rsidR="00F21EFF"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ind w:left="720" w:hanging="720"/>
        <w:rPr>
          <w:rFonts w:ascii="Times New Roman" w:hAnsi="Times New Roman" w:cs="Times New Roman"/>
          <w:sz w:val="22"/>
          <w:lang w:val="en-US"/>
        </w:rPr>
      </w:pPr>
      <w:r>
        <w:rPr>
          <w:rFonts w:ascii="Times New Roman" w:hAnsi="Times New Roman" w:cs="Times New Roman"/>
          <w:sz w:val="22"/>
          <w:lang w:val="en-US"/>
        </w:rPr>
        <w:lastRenderedPageBreak/>
        <w:t xml:space="preserve">Van De Walle, A. </w:t>
      </w:r>
      <w:r>
        <w:rPr>
          <w:rFonts w:ascii="Times New Roman" w:hAnsi="Times New Roman" w:cs="Times New Roman"/>
          <w:i/>
          <w:sz w:val="22"/>
          <w:lang w:val="en-US"/>
        </w:rPr>
        <w:t>et al.</w:t>
      </w:r>
      <w:r>
        <w:rPr>
          <w:rFonts w:ascii="Times New Roman" w:hAnsi="Times New Roman" w:cs="Times New Roman"/>
          <w:sz w:val="22"/>
          <w:lang w:val="en-US"/>
        </w:rPr>
        <w:t xml:space="preserve"> (2023) “Greywater reuse as a key enabler for improving urban wastewater management,” </w:t>
      </w:r>
      <w:r>
        <w:rPr>
          <w:rFonts w:ascii="Times New Roman" w:hAnsi="Times New Roman" w:cs="Times New Roman"/>
          <w:i/>
          <w:sz w:val="22"/>
          <w:lang w:val="en-US"/>
        </w:rPr>
        <w:t>Environmental Science and Ecotechnology</w:t>
      </w:r>
      <w:r>
        <w:rPr>
          <w:rFonts w:ascii="Times New Roman" w:hAnsi="Times New Roman" w:cs="Times New Roman"/>
          <w:sz w:val="22"/>
          <w:lang w:val="en-US"/>
        </w:rPr>
        <w:t>, 16, p. 100277. doi:10.1016/j.ese.2023.100277.</w:t>
      </w:r>
    </w:p>
    <w:p w14:paraId="108E8CB5" w14:textId="77777777" w:rsidR="00F21EFF" w:rsidRDefault="00000000">
      <w:pPr>
        <w:pStyle w:val="Bibliography"/>
        <w:spacing w:line="360" w:lineRule="auto"/>
        <w:rPr>
          <w:rFonts w:ascii="Times New Roman" w:hAnsi="Times New Roman" w:cs="Times New Roman"/>
          <w:sz w:val="22"/>
        </w:rPr>
      </w:pPr>
      <w:r>
        <w:rPr>
          <w:rFonts w:ascii="Times New Roman" w:hAnsi="Times New Roman" w:cs="Times New Roman"/>
          <w:sz w:val="22"/>
        </w:rPr>
        <w:t xml:space="preserve">Wijethilake, C., Upadhaya, B. and Lama, T. (2021) “The role of organisational culture in organisational change towards sustainability: evidence from the garment manufacturing industry,” </w:t>
      </w:r>
      <w:r>
        <w:rPr>
          <w:rFonts w:ascii="Times New Roman" w:hAnsi="Times New Roman" w:cs="Times New Roman"/>
          <w:i/>
          <w:iCs/>
          <w:sz w:val="22"/>
        </w:rPr>
        <w:t>Production Planning &amp; Control</w:t>
      </w:r>
      <w:r>
        <w:rPr>
          <w:rFonts w:ascii="Times New Roman" w:hAnsi="Times New Roman" w:cs="Times New Roman"/>
          <w:sz w:val="22"/>
        </w:rPr>
        <w:t>, 34(3), pp. 275–294. doi:10.1080/09537287.2021.1913524.</w:t>
      </w:r>
    </w:p>
    <w:p w14:paraId="47B8BE97" w14:textId="77777777" w:rsidR="00F21EFF" w:rsidRDefault="00F21EFF">
      <w:pPr>
        <w:spacing w:line="360" w:lineRule="auto"/>
        <w:rPr>
          <w:rFonts w:ascii="Times New Roman" w:hAnsi="Times New Roman" w:cs="Times New Roman"/>
          <w:sz w:val="22"/>
        </w:rPr>
      </w:pPr>
    </w:p>
    <w:sectPr w:rsidR="00F21EFF">
      <w:headerReference w:type="default" r:id="rId13"/>
      <w:footerReference w:type="default" r:id="rId14"/>
      <w:pgSz w:w="11906" w:h="16838"/>
      <w:pgMar w:top="1440" w:right="1440" w:bottom="1440" w:left="1440" w:header="708" w:footer="716" w:gutter="0"/>
      <w:paperSrc w:first="1" w:other="1"/>
      <w:pgBorders w:offsetFrom="page">
        <w:top w:val="single" w:sz="18" w:space="24" w:color="auto"/>
        <w:left w:val="single" w:sz="18" w:space="24" w:color="auto"/>
        <w:bottom w:val="single" w:sz="18" w:space="24" w:color="auto"/>
        <w:right w:val="single" w:sz="18"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368AE3" w14:textId="77777777" w:rsidR="00175FD9" w:rsidRDefault="00175FD9">
      <w:pPr>
        <w:spacing w:after="0" w:line="240" w:lineRule="auto"/>
      </w:pPr>
      <w:r>
        <w:separator/>
      </w:r>
    </w:p>
  </w:endnote>
  <w:endnote w:type="continuationSeparator" w:id="0">
    <w:p w14:paraId="26ECE054" w14:textId="77777777" w:rsidR="00175FD9" w:rsidRDefault="00175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C34549" w14:textId="77777777" w:rsidR="00F21EFF" w:rsidRDefault="00000000">
    <w:pPr>
      <w:spacing w:after="0" w:line="240" w:lineRule="auto"/>
      <w:jc w:val="center"/>
    </w:pPr>
    <w:r>
      <w:rPr>
        <w:lang w:val="en-US"/>
      </w:rPr>
      <w:fldChar w:fldCharType="begin"/>
    </w:r>
    <w:r>
      <w:rPr>
        <w:lang w:val="en-US"/>
      </w:rPr>
      <w:instrText>PAGE</w:instrText>
    </w:r>
    <w:r>
      <w:rPr>
        <w:lang w:val="en-US"/>
      </w:rPr>
      <w:fldChar w:fldCharType="separate"/>
    </w:r>
    <w:r>
      <w:rPr>
        <w:lang w:val="en-US"/>
      </w:rPr>
      <w:t>*</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CFD95" w14:textId="77777777" w:rsidR="00175FD9" w:rsidRDefault="00175FD9">
      <w:pPr>
        <w:spacing w:after="0" w:line="240" w:lineRule="auto"/>
      </w:pPr>
      <w:r>
        <w:separator/>
      </w:r>
    </w:p>
  </w:footnote>
  <w:footnote w:type="continuationSeparator" w:id="0">
    <w:p w14:paraId="331EA903" w14:textId="77777777" w:rsidR="00175FD9" w:rsidRDefault="00175F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AB2DF1" w14:textId="7C3CBE3C" w:rsidR="00F21EFF" w:rsidRDefault="00964C95">
    <w:pPr>
      <w:spacing w:after="0" w:line="240" w:lineRule="auto"/>
    </w:pPr>
    <w:r>
      <w:t>Andreea Maria Crozolo 2226837</w:t>
    </w:r>
  </w:p>
  <w:p w14:paraId="1A0E392A" w14:textId="77777777" w:rsidR="00F21EFF" w:rsidRDefault="00F21EFF">
    <w:pPr>
      <w:spacing w:after="0" w:line="24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645EC4"/>
    <w:multiLevelType w:val="multilevel"/>
    <w:tmpl w:val="A044D452"/>
    <w:lvl w:ilvl="0">
      <w:start w:val="1"/>
      <w:numFmt w:val="decimal"/>
      <w:lvlText w:val="%1."/>
      <w:lvlJc w:val="left"/>
      <w:rPr>
        <w:rFonts w:hint="default"/>
      </w:rPr>
    </w:lvl>
    <w:lvl w:ilvl="1">
      <w:start w:val="1"/>
      <w:numFmt w:val="decimal"/>
      <w:lvlText w:val="%2."/>
      <w:lvlJc w:val="left"/>
      <w:rPr>
        <w:rFonts w:hint="default"/>
      </w:rPr>
    </w:lvl>
    <w:lvl w:ilvl="2">
      <w:start w:val="1"/>
      <w:numFmt w:val="decimal"/>
      <w:lvlText w:val="%3."/>
      <w:lvlJc w:val="left"/>
      <w:rPr>
        <w:rFonts w:hint="default"/>
      </w:rPr>
    </w:lvl>
    <w:lvl w:ilvl="3">
      <w:start w:val="1"/>
      <w:numFmt w:val="decimal"/>
      <w:lvlText w:val="%4."/>
      <w:lvlJc w:val="left"/>
      <w:rPr>
        <w:rFonts w:hint="default"/>
      </w:rPr>
    </w:lvl>
    <w:lvl w:ilvl="4">
      <w:start w:val="1"/>
      <w:numFmt w:val="decimal"/>
      <w:lvlText w:val="%5."/>
      <w:lvlJc w:val="left"/>
      <w:rPr>
        <w:rFonts w:hint="default"/>
      </w:rPr>
    </w:lvl>
    <w:lvl w:ilvl="5">
      <w:start w:val="1"/>
      <w:numFmt w:val="decimal"/>
      <w:lvlText w:val="%6."/>
      <w:lvlJc w:val="left"/>
      <w:rPr>
        <w:rFonts w:hint="default"/>
      </w:rPr>
    </w:lvl>
    <w:lvl w:ilvl="6">
      <w:start w:val="1"/>
      <w:numFmt w:val="decimal"/>
      <w:lvlText w:val="%7."/>
      <w:lvlJc w:val="left"/>
      <w:rPr>
        <w:rFonts w:hint="default"/>
      </w:rPr>
    </w:lvl>
    <w:lvl w:ilvl="7">
      <w:start w:val="1"/>
      <w:numFmt w:val="decimal"/>
      <w:lvlText w:val="%8."/>
      <w:lvlJc w:val="left"/>
      <w:rPr>
        <w:rFonts w:hint="default"/>
      </w:rPr>
    </w:lvl>
    <w:lvl w:ilvl="8">
      <w:start w:val="1"/>
      <w:numFmt w:val="decimal"/>
      <w:lvlText w:val="%9."/>
      <w:lvlJc w:val="left"/>
      <w:rPr>
        <w:rFonts w:hint="default"/>
      </w:rPr>
    </w:lvl>
  </w:abstractNum>
  <w:abstractNum w:abstractNumId="1" w15:restartNumberingAfterBreak="0">
    <w:nsid w:val="765452E6"/>
    <w:multiLevelType w:val="hybridMultilevel"/>
    <w:tmpl w:val="097A02CE"/>
    <w:lvl w:ilvl="0" w:tplc="0D2A544A">
      <w:start w:val="1"/>
      <w:numFmt w:val="bullet"/>
      <w:lvlText w:val=""/>
      <w:lvlJc w:val="left"/>
      <w:pPr>
        <w:ind w:left="720" w:hanging="360"/>
      </w:pPr>
      <w:rPr>
        <w:rFonts w:ascii="Symbol" w:hAnsi="Symbol" w:hint="default"/>
      </w:rPr>
    </w:lvl>
    <w:lvl w:ilvl="1" w:tplc="08BECCD2" w:tentative="1">
      <w:start w:val="1"/>
      <w:numFmt w:val="bullet"/>
      <w:lvlText w:val="o"/>
      <w:lvlJc w:val="left"/>
      <w:pPr>
        <w:ind w:left="1440" w:hanging="360"/>
      </w:pPr>
      <w:rPr>
        <w:rFonts w:ascii="Courier New" w:hAnsi="Courier New" w:cs="Courier New" w:hint="default"/>
      </w:rPr>
    </w:lvl>
    <w:lvl w:ilvl="2" w:tplc="1F7ADDD6" w:tentative="1">
      <w:start w:val="1"/>
      <w:numFmt w:val="bullet"/>
      <w:lvlText w:val=""/>
      <w:lvlJc w:val="left"/>
      <w:pPr>
        <w:ind w:left="2160" w:hanging="360"/>
      </w:pPr>
      <w:rPr>
        <w:rFonts w:ascii="Wingdings" w:hAnsi="Wingdings" w:hint="default"/>
      </w:rPr>
    </w:lvl>
    <w:lvl w:ilvl="3" w:tplc="01B6130E" w:tentative="1">
      <w:start w:val="1"/>
      <w:numFmt w:val="bullet"/>
      <w:lvlText w:val=""/>
      <w:lvlJc w:val="left"/>
      <w:pPr>
        <w:ind w:left="2880" w:hanging="360"/>
      </w:pPr>
      <w:rPr>
        <w:rFonts w:ascii="Symbol" w:hAnsi="Symbol" w:hint="default"/>
      </w:rPr>
    </w:lvl>
    <w:lvl w:ilvl="4" w:tplc="3E744ED8" w:tentative="1">
      <w:start w:val="1"/>
      <w:numFmt w:val="bullet"/>
      <w:lvlText w:val="o"/>
      <w:lvlJc w:val="left"/>
      <w:pPr>
        <w:ind w:left="3600" w:hanging="360"/>
      </w:pPr>
      <w:rPr>
        <w:rFonts w:ascii="Courier New" w:hAnsi="Courier New" w:cs="Courier New" w:hint="default"/>
      </w:rPr>
    </w:lvl>
    <w:lvl w:ilvl="5" w:tplc="2ABCCFBE" w:tentative="1">
      <w:start w:val="1"/>
      <w:numFmt w:val="bullet"/>
      <w:lvlText w:val=""/>
      <w:lvlJc w:val="left"/>
      <w:pPr>
        <w:ind w:left="4320" w:hanging="360"/>
      </w:pPr>
      <w:rPr>
        <w:rFonts w:ascii="Wingdings" w:hAnsi="Wingdings" w:hint="default"/>
      </w:rPr>
    </w:lvl>
    <w:lvl w:ilvl="6" w:tplc="4028AD40" w:tentative="1">
      <w:start w:val="1"/>
      <w:numFmt w:val="bullet"/>
      <w:lvlText w:val=""/>
      <w:lvlJc w:val="left"/>
      <w:pPr>
        <w:ind w:left="5040" w:hanging="360"/>
      </w:pPr>
      <w:rPr>
        <w:rFonts w:ascii="Symbol" w:hAnsi="Symbol" w:hint="default"/>
      </w:rPr>
    </w:lvl>
    <w:lvl w:ilvl="7" w:tplc="DBD03D28" w:tentative="1">
      <w:start w:val="1"/>
      <w:numFmt w:val="bullet"/>
      <w:lvlText w:val="o"/>
      <w:lvlJc w:val="left"/>
      <w:pPr>
        <w:ind w:left="5760" w:hanging="360"/>
      </w:pPr>
      <w:rPr>
        <w:rFonts w:ascii="Courier New" w:hAnsi="Courier New" w:cs="Courier New" w:hint="default"/>
      </w:rPr>
    </w:lvl>
    <w:lvl w:ilvl="8" w:tplc="A32441C6" w:tentative="1">
      <w:start w:val="1"/>
      <w:numFmt w:val="bullet"/>
      <w:lvlText w:val=""/>
      <w:lvlJc w:val="left"/>
      <w:pPr>
        <w:ind w:left="6480" w:hanging="360"/>
      </w:pPr>
      <w:rPr>
        <w:rFonts w:ascii="Wingdings" w:hAnsi="Wingdings" w:hint="default"/>
      </w:rPr>
    </w:lvl>
  </w:abstractNum>
  <w:num w:numId="1" w16cid:durableId="549154485">
    <w:abstractNumId w:val="0"/>
    <w:lvlOverride w:ilvl="0">
      <w:lvl w:ilvl="0" w:tentative="1">
        <w:start w:val="1"/>
        <w:numFmt w:val="bullet"/>
        <w:lvlText w:val="·"/>
        <w:lvlJc w:val="left"/>
        <w:rPr>
          <w:rFonts w:hint="default"/>
        </w:rPr>
      </w:lvl>
    </w:lvlOverride>
  </w:num>
  <w:num w:numId="2" w16cid:durableId="15787820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21EFF"/>
    <w:rsid w:val="00175FD9"/>
    <w:rsid w:val="00330280"/>
    <w:rsid w:val="00964C95"/>
    <w:rsid w:val="00F21EF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05200"/>
  <w15:docId w15:val="{30D9D0B4-C7AB-4202-B0EA-1B60F7BA2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Segoe UI" w:eastAsia="Verdana" w:hAnsi="Segoe U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color w:val="000000"/>
      <w:sz w:val="18"/>
      <w:szCs w:val="22"/>
    </w:rPr>
  </w:style>
  <w:style w:type="paragraph" w:styleId="Heading1">
    <w:name w:val="heading 1"/>
    <w:basedOn w:val="Normal"/>
    <w:next w:val="Normal"/>
    <w:link w:val="Heading1Char"/>
    <w:uiPriority w:val="9"/>
    <w:qFormat/>
    <w:pPr>
      <w:keepNext/>
      <w:keepLines/>
      <w:spacing w:before="480" w:after="0"/>
      <w:outlineLvl w:val="0"/>
    </w:pPr>
    <w:rPr>
      <w:rFonts w:cs="Times New Roman"/>
      <w:b/>
      <w:bCs/>
      <w:color w:val="2F5395"/>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cs="Times New Roman"/>
      <w:b/>
      <w:bCs/>
      <w:color w:val="4472C4"/>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cs="Times New Roman"/>
      <w:b/>
      <w:bCs/>
      <w:color w:val="4472C4"/>
    </w:rPr>
  </w:style>
  <w:style w:type="paragraph" w:styleId="Heading4">
    <w:name w:val="heading 4"/>
    <w:basedOn w:val="Normal"/>
    <w:next w:val="Normal"/>
    <w:link w:val="Heading4Char"/>
    <w:uiPriority w:val="9"/>
    <w:semiHidden/>
    <w:unhideWhenUsed/>
    <w:qFormat/>
    <w:pPr>
      <w:keepNext/>
      <w:keepLines/>
      <w:spacing w:before="200" w:after="0"/>
      <w:outlineLvl w:val="3"/>
    </w:pPr>
    <w:rPr>
      <w:rFonts w:cs="Times New Roman"/>
      <w:b/>
      <w:bCs/>
      <w:i/>
      <w:iCs/>
      <w:color w:val="4472C4"/>
    </w:rPr>
  </w:style>
  <w:style w:type="paragraph" w:styleId="Heading5">
    <w:name w:val="heading 5"/>
    <w:basedOn w:val="Normal"/>
    <w:next w:val="Normal"/>
    <w:link w:val="Heading5Char"/>
    <w:uiPriority w:val="9"/>
    <w:semiHidden/>
    <w:unhideWhenUsed/>
    <w:qFormat/>
    <w:pPr>
      <w:keepNext/>
      <w:keepLines/>
      <w:spacing w:before="200" w:after="0"/>
      <w:outlineLvl w:val="4"/>
    </w:pPr>
    <w:rPr>
      <w:rFonts w:cs="Times New Roman"/>
      <w:color w:val="1F3763"/>
    </w:rPr>
  </w:style>
  <w:style w:type="paragraph" w:styleId="Heading6">
    <w:name w:val="heading 6"/>
    <w:basedOn w:val="Normal"/>
    <w:next w:val="Normal"/>
    <w:link w:val="Heading6Char"/>
    <w:uiPriority w:val="9"/>
    <w:semiHidden/>
    <w:unhideWhenUsed/>
    <w:qFormat/>
    <w:pPr>
      <w:keepNext/>
      <w:keepLines/>
      <w:spacing w:before="200" w:after="0"/>
      <w:outlineLvl w:val="5"/>
    </w:pPr>
    <w:rPr>
      <w:rFonts w:cs="Times New Roman"/>
      <w:i/>
      <w:iCs/>
      <w:color w:val="1F3763"/>
    </w:rPr>
  </w:style>
  <w:style w:type="paragraph" w:styleId="Heading7">
    <w:name w:val="heading 7"/>
    <w:basedOn w:val="Normal"/>
    <w:next w:val="Normal"/>
    <w:link w:val="Heading7Char"/>
    <w:uiPriority w:val="9"/>
    <w:semiHidden/>
    <w:unhideWhenUsed/>
    <w:qFormat/>
    <w:pPr>
      <w:keepNext/>
      <w:keepLines/>
      <w:spacing w:before="200" w:after="0"/>
      <w:outlineLvl w:val="6"/>
    </w:pPr>
    <w:rPr>
      <w:rFonts w:cs="Times New Roman"/>
      <w:i/>
      <w:iCs/>
      <w:color w:val="404040"/>
    </w:rPr>
  </w:style>
  <w:style w:type="paragraph" w:styleId="Heading8">
    <w:name w:val="heading 8"/>
    <w:basedOn w:val="Normal"/>
    <w:next w:val="Normal"/>
    <w:link w:val="Heading8Char"/>
    <w:uiPriority w:val="9"/>
    <w:semiHidden/>
    <w:unhideWhenUsed/>
    <w:qFormat/>
    <w:pPr>
      <w:keepNext/>
      <w:keepLines/>
      <w:spacing w:before="200" w:after="0"/>
      <w:outlineLvl w:val="7"/>
    </w:pPr>
    <w:rPr>
      <w:rFonts w:cs="Times New Roman"/>
      <w:color w:val="404040"/>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cs="Times New Roman"/>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style>
  <w:style w:type="character" w:customStyle="1" w:styleId="Heading1Char">
    <w:name w:val="Heading 1 Char"/>
    <w:link w:val="Heading1"/>
    <w:uiPriority w:val="9"/>
    <w:rPr>
      <w:rFonts w:cs="Times New Roman" w:hint="default"/>
      <w:b/>
      <w:bCs/>
      <w:color w:val="2F5395"/>
      <w:sz w:val="28"/>
      <w:szCs w:val="28"/>
    </w:rPr>
  </w:style>
  <w:style w:type="character" w:customStyle="1" w:styleId="Heading2Char">
    <w:name w:val="Heading 2 Char"/>
    <w:link w:val="Heading2"/>
    <w:uiPriority w:val="9"/>
    <w:rPr>
      <w:rFonts w:cs="Times New Roman" w:hint="default"/>
      <w:b/>
      <w:bCs/>
      <w:color w:val="4472C4"/>
      <w:sz w:val="26"/>
      <w:szCs w:val="26"/>
    </w:rPr>
  </w:style>
  <w:style w:type="character" w:customStyle="1" w:styleId="Heading3Char">
    <w:name w:val="Heading 3 Char"/>
    <w:link w:val="Heading3"/>
    <w:uiPriority w:val="9"/>
    <w:rPr>
      <w:rFonts w:cs="Times New Roman" w:hint="default"/>
      <w:b/>
      <w:bCs/>
      <w:color w:val="4472C4"/>
    </w:rPr>
  </w:style>
  <w:style w:type="character" w:customStyle="1" w:styleId="Heading4Char">
    <w:name w:val="Heading 4 Char"/>
    <w:link w:val="Heading4"/>
    <w:uiPriority w:val="9"/>
    <w:rPr>
      <w:rFonts w:cs="Times New Roman" w:hint="default"/>
      <w:b/>
      <w:bCs/>
      <w:i/>
      <w:iCs/>
      <w:color w:val="4472C4"/>
    </w:rPr>
  </w:style>
  <w:style w:type="character" w:customStyle="1" w:styleId="Heading5Char">
    <w:name w:val="Heading 5 Char"/>
    <w:link w:val="Heading5"/>
    <w:uiPriority w:val="9"/>
    <w:rPr>
      <w:rFonts w:cs="Times New Roman" w:hint="default"/>
      <w:color w:val="1F3763"/>
    </w:rPr>
  </w:style>
  <w:style w:type="character" w:customStyle="1" w:styleId="Heading6Char">
    <w:name w:val="Heading 6 Char"/>
    <w:link w:val="Heading6"/>
    <w:uiPriority w:val="9"/>
    <w:rPr>
      <w:rFonts w:cs="Times New Roman" w:hint="default"/>
      <w:i/>
      <w:iCs/>
      <w:color w:val="1F3763"/>
    </w:rPr>
  </w:style>
  <w:style w:type="character" w:customStyle="1" w:styleId="Heading7Char">
    <w:name w:val="Heading 7 Char"/>
    <w:link w:val="Heading7"/>
    <w:uiPriority w:val="9"/>
    <w:rPr>
      <w:rFonts w:cs="Times New Roman" w:hint="default"/>
      <w:i/>
      <w:iCs/>
      <w:color w:val="404040"/>
    </w:rPr>
  </w:style>
  <w:style w:type="character" w:customStyle="1" w:styleId="Heading8Char">
    <w:name w:val="Heading 8 Char"/>
    <w:link w:val="Heading8"/>
    <w:uiPriority w:val="9"/>
    <w:rPr>
      <w:rFonts w:cs="Times New Roman" w:hint="default"/>
      <w:color w:val="404040"/>
      <w:sz w:val="20"/>
      <w:szCs w:val="20"/>
    </w:rPr>
  </w:style>
  <w:style w:type="character" w:customStyle="1" w:styleId="Heading9Char">
    <w:name w:val="Heading 9 Char"/>
    <w:link w:val="Heading9"/>
    <w:uiPriority w:val="9"/>
    <w:rPr>
      <w:rFonts w:cs="Times New Roman" w:hint="default"/>
      <w:i/>
      <w:iCs/>
      <w:color w:val="404040"/>
      <w:sz w:val="20"/>
      <w:szCs w:val="20"/>
    </w:rPr>
  </w:style>
  <w:style w:type="paragraph" w:styleId="Title">
    <w:name w:val="Title"/>
    <w:basedOn w:val="Normal"/>
    <w:next w:val="Normal"/>
    <w:link w:val="TitleChar"/>
    <w:uiPriority w:val="10"/>
    <w:qFormat/>
    <w:pPr>
      <w:pBdr>
        <w:bottom w:val="single" w:sz="8" w:space="4" w:color="4472C4"/>
      </w:pBdr>
      <w:spacing w:after="300" w:line="240" w:lineRule="auto"/>
    </w:pPr>
    <w:rPr>
      <w:rFonts w:cs="Times New Roman"/>
      <w:color w:val="333F4F"/>
      <w:spacing w:val="5"/>
      <w:sz w:val="52"/>
      <w:szCs w:val="52"/>
    </w:rPr>
  </w:style>
  <w:style w:type="character" w:customStyle="1" w:styleId="TitleChar">
    <w:name w:val="Title Char"/>
    <w:link w:val="Title"/>
    <w:uiPriority w:val="10"/>
    <w:rPr>
      <w:rFonts w:cs="Times New Roman" w:hint="default"/>
      <w:color w:val="333F4F"/>
      <w:spacing w:val="5"/>
      <w:sz w:val="52"/>
      <w:szCs w:val="52"/>
    </w:rPr>
  </w:style>
  <w:style w:type="paragraph" w:styleId="Subtitle">
    <w:name w:val="Subtitle"/>
    <w:basedOn w:val="Normal"/>
    <w:next w:val="Normal"/>
    <w:link w:val="SubtitleChar"/>
    <w:uiPriority w:val="11"/>
    <w:qFormat/>
    <w:rPr>
      <w:rFonts w:cs="Times New Roman"/>
      <w:i/>
      <w:iCs/>
      <w:color w:val="4472C4"/>
      <w:spacing w:val="15"/>
      <w:sz w:val="24"/>
      <w:szCs w:val="24"/>
    </w:rPr>
  </w:style>
  <w:style w:type="character" w:customStyle="1" w:styleId="SubtitleChar">
    <w:name w:val="Subtitle Char"/>
    <w:link w:val="Subtitle"/>
    <w:uiPriority w:val="11"/>
    <w:rPr>
      <w:rFonts w:cs="Times New Roman" w:hint="default"/>
      <w:i/>
      <w:iCs/>
      <w:color w:val="4472C4"/>
      <w:spacing w:val="15"/>
      <w:sz w:val="24"/>
      <w:szCs w:val="24"/>
    </w:rPr>
  </w:style>
  <w:style w:type="character" w:styleId="SubtleEmphasis">
    <w:name w:val="Subtle Emphasis"/>
    <w:uiPriority w:val="19"/>
    <w:qFormat/>
    <w:rPr>
      <w:rFonts w:hint="default"/>
      <w:i/>
      <w:iCs/>
      <w:color w:val="808080"/>
    </w:rPr>
  </w:style>
  <w:style w:type="character" w:styleId="Emphasis">
    <w:name w:val="Emphasis"/>
    <w:uiPriority w:val="20"/>
    <w:qFormat/>
    <w:rPr>
      <w:rFonts w:hint="default"/>
      <w:i/>
      <w:iCs/>
    </w:rPr>
  </w:style>
  <w:style w:type="character" w:styleId="IntenseEmphasis">
    <w:name w:val="Intense Emphasis"/>
    <w:uiPriority w:val="21"/>
    <w:qFormat/>
    <w:rPr>
      <w:rFonts w:hint="default"/>
      <w:b/>
      <w:bCs/>
      <w:i/>
      <w:iCs/>
      <w:color w:val="4472C4"/>
    </w:rPr>
  </w:style>
  <w:style w:type="character" w:styleId="Strong">
    <w:name w:val="Strong"/>
    <w:uiPriority w:val="22"/>
    <w:qFormat/>
    <w:rPr>
      <w:rFonts w:hint="default"/>
      <w:b/>
      <w:bCs/>
    </w:rPr>
  </w:style>
  <w:style w:type="paragraph" w:styleId="Quote">
    <w:name w:val="Quote"/>
    <w:basedOn w:val="Normal"/>
    <w:next w:val="Normal"/>
    <w:link w:val="QuoteChar"/>
    <w:uiPriority w:val="29"/>
    <w:qFormat/>
    <w:rPr>
      <w:i/>
      <w:iCs/>
    </w:rPr>
  </w:style>
  <w:style w:type="character" w:customStyle="1" w:styleId="QuoteChar">
    <w:name w:val="Quote Char"/>
    <w:link w:val="Quote"/>
    <w:uiPriority w:val="29"/>
    <w:rPr>
      <w:rFonts w:hint="default"/>
      <w:i/>
      <w:iCs/>
      <w:color w:val="000000"/>
    </w:rPr>
  </w:style>
  <w:style w:type="paragraph" w:styleId="IntenseQuote">
    <w:name w:val="Intense Quote"/>
    <w:basedOn w:val="Normal"/>
    <w:next w:val="Normal"/>
    <w:link w:val="IntenseQuoteChar"/>
    <w:uiPriority w:val="30"/>
    <w:qFormat/>
    <w:pPr>
      <w:pBdr>
        <w:bottom w:val="single" w:sz="4" w:space="4" w:color="4472C4"/>
      </w:pBdr>
      <w:spacing w:before="200" w:after="280"/>
      <w:ind w:left="936" w:right="936"/>
    </w:pPr>
    <w:rPr>
      <w:b/>
      <w:bCs/>
      <w:i/>
      <w:iCs/>
      <w:color w:val="4472C4"/>
    </w:rPr>
  </w:style>
  <w:style w:type="character" w:customStyle="1" w:styleId="IntenseQuoteChar">
    <w:name w:val="Intense Quote Char"/>
    <w:link w:val="IntenseQuote"/>
    <w:uiPriority w:val="30"/>
    <w:rPr>
      <w:rFonts w:hint="default"/>
      <w:b/>
      <w:bCs/>
      <w:i/>
      <w:iCs/>
      <w:color w:val="4472C4"/>
    </w:rPr>
  </w:style>
  <w:style w:type="character" w:styleId="SubtleReference">
    <w:name w:val="Subtle Reference"/>
    <w:uiPriority w:val="31"/>
    <w:qFormat/>
    <w:rPr>
      <w:rFonts w:hint="default"/>
      <w:smallCaps/>
      <w:color w:val="ED7D31"/>
      <w:u w:val="single"/>
    </w:rPr>
  </w:style>
  <w:style w:type="character" w:styleId="IntenseReference">
    <w:name w:val="Intense Reference"/>
    <w:uiPriority w:val="32"/>
    <w:qFormat/>
    <w:rPr>
      <w:rFonts w:hint="default"/>
      <w:b/>
      <w:bCs/>
      <w:smallCaps/>
      <w:color w:val="ED7D31"/>
      <w:spacing w:val="5"/>
      <w:u w:val="single"/>
    </w:rPr>
  </w:style>
  <w:style w:type="character" w:styleId="BookTitle">
    <w:name w:val="Book Title"/>
    <w:uiPriority w:val="33"/>
    <w:qFormat/>
    <w:rPr>
      <w:rFonts w:hint="default"/>
      <w:b/>
      <w:bCs/>
      <w:smallCaps/>
      <w:spacing w:val="5"/>
    </w:rPr>
  </w:style>
  <w:style w:type="paragraph" w:styleId="ListParagraph">
    <w:name w:val="List Paragraph"/>
    <w:basedOn w:val="Normal"/>
    <w:uiPriority w:val="34"/>
    <w:qFormat/>
    <w:pPr>
      <w:ind w:left="720"/>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rPr>
      <w:rFonts w:hint="default"/>
      <w:sz w:val="20"/>
      <w:szCs w:val="20"/>
    </w:rPr>
  </w:style>
  <w:style w:type="character" w:styleId="FootnoteReference">
    <w:name w:val="footnote reference"/>
    <w:uiPriority w:val="99"/>
    <w:semiHidden/>
    <w:unhideWhenUsed/>
    <w:rPr>
      <w:rFonts w:hint="default"/>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rPr>
      <w:rFonts w:hint="default"/>
      <w:sz w:val="20"/>
      <w:szCs w:val="20"/>
    </w:rPr>
  </w:style>
  <w:style w:type="character" w:styleId="EndnoteReference">
    <w:name w:val="endnote reference"/>
    <w:uiPriority w:val="99"/>
    <w:semiHidden/>
    <w:unhideWhenUsed/>
    <w:rPr>
      <w:rFonts w:hint="default"/>
      <w:vertAlign w:val="superscript"/>
    </w:rPr>
  </w:style>
  <w:style w:type="character" w:styleId="Hyperlink">
    <w:name w:val="Hyperlink"/>
    <w:uiPriority w:val="99"/>
    <w:unhideWhenUsed/>
    <w:rPr>
      <w:rFonts w:hint="default"/>
      <w:color w:val="0563C1"/>
      <w:u w:val="single"/>
    </w:rPr>
  </w:style>
  <w:style w:type="character" w:styleId="FollowedHyperlink">
    <w:name w:val="FollowedHyperlink"/>
    <w:uiPriority w:val="99"/>
    <w:semiHidden/>
    <w:unhideWhenUsed/>
    <w:rPr>
      <w:rFonts w:hint="default"/>
      <w:color w:val="954F72"/>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link w:val="PlainText"/>
    <w:uiPriority w:val="99"/>
    <w:rPr>
      <w:rFonts w:ascii="Courier New" w:hAnsi="Courier New" w:cs="Courier New" w:hint="default"/>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link w:val="Header"/>
    <w:uiPriority w:val="99"/>
    <w:rPr>
      <w:rFonts w:hint="default"/>
    </w:rPr>
  </w:style>
  <w:style w:type="paragraph" w:styleId="Footer">
    <w:name w:val="footer"/>
    <w:basedOn w:val="Normal"/>
    <w:link w:val="FooterChar"/>
    <w:uiPriority w:val="99"/>
    <w:unhideWhenUsed/>
    <w:pPr>
      <w:spacing w:after="0" w:line="240" w:lineRule="auto"/>
    </w:pPr>
  </w:style>
  <w:style w:type="character" w:customStyle="1" w:styleId="FooterChar">
    <w:name w:val="Footer Char"/>
    <w:link w:val="Footer"/>
    <w:uiPriority w:val="99"/>
    <w:rPr>
      <w:rFonts w:hint="default"/>
    </w:rPr>
  </w:style>
  <w:style w:type="paragraph" w:styleId="Caption">
    <w:name w:val="caption"/>
    <w:basedOn w:val="Normal"/>
    <w:next w:val="Normal"/>
    <w:uiPriority w:val="35"/>
    <w:unhideWhenUsed/>
    <w:qFormat/>
    <w:pPr>
      <w:spacing w:line="240" w:lineRule="auto"/>
    </w:pPr>
    <w:rPr>
      <w:i/>
      <w:iCs/>
      <w:color w:val="44546A"/>
      <w:szCs w:val="18"/>
    </w:rPr>
  </w:style>
  <w:style w:type="table" w:styleId="TableGrid">
    <w:name w:val="Table Grid"/>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Pr>
      <w:b w:val="0"/>
      <w:bCs w:val="0"/>
      <w:sz w:val="32"/>
      <w:szCs w:val="3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Bibliography">
    <w:name w:val="Bibliography"/>
    <w:basedOn w:val="Normal"/>
    <w:uiPriority w:val="99"/>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2969</Words>
  <Characters>16928</Characters>
  <Application>Microsoft Office Word</Application>
  <DocSecurity>0</DocSecurity>
  <Lines>141</Lines>
  <Paragraphs>39</Paragraphs>
  <ScaleCrop>false</ScaleCrop>
  <Company/>
  <LinksUpToDate>false</LinksUpToDate>
  <CharactersWithSpaces>19858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Party Kids</dc:creator>
  <cp:lastModifiedBy>Ovidiu Crozolo</cp:lastModifiedBy>
  <cp:revision>3</cp:revision>
  <dcterms:created xsi:type="dcterms:W3CDTF">2024-11-15T18:24:00Z</dcterms:created>
  <dcterms:modified xsi:type="dcterms:W3CDTF">2024-11-15T18:29:00Z</dcterms:modified>
</cp:coreProperties>
</file>