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9B5C10" w14:textId="0DD1C679" w:rsidR="005F3E2C" w:rsidRDefault="00297408" w:rsidP="007F0A1E">
      <w:pPr>
        <w:jc w:val="both"/>
        <w:rPr>
          <w:b/>
          <w:bCs/>
          <w:u w:val="single"/>
        </w:rPr>
      </w:pPr>
      <w:r>
        <w:rPr>
          <w:noProof/>
        </w:rPr>
        <mc:AlternateContent>
          <mc:Choice Requires="wps">
            <w:drawing>
              <wp:anchor distT="45720" distB="45720" distL="114300" distR="114300" simplePos="0" relativeHeight="251660288" behindDoc="1" locked="0" layoutInCell="1" allowOverlap="1" wp14:anchorId="097A16B9" wp14:editId="7E90D3B9">
                <wp:simplePos x="0" y="0"/>
                <wp:positionH relativeFrom="column">
                  <wp:posOffset>1480782</wp:posOffset>
                </wp:positionH>
                <wp:positionV relativeFrom="paragraph">
                  <wp:posOffset>225188</wp:posOffset>
                </wp:positionV>
                <wp:extent cx="2790825" cy="2797791"/>
                <wp:effectExtent l="0" t="0" r="28575" b="2222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90825" cy="2797791"/>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16FA2554" w14:textId="240B5C68" w:rsidR="00DA22B9" w:rsidRDefault="00DA22B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97A16B9" id="_x0000_t202" coordsize="21600,21600" o:spt="202" path="m,l,21600r21600,l21600,xe">
                <v:stroke joinstyle="miter"/>
                <v:path gradientshapeok="t" o:connecttype="rect"/>
              </v:shapetype>
              <v:shape id="Text Box 2" o:spid="_x0000_s1026" type="#_x0000_t202" style="position:absolute;left:0;text-align:left;margin-left:116.6pt;margin-top:17.75pt;width:219.75pt;height:220.3pt;z-index:-2516561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" fillcolor="white [3201]" strokecolor="black [3200]" strokeweight="1pt">
                <v:textbox>
                  <w:txbxContent>
                    <w:p w14:paraId="16FA2554" w14:textId="240B5C68" w:rsidR="00DA22B9" w:rsidRDefault="00DA22B9"/>
                  </w:txbxContent>
                </v:textbox>
              </v:shape>
            </w:pict>
          </mc:Fallback>
        </mc:AlternateContent>
      </w:r>
      <w:r w:rsidRPr="000B7085">
        <w:rPr>
          <w:noProof/>
        </w:rPr>
        <w:drawing>
          <wp:anchor distT="0" distB="0" distL="114300" distR="114300" simplePos="0" relativeHeight="251658240" behindDoc="0" locked="0" layoutInCell="1" allowOverlap="1" wp14:anchorId="21E17546" wp14:editId="4BEA51C8">
            <wp:simplePos x="0" y="0"/>
            <wp:positionH relativeFrom="margin">
              <wp:posOffset>2011045</wp:posOffset>
            </wp:positionH>
            <wp:positionV relativeFrom="paragraph">
              <wp:posOffset>325755</wp:posOffset>
            </wp:positionV>
            <wp:extent cx="1529715" cy="2234565"/>
            <wp:effectExtent l="19050" t="19050" r="13335" b="1333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1529715" cy="223456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7F0A1E">
        <w:rPr>
          <w:b/>
          <w:bCs/>
          <w:u w:val="single"/>
        </w:rPr>
        <w:t xml:space="preserve">A Commentary On A </w:t>
      </w:r>
      <w:r w:rsidR="007F0A1E" w:rsidRPr="007F0A1E">
        <w:rPr>
          <w:b/>
          <w:bCs/>
          <w:u w:val="single"/>
        </w:rPr>
        <w:t xml:space="preserve">Detail </w:t>
      </w:r>
      <w:r w:rsidR="007F0A1E">
        <w:rPr>
          <w:b/>
          <w:bCs/>
          <w:u w:val="single"/>
        </w:rPr>
        <w:t>F</w:t>
      </w:r>
      <w:r w:rsidR="007F0A1E" w:rsidRPr="007F0A1E">
        <w:rPr>
          <w:b/>
          <w:bCs/>
          <w:u w:val="single"/>
        </w:rPr>
        <w:t xml:space="preserve">rom </w:t>
      </w:r>
      <w:r w:rsidR="007F0A1E">
        <w:rPr>
          <w:b/>
          <w:bCs/>
          <w:u w:val="single"/>
        </w:rPr>
        <w:t>T</w:t>
      </w:r>
      <w:r w:rsidR="007F0A1E" w:rsidRPr="007F0A1E">
        <w:rPr>
          <w:b/>
          <w:bCs/>
          <w:u w:val="single"/>
        </w:rPr>
        <w:t xml:space="preserve">he </w:t>
      </w:r>
      <w:r w:rsidR="007F0A1E">
        <w:rPr>
          <w:b/>
          <w:bCs/>
          <w:u w:val="single"/>
        </w:rPr>
        <w:t>M</w:t>
      </w:r>
      <w:r w:rsidR="007F0A1E" w:rsidRPr="007F0A1E">
        <w:rPr>
          <w:b/>
          <w:bCs/>
          <w:u w:val="single"/>
        </w:rPr>
        <w:t xml:space="preserve">osaic </w:t>
      </w:r>
      <w:r w:rsidR="007F0A1E">
        <w:rPr>
          <w:b/>
          <w:bCs/>
          <w:u w:val="single"/>
        </w:rPr>
        <w:t>Of</w:t>
      </w:r>
      <w:r w:rsidR="007F0A1E" w:rsidRPr="007F0A1E">
        <w:rPr>
          <w:b/>
          <w:bCs/>
          <w:u w:val="single"/>
        </w:rPr>
        <w:t xml:space="preserve"> Roger II </w:t>
      </w:r>
      <w:r w:rsidR="007F0A1E">
        <w:rPr>
          <w:b/>
          <w:bCs/>
          <w:u w:val="single"/>
        </w:rPr>
        <w:t>R</w:t>
      </w:r>
      <w:r w:rsidR="007F0A1E" w:rsidRPr="007F0A1E">
        <w:rPr>
          <w:b/>
          <w:bCs/>
          <w:u w:val="single"/>
        </w:rPr>
        <w:t xml:space="preserve">eceiving </w:t>
      </w:r>
      <w:r w:rsidR="007F0A1E">
        <w:rPr>
          <w:b/>
          <w:bCs/>
          <w:u w:val="single"/>
        </w:rPr>
        <w:t>T</w:t>
      </w:r>
      <w:r w:rsidR="007F0A1E" w:rsidRPr="007F0A1E">
        <w:rPr>
          <w:b/>
          <w:bCs/>
          <w:u w:val="single"/>
        </w:rPr>
        <w:t xml:space="preserve">he </w:t>
      </w:r>
      <w:r w:rsidR="007F0A1E">
        <w:rPr>
          <w:b/>
          <w:bCs/>
          <w:u w:val="single"/>
        </w:rPr>
        <w:t>C</w:t>
      </w:r>
      <w:r w:rsidR="007F0A1E" w:rsidRPr="007F0A1E">
        <w:rPr>
          <w:b/>
          <w:bCs/>
          <w:u w:val="single"/>
        </w:rPr>
        <w:t xml:space="preserve">rown </w:t>
      </w:r>
      <w:r w:rsidR="007F0A1E">
        <w:rPr>
          <w:b/>
          <w:bCs/>
          <w:u w:val="single"/>
        </w:rPr>
        <w:t>F</w:t>
      </w:r>
      <w:r w:rsidR="007F0A1E" w:rsidRPr="007F0A1E">
        <w:rPr>
          <w:b/>
          <w:bCs/>
          <w:u w:val="single"/>
        </w:rPr>
        <w:t>rom Christ,</w:t>
      </w:r>
      <w:r w:rsidR="007F0A1E">
        <w:rPr>
          <w:b/>
          <w:bCs/>
          <w:u w:val="single"/>
        </w:rPr>
        <w:t xml:space="preserve"> At </w:t>
      </w:r>
      <w:r w:rsidR="007F0A1E" w:rsidRPr="007F0A1E">
        <w:rPr>
          <w:b/>
          <w:bCs/>
          <w:u w:val="single"/>
        </w:rPr>
        <w:t>Martorana, Palermo</w:t>
      </w:r>
    </w:p>
    <w:p w14:paraId="3FC3A653" w14:textId="77777777" w:rsidR="00DA22B9" w:rsidRDefault="000B7085" w:rsidP="00DA22B9">
      <w:pPr>
        <w:jc w:val="center"/>
        <w:rPr>
          <w:i/>
          <w:iCs/>
          <w:u w:val="single"/>
        </w:rPr>
      </w:pPr>
      <w:r>
        <w:rPr>
          <w:u w:val="single"/>
        </w:rPr>
        <w:t xml:space="preserve">Fig. </w:t>
      </w:r>
      <w:r w:rsidR="004C565C">
        <w:rPr>
          <w:u w:val="single"/>
        </w:rPr>
        <w:t>1:</w:t>
      </w:r>
      <w:r w:rsidR="004C565C" w:rsidRPr="000B7085">
        <w:rPr>
          <w:i/>
          <w:iCs/>
          <w:u w:val="single"/>
        </w:rPr>
        <w:t xml:space="preserve"> </w:t>
      </w:r>
      <w:bookmarkStart w:id="0" w:name="_Hlk69911823"/>
      <w:r w:rsidR="004C565C" w:rsidRPr="000B7085">
        <w:rPr>
          <w:i/>
          <w:iCs/>
          <w:u w:val="single"/>
        </w:rPr>
        <w:t>Detail</w:t>
      </w:r>
      <w:r w:rsidRPr="000B7085">
        <w:rPr>
          <w:i/>
          <w:iCs/>
          <w:u w:val="single"/>
        </w:rPr>
        <w:t xml:space="preserve"> from the mosaic with Roger II</w:t>
      </w:r>
      <w:r w:rsidR="00DA22B9">
        <w:rPr>
          <w:i/>
          <w:iCs/>
          <w:u w:val="single"/>
        </w:rPr>
        <w:t xml:space="preserve"> </w:t>
      </w:r>
      <w:r w:rsidRPr="000B7085">
        <w:rPr>
          <w:i/>
          <w:iCs/>
          <w:u w:val="single"/>
        </w:rPr>
        <w:t>receiving</w:t>
      </w:r>
    </w:p>
    <w:p w14:paraId="3620C99C" w14:textId="229916D2" w:rsidR="000B7085" w:rsidRPr="00034A9A" w:rsidRDefault="000B7085" w:rsidP="00DA22B9">
      <w:pPr>
        <w:jc w:val="center"/>
        <w:rPr>
          <w:u w:val="single"/>
        </w:rPr>
      </w:pPr>
      <w:r w:rsidRPr="000B7085">
        <w:rPr>
          <w:i/>
          <w:iCs/>
          <w:u w:val="single"/>
        </w:rPr>
        <w:t xml:space="preserve"> the crown</w:t>
      </w:r>
      <w:r w:rsidR="004C565C">
        <w:rPr>
          <w:i/>
          <w:iCs/>
          <w:u w:val="single"/>
        </w:rPr>
        <w:t xml:space="preserve"> f</w:t>
      </w:r>
      <w:r w:rsidRPr="000B7085">
        <w:rPr>
          <w:i/>
          <w:iCs/>
          <w:u w:val="single"/>
        </w:rPr>
        <w:t>rom Christ, Martorana, Palermo</w:t>
      </w:r>
      <w:bookmarkEnd w:id="0"/>
      <w:r w:rsidR="00345181">
        <w:rPr>
          <w:i/>
          <w:iCs/>
          <w:u w:val="single"/>
        </w:rPr>
        <w:t>.</w:t>
      </w:r>
      <w:r w:rsidR="00034A9A">
        <w:rPr>
          <w:rStyle w:val="FootnoteReference"/>
          <w:i/>
          <w:iCs/>
          <w:u w:val="single"/>
        </w:rPr>
        <w:footnoteReference w:id="1"/>
      </w:r>
    </w:p>
    <w:p w14:paraId="25E9D803" w14:textId="6D2FE393" w:rsidR="004C565C" w:rsidRDefault="004C565C" w:rsidP="007A14AF">
      <w:pPr>
        <w:ind w:firstLine="720"/>
        <w:jc w:val="both"/>
      </w:pPr>
      <w:r w:rsidRPr="004C565C">
        <w:t>The image, (Fig. 1), depicts a coronation of King Roger II of Sicily, performed by Jesus Christ. The mosaic, primarily golden in colour, was completed, it is believed, during</w:t>
      </w:r>
      <w:r w:rsidR="005B20A3">
        <w:t xml:space="preserve"> </w:t>
      </w:r>
      <w:r w:rsidRPr="004C565C">
        <w:t>Roger II’s reign</w:t>
      </w:r>
      <w:r w:rsidR="00345181">
        <w:t xml:space="preserve"> as king of Sicily</w:t>
      </w:r>
      <w:r w:rsidRPr="004C565C">
        <w:t>, in the mid twelfth century</w:t>
      </w:r>
      <w:r w:rsidR="007E18B0">
        <w:t>.</w:t>
      </w:r>
      <w:r w:rsidR="00345181">
        <w:rPr>
          <w:rStyle w:val="FootnoteReference"/>
        </w:rPr>
        <w:footnoteReference w:id="2"/>
      </w:r>
      <w:r w:rsidR="00345181">
        <w:t xml:space="preserve"> As this commentary shall demonstrate, this </w:t>
      </w:r>
      <w:r w:rsidR="00B17384">
        <w:t>mosaic tells as much about the person of Roger II</w:t>
      </w:r>
      <w:r w:rsidR="005B20A3">
        <w:t>, and his relationship with his people</w:t>
      </w:r>
      <w:r w:rsidR="00B17384">
        <w:t>.</w:t>
      </w:r>
    </w:p>
    <w:p w14:paraId="0C1110ED" w14:textId="1B8B5D73" w:rsidR="000B7085" w:rsidRDefault="00B17384" w:rsidP="00C14752">
      <w:pPr>
        <w:ind w:firstLine="720"/>
        <w:jc w:val="both"/>
      </w:pPr>
      <w:r>
        <w:t>Firstly, it is notable that this work</w:t>
      </w:r>
      <w:r w:rsidR="007E18B0">
        <w:t xml:space="preserve"> (Fig. 1)</w:t>
      </w:r>
      <w:r>
        <w:t xml:space="preserve"> is a mosaic, and one located the fairly public environment of the church of St. Maria l’Ammiraglio – as it was known at the time of this mosaic’s instalment, later to be known as La Martorana </w:t>
      </w:r>
      <w:r w:rsidR="00DA22B9">
        <w:t>–</w:t>
      </w:r>
      <w:r>
        <w:t xml:space="preserve"> </w:t>
      </w:r>
      <w:r w:rsidR="00DA22B9">
        <w:t>at Palermo,</w:t>
      </w:r>
      <w:r w:rsidR="005B20A3">
        <w:t xml:space="preserve"> </w:t>
      </w:r>
      <w:r w:rsidR="00DA22B9">
        <w:t>Roger II’s Sicilian capital</w:t>
      </w:r>
      <w:r w:rsidR="007E18B0">
        <w:t>.</w:t>
      </w:r>
      <w:r w:rsidR="00DA22B9">
        <w:rPr>
          <w:rStyle w:val="FootnoteReference"/>
        </w:rPr>
        <w:footnoteReference w:id="3"/>
      </w:r>
      <w:r w:rsidR="00E82533">
        <w:t xml:space="preserve"> </w:t>
      </w:r>
      <w:r w:rsidR="007D15B7">
        <w:t xml:space="preserve">As a visual source this mosaic would have been comprehensible to all seeing it, not being limited by the language barriers </w:t>
      </w:r>
      <w:r w:rsidR="00297408">
        <w:t>which existed between the different peoples living on Sicily in Middle Ages.</w:t>
      </w:r>
      <w:r w:rsidR="00297408">
        <w:rPr>
          <w:rStyle w:val="FootnoteReference"/>
        </w:rPr>
        <w:footnoteReference w:id="4"/>
      </w:r>
      <w:r w:rsidR="00297408">
        <w:t xml:space="preserve"> </w:t>
      </w:r>
      <w:r w:rsidR="00E82533">
        <w:t>As a mosaic, made from gold, pearls, and coloured glass, this work of art would reflect a significant amount of light, and – in a basilica lit primarily by candles</w:t>
      </w:r>
      <w:r w:rsidR="00446628">
        <w:t xml:space="preserve">, which this, as a </w:t>
      </w:r>
      <w:r w:rsidR="007D15B7">
        <w:t>Byzantine</w:t>
      </w:r>
      <w:r w:rsidR="00446628">
        <w:t xml:space="preserve"> style church, would have been – would be particularly eye catching to any observer</w:t>
      </w:r>
      <w:r w:rsidR="007E18B0">
        <w:t>.</w:t>
      </w:r>
      <w:r w:rsidR="00446628">
        <w:rPr>
          <w:rStyle w:val="FootnoteReference"/>
        </w:rPr>
        <w:footnoteReference w:id="5"/>
      </w:r>
      <w:r w:rsidR="009E621A">
        <w:t xml:space="preserve"> Considering also that this eye-catching mosaic featured prominently, in a church – public place, </w:t>
      </w:r>
      <w:r w:rsidR="007A14AF">
        <w:t>with regular visitors – in a major city, it is evident that this mosaic was designed to catch the eye of the general public of Palermo</w:t>
      </w:r>
      <w:r w:rsidR="007E18B0">
        <w:t>.</w:t>
      </w:r>
      <w:r w:rsidR="007A14AF">
        <w:rPr>
          <w:rStyle w:val="FootnoteReference"/>
        </w:rPr>
        <w:footnoteReference w:id="6"/>
      </w:r>
      <w:r w:rsidR="007A14AF">
        <w:t xml:space="preserve"> As such, especially considering </w:t>
      </w:r>
      <w:r w:rsidR="000B2602">
        <w:t xml:space="preserve">that </w:t>
      </w:r>
      <w:r w:rsidR="007A14AF">
        <w:t>Roger II</w:t>
      </w:r>
      <w:r w:rsidR="000B2602">
        <w:t xml:space="preserve"> conferred titles – Protonobilissimus, and High Admiral – on the family of George Antiochenus, the builder of this church, indicating his approval of the project, it follows that the mosaic should </w:t>
      </w:r>
      <w:r w:rsidR="000B2602">
        <w:lastRenderedPageBreak/>
        <w:t>present the Roger II, and his relationship with Christ, as the king wished these things to be presented</w:t>
      </w:r>
      <w:r w:rsidR="00297408">
        <w:t xml:space="preserve"> to the people</w:t>
      </w:r>
      <w:r w:rsidR="000B2602">
        <w:t>, using techniques we he thought would be effective on the Sicilian population.</w:t>
      </w:r>
      <w:r w:rsidR="00C14752">
        <w:rPr>
          <w:rStyle w:val="FootnoteReference"/>
        </w:rPr>
        <w:footnoteReference w:id="7"/>
      </w:r>
    </w:p>
    <w:p w14:paraId="7591ABBB" w14:textId="37653637" w:rsidR="00C14752" w:rsidRDefault="00C14752" w:rsidP="00C14752">
      <w:pPr>
        <w:ind w:firstLine="720"/>
        <w:jc w:val="both"/>
      </w:pPr>
      <w:r>
        <w:t>In the mosaic (Fig. 1), Roger II can be seen being crowned by Christ, unlike in his actual coronation, which, most likely, saw him being crowned by the Arch</w:t>
      </w:r>
      <w:r w:rsidR="005B20A3">
        <w:t>b</w:t>
      </w:r>
      <w:r>
        <w:t>ishop of Palermo</w:t>
      </w:r>
      <w:r w:rsidR="007E18B0">
        <w:t>.</w:t>
      </w:r>
      <w:r>
        <w:rPr>
          <w:rStyle w:val="FootnoteReference"/>
        </w:rPr>
        <w:footnoteReference w:id="8"/>
      </w:r>
      <w:r>
        <w:t xml:space="preserve"> It is probable that part of the reason for this is status, Christ being a far more significant figure in Christianity than the Arch</w:t>
      </w:r>
      <w:r w:rsidR="005B20A3">
        <w:t>b</w:t>
      </w:r>
      <w:r>
        <w:t xml:space="preserve">ishop of a city on a rather small island. Desire for perceived status is evidently, partially, the reason for this mosaic’s </w:t>
      </w:r>
      <w:r w:rsidR="004D6961">
        <w:t>construction, consisting, as it does, of precious gold, and pearls, rather than the coloured glass more typical in mosaics, but there is likely another element to the choice to depict Christ in particular</w:t>
      </w:r>
      <w:r w:rsidR="007E18B0">
        <w:t>.</w:t>
      </w:r>
      <w:r w:rsidR="004D6961">
        <w:rPr>
          <w:rStyle w:val="FootnoteReference"/>
        </w:rPr>
        <w:footnoteReference w:id="9"/>
      </w:r>
      <w:r w:rsidR="004D6961">
        <w:t xml:space="preserve"> To a Catholic, such as Roger II, and</w:t>
      </w:r>
      <w:r w:rsidR="00552414">
        <w:t xml:space="preserve"> to a </w:t>
      </w:r>
      <w:r w:rsidR="004D6961">
        <w:t>man who’s family’s rule over Sicily was conferred by Papal authority</w:t>
      </w:r>
      <w:r w:rsidR="00476320">
        <w:t>, the Pope, as God’s representative on Earth, might seem to have been a suitable figure depict here, especially considering the emperor-like version of Roger II being presented here; in Europe the emperors, as seen with the those of the Holy Roman Empire, were crowned by the Pope</w:t>
      </w:r>
      <w:r w:rsidR="007E18B0">
        <w:t>.</w:t>
      </w:r>
      <w:r w:rsidR="00476320">
        <w:rPr>
          <w:rStyle w:val="FootnoteReference"/>
        </w:rPr>
        <w:footnoteReference w:id="10"/>
      </w:r>
      <w:r w:rsidR="00BB4D89">
        <w:t xml:space="preserve"> However, Roger II’s coronation mosaic, depicts Christ, not the Pope, and this may be due to the specific situation of Sicily. At that time, Sicily has inhabited by Muslims,</w:t>
      </w:r>
      <w:r w:rsidR="00826322">
        <w:t xml:space="preserve"> </w:t>
      </w:r>
      <w:r w:rsidR="00BB4D89">
        <w:t>Orthodox Byzantines, a</w:t>
      </w:r>
      <w:r w:rsidR="00826322">
        <w:t>nd</w:t>
      </w:r>
      <w:r w:rsidR="00BB4D89">
        <w:t xml:space="preserve"> Catholic</w:t>
      </w:r>
      <w:r w:rsidR="00826322">
        <w:t>s</w:t>
      </w:r>
      <w:r w:rsidR="00F434BA">
        <w:t>, it was a multi-culture,</w:t>
      </w:r>
      <w:r w:rsidR="00CF7C29">
        <w:t xml:space="preserve"> </w:t>
      </w:r>
      <w:r w:rsidR="00F434BA">
        <w:t>home to people following a range of faiths, and speaking many different languages</w:t>
      </w:r>
      <w:r w:rsidR="007E18B0">
        <w:t>.</w:t>
      </w:r>
      <w:r w:rsidR="00F434BA">
        <w:rPr>
          <w:rStyle w:val="FootnoteReference"/>
        </w:rPr>
        <w:footnoteReference w:id="11"/>
      </w:r>
      <w:r w:rsidR="00CF7C29">
        <w:t xml:space="preserve"> In that situation, unlike in much of the rest of Europe, the Pope would not be a universally recognisable figure, certainly not one associated with prestige, to a Muslim Sicilian he would be irrelevant, and </w:t>
      </w:r>
      <w:r w:rsidR="00855146">
        <w:t xml:space="preserve">he might be similarly irrelevant to an Orthodox Sicilian, or – at least – not so important, given the eastern church’s lack of recognition of papal </w:t>
      </w:r>
      <w:r w:rsidR="00EC04F2">
        <w:t>su</w:t>
      </w:r>
      <w:r w:rsidR="00855146">
        <w:t>pr</w:t>
      </w:r>
      <w:r w:rsidR="00EC04F2">
        <w:t>e</w:t>
      </w:r>
      <w:r w:rsidR="00855146">
        <w:t>macy</w:t>
      </w:r>
      <w:r w:rsidR="007E18B0">
        <w:t>.</w:t>
      </w:r>
      <w:r w:rsidR="00855146">
        <w:rPr>
          <w:rStyle w:val="FootnoteReference"/>
        </w:rPr>
        <w:footnoteReference w:id="12"/>
      </w:r>
      <w:r w:rsidR="00EC04F2">
        <w:t xml:space="preserve"> Between these groups Christ, however, would have been relevant to all, as the messiah for Orthodox, and Catholic, Christians, and a prophet for the Muslims</w:t>
      </w:r>
      <w:r w:rsidR="00826322">
        <w:t>, and have status to all</w:t>
      </w:r>
      <w:r w:rsidR="007E18B0">
        <w:t>.</w:t>
      </w:r>
      <w:r w:rsidR="00EC04F2">
        <w:rPr>
          <w:rStyle w:val="FootnoteReference"/>
        </w:rPr>
        <w:footnoteReference w:id="13"/>
      </w:r>
      <w:r w:rsidR="00826322">
        <w:t xml:space="preserve"> As such the depiction of Jesus</w:t>
      </w:r>
      <w:r w:rsidR="00F732BD">
        <w:t xml:space="preserve"> might have been due to Roger</w:t>
      </w:r>
      <w:r w:rsidR="00D04912">
        <w:t xml:space="preserve"> II</w:t>
      </w:r>
      <w:r w:rsidR="00F732BD">
        <w:t>’s desire for perceived status, and possibly divinity, amongst all Sicilians, and to portray his rightful kingship in a way universally recognisable.</w:t>
      </w:r>
    </w:p>
    <w:p w14:paraId="33B3B6EF" w14:textId="747FB397" w:rsidR="005B20A3" w:rsidRDefault="00481466" w:rsidP="00331E4A">
      <w:pPr>
        <w:ind w:firstLine="720"/>
        <w:jc w:val="both"/>
      </w:pPr>
      <w:r>
        <w:t xml:space="preserve">This use of Jesus in the mosaic (Fig. 1) is likely more for the benefit </w:t>
      </w:r>
      <w:r w:rsidR="007D15B7">
        <w:t>of Byzantine</w:t>
      </w:r>
      <w:r>
        <w:t xml:space="preserve"> Sicilians, rather than Muslim</w:t>
      </w:r>
      <w:r w:rsidR="00D04912">
        <w:t>s</w:t>
      </w:r>
      <w:r>
        <w:t>. Though there is some evidence of inter-faith use of this church – notably the Arabic</w:t>
      </w:r>
      <w:r w:rsidR="007E18B0">
        <w:t xml:space="preserve"> text on the pillars – this, as explored by Knight, </w:t>
      </w:r>
      <w:r w:rsidR="00D04912">
        <w:t xml:space="preserve">was likely </w:t>
      </w:r>
      <w:r w:rsidR="007E18B0">
        <w:t>due to the prevalence of Arabic as a language on Sicily, amongst Muslims, and non-Muslims.</w:t>
      </w:r>
      <w:r w:rsidR="007E18B0">
        <w:rPr>
          <w:rStyle w:val="FootnoteReference"/>
        </w:rPr>
        <w:footnoteReference w:id="14"/>
      </w:r>
      <w:r w:rsidR="007E18B0">
        <w:t xml:space="preserve"> This can be gathered from the prevalence of </w:t>
      </w:r>
      <w:r w:rsidR="007D15B7">
        <w:t>Byzantine</w:t>
      </w:r>
      <w:r w:rsidR="007E18B0">
        <w:t xml:space="preserve"> influences in this church, </w:t>
      </w:r>
      <w:r w:rsidR="00D04912">
        <w:t xml:space="preserve">which’s </w:t>
      </w:r>
      <w:r w:rsidR="007D15B7">
        <w:t>Byzantine</w:t>
      </w:r>
      <w:r w:rsidR="00D04912">
        <w:t xml:space="preserve"> style architecture has been discussed, </w:t>
      </w:r>
      <w:r w:rsidR="007E18B0">
        <w:t>and in the mosaic</w:t>
      </w:r>
      <w:r w:rsidR="00D04912">
        <w:t xml:space="preserve"> itself, as opposed to the lack of Islamic influence here. Most apparent of all these Byzantine influences is the depiction of Roger II</w:t>
      </w:r>
      <w:r w:rsidR="00594173">
        <w:t xml:space="preserve">, his clothing </w:t>
      </w:r>
      <w:r w:rsidR="00EE1344">
        <w:t>seems to be directly based on the garb of a Byzantine emperor; the robe, and ioros, are similar to those seen in roughly contemporary mosaic depictions of Emperor John II at the Hagia Sophia in Constantinople (modern-day Istanbul), note the sleeves, which taper, and tighten towards the kings wrists, and the ioros cloth over his left arm, much like the robes, and ioros of John II.</w:t>
      </w:r>
      <w:r w:rsidR="00EE1344">
        <w:rPr>
          <w:rStyle w:val="FootnoteReference"/>
        </w:rPr>
        <w:footnoteReference w:id="15"/>
      </w:r>
      <w:r w:rsidR="00085C74">
        <w:t xml:space="preserve"> Further the crown atop Roger II’s head is identical to the </w:t>
      </w:r>
      <w:r w:rsidR="00FA3C81" w:rsidRPr="00085C74">
        <w:rPr>
          <w:i/>
          <w:iCs/>
        </w:rPr>
        <w:t>kamillaukio</w:t>
      </w:r>
      <w:r w:rsidR="00FA3C81">
        <w:rPr>
          <w:i/>
          <w:iCs/>
        </w:rPr>
        <w:t>u</w:t>
      </w:r>
      <w:r w:rsidR="00085C74">
        <w:t xml:space="preserve"> worn by the Byzantine emperors, as can be seen in the depictions of John II, and Constantine IX, in mosaics at the Hagia Sophia, complete with pendillia</w:t>
      </w:r>
      <w:r w:rsidR="00C01DF2">
        <w:t>.</w:t>
      </w:r>
      <w:r w:rsidR="00085C74">
        <w:rPr>
          <w:rStyle w:val="FootnoteReference"/>
        </w:rPr>
        <w:footnoteReference w:id="16"/>
      </w:r>
      <w:r w:rsidR="00C01DF2">
        <w:t xml:space="preserve"> With the addition the </w:t>
      </w:r>
      <w:r w:rsidR="007D15B7">
        <w:t>Byzantine</w:t>
      </w:r>
      <w:r w:rsidR="00C01DF2">
        <w:t xml:space="preserve"> style crucifix within Christ’s halo, something fairly common in Byzantine mosaic, the connection to </w:t>
      </w:r>
      <w:r w:rsidR="007D15B7">
        <w:t>Byzantine</w:t>
      </w:r>
      <w:r w:rsidR="00C01DF2">
        <w:t xml:space="preserve"> themes – religious and secular – is apparent in </w:t>
      </w:r>
      <w:r w:rsidR="00C01DF2">
        <w:lastRenderedPageBreak/>
        <w:t>this mosaic</w:t>
      </w:r>
      <w:r w:rsidR="007D15B7">
        <w:t>.</w:t>
      </w:r>
      <w:r w:rsidR="00C01DF2">
        <w:rPr>
          <w:rStyle w:val="FootnoteReference"/>
        </w:rPr>
        <w:footnoteReference w:id="17"/>
      </w:r>
      <w:r w:rsidR="007D15B7">
        <w:t xml:space="preserve"> This extensive use of Byzantine themes, much like the use of Christ discussed above, was likely an attempt, by Roger II, to portray his status to the Byzantine Sicilians</w:t>
      </w:r>
      <w:r w:rsidR="005B20A3">
        <w:t>, and – indeed – to artificially raise that perceived status by association with Byzantine emperors.</w:t>
      </w:r>
    </w:p>
    <w:p w14:paraId="4473D456" w14:textId="615471DF" w:rsidR="005B20A3" w:rsidRDefault="005B20A3" w:rsidP="005B20A3">
      <w:pPr>
        <w:jc w:val="both"/>
        <w:rPr>
          <w:b/>
          <w:bCs/>
          <w:u w:val="single"/>
        </w:rPr>
      </w:pPr>
      <w:r>
        <w:rPr>
          <w:b/>
          <w:bCs/>
          <w:u w:val="single"/>
        </w:rPr>
        <w:t>Bibliography</w:t>
      </w:r>
    </w:p>
    <w:p w14:paraId="46CCB1CA" w14:textId="35CD7CDB" w:rsidR="00034A9A" w:rsidRPr="00034A9A" w:rsidRDefault="005B20A3" w:rsidP="005B20A3">
      <w:pPr>
        <w:jc w:val="both"/>
        <w:rPr>
          <w:b/>
          <w:bCs/>
        </w:rPr>
      </w:pPr>
      <w:r>
        <w:rPr>
          <w:b/>
          <w:bCs/>
        </w:rPr>
        <w:t>Primary Sources</w:t>
      </w:r>
    </w:p>
    <w:p w14:paraId="5F08643C" w14:textId="273BBBAC" w:rsidR="005B20A3" w:rsidRDefault="005B20A3" w:rsidP="005B20A3">
      <w:pPr>
        <w:jc w:val="both"/>
      </w:pPr>
      <w:r>
        <w:t xml:space="preserve">Abdallah ibn Al-Mubarak, </w:t>
      </w:r>
      <w:r w:rsidRPr="00826322">
        <w:rPr>
          <w:i/>
          <w:iCs/>
        </w:rPr>
        <w:t>Kitab al-Zuhd wa al-Raqaiq</w:t>
      </w:r>
      <w:r>
        <w:t>, trans., &amp; ed. by Khalidi</w:t>
      </w:r>
      <w:r>
        <w:t>, T.,</w:t>
      </w:r>
      <w:r>
        <w:t xml:space="preserve"> in </w:t>
      </w:r>
      <w:r>
        <w:rPr>
          <w:i/>
          <w:iCs/>
        </w:rPr>
        <w:t>The Muslim Jesus:</w:t>
      </w:r>
      <w:r w:rsidRPr="00826322">
        <w:t xml:space="preserve"> </w:t>
      </w:r>
      <w:r w:rsidRPr="00826322">
        <w:rPr>
          <w:i/>
          <w:iCs/>
        </w:rPr>
        <w:t>Sayings and Stories in Islamic Literature</w:t>
      </w:r>
      <w:r>
        <w:t>, (Massachusetts, Harvard University Press, 2001).</w:t>
      </w:r>
    </w:p>
    <w:p w14:paraId="399B6E5B" w14:textId="48017457" w:rsidR="00034A9A" w:rsidRPr="00034A9A" w:rsidRDefault="00034A9A" w:rsidP="005B20A3">
      <w:pPr>
        <w:jc w:val="both"/>
        <w:rPr>
          <w:i/>
          <w:iCs/>
          <w:u w:val="single"/>
        </w:rPr>
      </w:pPr>
      <w:r w:rsidRPr="00034A9A">
        <w:rPr>
          <w:i/>
          <w:iCs/>
        </w:rPr>
        <w:t>Detail from the mosaic with Roger II receiving the crown from Christ</w:t>
      </w:r>
      <w:r>
        <w:rPr>
          <w:i/>
          <w:iCs/>
        </w:rPr>
        <w:t xml:space="preserve"> at</w:t>
      </w:r>
      <w:r w:rsidRPr="00034A9A">
        <w:rPr>
          <w:i/>
          <w:iCs/>
        </w:rPr>
        <w:t xml:space="preserve"> Martorana, Palermo</w:t>
      </w:r>
      <w:r>
        <w:t>, ed. by</w:t>
      </w:r>
      <w:r w:rsidRPr="00034A9A">
        <w:t xml:space="preserve"> Cooper,</w:t>
      </w:r>
      <w:r>
        <w:t xml:space="preserve"> </w:t>
      </w:r>
      <w:r>
        <w:t xml:space="preserve">J. J., </w:t>
      </w:r>
      <w:r>
        <w:t>in</w:t>
      </w:r>
      <w:r w:rsidRPr="00034A9A">
        <w:t xml:space="preserve"> ‘Roger II’, </w:t>
      </w:r>
      <w:r w:rsidRPr="00034A9A">
        <w:rPr>
          <w:i/>
          <w:iCs/>
        </w:rPr>
        <w:t>Encyclopedia Britannica</w:t>
      </w:r>
      <w:r w:rsidRPr="00034A9A">
        <w:t>, 2021. https://www.britannica.com/biography/Roger-II. [Accessed 19/4/21]</w:t>
      </w:r>
    </w:p>
    <w:p w14:paraId="4114E738" w14:textId="69AC4698" w:rsidR="00F66332" w:rsidRDefault="00F66332" w:rsidP="005B20A3">
      <w:pPr>
        <w:jc w:val="both"/>
      </w:pPr>
      <w:r>
        <w:rPr>
          <w:i/>
          <w:iCs/>
        </w:rPr>
        <w:t>John Panel</w:t>
      </w:r>
      <w:r>
        <w:t xml:space="preserve"> </w:t>
      </w:r>
      <w:r>
        <w:rPr>
          <w:i/>
          <w:iCs/>
        </w:rPr>
        <w:t xml:space="preserve">at Haghia Sophia, </w:t>
      </w:r>
      <w:r>
        <w:t xml:space="preserve">ed. by T. Whittemore, in </w:t>
      </w:r>
      <w:r w:rsidRPr="00EE1344">
        <w:rPr>
          <w:i/>
          <w:iCs/>
        </w:rPr>
        <w:t>The Mosaics Of Haghia Sophia At Istanbul</w:t>
      </w:r>
      <w:r>
        <w:t>, (Oxford, Oxford University Press, 1942).</w:t>
      </w:r>
    </w:p>
    <w:p w14:paraId="5B21FEDD" w14:textId="37F769CD" w:rsidR="005B20A3" w:rsidRDefault="005B20A3" w:rsidP="005B20A3">
      <w:pPr>
        <w:jc w:val="both"/>
      </w:pPr>
      <w:r>
        <w:t xml:space="preserve">Robert Guiscard, </w:t>
      </w:r>
      <w:r w:rsidRPr="00476320">
        <w:rPr>
          <w:i/>
          <w:iCs/>
        </w:rPr>
        <w:t>The Oaths of Robert Guiscard to Pope Nicholas II, 1059</w:t>
      </w:r>
      <w:r>
        <w:rPr>
          <w:i/>
          <w:iCs/>
        </w:rPr>
        <w:t xml:space="preserve">, </w:t>
      </w:r>
      <w:r w:rsidRPr="00476320">
        <w:t>trans., &amp; ed. by Thatcher</w:t>
      </w:r>
      <w:r>
        <w:t>, O. J.</w:t>
      </w:r>
      <w:r w:rsidRPr="00476320">
        <w:t xml:space="preserve">, </w:t>
      </w:r>
      <w:r>
        <w:t xml:space="preserve">&amp; </w:t>
      </w:r>
      <w:r w:rsidRPr="00476320">
        <w:t>McNeal</w:t>
      </w:r>
      <w:r>
        <w:t>,</w:t>
      </w:r>
      <w:r>
        <w:t xml:space="preserve"> E. H.,</w:t>
      </w:r>
      <w:r>
        <w:t xml:space="preserve"> in </w:t>
      </w:r>
      <w:r w:rsidRPr="00476320">
        <w:rPr>
          <w:i/>
          <w:iCs/>
        </w:rPr>
        <w:t>A Source Book for Mediæval History: Selected Documents Illustrating the History of Europe in the Middle Age</w:t>
      </w:r>
      <w:r>
        <w:t>, (New York, Charles Scribner’s Sons, 1905).</w:t>
      </w:r>
    </w:p>
    <w:p w14:paraId="29A2A4E2" w14:textId="7AD907D1" w:rsidR="00F66332" w:rsidRDefault="00F66332" w:rsidP="005B20A3">
      <w:pPr>
        <w:jc w:val="both"/>
      </w:pPr>
      <w:r>
        <w:rPr>
          <w:i/>
          <w:iCs/>
        </w:rPr>
        <w:t>Zoe Panel at Haghia Sophia</w:t>
      </w:r>
      <w:r>
        <w:t xml:space="preserve">, ed. by T. Whittemore, in </w:t>
      </w:r>
      <w:r w:rsidRPr="00EE1344">
        <w:rPr>
          <w:i/>
          <w:iCs/>
        </w:rPr>
        <w:t>The Mosaics Of Haghia Sophia At Istanbul</w:t>
      </w:r>
      <w:r>
        <w:t>, (Oxford, Oxford University Press, 1942).</w:t>
      </w:r>
    </w:p>
    <w:p w14:paraId="730DD170" w14:textId="4B3E5491" w:rsidR="00034A9A" w:rsidRDefault="00034A9A" w:rsidP="005B20A3">
      <w:pPr>
        <w:jc w:val="both"/>
        <w:rPr>
          <w:b/>
          <w:bCs/>
        </w:rPr>
      </w:pPr>
      <w:r>
        <w:rPr>
          <w:b/>
          <w:bCs/>
        </w:rPr>
        <w:t>Secondary Sources</w:t>
      </w:r>
    </w:p>
    <w:p w14:paraId="313F1645" w14:textId="74C69E17" w:rsidR="00034A9A" w:rsidRDefault="00034A9A" w:rsidP="005B20A3">
      <w:pPr>
        <w:jc w:val="both"/>
      </w:pPr>
      <w:r>
        <w:t>Aurell,</w:t>
      </w:r>
      <w:r>
        <w:t xml:space="preserve"> J.,</w:t>
      </w:r>
      <w:r>
        <w:t xml:space="preserve"> </w:t>
      </w:r>
      <w:r w:rsidRPr="00345181">
        <w:rPr>
          <w:i/>
          <w:iCs/>
        </w:rPr>
        <w:t>Medieval Self-Coronations: The History and Symbolism of a Ritual</w:t>
      </w:r>
      <w:r>
        <w:t>, (Cambridge, Cambridge University Press, 2020).</w:t>
      </w:r>
    </w:p>
    <w:p w14:paraId="02ABDCD5" w14:textId="7821522F" w:rsidR="00034A9A" w:rsidRDefault="00034A9A" w:rsidP="005B20A3">
      <w:pPr>
        <w:jc w:val="both"/>
      </w:pPr>
      <w:r>
        <w:t>Brown,</w:t>
      </w:r>
      <w:r>
        <w:t xml:space="preserve"> R.,</w:t>
      </w:r>
      <w:r w:rsidRPr="009E621A">
        <w:t xml:space="preserve"> </w:t>
      </w:r>
      <w:r w:rsidRPr="009E621A">
        <w:rPr>
          <w:i/>
          <w:iCs/>
        </w:rPr>
        <w:t xml:space="preserve">Sacred Architecture, Its Rise, Progress, And Present State. Examining The Babylonian, Indian, Egyptian. Greek, And Roman </w:t>
      </w:r>
      <w:proofErr w:type="gramStart"/>
      <w:r w:rsidRPr="009E621A">
        <w:rPr>
          <w:i/>
          <w:iCs/>
        </w:rPr>
        <w:t>Temples,-</w:t>
      </w:r>
      <w:proofErr w:type="gramEnd"/>
      <w:r w:rsidRPr="009E621A">
        <w:rPr>
          <w:i/>
          <w:iCs/>
        </w:rPr>
        <w:t xml:space="preserve"> The Byzantine, Saxon, Lombard, Norman, And Italian Churches, With An Analytical Inquiry Into The Origin, Progress, And Perfection Of Gothic Churches In England, And Practical Direction For Restoring These Dilapidated Christian Edifices To Their Primitive Beauty</w:t>
      </w:r>
      <w:r>
        <w:t>, (London, Fisher, Son, &amp; Co. 1845).</w:t>
      </w:r>
    </w:p>
    <w:p w14:paraId="315AD235" w14:textId="3B0115DE" w:rsidR="00331E4A" w:rsidRDefault="00331E4A" w:rsidP="005B20A3">
      <w:pPr>
        <w:jc w:val="both"/>
      </w:pPr>
      <w:r>
        <w:t>Bryce,</w:t>
      </w:r>
      <w:r>
        <w:t xml:space="preserve"> J.,</w:t>
      </w:r>
      <w:r>
        <w:t xml:space="preserve"> </w:t>
      </w:r>
      <w:r>
        <w:rPr>
          <w:i/>
          <w:iCs/>
        </w:rPr>
        <w:t>The Holy Roman Empire</w:t>
      </w:r>
      <w:r>
        <w:t>, (London, McMillan, and Co., 1875).</w:t>
      </w:r>
    </w:p>
    <w:p w14:paraId="1AD8FC44" w14:textId="257DA5AA" w:rsidR="00331E4A" w:rsidRDefault="00331E4A" w:rsidP="00331E4A">
      <w:pPr>
        <w:pStyle w:val="FootnoteText"/>
        <w:jc w:val="both"/>
      </w:pPr>
      <w:r>
        <w:t>James,</w:t>
      </w:r>
      <w:r>
        <w:t xml:space="preserve"> L.,</w:t>
      </w:r>
      <w:r>
        <w:t xml:space="preserve"> </w:t>
      </w:r>
      <w:r w:rsidRPr="00446628">
        <w:rPr>
          <w:i/>
          <w:iCs/>
        </w:rPr>
        <w:t>Mosaics in the Medieval World: From Late Antiquity to the Fifteenth Century</w:t>
      </w:r>
      <w:r>
        <w:t>. Kindle Edition. (Cambridge, Cambridge University Press, 2017).</w:t>
      </w:r>
    </w:p>
    <w:p w14:paraId="60493D54" w14:textId="77777777" w:rsidR="00331E4A" w:rsidRDefault="00331E4A" w:rsidP="00331E4A">
      <w:pPr>
        <w:pStyle w:val="FootnoteText"/>
        <w:jc w:val="both"/>
      </w:pPr>
    </w:p>
    <w:p w14:paraId="33B0C149" w14:textId="1EE51B55" w:rsidR="00331E4A" w:rsidRDefault="00331E4A" w:rsidP="005B20A3">
      <w:pPr>
        <w:jc w:val="both"/>
      </w:pPr>
      <w:r>
        <w:t>Knight,</w:t>
      </w:r>
      <w:r>
        <w:t xml:space="preserve"> H. G.,</w:t>
      </w:r>
      <w:r>
        <w:t xml:space="preserve"> </w:t>
      </w:r>
      <w:r w:rsidRPr="00DA22B9">
        <w:rPr>
          <w:i/>
          <w:iCs/>
        </w:rPr>
        <w:t>The Normans in Sicily: Being a Sequel to "An Architectural Tour in Normandy"</w:t>
      </w:r>
      <w:r>
        <w:t>, (London. John Murray, 1838).</w:t>
      </w:r>
    </w:p>
    <w:p w14:paraId="56564BF1" w14:textId="7A61D928" w:rsidR="00331E4A" w:rsidRDefault="00331E4A" w:rsidP="005B20A3">
      <w:pPr>
        <w:jc w:val="both"/>
      </w:pPr>
      <w:r>
        <w:t>Koch,</w:t>
      </w:r>
      <w:r>
        <w:t xml:space="preserve"> R.,</w:t>
      </w:r>
      <w:r>
        <w:t xml:space="preserve"> </w:t>
      </w:r>
      <w:r>
        <w:rPr>
          <w:i/>
          <w:iCs/>
        </w:rPr>
        <w:t>The Book of Signs,</w:t>
      </w:r>
      <w:r>
        <w:t xml:space="preserve"> trans. by Holland,</w:t>
      </w:r>
      <w:r>
        <w:t xml:space="preserve"> V.,</w:t>
      </w:r>
      <w:r>
        <w:t xml:space="preserve"> (New York, Dover Publications Inc., 2012).</w:t>
      </w:r>
    </w:p>
    <w:p w14:paraId="0593D020" w14:textId="14FAC8DC" w:rsidR="00331E4A" w:rsidRDefault="00331E4A" w:rsidP="005B20A3">
      <w:pPr>
        <w:jc w:val="both"/>
      </w:pPr>
      <w:r>
        <w:t>Matthew,</w:t>
      </w:r>
      <w:r>
        <w:t xml:space="preserve"> D.,</w:t>
      </w:r>
      <w:r>
        <w:t xml:space="preserve"> </w:t>
      </w:r>
      <w:r w:rsidRPr="00DA22B9">
        <w:rPr>
          <w:i/>
          <w:iCs/>
        </w:rPr>
        <w:t>The Norman Kingdom of Sicily</w:t>
      </w:r>
      <w:r>
        <w:t>, (Cambridge, Cambridge University Press, 1992)</w:t>
      </w:r>
    </w:p>
    <w:p w14:paraId="3F1FCF92" w14:textId="7CA50EBA" w:rsidR="00034A9A" w:rsidRDefault="00331E4A" w:rsidP="005B20A3">
      <w:pPr>
        <w:jc w:val="both"/>
      </w:pPr>
      <w:r w:rsidRPr="00297408">
        <w:t>Smelyansky,</w:t>
      </w:r>
      <w:r>
        <w:t xml:space="preserve"> E.,</w:t>
      </w:r>
      <w:r w:rsidRPr="00297408">
        <w:t xml:space="preserve"> ‘Women in the Sicilian Laws of Frederick II’, in </w:t>
      </w:r>
      <w:r w:rsidRPr="00331E4A">
        <w:rPr>
          <w:i/>
          <w:iCs/>
        </w:rPr>
        <w:t>Intolerant Middle Ages: A Reader</w:t>
      </w:r>
      <w:r w:rsidRPr="00297408">
        <w:t>, ed. by</w:t>
      </w:r>
      <w:r>
        <w:t xml:space="preserve"> </w:t>
      </w:r>
      <w:r w:rsidRPr="00297408">
        <w:t>Smelyansky</w:t>
      </w:r>
      <w:r>
        <w:t xml:space="preserve"> E.,</w:t>
      </w:r>
      <w:r w:rsidRPr="00297408">
        <w:t xml:space="preserve"> (Toronto, University of Toronto Press, 2020).</w:t>
      </w:r>
    </w:p>
    <w:p w14:paraId="6332E450" w14:textId="7F231A0E" w:rsidR="00331E4A" w:rsidRDefault="00331E4A" w:rsidP="005B20A3">
      <w:pPr>
        <w:jc w:val="both"/>
      </w:pPr>
      <w:r>
        <w:t>Ware,</w:t>
      </w:r>
      <w:r>
        <w:t xml:space="preserve"> T.,</w:t>
      </w:r>
      <w:r>
        <w:t xml:space="preserve"> </w:t>
      </w:r>
      <w:r>
        <w:rPr>
          <w:i/>
          <w:iCs/>
        </w:rPr>
        <w:t>The Orthodox Church</w:t>
      </w:r>
      <w:r>
        <w:t>, Kindle Edition (London, Penguin Books, 1993).</w:t>
      </w:r>
    </w:p>
    <w:p w14:paraId="00AB77F6" w14:textId="2E94720E" w:rsidR="00331E4A" w:rsidRPr="00034A9A" w:rsidRDefault="00331E4A" w:rsidP="005B20A3">
      <w:pPr>
        <w:jc w:val="both"/>
      </w:pPr>
      <w:r>
        <w:t>Whittemore,</w:t>
      </w:r>
      <w:r>
        <w:t xml:space="preserve"> T.,</w:t>
      </w:r>
      <w:r>
        <w:t xml:space="preserve"> </w:t>
      </w:r>
      <w:r w:rsidRPr="00EE1344">
        <w:rPr>
          <w:i/>
          <w:iCs/>
        </w:rPr>
        <w:t>The Mosaics Of Haghia Sophia At Istanbul</w:t>
      </w:r>
      <w:r>
        <w:t>, (Oxford, Oxford University Press, 1942).</w:t>
      </w:r>
    </w:p>
    <w:sectPr w:rsidR="00331E4A" w:rsidRPr="00034A9A">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1FB51E" w14:textId="77777777" w:rsidR="00A95E92" w:rsidRDefault="00A95E92" w:rsidP="007F0A1E">
      <w:pPr>
        <w:spacing w:after="0" w:line="240" w:lineRule="auto"/>
      </w:pPr>
      <w:r>
        <w:separator/>
      </w:r>
    </w:p>
  </w:endnote>
  <w:endnote w:type="continuationSeparator" w:id="0">
    <w:p w14:paraId="61C4058B" w14:textId="77777777" w:rsidR="00A95E92" w:rsidRDefault="00A95E92" w:rsidP="007F0A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42A614" w14:textId="77777777" w:rsidR="00A95E92" w:rsidRDefault="00A95E92" w:rsidP="007F0A1E">
      <w:pPr>
        <w:spacing w:after="0" w:line="240" w:lineRule="auto"/>
      </w:pPr>
      <w:r>
        <w:separator/>
      </w:r>
    </w:p>
  </w:footnote>
  <w:footnote w:type="continuationSeparator" w:id="0">
    <w:p w14:paraId="36B15F8F" w14:textId="77777777" w:rsidR="00A95E92" w:rsidRDefault="00A95E92" w:rsidP="007F0A1E">
      <w:pPr>
        <w:spacing w:after="0" w:line="240" w:lineRule="auto"/>
      </w:pPr>
      <w:r>
        <w:continuationSeparator/>
      </w:r>
    </w:p>
  </w:footnote>
  <w:footnote w:id="1">
    <w:p w14:paraId="660D4E1A" w14:textId="6B290919" w:rsidR="00034A9A" w:rsidRPr="00034A9A" w:rsidRDefault="00034A9A" w:rsidP="00CC7288">
      <w:pPr>
        <w:spacing w:after="0" w:line="240" w:lineRule="auto"/>
        <w:jc w:val="both"/>
        <w:rPr>
          <w:i/>
          <w:iCs/>
          <w:u w:val="single"/>
        </w:rPr>
      </w:pPr>
      <w:r>
        <w:rPr>
          <w:rStyle w:val="FootnoteReference"/>
        </w:rPr>
        <w:footnoteRef/>
      </w:r>
      <w:r>
        <w:t xml:space="preserve"> </w:t>
      </w:r>
      <w:bookmarkStart w:id="1" w:name="_Hlk69912295"/>
      <w:r w:rsidRPr="00034A9A">
        <w:rPr>
          <w:i/>
          <w:iCs/>
        </w:rPr>
        <w:t>Detail from the mosaic with Roger II receiving</w:t>
      </w:r>
      <w:r w:rsidRPr="00034A9A">
        <w:rPr>
          <w:i/>
          <w:iCs/>
        </w:rPr>
        <w:t xml:space="preserve"> </w:t>
      </w:r>
      <w:r w:rsidRPr="00034A9A">
        <w:rPr>
          <w:i/>
          <w:iCs/>
        </w:rPr>
        <w:t>the crown from Christ</w:t>
      </w:r>
      <w:r>
        <w:rPr>
          <w:i/>
          <w:iCs/>
        </w:rPr>
        <w:t xml:space="preserve"> at</w:t>
      </w:r>
      <w:r w:rsidRPr="00034A9A">
        <w:rPr>
          <w:i/>
          <w:iCs/>
        </w:rPr>
        <w:t xml:space="preserve"> Martorana, Palermo</w:t>
      </w:r>
      <w:r>
        <w:t>, ed. by</w:t>
      </w:r>
      <w:r w:rsidRPr="00034A9A">
        <w:t xml:space="preserve"> </w:t>
      </w:r>
      <w:r w:rsidRPr="00034A9A">
        <w:t>J. J. Cooper,</w:t>
      </w:r>
      <w:r>
        <w:t xml:space="preserve"> in</w:t>
      </w:r>
      <w:r w:rsidRPr="00034A9A">
        <w:t xml:space="preserve"> ‘Roger II’, </w:t>
      </w:r>
      <w:r w:rsidRPr="00034A9A">
        <w:rPr>
          <w:i/>
          <w:iCs/>
        </w:rPr>
        <w:t>Encyclopedia Britannica</w:t>
      </w:r>
      <w:r w:rsidRPr="00034A9A">
        <w:t>, 2021. https://www.britannica.com/biography/Roger-II. [Accessed 19/4/21]</w:t>
      </w:r>
    </w:p>
    <w:bookmarkEnd w:id="1"/>
  </w:footnote>
  <w:footnote w:id="2">
    <w:p w14:paraId="7A15D7FB" w14:textId="1F272A5B" w:rsidR="00034A9A" w:rsidRPr="00345181" w:rsidRDefault="00345181" w:rsidP="00CC7288">
      <w:pPr>
        <w:pStyle w:val="FootnoteText"/>
        <w:jc w:val="both"/>
      </w:pPr>
      <w:r>
        <w:rPr>
          <w:rStyle w:val="FootnoteReference"/>
        </w:rPr>
        <w:footnoteRef/>
      </w:r>
      <w:r>
        <w:t xml:space="preserve"> </w:t>
      </w:r>
      <w:bookmarkStart w:id="2" w:name="_Hlk69912377"/>
      <w:r>
        <w:t xml:space="preserve">J. Aurell, </w:t>
      </w:r>
      <w:r w:rsidRPr="00345181">
        <w:rPr>
          <w:i/>
          <w:iCs/>
        </w:rPr>
        <w:t>Medieval Self-Coronations: The History and Symbolism of a Ritual</w:t>
      </w:r>
      <w:r>
        <w:t xml:space="preserve">, (Cambridge, Cambridge University Press, 2020). </w:t>
      </w:r>
      <w:bookmarkEnd w:id="2"/>
      <w:r>
        <w:t>P.185.</w:t>
      </w:r>
    </w:p>
  </w:footnote>
  <w:footnote w:id="3">
    <w:p w14:paraId="6109FE07" w14:textId="2E9DE712" w:rsidR="00034A9A" w:rsidRDefault="00DA22B9" w:rsidP="00034A9A">
      <w:pPr>
        <w:pStyle w:val="FootnoteText"/>
        <w:jc w:val="both"/>
      </w:pPr>
      <w:r>
        <w:rPr>
          <w:rStyle w:val="FootnoteReference"/>
        </w:rPr>
        <w:footnoteRef/>
      </w:r>
      <w:r>
        <w:t xml:space="preserve"> </w:t>
      </w:r>
      <w:bookmarkStart w:id="3" w:name="_Hlk69912609"/>
      <w:r>
        <w:t xml:space="preserve">H. G. Knight, </w:t>
      </w:r>
      <w:r w:rsidRPr="00DA22B9">
        <w:rPr>
          <w:i/>
          <w:iCs/>
        </w:rPr>
        <w:t>The Normans in Sicily: Being a Sequel to "An Architectural Tour in Normandy"</w:t>
      </w:r>
      <w:r>
        <w:t xml:space="preserve">, (London. John Murray, 1838). </w:t>
      </w:r>
      <w:bookmarkEnd w:id="3"/>
      <w:r>
        <w:t>Pp.259-264.</w:t>
      </w:r>
    </w:p>
    <w:p w14:paraId="14008DE3" w14:textId="7AB66F6F" w:rsidR="00034A9A" w:rsidRPr="00DA22B9" w:rsidRDefault="00DA22B9" w:rsidP="00034A9A">
      <w:pPr>
        <w:pStyle w:val="FootnoteText"/>
        <w:jc w:val="both"/>
      </w:pPr>
      <w:r>
        <w:t xml:space="preserve">&amp; </w:t>
      </w:r>
      <w:bookmarkStart w:id="4" w:name="_Hlk69912705"/>
      <w:r>
        <w:t xml:space="preserve">D. Matthew, </w:t>
      </w:r>
      <w:r w:rsidRPr="00DA22B9">
        <w:rPr>
          <w:i/>
          <w:iCs/>
        </w:rPr>
        <w:t>The Norman Kingdom of Sicily</w:t>
      </w:r>
      <w:r>
        <w:t>, (Cambridge, Cambridge University Press, 1992)</w:t>
      </w:r>
      <w:bookmarkEnd w:id="4"/>
      <w:r>
        <w:t>. P.137.</w:t>
      </w:r>
    </w:p>
  </w:footnote>
  <w:footnote w:id="4">
    <w:p w14:paraId="3B08F1A5" w14:textId="43DDE39E" w:rsidR="00034A9A" w:rsidRDefault="00297408" w:rsidP="00034A9A">
      <w:pPr>
        <w:pStyle w:val="FootnoteText"/>
        <w:jc w:val="both"/>
      </w:pPr>
      <w:r>
        <w:rPr>
          <w:rStyle w:val="FootnoteReference"/>
        </w:rPr>
        <w:footnoteRef/>
      </w:r>
      <w:r>
        <w:t xml:space="preserve"> </w:t>
      </w:r>
      <w:bookmarkStart w:id="5" w:name="_Hlk69912810"/>
      <w:r w:rsidRPr="00297408">
        <w:t xml:space="preserve">E. Smelyansky, ‘Women in the Sicilian Laws of Frederick II’, in Intolerant Middle Ages: A Reader, ed. by E Smelyansky’, (Toronto, University of Toronto Press, 2020). </w:t>
      </w:r>
      <w:bookmarkEnd w:id="5"/>
      <w:r w:rsidRPr="00297408">
        <w:t>P.216.</w:t>
      </w:r>
    </w:p>
  </w:footnote>
  <w:footnote w:id="5">
    <w:p w14:paraId="4CEBFD78" w14:textId="32720CA0" w:rsidR="00034A9A" w:rsidRDefault="00446628" w:rsidP="00034A9A">
      <w:pPr>
        <w:pStyle w:val="FootnoteText"/>
        <w:jc w:val="both"/>
      </w:pPr>
      <w:r>
        <w:rPr>
          <w:rStyle w:val="FootnoteReference"/>
        </w:rPr>
        <w:footnoteRef/>
      </w:r>
      <w:r>
        <w:t xml:space="preserve"> Aurell, </w:t>
      </w:r>
      <w:r>
        <w:rPr>
          <w:i/>
          <w:iCs/>
        </w:rPr>
        <w:t>Self-Coronations</w:t>
      </w:r>
      <w:r>
        <w:t>, P.185.</w:t>
      </w:r>
    </w:p>
    <w:p w14:paraId="6A5AC17F" w14:textId="5C5B2300" w:rsidR="00034A9A" w:rsidRDefault="00446628" w:rsidP="00034A9A">
      <w:pPr>
        <w:pStyle w:val="FootnoteText"/>
        <w:jc w:val="both"/>
      </w:pPr>
      <w:r>
        <w:t xml:space="preserve">, </w:t>
      </w:r>
      <w:bookmarkStart w:id="6" w:name="_Hlk69912567"/>
      <w:r>
        <w:t xml:space="preserve">L. James, </w:t>
      </w:r>
      <w:r w:rsidRPr="00446628">
        <w:rPr>
          <w:i/>
          <w:iCs/>
        </w:rPr>
        <w:t>Mosaics in the Medieval World: From Late Antiquity to the Fifteenth Century</w:t>
      </w:r>
      <w:r>
        <w:t>. Kindle Edition. (Cambridge, Cambridge University Press, 2017).</w:t>
      </w:r>
      <w:bookmarkEnd w:id="6"/>
    </w:p>
    <w:p w14:paraId="332D8002" w14:textId="2F5A9EC7" w:rsidR="00034A9A" w:rsidRDefault="00446628" w:rsidP="00034A9A">
      <w:pPr>
        <w:pStyle w:val="FootnoteText"/>
        <w:jc w:val="both"/>
      </w:pPr>
      <w:r>
        <w:t xml:space="preserve">, Knight, </w:t>
      </w:r>
      <w:r>
        <w:rPr>
          <w:i/>
          <w:iCs/>
        </w:rPr>
        <w:t>The Normans in Sicily</w:t>
      </w:r>
      <w:r>
        <w:t>, Pp.261-262.</w:t>
      </w:r>
    </w:p>
    <w:p w14:paraId="28879D32" w14:textId="428A01B9" w:rsidR="00034A9A" w:rsidRPr="009E621A" w:rsidRDefault="00446628" w:rsidP="00034A9A">
      <w:pPr>
        <w:pStyle w:val="FootnoteText"/>
        <w:jc w:val="both"/>
      </w:pPr>
      <w:r>
        <w:t xml:space="preserve">&amp; </w:t>
      </w:r>
      <w:bookmarkStart w:id="7" w:name="_Hlk69912416"/>
      <w:r>
        <w:t>R. Brown,</w:t>
      </w:r>
      <w:r w:rsidR="009E621A" w:rsidRPr="009E621A">
        <w:t xml:space="preserve"> </w:t>
      </w:r>
      <w:r w:rsidR="009E621A" w:rsidRPr="009E621A">
        <w:rPr>
          <w:i/>
          <w:iCs/>
        </w:rPr>
        <w:t>Sacred Architecture, Its Rise, Progress, And Present State. Examining The Babylonian, Indian, Egyptian. Greek, And Roman Temples,- The Byzantine, Saxon, Lombard, Norman, And Italian Churches, With An Analytical Inquiry Into The Origin, Progress, And Perfection Of Gothic Churches In England, And Practical Direction For Restoring These Dilapidated Christian Edifices To Their Primitive Beauty</w:t>
      </w:r>
      <w:r w:rsidR="009E621A">
        <w:t>, (London, Fisher, Son, &amp; Co. 1845).</w:t>
      </w:r>
      <w:bookmarkEnd w:id="7"/>
      <w:r w:rsidR="009E621A">
        <w:t xml:space="preserve"> P.120.</w:t>
      </w:r>
    </w:p>
  </w:footnote>
  <w:footnote w:id="6">
    <w:p w14:paraId="0729DFFA" w14:textId="38C789DC" w:rsidR="00034A9A" w:rsidRDefault="007A14AF" w:rsidP="00034A9A">
      <w:pPr>
        <w:pStyle w:val="FootnoteText"/>
        <w:jc w:val="both"/>
      </w:pPr>
      <w:r>
        <w:rPr>
          <w:rStyle w:val="FootnoteReference"/>
        </w:rPr>
        <w:footnoteRef/>
      </w:r>
      <w:r>
        <w:t xml:space="preserve"> </w:t>
      </w:r>
      <w:bookmarkStart w:id="8" w:name="_Hlk69850009"/>
      <w:r w:rsidRPr="007A14AF">
        <w:t xml:space="preserve">Knight, </w:t>
      </w:r>
      <w:r w:rsidRPr="00306022">
        <w:rPr>
          <w:i/>
          <w:iCs/>
        </w:rPr>
        <w:t>The Normans in Sicily</w:t>
      </w:r>
      <w:r w:rsidRPr="007A14AF">
        <w:t>, P</w:t>
      </w:r>
      <w:r>
        <w:t>.268</w:t>
      </w:r>
      <w:bookmarkEnd w:id="8"/>
      <w:r>
        <w:t>.</w:t>
      </w:r>
    </w:p>
  </w:footnote>
  <w:footnote w:id="7">
    <w:p w14:paraId="5716A50B" w14:textId="670F70CF" w:rsidR="00034A9A" w:rsidRDefault="00C14752">
      <w:pPr>
        <w:pStyle w:val="FootnoteText"/>
      </w:pPr>
      <w:r>
        <w:rPr>
          <w:rStyle w:val="FootnoteReference"/>
        </w:rPr>
        <w:footnoteRef/>
      </w:r>
      <w:r>
        <w:t xml:space="preserve"> </w:t>
      </w:r>
      <w:r w:rsidR="00CC7288" w:rsidRPr="007A14AF">
        <w:t xml:space="preserve">Knight, </w:t>
      </w:r>
      <w:r w:rsidR="00CC7288" w:rsidRPr="00306022">
        <w:rPr>
          <w:i/>
          <w:iCs/>
        </w:rPr>
        <w:t>The Normans in Sicily</w:t>
      </w:r>
      <w:r w:rsidR="00CC7288" w:rsidRPr="007A14AF">
        <w:t>, P</w:t>
      </w:r>
      <w:r w:rsidR="00CC7288">
        <w:t>.</w:t>
      </w:r>
      <w:r>
        <w:t>259.</w:t>
      </w:r>
    </w:p>
  </w:footnote>
  <w:footnote w:id="8">
    <w:p w14:paraId="494E1A24" w14:textId="5EC14D83" w:rsidR="00034A9A" w:rsidRDefault="00C14752">
      <w:pPr>
        <w:pStyle w:val="FootnoteText"/>
      </w:pPr>
      <w:r>
        <w:rPr>
          <w:rStyle w:val="FootnoteReference"/>
        </w:rPr>
        <w:footnoteRef/>
      </w:r>
      <w:r>
        <w:t xml:space="preserve"> Aurell, </w:t>
      </w:r>
      <w:r>
        <w:rPr>
          <w:i/>
          <w:iCs/>
        </w:rPr>
        <w:t>Self-Coronations</w:t>
      </w:r>
      <w:r>
        <w:t>, P.185.</w:t>
      </w:r>
    </w:p>
  </w:footnote>
  <w:footnote w:id="9">
    <w:p w14:paraId="4116553C" w14:textId="5667B4F3" w:rsidR="00034A9A" w:rsidRDefault="004D6961">
      <w:pPr>
        <w:pStyle w:val="FootnoteText"/>
      </w:pPr>
      <w:r>
        <w:rPr>
          <w:rStyle w:val="FootnoteReference"/>
        </w:rPr>
        <w:footnoteRef/>
      </w:r>
      <w:r>
        <w:t xml:space="preserve"> Aurell, </w:t>
      </w:r>
      <w:r>
        <w:rPr>
          <w:i/>
          <w:iCs/>
        </w:rPr>
        <w:t>Self-Coronations</w:t>
      </w:r>
      <w:r>
        <w:t>, P.185.</w:t>
      </w:r>
    </w:p>
    <w:p w14:paraId="349DFBFD" w14:textId="6395C2DD" w:rsidR="00034A9A" w:rsidRPr="004D6961" w:rsidRDefault="004D6961">
      <w:pPr>
        <w:pStyle w:val="FootnoteText"/>
      </w:pPr>
      <w:r>
        <w:t xml:space="preserve">&amp; James, </w:t>
      </w:r>
      <w:r w:rsidRPr="00446628">
        <w:rPr>
          <w:i/>
          <w:iCs/>
        </w:rPr>
        <w:t>Mosaics in the Medieval World</w:t>
      </w:r>
      <w:r>
        <w:t>, Kindle Edition.</w:t>
      </w:r>
    </w:p>
  </w:footnote>
  <w:footnote w:id="10">
    <w:p w14:paraId="3ADA58F6" w14:textId="03618A68" w:rsidR="00034A9A" w:rsidRDefault="00476320">
      <w:pPr>
        <w:pStyle w:val="FootnoteText"/>
      </w:pPr>
      <w:r>
        <w:rPr>
          <w:rStyle w:val="FootnoteReference"/>
        </w:rPr>
        <w:footnoteRef/>
      </w:r>
      <w:r>
        <w:t xml:space="preserve"> </w:t>
      </w:r>
      <w:bookmarkStart w:id="9" w:name="_Hlk69910885"/>
      <w:r>
        <w:t xml:space="preserve">Robert Guiscard, </w:t>
      </w:r>
      <w:r w:rsidRPr="00476320">
        <w:rPr>
          <w:i/>
          <w:iCs/>
        </w:rPr>
        <w:t>The Oaths of Robert Guiscard to Pope Nicholas II, 1059</w:t>
      </w:r>
      <w:r>
        <w:rPr>
          <w:i/>
          <w:iCs/>
        </w:rPr>
        <w:t xml:space="preserve">, </w:t>
      </w:r>
      <w:r w:rsidRPr="00476320">
        <w:t>trans., &amp; ed. by O. J. Thatcher, &amp; E. H. McNeal</w:t>
      </w:r>
      <w:r>
        <w:t xml:space="preserve">, in </w:t>
      </w:r>
      <w:r w:rsidRPr="00476320">
        <w:rPr>
          <w:i/>
          <w:iCs/>
        </w:rPr>
        <w:t>A Source Book for Mediæval History: Selected Documents Illustrating the History of Europe in the Middle Age</w:t>
      </w:r>
      <w:r>
        <w:t>, (New York, Charles Scribner’s Sons, 1905</w:t>
      </w:r>
      <w:r w:rsidR="00552414">
        <w:t>).</w:t>
      </w:r>
      <w:bookmarkEnd w:id="9"/>
      <w:r w:rsidR="00552414">
        <w:t xml:space="preserve"> P.</w:t>
      </w:r>
      <w:r>
        <w:t>125.</w:t>
      </w:r>
    </w:p>
    <w:p w14:paraId="6B0EF472" w14:textId="50075D65" w:rsidR="00034A9A" w:rsidRPr="00552414" w:rsidRDefault="00552414">
      <w:pPr>
        <w:pStyle w:val="FootnoteText"/>
      </w:pPr>
      <w:r>
        <w:t xml:space="preserve">&amp; </w:t>
      </w:r>
      <w:bookmarkStart w:id="10" w:name="_Hlk69912487"/>
      <w:r>
        <w:t xml:space="preserve">J. Bryce, </w:t>
      </w:r>
      <w:r>
        <w:rPr>
          <w:i/>
          <w:iCs/>
        </w:rPr>
        <w:t>The Holy Roman Empire</w:t>
      </w:r>
      <w:r>
        <w:t>, (London, McMillan, and Co., 1875).</w:t>
      </w:r>
      <w:bookmarkEnd w:id="10"/>
      <w:r>
        <w:t xml:space="preserve"> P.3.</w:t>
      </w:r>
    </w:p>
  </w:footnote>
  <w:footnote w:id="11">
    <w:p w14:paraId="0D461FDC" w14:textId="4596CC93" w:rsidR="00034A9A" w:rsidRPr="00F434BA" w:rsidRDefault="00F434BA">
      <w:pPr>
        <w:pStyle w:val="FootnoteText"/>
      </w:pPr>
      <w:r>
        <w:rPr>
          <w:rStyle w:val="FootnoteReference"/>
        </w:rPr>
        <w:footnoteRef/>
      </w:r>
      <w:r>
        <w:t xml:space="preserve"> </w:t>
      </w:r>
      <w:bookmarkStart w:id="11" w:name="_Hlk69908106"/>
      <w:r>
        <w:t xml:space="preserve">E. </w:t>
      </w:r>
      <w:r w:rsidRPr="00F434BA">
        <w:t>Smelyansky</w:t>
      </w:r>
      <w:r>
        <w:t>, ‘Women in the Sicilian Laws of Frederick II’, P.216.</w:t>
      </w:r>
      <w:bookmarkEnd w:id="11"/>
    </w:p>
  </w:footnote>
  <w:footnote w:id="12">
    <w:p w14:paraId="16C6D10B" w14:textId="4532F7EC" w:rsidR="00034A9A" w:rsidRPr="00855146" w:rsidRDefault="00855146">
      <w:pPr>
        <w:pStyle w:val="FootnoteText"/>
      </w:pPr>
      <w:r>
        <w:rPr>
          <w:rStyle w:val="FootnoteReference"/>
        </w:rPr>
        <w:footnoteRef/>
      </w:r>
      <w:r>
        <w:t xml:space="preserve"> T. Ware, </w:t>
      </w:r>
      <w:r>
        <w:rPr>
          <w:i/>
          <w:iCs/>
        </w:rPr>
        <w:t>The Orthodox Church</w:t>
      </w:r>
      <w:r>
        <w:t xml:space="preserve">, </w:t>
      </w:r>
      <w:r w:rsidR="00EC04F2">
        <w:t xml:space="preserve">Kindle Edition </w:t>
      </w:r>
      <w:r>
        <w:t>(London, Penguin Books, 199</w:t>
      </w:r>
      <w:r w:rsidR="00EC04F2">
        <w:t>3</w:t>
      </w:r>
      <w:r>
        <w:t>).</w:t>
      </w:r>
    </w:p>
  </w:footnote>
  <w:footnote w:id="13">
    <w:p w14:paraId="2DCC5546" w14:textId="4F5DEE60" w:rsidR="00034A9A" w:rsidRPr="00826322" w:rsidRDefault="00EC04F2" w:rsidP="00826322">
      <w:pPr>
        <w:pStyle w:val="FootnoteText"/>
      </w:pPr>
      <w:r>
        <w:rPr>
          <w:rStyle w:val="FootnoteReference"/>
        </w:rPr>
        <w:footnoteRef/>
      </w:r>
      <w:r>
        <w:t xml:space="preserve"> </w:t>
      </w:r>
      <w:bookmarkStart w:id="12" w:name="_Hlk69911050"/>
      <w:r w:rsidR="00826322">
        <w:t xml:space="preserve">Abdallah ibn Al-Mubarak, </w:t>
      </w:r>
      <w:r w:rsidR="00826322" w:rsidRPr="00826322">
        <w:rPr>
          <w:i/>
          <w:iCs/>
        </w:rPr>
        <w:t>Kitab al-Zuhd wa al-Raqaiq</w:t>
      </w:r>
      <w:r w:rsidR="00826322">
        <w:t xml:space="preserve">, trans., &amp; ed. by T. Khalidi in, </w:t>
      </w:r>
      <w:r w:rsidR="00826322">
        <w:rPr>
          <w:i/>
          <w:iCs/>
        </w:rPr>
        <w:t>The Muslim Jesus:</w:t>
      </w:r>
      <w:r w:rsidR="00826322" w:rsidRPr="00826322">
        <w:t xml:space="preserve"> </w:t>
      </w:r>
      <w:r w:rsidR="00826322" w:rsidRPr="00826322">
        <w:rPr>
          <w:i/>
          <w:iCs/>
        </w:rPr>
        <w:t>Sayings and Stories in Islamic Literature</w:t>
      </w:r>
      <w:r w:rsidR="00826322">
        <w:t>, (Massachusetts, Harvard University Press, 2001).</w:t>
      </w:r>
      <w:bookmarkEnd w:id="12"/>
      <w:r w:rsidR="00826322">
        <w:t xml:space="preserve"> Pp.45-46.</w:t>
      </w:r>
    </w:p>
  </w:footnote>
  <w:footnote w:id="14">
    <w:p w14:paraId="1FBD9984" w14:textId="618ECA51" w:rsidR="00034A9A" w:rsidRDefault="007E18B0">
      <w:pPr>
        <w:pStyle w:val="FootnoteText"/>
      </w:pPr>
      <w:r>
        <w:rPr>
          <w:rStyle w:val="FootnoteReference"/>
        </w:rPr>
        <w:footnoteRef/>
      </w:r>
      <w:r>
        <w:t xml:space="preserve"> </w:t>
      </w:r>
      <w:r w:rsidRPr="007A14AF">
        <w:t xml:space="preserve">Knight, </w:t>
      </w:r>
      <w:r w:rsidRPr="00306022">
        <w:rPr>
          <w:i/>
          <w:iCs/>
        </w:rPr>
        <w:t>The Normans in Sicily</w:t>
      </w:r>
      <w:r w:rsidRPr="007A14AF">
        <w:t>, P</w:t>
      </w:r>
      <w:r>
        <w:t>.26</w:t>
      </w:r>
      <w:r>
        <w:t>4</w:t>
      </w:r>
      <w:r>
        <w:t>.</w:t>
      </w:r>
    </w:p>
  </w:footnote>
  <w:footnote w:id="15">
    <w:p w14:paraId="55D5B3EF" w14:textId="3DF45F6A" w:rsidR="00034A9A" w:rsidRPr="00F66332" w:rsidRDefault="00EE1344">
      <w:pPr>
        <w:pStyle w:val="FootnoteText"/>
      </w:pPr>
      <w:r>
        <w:rPr>
          <w:rStyle w:val="FootnoteReference"/>
        </w:rPr>
        <w:footnoteRef/>
      </w:r>
      <w:r>
        <w:t xml:space="preserve"> </w:t>
      </w:r>
      <w:bookmarkStart w:id="13" w:name="_Hlk69911724"/>
      <w:r w:rsidR="005B20A3">
        <w:rPr>
          <w:i/>
          <w:iCs/>
        </w:rPr>
        <w:t>John Panel</w:t>
      </w:r>
      <w:r w:rsidR="005B20A3">
        <w:t xml:space="preserve"> </w:t>
      </w:r>
      <w:r w:rsidR="005B20A3">
        <w:rPr>
          <w:i/>
          <w:iCs/>
        </w:rPr>
        <w:t xml:space="preserve">at </w:t>
      </w:r>
      <w:r w:rsidR="00F66332">
        <w:rPr>
          <w:i/>
          <w:iCs/>
        </w:rPr>
        <w:t xml:space="preserve">Haghia Sophia, </w:t>
      </w:r>
      <w:r w:rsidR="00F66332">
        <w:t xml:space="preserve">ed. by </w:t>
      </w:r>
      <w:r w:rsidR="00F66332">
        <w:t>T. Whittemore,</w:t>
      </w:r>
      <w:r w:rsidR="00F66332">
        <w:t xml:space="preserve"> in</w:t>
      </w:r>
      <w:r w:rsidR="00F66332">
        <w:t xml:space="preserve"> </w:t>
      </w:r>
      <w:r w:rsidR="00F66332" w:rsidRPr="00EE1344">
        <w:rPr>
          <w:i/>
          <w:iCs/>
        </w:rPr>
        <w:t>The Mosaics Of Haghia Sophia At Istanbul</w:t>
      </w:r>
      <w:r w:rsidR="00F66332">
        <w:t>, (Oxford, Oxford University Press, 1942).</w:t>
      </w:r>
      <w:r w:rsidR="00F66332">
        <w:t xml:space="preserve"> </w:t>
      </w:r>
      <w:bookmarkEnd w:id="13"/>
      <w:r w:rsidR="00F66332">
        <w:t>Plate XX.</w:t>
      </w:r>
    </w:p>
    <w:p w14:paraId="0696DB55" w14:textId="62FD451D" w:rsidR="00331E4A" w:rsidRPr="00EE1344" w:rsidRDefault="00F66332">
      <w:pPr>
        <w:pStyle w:val="FootnoteText"/>
      </w:pPr>
      <w:bookmarkStart w:id="14" w:name="_Hlk69911304"/>
      <w:r>
        <w:t xml:space="preserve"> &amp; </w:t>
      </w:r>
      <w:bookmarkStart w:id="15" w:name="_Hlk69912940"/>
      <w:r w:rsidR="00EE1344">
        <w:t xml:space="preserve">T. Whittemore, </w:t>
      </w:r>
      <w:r w:rsidR="00EE1344" w:rsidRPr="00EE1344">
        <w:rPr>
          <w:i/>
          <w:iCs/>
        </w:rPr>
        <w:t>The Mosaics Of Haghia Sophia At Istanbul</w:t>
      </w:r>
      <w:r w:rsidR="00EE1344">
        <w:t>, (Oxford, Oxford University Press, 1942).</w:t>
      </w:r>
      <w:bookmarkEnd w:id="15"/>
      <w:r w:rsidR="00EE1344">
        <w:t xml:space="preserve"> </w:t>
      </w:r>
      <w:bookmarkEnd w:id="14"/>
      <w:r w:rsidR="00EE1344">
        <w:t>P.23.</w:t>
      </w:r>
    </w:p>
  </w:footnote>
  <w:footnote w:id="16">
    <w:p w14:paraId="6B9BFCF4" w14:textId="2951610C" w:rsidR="00034A9A" w:rsidRDefault="00085C74">
      <w:pPr>
        <w:pStyle w:val="FootnoteText"/>
      </w:pPr>
      <w:r>
        <w:rPr>
          <w:rStyle w:val="FootnoteReference"/>
        </w:rPr>
        <w:footnoteRef/>
      </w:r>
      <w:r>
        <w:t xml:space="preserve"> </w:t>
      </w:r>
      <w:bookmarkStart w:id="16" w:name="_Hlk69907404"/>
      <w:r w:rsidR="00F66332" w:rsidRPr="00F66332">
        <w:rPr>
          <w:i/>
          <w:iCs/>
        </w:rPr>
        <w:t>John Panel</w:t>
      </w:r>
      <w:r w:rsidR="00F66332">
        <w:t xml:space="preserve">, Whittemore, </w:t>
      </w:r>
      <w:r w:rsidR="00F66332">
        <w:rPr>
          <w:i/>
          <w:iCs/>
        </w:rPr>
        <w:t>Mosaics Of Haghia Sophia</w:t>
      </w:r>
      <w:r w:rsidR="00F66332">
        <w:t>, Plate XX</w:t>
      </w:r>
    </w:p>
    <w:p w14:paraId="0F9D21CD" w14:textId="3204D856" w:rsidR="00034A9A" w:rsidRPr="00F66332" w:rsidRDefault="00F66332">
      <w:pPr>
        <w:pStyle w:val="FootnoteText"/>
      </w:pPr>
      <w:r>
        <w:t xml:space="preserve">, </w:t>
      </w:r>
      <w:bookmarkStart w:id="17" w:name="_Hlk69911751"/>
      <w:r>
        <w:rPr>
          <w:i/>
          <w:iCs/>
        </w:rPr>
        <w:t>Zoe Panel at Haghia Sophia</w:t>
      </w:r>
      <w:r>
        <w:t xml:space="preserve">, ed. by T. Whittemore, in </w:t>
      </w:r>
      <w:r w:rsidRPr="00EE1344">
        <w:rPr>
          <w:i/>
          <w:iCs/>
        </w:rPr>
        <w:t>The Mosaics Of Haghia Sophia At Istanbul</w:t>
      </w:r>
      <w:r>
        <w:t xml:space="preserve">, (Oxford, Oxford University Press, 1942). </w:t>
      </w:r>
      <w:bookmarkEnd w:id="17"/>
      <w:r>
        <w:t>Plate</w:t>
      </w:r>
      <w:r>
        <w:t xml:space="preserve"> III.</w:t>
      </w:r>
    </w:p>
    <w:p w14:paraId="58563227" w14:textId="43929CC5" w:rsidR="00034A9A" w:rsidRPr="00085C74" w:rsidRDefault="00F66332">
      <w:pPr>
        <w:pStyle w:val="FootnoteText"/>
      </w:pPr>
      <w:r>
        <w:t xml:space="preserve">&amp; </w:t>
      </w:r>
      <w:r w:rsidR="00085C74">
        <w:t xml:space="preserve">Whittemore, </w:t>
      </w:r>
      <w:bookmarkStart w:id="18" w:name="_Hlk69911467"/>
      <w:r w:rsidR="00085C74">
        <w:rPr>
          <w:i/>
          <w:iCs/>
        </w:rPr>
        <w:t>Mosaics Of Haghia Sophia</w:t>
      </w:r>
      <w:bookmarkEnd w:id="18"/>
      <w:r w:rsidR="00085C74">
        <w:rPr>
          <w:i/>
          <w:iCs/>
        </w:rPr>
        <w:t xml:space="preserve">, </w:t>
      </w:r>
      <w:bookmarkEnd w:id="16"/>
      <w:r w:rsidR="00C01DF2">
        <w:t>P.23.</w:t>
      </w:r>
    </w:p>
  </w:footnote>
  <w:footnote w:id="17">
    <w:p w14:paraId="04314686" w14:textId="7EEC1FF3" w:rsidR="00034A9A" w:rsidRDefault="00C01DF2">
      <w:pPr>
        <w:pStyle w:val="FootnoteText"/>
      </w:pPr>
      <w:r>
        <w:rPr>
          <w:rStyle w:val="FootnoteReference"/>
        </w:rPr>
        <w:footnoteRef/>
      </w:r>
      <w:r>
        <w:t xml:space="preserve"> </w:t>
      </w:r>
      <w:bookmarkStart w:id="19" w:name="_Hlk69912635"/>
      <w:r>
        <w:t xml:space="preserve">R. Koch, </w:t>
      </w:r>
      <w:r>
        <w:rPr>
          <w:i/>
          <w:iCs/>
        </w:rPr>
        <w:t>The Book of Signs,</w:t>
      </w:r>
      <w:r>
        <w:t xml:space="preserve"> trans. by V. Holland, (New York, Dover Publications Inc., 2012). </w:t>
      </w:r>
      <w:bookmarkEnd w:id="19"/>
      <w:r>
        <w:t>P.15.</w:t>
      </w:r>
    </w:p>
    <w:p w14:paraId="230AD497" w14:textId="515A2483" w:rsidR="00C01DF2" w:rsidRPr="00C01DF2" w:rsidRDefault="00C01DF2">
      <w:pPr>
        <w:pStyle w:val="FootnoteText"/>
      </w:pPr>
      <w:r>
        <w:t xml:space="preserve">&amp; </w:t>
      </w:r>
      <w:r w:rsidR="007D15B7" w:rsidRPr="007D15B7">
        <w:t xml:space="preserve">Whittemore, </w:t>
      </w:r>
      <w:r w:rsidR="007D15B7" w:rsidRPr="007D15B7">
        <w:rPr>
          <w:i/>
          <w:iCs/>
        </w:rPr>
        <w:t>Mosaics Of Haghia Sophia</w:t>
      </w:r>
      <w:r w:rsidR="007D15B7" w:rsidRPr="007D15B7">
        <w:t>, P.</w:t>
      </w:r>
      <w:r w:rsidR="007D15B7">
        <w:t>11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994E37" w14:textId="7C339BB1" w:rsidR="007F0A1E" w:rsidRDefault="007F0A1E" w:rsidP="007F0A1E">
    <w:pPr>
      <w:pStyle w:val="Header"/>
      <w:jc w:val="center"/>
    </w:pPr>
    <w:r w:rsidRPr="007F0A1E">
      <w:t xml:space="preserve">Samuel Lawrence – Identity, and Myth: The Normans, and their World – </w:t>
    </w:r>
    <w:r>
      <w:t>Image</w:t>
    </w:r>
    <w:r w:rsidRPr="007F0A1E">
      <w:t xml:space="preserve"> Commentary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0A1E"/>
    <w:rsid w:val="00034A9A"/>
    <w:rsid w:val="00085C74"/>
    <w:rsid w:val="000B2602"/>
    <w:rsid w:val="000B7085"/>
    <w:rsid w:val="000E3F68"/>
    <w:rsid w:val="00131468"/>
    <w:rsid w:val="00297408"/>
    <w:rsid w:val="00306022"/>
    <w:rsid w:val="00331E4A"/>
    <w:rsid w:val="00345181"/>
    <w:rsid w:val="00446628"/>
    <w:rsid w:val="00476320"/>
    <w:rsid w:val="00481466"/>
    <w:rsid w:val="004C565C"/>
    <w:rsid w:val="004D6961"/>
    <w:rsid w:val="00552414"/>
    <w:rsid w:val="0056159A"/>
    <w:rsid w:val="00594173"/>
    <w:rsid w:val="005B20A3"/>
    <w:rsid w:val="005F3E2C"/>
    <w:rsid w:val="0066729A"/>
    <w:rsid w:val="007A14AF"/>
    <w:rsid w:val="007D15B7"/>
    <w:rsid w:val="007E18B0"/>
    <w:rsid w:val="007F0A1E"/>
    <w:rsid w:val="00826322"/>
    <w:rsid w:val="00855146"/>
    <w:rsid w:val="009E621A"/>
    <w:rsid w:val="00A95E92"/>
    <w:rsid w:val="00B17384"/>
    <w:rsid w:val="00B54E07"/>
    <w:rsid w:val="00BA63CD"/>
    <w:rsid w:val="00BB4D89"/>
    <w:rsid w:val="00BD4ADF"/>
    <w:rsid w:val="00C01DF2"/>
    <w:rsid w:val="00C14752"/>
    <w:rsid w:val="00CC7288"/>
    <w:rsid w:val="00CF7C29"/>
    <w:rsid w:val="00D04912"/>
    <w:rsid w:val="00DA22B9"/>
    <w:rsid w:val="00E82533"/>
    <w:rsid w:val="00EC04F2"/>
    <w:rsid w:val="00EE1344"/>
    <w:rsid w:val="00F434BA"/>
    <w:rsid w:val="00F66332"/>
    <w:rsid w:val="00F732BD"/>
    <w:rsid w:val="00FA3C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0930CA"/>
  <w15:chartTrackingRefBased/>
  <w15:docId w15:val="{C169A46C-4681-40BB-9147-F1E7E7741F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F0A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0A1E"/>
  </w:style>
  <w:style w:type="paragraph" w:styleId="Footer">
    <w:name w:val="footer"/>
    <w:basedOn w:val="Normal"/>
    <w:link w:val="FooterChar"/>
    <w:uiPriority w:val="99"/>
    <w:unhideWhenUsed/>
    <w:rsid w:val="007F0A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0A1E"/>
  </w:style>
  <w:style w:type="paragraph" w:styleId="FootnoteText">
    <w:name w:val="footnote text"/>
    <w:basedOn w:val="Normal"/>
    <w:link w:val="FootnoteTextChar"/>
    <w:uiPriority w:val="99"/>
    <w:semiHidden/>
    <w:unhideWhenUsed/>
    <w:rsid w:val="004C565C"/>
    <w:pPr>
      <w:spacing w:after="0" w:line="240" w:lineRule="auto"/>
    </w:pPr>
  </w:style>
  <w:style w:type="character" w:customStyle="1" w:styleId="FootnoteTextChar">
    <w:name w:val="Footnote Text Char"/>
    <w:basedOn w:val="DefaultParagraphFont"/>
    <w:link w:val="FootnoteText"/>
    <w:uiPriority w:val="99"/>
    <w:semiHidden/>
    <w:rsid w:val="004C565C"/>
  </w:style>
  <w:style w:type="character" w:styleId="FootnoteReference">
    <w:name w:val="footnote reference"/>
    <w:basedOn w:val="DefaultParagraphFont"/>
    <w:uiPriority w:val="99"/>
    <w:semiHidden/>
    <w:unhideWhenUsed/>
    <w:rsid w:val="004C565C"/>
    <w:rPr>
      <w:vertAlign w:val="superscript"/>
    </w:rPr>
  </w:style>
  <w:style w:type="paragraph" w:customStyle="1" w:styleId="sdfootnote">
    <w:name w:val="sdfootnote"/>
    <w:basedOn w:val="Normal"/>
    <w:rsid w:val="00034A9A"/>
    <w:pPr>
      <w:spacing w:before="100" w:beforeAutospacing="1" w:after="0" w:line="240" w:lineRule="auto"/>
    </w:pPr>
    <w:rPr>
      <w:rFonts w:eastAsia="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951168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5478C4-F965-4BF2-AE67-74FE89688E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454</TotalTime>
  <Pages>3</Pages>
  <Words>1243</Words>
  <Characters>7086</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Lawrence</dc:creator>
  <cp:keywords/>
  <dc:description/>
  <cp:lastModifiedBy>Samuel Lawrence</cp:lastModifiedBy>
  <cp:revision>5</cp:revision>
  <dcterms:created xsi:type="dcterms:W3CDTF">2021-04-19T18:22:00Z</dcterms:created>
  <dcterms:modified xsi:type="dcterms:W3CDTF">2021-04-21T15:01:00Z</dcterms:modified>
</cp:coreProperties>
</file>