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14A1CB" w14:textId="2AF9CBF1" w:rsidR="00EE494A" w:rsidRDefault="002F07E6" w:rsidP="002F07E6">
      <w:pPr>
        <w:jc w:val="center"/>
      </w:pPr>
      <w:r w:rsidRPr="00902B58">
        <w:rPr>
          <w:rFonts w:cs="Calibri"/>
          <w:noProof/>
        </w:rPr>
        <w:drawing>
          <wp:inline distT="0" distB="0" distL="0" distR="0" wp14:anchorId="43EF4741" wp14:editId="4D8D69DF">
            <wp:extent cx="4762500" cy="2124075"/>
            <wp:effectExtent l="0" t="0" r="0" b="9525"/>
            <wp:docPr id="760780039" name="Picture 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780039" name="Picture 2">
                      <a:extLst>
                        <a:ext uri="{C183D7F6-B498-43B3-948B-1728B52AA6E4}">
                          <adec:decorative xmlns:adec="http://schemas.microsoft.com/office/drawing/2017/decorative" val="1"/>
                        </a:ext>
                      </a:extLs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62500" cy="2124075"/>
                    </a:xfrm>
                    <a:prstGeom prst="rect">
                      <a:avLst/>
                    </a:prstGeom>
                    <a:noFill/>
                    <a:ln>
                      <a:noFill/>
                    </a:ln>
                  </pic:spPr>
                </pic:pic>
              </a:graphicData>
            </a:graphic>
          </wp:inline>
        </w:drawing>
      </w:r>
    </w:p>
    <w:p w14:paraId="3C309EC2" w14:textId="77777777" w:rsidR="002F07E6" w:rsidRDefault="002F07E6" w:rsidP="002F07E6">
      <w:pPr>
        <w:jc w:val="center"/>
      </w:pPr>
    </w:p>
    <w:p w14:paraId="37E944BB" w14:textId="3914BA30" w:rsidR="002F07E6" w:rsidRDefault="0055287C" w:rsidP="002F07E6">
      <w:pPr>
        <w:jc w:val="center"/>
        <w:rPr>
          <w:b/>
          <w:bCs/>
          <w:sz w:val="36"/>
          <w:szCs w:val="36"/>
        </w:rPr>
      </w:pPr>
      <w:r>
        <w:rPr>
          <w:b/>
          <w:bCs/>
          <w:sz w:val="36"/>
          <w:szCs w:val="36"/>
        </w:rPr>
        <w:t xml:space="preserve">L7 - </w:t>
      </w:r>
      <w:r w:rsidR="002F07E6" w:rsidRPr="002F07E6">
        <w:rPr>
          <w:b/>
          <w:bCs/>
          <w:sz w:val="36"/>
          <w:szCs w:val="36"/>
        </w:rPr>
        <w:t>DATA SECUR</w:t>
      </w:r>
      <w:r>
        <w:rPr>
          <w:b/>
          <w:bCs/>
          <w:sz w:val="36"/>
          <w:szCs w:val="36"/>
        </w:rPr>
        <w:t>IT</w:t>
      </w:r>
      <w:r w:rsidR="002F07E6" w:rsidRPr="002F07E6">
        <w:rPr>
          <w:b/>
          <w:bCs/>
          <w:sz w:val="36"/>
          <w:szCs w:val="36"/>
        </w:rPr>
        <w:t>Y GOVERNANCE AND COMPLIANCE</w:t>
      </w:r>
      <w:r>
        <w:rPr>
          <w:b/>
          <w:bCs/>
          <w:sz w:val="36"/>
          <w:szCs w:val="36"/>
        </w:rPr>
        <w:t xml:space="preserve"> </w:t>
      </w:r>
      <w:r w:rsidRPr="0055287C">
        <w:rPr>
          <w:rFonts w:ascii="Arial" w:hAnsi="Arial" w:cs="Arial"/>
          <w:b/>
          <w:sz w:val="36"/>
          <w:szCs w:val="36"/>
        </w:rPr>
        <w:t>ACCA7028</w:t>
      </w:r>
    </w:p>
    <w:p w14:paraId="38A892C7" w14:textId="77777777" w:rsidR="002F07E6" w:rsidRPr="002F07E6" w:rsidRDefault="002F07E6" w:rsidP="002F07E6">
      <w:pPr>
        <w:jc w:val="center"/>
        <w:rPr>
          <w:rFonts w:ascii="Calibri" w:hAnsi="Calibri" w:cs="Calibri"/>
          <w:b/>
          <w:bCs/>
          <w:sz w:val="28"/>
          <w:szCs w:val="28"/>
        </w:rPr>
      </w:pPr>
    </w:p>
    <w:p w14:paraId="1A204101" w14:textId="6CD532C4" w:rsidR="002F07E6" w:rsidRDefault="002F07E6" w:rsidP="002F07E6">
      <w:pPr>
        <w:spacing w:before="120" w:after="120"/>
        <w:jc w:val="center"/>
        <w:rPr>
          <w:rFonts w:ascii="Calibri" w:hAnsi="Calibri" w:cs="Calibri"/>
          <w:b/>
          <w:bCs/>
          <w:color w:val="000000"/>
          <w:sz w:val="28"/>
          <w:szCs w:val="28"/>
        </w:rPr>
      </w:pPr>
      <w:r w:rsidRPr="002F07E6">
        <w:rPr>
          <w:rFonts w:ascii="Calibri" w:hAnsi="Calibri" w:cs="Calibri"/>
          <w:b/>
          <w:bCs/>
          <w:color w:val="000000"/>
          <w:sz w:val="28"/>
          <w:szCs w:val="28"/>
        </w:rPr>
        <w:t>Apply the principles and practices of Data security Governance and Compliance based on a given scenario.</w:t>
      </w:r>
    </w:p>
    <w:p w14:paraId="5452F310" w14:textId="5C5D18DB" w:rsidR="0055287C" w:rsidRPr="002F07E6" w:rsidRDefault="0055287C" w:rsidP="002F07E6">
      <w:pPr>
        <w:spacing w:before="120" w:after="120"/>
        <w:jc w:val="center"/>
        <w:rPr>
          <w:rFonts w:ascii="Calibri" w:hAnsi="Calibri" w:cs="Calibri"/>
          <w:b/>
          <w:bCs/>
          <w:sz w:val="28"/>
          <w:szCs w:val="28"/>
        </w:rPr>
      </w:pPr>
      <w:r>
        <w:rPr>
          <w:rFonts w:ascii="Calibri" w:hAnsi="Calibri" w:cs="Calibri"/>
          <w:b/>
          <w:bCs/>
          <w:color w:val="000000"/>
          <w:sz w:val="28"/>
          <w:szCs w:val="28"/>
        </w:rPr>
        <w:t>2521441 ERHAN KOCAL</w:t>
      </w:r>
    </w:p>
    <w:p w14:paraId="2C33B40D" w14:textId="500B7371" w:rsidR="002F07E6" w:rsidRDefault="002F07E6" w:rsidP="002F07E6">
      <w:pPr>
        <w:jc w:val="center"/>
        <w:rPr>
          <w:b/>
          <w:bCs/>
          <w:sz w:val="36"/>
          <w:szCs w:val="36"/>
        </w:rPr>
      </w:pPr>
    </w:p>
    <w:p w14:paraId="19C57912" w14:textId="6272C25D" w:rsidR="00F866F8" w:rsidRDefault="00F866F8" w:rsidP="00E76FD9">
      <w:pPr>
        <w:pStyle w:val="Heading1"/>
        <w:jc w:val="center"/>
      </w:pPr>
      <w:bookmarkStart w:id="0" w:name="_Toc218759946"/>
      <w:r w:rsidRPr="00F866F8">
        <w:t>Table of Contents</w:t>
      </w:r>
      <w:bookmarkEnd w:id="0"/>
    </w:p>
    <w:sdt>
      <w:sdtPr>
        <w:id w:val="1269892897"/>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2EDE01D5" w14:textId="2D515FE5" w:rsidR="00A23239" w:rsidRDefault="00A23239">
          <w:pPr>
            <w:pStyle w:val="TOCHeading"/>
          </w:pPr>
          <w:r>
            <w:t>Contents</w:t>
          </w:r>
        </w:p>
        <w:p w14:paraId="26ED3CF8" w14:textId="1308F3CF" w:rsidR="0001231C" w:rsidRDefault="001E2DEF">
          <w:pPr>
            <w:pStyle w:val="TOC1"/>
            <w:tabs>
              <w:tab w:val="right" w:leader="dot" w:pos="9016"/>
            </w:tabs>
            <w:rPr>
              <w:rFonts w:eastAsiaTheme="minorEastAsia"/>
              <w:noProof/>
              <w:sz w:val="24"/>
              <w:szCs w:val="24"/>
              <w:lang w:eastAsia="en-GB"/>
            </w:rPr>
          </w:pPr>
          <w:r>
            <w:fldChar w:fldCharType="begin"/>
          </w:r>
          <w:r>
            <w:instrText xml:space="preserve"> TOC \o "1-4" \h \z \u </w:instrText>
          </w:r>
          <w:r>
            <w:fldChar w:fldCharType="separate"/>
          </w:r>
          <w:hyperlink w:anchor="_Toc218759946" w:history="1">
            <w:r w:rsidR="0001231C" w:rsidRPr="00423F0D">
              <w:rPr>
                <w:rStyle w:val="Hyperlink"/>
                <w:noProof/>
              </w:rPr>
              <w:t>Table of Contents</w:t>
            </w:r>
            <w:r w:rsidR="0001231C">
              <w:rPr>
                <w:noProof/>
                <w:webHidden/>
              </w:rPr>
              <w:tab/>
            </w:r>
            <w:r w:rsidR="0001231C">
              <w:rPr>
                <w:noProof/>
                <w:webHidden/>
              </w:rPr>
              <w:fldChar w:fldCharType="begin"/>
            </w:r>
            <w:r w:rsidR="0001231C">
              <w:rPr>
                <w:noProof/>
                <w:webHidden/>
              </w:rPr>
              <w:instrText xml:space="preserve"> PAGEREF _Toc218759946 \h </w:instrText>
            </w:r>
            <w:r w:rsidR="0001231C">
              <w:rPr>
                <w:noProof/>
                <w:webHidden/>
              </w:rPr>
            </w:r>
            <w:r w:rsidR="0001231C">
              <w:rPr>
                <w:noProof/>
                <w:webHidden/>
              </w:rPr>
              <w:fldChar w:fldCharType="separate"/>
            </w:r>
            <w:r w:rsidR="0001231C">
              <w:rPr>
                <w:noProof/>
                <w:webHidden/>
              </w:rPr>
              <w:t>1</w:t>
            </w:r>
            <w:r w:rsidR="0001231C">
              <w:rPr>
                <w:noProof/>
                <w:webHidden/>
              </w:rPr>
              <w:fldChar w:fldCharType="end"/>
            </w:r>
          </w:hyperlink>
        </w:p>
        <w:p w14:paraId="7648CC7C" w14:textId="52BAB687" w:rsidR="0001231C" w:rsidRDefault="0001231C">
          <w:pPr>
            <w:pStyle w:val="TOC1"/>
            <w:tabs>
              <w:tab w:val="right" w:leader="dot" w:pos="9016"/>
            </w:tabs>
            <w:rPr>
              <w:rFonts w:eastAsiaTheme="minorEastAsia"/>
              <w:noProof/>
              <w:sz w:val="24"/>
              <w:szCs w:val="24"/>
              <w:lang w:eastAsia="en-GB"/>
            </w:rPr>
          </w:pPr>
          <w:hyperlink w:anchor="_Toc218759947" w:history="1">
            <w:r w:rsidRPr="00423F0D">
              <w:rPr>
                <w:rStyle w:val="Hyperlink"/>
                <w:noProof/>
              </w:rPr>
              <w:t>Abstract:</w:t>
            </w:r>
            <w:r>
              <w:rPr>
                <w:noProof/>
                <w:webHidden/>
              </w:rPr>
              <w:tab/>
            </w:r>
            <w:r>
              <w:rPr>
                <w:noProof/>
                <w:webHidden/>
              </w:rPr>
              <w:fldChar w:fldCharType="begin"/>
            </w:r>
            <w:r>
              <w:rPr>
                <w:noProof/>
                <w:webHidden/>
              </w:rPr>
              <w:instrText xml:space="preserve"> PAGEREF _Toc218759947 \h </w:instrText>
            </w:r>
            <w:r>
              <w:rPr>
                <w:noProof/>
                <w:webHidden/>
              </w:rPr>
            </w:r>
            <w:r>
              <w:rPr>
                <w:noProof/>
                <w:webHidden/>
              </w:rPr>
              <w:fldChar w:fldCharType="separate"/>
            </w:r>
            <w:r>
              <w:rPr>
                <w:noProof/>
                <w:webHidden/>
              </w:rPr>
              <w:t>2</w:t>
            </w:r>
            <w:r>
              <w:rPr>
                <w:noProof/>
                <w:webHidden/>
              </w:rPr>
              <w:fldChar w:fldCharType="end"/>
            </w:r>
          </w:hyperlink>
        </w:p>
        <w:p w14:paraId="61D99B71" w14:textId="75500336" w:rsidR="0001231C" w:rsidRDefault="0001231C">
          <w:pPr>
            <w:pStyle w:val="TOC1"/>
            <w:tabs>
              <w:tab w:val="right" w:leader="dot" w:pos="9016"/>
            </w:tabs>
            <w:rPr>
              <w:rFonts w:eastAsiaTheme="minorEastAsia"/>
              <w:noProof/>
              <w:sz w:val="24"/>
              <w:szCs w:val="24"/>
              <w:lang w:eastAsia="en-GB"/>
            </w:rPr>
          </w:pPr>
          <w:hyperlink w:anchor="_Toc218759948" w:history="1">
            <w:r w:rsidRPr="00423F0D">
              <w:rPr>
                <w:rStyle w:val="Hyperlink"/>
                <w:noProof/>
              </w:rPr>
              <w:t>Introduction:</w:t>
            </w:r>
            <w:r>
              <w:rPr>
                <w:noProof/>
                <w:webHidden/>
              </w:rPr>
              <w:tab/>
            </w:r>
            <w:r>
              <w:rPr>
                <w:noProof/>
                <w:webHidden/>
              </w:rPr>
              <w:fldChar w:fldCharType="begin"/>
            </w:r>
            <w:r>
              <w:rPr>
                <w:noProof/>
                <w:webHidden/>
              </w:rPr>
              <w:instrText xml:space="preserve"> PAGEREF _Toc218759948 \h </w:instrText>
            </w:r>
            <w:r>
              <w:rPr>
                <w:noProof/>
                <w:webHidden/>
              </w:rPr>
            </w:r>
            <w:r>
              <w:rPr>
                <w:noProof/>
                <w:webHidden/>
              </w:rPr>
              <w:fldChar w:fldCharType="separate"/>
            </w:r>
            <w:r>
              <w:rPr>
                <w:noProof/>
                <w:webHidden/>
              </w:rPr>
              <w:t>3</w:t>
            </w:r>
            <w:r>
              <w:rPr>
                <w:noProof/>
                <w:webHidden/>
              </w:rPr>
              <w:fldChar w:fldCharType="end"/>
            </w:r>
          </w:hyperlink>
        </w:p>
        <w:p w14:paraId="742D3B8E" w14:textId="7D4EEB35" w:rsidR="0001231C" w:rsidRDefault="0001231C">
          <w:pPr>
            <w:pStyle w:val="TOC2"/>
            <w:tabs>
              <w:tab w:val="right" w:leader="dot" w:pos="9016"/>
            </w:tabs>
            <w:rPr>
              <w:rFonts w:eastAsiaTheme="minorEastAsia"/>
              <w:noProof/>
              <w:sz w:val="24"/>
              <w:szCs w:val="24"/>
              <w:lang w:eastAsia="en-GB"/>
            </w:rPr>
          </w:pPr>
          <w:hyperlink w:anchor="_Toc218759949" w:history="1">
            <w:r w:rsidRPr="00423F0D">
              <w:rPr>
                <w:rStyle w:val="Hyperlink"/>
                <w:noProof/>
              </w:rPr>
              <w:t>1.1. The Global Threat Landscape</w:t>
            </w:r>
            <w:r>
              <w:rPr>
                <w:noProof/>
                <w:webHidden/>
              </w:rPr>
              <w:tab/>
            </w:r>
            <w:r>
              <w:rPr>
                <w:noProof/>
                <w:webHidden/>
              </w:rPr>
              <w:fldChar w:fldCharType="begin"/>
            </w:r>
            <w:r>
              <w:rPr>
                <w:noProof/>
                <w:webHidden/>
              </w:rPr>
              <w:instrText xml:space="preserve"> PAGEREF _Toc218759949 \h </w:instrText>
            </w:r>
            <w:r>
              <w:rPr>
                <w:noProof/>
                <w:webHidden/>
              </w:rPr>
            </w:r>
            <w:r>
              <w:rPr>
                <w:noProof/>
                <w:webHidden/>
              </w:rPr>
              <w:fldChar w:fldCharType="separate"/>
            </w:r>
            <w:r>
              <w:rPr>
                <w:noProof/>
                <w:webHidden/>
              </w:rPr>
              <w:t>3</w:t>
            </w:r>
            <w:r>
              <w:rPr>
                <w:noProof/>
                <w:webHidden/>
              </w:rPr>
              <w:fldChar w:fldCharType="end"/>
            </w:r>
          </w:hyperlink>
        </w:p>
        <w:p w14:paraId="065299F2" w14:textId="0AE0F437" w:rsidR="0001231C" w:rsidRDefault="0001231C">
          <w:pPr>
            <w:pStyle w:val="TOC2"/>
            <w:tabs>
              <w:tab w:val="right" w:leader="dot" w:pos="9016"/>
            </w:tabs>
            <w:rPr>
              <w:rFonts w:eastAsiaTheme="minorEastAsia"/>
              <w:noProof/>
              <w:sz w:val="24"/>
              <w:szCs w:val="24"/>
              <w:lang w:eastAsia="en-GB"/>
            </w:rPr>
          </w:pPr>
          <w:hyperlink w:anchor="_Toc218759950" w:history="1">
            <w:r w:rsidRPr="00423F0D">
              <w:rPr>
                <w:rStyle w:val="Hyperlink"/>
                <w:noProof/>
              </w:rPr>
              <w:t>1.2. Problem Statement: NatureGreen in Disarray</w:t>
            </w:r>
            <w:r>
              <w:rPr>
                <w:noProof/>
                <w:webHidden/>
              </w:rPr>
              <w:tab/>
            </w:r>
            <w:r>
              <w:rPr>
                <w:noProof/>
                <w:webHidden/>
              </w:rPr>
              <w:fldChar w:fldCharType="begin"/>
            </w:r>
            <w:r>
              <w:rPr>
                <w:noProof/>
                <w:webHidden/>
              </w:rPr>
              <w:instrText xml:space="preserve"> PAGEREF _Toc218759950 \h </w:instrText>
            </w:r>
            <w:r>
              <w:rPr>
                <w:noProof/>
                <w:webHidden/>
              </w:rPr>
            </w:r>
            <w:r>
              <w:rPr>
                <w:noProof/>
                <w:webHidden/>
              </w:rPr>
              <w:fldChar w:fldCharType="separate"/>
            </w:r>
            <w:r>
              <w:rPr>
                <w:noProof/>
                <w:webHidden/>
              </w:rPr>
              <w:t>3</w:t>
            </w:r>
            <w:r>
              <w:rPr>
                <w:noProof/>
                <w:webHidden/>
              </w:rPr>
              <w:fldChar w:fldCharType="end"/>
            </w:r>
          </w:hyperlink>
        </w:p>
        <w:p w14:paraId="29E886FF" w14:textId="38299C57" w:rsidR="0001231C" w:rsidRDefault="0001231C">
          <w:pPr>
            <w:pStyle w:val="TOC2"/>
            <w:tabs>
              <w:tab w:val="right" w:leader="dot" w:pos="9016"/>
            </w:tabs>
            <w:rPr>
              <w:rFonts w:eastAsiaTheme="minorEastAsia"/>
              <w:noProof/>
              <w:sz w:val="24"/>
              <w:szCs w:val="24"/>
              <w:lang w:eastAsia="en-GB"/>
            </w:rPr>
          </w:pPr>
          <w:hyperlink w:anchor="_Toc218759951" w:history="1">
            <w:r w:rsidRPr="00423F0D">
              <w:rPr>
                <w:rStyle w:val="Hyperlink"/>
                <w:noProof/>
              </w:rPr>
              <w:t>1.3. Purpose and Scope</w:t>
            </w:r>
            <w:r>
              <w:rPr>
                <w:noProof/>
                <w:webHidden/>
              </w:rPr>
              <w:tab/>
            </w:r>
            <w:r>
              <w:rPr>
                <w:noProof/>
                <w:webHidden/>
              </w:rPr>
              <w:fldChar w:fldCharType="begin"/>
            </w:r>
            <w:r>
              <w:rPr>
                <w:noProof/>
                <w:webHidden/>
              </w:rPr>
              <w:instrText xml:space="preserve"> PAGEREF _Toc218759951 \h </w:instrText>
            </w:r>
            <w:r>
              <w:rPr>
                <w:noProof/>
                <w:webHidden/>
              </w:rPr>
            </w:r>
            <w:r>
              <w:rPr>
                <w:noProof/>
                <w:webHidden/>
              </w:rPr>
              <w:fldChar w:fldCharType="separate"/>
            </w:r>
            <w:r>
              <w:rPr>
                <w:noProof/>
                <w:webHidden/>
              </w:rPr>
              <w:t>3</w:t>
            </w:r>
            <w:r>
              <w:rPr>
                <w:noProof/>
                <w:webHidden/>
              </w:rPr>
              <w:fldChar w:fldCharType="end"/>
            </w:r>
          </w:hyperlink>
        </w:p>
        <w:p w14:paraId="588FB34F" w14:textId="7FCF9CED" w:rsidR="0001231C" w:rsidRDefault="0001231C">
          <w:pPr>
            <w:pStyle w:val="TOC2"/>
            <w:tabs>
              <w:tab w:val="right" w:leader="dot" w:pos="9016"/>
            </w:tabs>
            <w:rPr>
              <w:rFonts w:eastAsiaTheme="minorEastAsia"/>
              <w:noProof/>
              <w:sz w:val="24"/>
              <w:szCs w:val="24"/>
              <w:lang w:eastAsia="en-GB"/>
            </w:rPr>
          </w:pPr>
          <w:hyperlink w:anchor="_Toc218759952" w:history="1">
            <w:r w:rsidRPr="00423F0D">
              <w:rPr>
                <w:rStyle w:val="Hyperlink"/>
                <w:noProof/>
              </w:rPr>
              <w:t>2. ISO/IEC 27001 ISMS Structure</w:t>
            </w:r>
            <w:r>
              <w:rPr>
                <w:noProof/>
                <w:webHidden/>
              </w:rPr>
              <w:tab/>
            </w:r>
            <w:r>
              <w:rPr>
                <w:noProof/>
                <w:webHidden/>
              </w:rPr>
              <w:fldChar w:fldCharType="begin"/>
            </w:r>
            <w:r>
              <w:rPr>
                <w:noProof/>
                <w:webHidden/>
              </w:rPr>
              <w:instrText xml:space="preserve"> PAGEREF _Toc218759952 \h </w:instrText>
            </w:r>
            <w:r>
              <w:rPr>
                <w:noProof/>
                <w:webHidden/>
              </w:rPr>
            </w:r>
            <w:r>
              <w:rPr>
                <w:noProof/>
                <w:webHidden/>
              </w:rPr>
              <w:fldChar w:fldCharType="separate"/>
            </w:r>
            <w:r>
              <w:rPr>
                <w:noProof/>
                <w:webHidden/>
              </w:rPr>
              <w:t>4</w:t>
            </w:r>
            <w:r>
              <w:rPr>
                <w:noProof/>
                <w:webHidden/>
              </w:rPr>
              <w:fldChar w:fldCharType="end"/>
            </w:r>
          </w:hyperlink>
        </w:p>
        <w:p w14:paraId="1BDED344" w14:textId="35833471" w:rsidR="0001231C" w:rsidRDefault="0001231C">
          <w:pPr>
            <w:pStyle w:val="TOC2"/>
            <w:tabs>
              <w:tab w:val="right" w:leader="dot" w:pos="9016"/>
            </w:tabs>
            <w:rPr>
              <w:rFonts w:eastAsiaTheme="minorEastAsia"/>
              <w:noProof/>
              <w:sz w:val="24"/>
              <w:szCs w:val="24"/>
              <w:lang w:eastAsia="en-GB"/>
            </w:rPr>
          </w:pPr>
          <w:hyperlink w:anchor="_Toc218759953" w:history="1">
            <w:r w:rsidRPr="00423F0D">
              <w:rPr>
                <w:rStyle w:val="Hyperlink"/>
                <w:noProof/>
              </w:rPr>
              <w:t>3. Information Technology Infrastructure Library (ITIL):</w:t>
            </w:r>
            <w:r>
              <w:rPr>
                <w:noProof/>
                <w:webHidden/>
              </w:rPr>
              <w:tab/>
            </w:r>
            <w:r>
              <w:rPr>
                <w:noProof/>
                <w:webHidden/>
              </w:rPr>
              <w:fldChar w:fldCharType="begin"/>
            </w:r>
            <w:r>
              <w:rPr>
                <w:noProof/>
                <w:webHidden/>
              </w:rPr>
              <w:instrText xml:space="preserve"> PAGEREF _Toc218759953 \h </w:instrText>
            </w:r>
            <w:r>
              <w:rPr>
                <w:noProof/>
                <w:webHidden/>
              </w:rPr>
            </w:r>
            <w:r>
              <w:rPr>
                <w:noProof/>
                <w:webHidden/>
              </w:rPr>
              <w:fldChar w:fldCharType="separate"/>
            </w:r>
            <w:r>
              <w:rPr>
                <w:noProof/>
                <w:webHidden/>
              </w:rPr>
              <w:t>4</w:t>
            </w:r>
            <w:r>
              <w:rPr>
                <w:noProof/>
                <w:webHidden/>
              </w:rPr>
              <w:fldChar w:fldCharType="end"/>
            </w:r>
          </w:hyperlink>
        </w:p>
        <w:p w14:paraId="4E5B8AF4" w14:textId="0D24237F" w:rsidR="0001231C" w:rsidRDefault="0001231C">
          <w:pPr>
            <w:pStyle w:val="TOC3"/>
            <w:tabs>
              <w:tab w:val="right" w:leader="dot" w:pos="9016"/>
            </w:tabs>
            <w:rPr>
              <w:rFonts w:eastAsiaTheme="minorEastAsia"/>
              <w:noProof/>
              <w:sz w:val="24"/>
              <w:szCs w:val="24"/>
              <w:lang w:eastAsia="en-GB"/>
            </w:rPr>
          </w:pPr>
          <w:hyperlink w:anchor="_Toc218759954" w:history="1">
            <w:r w:rsidRPr="00423F0D">
              <w:rPr>
                <w:rStyle w:val="Hyperlink"/>
                <w:rFonts w:ascii="Calibri" w:hAnsi="Calibri" w:cs="Calibri"/>
                <w:noProof/>
              </w:rPr>
              <w:t>3.1</w:t>
            </w:r>
            <w:r w:rsidRPr="00423F0D">
              <w:rPr>
                <w:rStyle w:val="Hyperlink"/>
                <w:noProof/>
              </w:rPr>
              <w:t>. ITIL v3 service lifecycle</w:t>
            </w:r>
            <w:r>
              <w:rPr>
                <w:noProof/>
                <w:webHidden/>
              </w:rPr>
              <w:tab/>
            </w:r>
            <w:r>
              <w:rPr>
                <w:noProof/>
                <w:webHidden/>
              </w:rPr>
              <w:fldChar w:fldCharType="begin"/>
            </w:r>
            <w:r>
              <w:rPr>
                <w:noProof/>
                <w:webHidden/>
              </w:rPr>
              <w:instrText xml:space="preserve"> PAGEREF _Toc218759954 \h </w:instrText>
            </w:r>
            <w:r>
              <w:rPr>
                <w:noProof/>
                <w:webHidden/>
              </w:rPr>
            </w:r>
            <w:r>
              <w:rPr>
                <w:noProof/>
                <w:webHidden/>
              </w:rPr>
              <w:fldChar w:fldCharType="separate"/>
            </w:r>
            <w:r>
              <w:rPr>
                <w:noProof/>
                <w:webHidden/>
              </w:rPr>
              <w:t>4</w:t>
            </w:r>
            <w:r>
              <w:rPr>
                <w:noProof/>
                <w:webHidden/>
              </w:rPr>
              <w:fldChar w:fldCharType="end"/>
            </w:r>
          </w:hyperlink>
        </w:p>
        <w:p w14:paraId="28EE95C6" w14:textId="48531AD1" w:rsidR="0001231C" w:rsidRDefault="0001231C">
          <w:pPr>
            <w:pStyle w:val="TOC3"/>
            <w:tabs>
              <w:tab w:val="right" w:leader="dot" w:pos="9016"/>
            </w:tabs>
            <w:rPr>
              <w:rFonts w:eastAsiaTheme="minorEastAsia"/>
              <w:noProof/>
              <w:sz w:val="24"/>
              <w:szCs w:val="24"/>
              <w:lang w:eastAsia="en-GB"/>
            </w:rPr>
          </w:pPr>
          <w:hyperlink w:anchor="_Toc218759955" w:history="1">
            <w:r w:rsidRPr="00423F0D">
              <w:rPr>
                <w:rStyle w:val="Hyperlink"/>
                <w:noProof/>
              </w:rPr>
              <w:t>3.2. Updated version of ITIL V4</w:t>
            </w:r>
            <w:r>
              <w:rPr>
                <w:noProof/>
                <w:webHidden/>
              </w:rPr>
              <w:tab/>
            </w:r>
            <w:r>
              <w:rPr>
                <w:noProof/>
                <w:webHidden/>
              </w:rPr>
              <w:fldChar w:fldCharType="begin"/>
            </w:r>
            <w:r>
              <w:rPr>
                <w:noProof/>
                <w:webHidden/>
              </w:rPr>
              <w:instrText xml:space="preserve"> PAGEREF _Toc218759955 \h </w:instrText>
            </w:r>
            <w:r>
              <w:rPr>
                <w:noProof/>
                <w:webHidden/>
              </w:rPr>
            </w:r>
            <w:r>
              <w:rPr>
                <w:noProof/>
                <w:webHidden/>
              </w:rPr>
              <w:fldChar w:fldCharType="separate"/>
            </w:r>
            <w:r>
              <w:rPr>
                <w:noProof/>
                <w:webHidden/>
              </w:rPr>
              <w:t>5</w:t>
            </w:r>
            <w:r>
              <w:rPr>
                <w:noProof/>
                <w:webHidden/>
              </w:rPr>
              <w:fldChar w:fldCharType="end"/>
            </w:r>
          </w:hyperlink>
        </w:p>
        <w:p w14:paraId="63F48C51" w14:textId="148A3D0A" w:rsidR="0001231C" w:rsidRDefault="0001231C">
          <w:pPr>
            <w:pStyle w:val="TOC1"/>
            <w:tabs>
              <w:tab w:val="right" w:leader="dot" w:pos="9016"/>
            </w:tabs>
            <w:rPr>
              <w:rFonts w:eastAsiaTheme="minorEastAsia"/>
              <w:noProof/>
              <w:sz w:val="24"/>
              <w:szCs w:val="24"/>
              <w:lang w:eastAsia="en-GB"/>
            </w:rPr>
          </w:pPr>
          <w:hyperlink w:anchor="_Toc218759956" w:history="1">
            <w:r w:rsidRPr="00423F0D">
              <w:rPr>
                <w:rStyle w:val="Hyperlink"/>
                <w:noProof/>
              </w:rPr>
              <w:t>4. Governance, Risk Management, and Compliance</w:t>
            </w:r>
            <w:r>
              <w:rPr>
                <w:noProof/>
                <w:webHidden/>
              </w:rPr>
              <w:tab/>
            </w:r>
            <w:r>
              <w:rPr>
                <w:noProof/>
                <w:webHidden/>
              </w:rPr>
              <w:fldChar w:fldCharType="begin"/>
            </w:r>
            <w:r>
              <w:rPr>
                <w:noProof/>
                <w:webHidden/>
              </w:rPr>
              <w:instrText xml:space="preserve"> PAGEREF _Toc218759956 \h </w:instrText>
            </w:r>
            <w:r>
              <w:rPr>
                <w:noProof/>
                <w:webHidden/>
              </w:rPr>
            </w:r>
            <w:r>
              <w:rPr>
                <w:noProof/>
                <w:webHidden/>
              </w:rPr>
              <w:fldChar w:fldCharType="separate"/>
            </w:r>
            <w:r>
              <w:rPr>
                <w:noProof/>
                <w:webHidden/>
              </w:rPr>
              <w:t>7</w:t>
            </w:r>
            <w:r>
              <w:rPr>
                <w:noProof/>
                <w:webHidden/>
              </w:rPr>
              <w:fldChar w:fldCharType="end"/>
            </w:r>
          </w:hyperlink>
        </w:p>
        <w:p w14:paraId="37B7F2E4" w14:textId="3D8F4DA5" w:rsidR="0001231C" w:rsidRDefault="0001231C">
          <w:pPr>
            <w:pStyle w:val="TOC2"/>
            <w:tabs>
              <w:tab w:val="right" w:leader="dot" w:pos="9016"/>
            </w:tabs>
            <w:rPr>
              <w:rFonts w:eastAsiaTheme="minorEastAsia"/>
              <w:noProof/>
              <w:sz w:val="24"/>
              <w:szCs w:val="24"/>
              <w:lang w:eastAsia="en-GB"/>
            </w:rPr>
          </w:pPr>
          <w:hyperlink w:anchor="_Toc218759957" w:history="1">
            <w:r w:rsidRPr="00423F0D">
              <w:rPr>
                <w:rStyle w:val="Hyperlink"/>
                <w:noProof/>
              </w:rPr>
              <w:t>4.1. Governance and Strategic Planning</w:t>
            </w:r>
            <w:r>
              <w:rPr>
                <w:noProof/>
                <w:webHidden/>
              </w:rPr>
              <w:tab/>
            </w:r>
            <w:r>
              <w:rPr>
                <w:noProof/>
                <w:webHidden/>
              </w:rPr>
              <w:fldChar w:fldCharType="begin"/>
            </w:r>
            <w:r>
              <w:rPr>
                <w:noProof/>
                <w:webHidden/>
              </w:rPr>
              <w:instrText xml:space="preserve"> PAGEREF _Toc218759957 \h </w:instrText>
            </w:r>
            <w:r>
              <w:rPr>
                <w:noProof/>
                <w:webHidden/>
              </w:rPr>
            </w:r>
            <w:r>
              <w:rPr>
                <w:noProof/>
                <w:webHidden/>
              </w:rPr>
              <w:fldChar w:fldCharType="separate"/>
            </w:r>
            <w:r>
              <w:rPr>
                <w:noProof/>
                <w:webHidden/>
              </w:rPr>
              <w:t>7</w:t>
            </w:r>
            <w:r>
              <w:rPr>
                <w:noProof/>
                <w:webHidden/>
              </w:rPr>
              <w:fldChar w:fldCharType="end"/>
            </w:r>
          </w:hyperlink>
        </w:p>
        <w:p w14:paraId="26EDEB26" w14:textId="20EE3B99" w:rsidR="0001231C" w:rsidRDefault="0001231C">
          <w:pPr>
            <w:pStyle w:val="TOC2"/>
            <w:tabs>
              <w:tab w:val="right" w:leader="dot" w:pos="9016"/>
            </w:tabs>
            <w:rPr>
              <w:rFonts w:eastAsiaTheme="minorEastAsia"/>
              <w:noProof/>
              <w:sz w:val="24"/>
              <w:szCs w:val="24"/>
              <w:lang w:eastAsia="en-GB"/>
            </w:rPr>
          </w:pPr>
          <w:hyperlink w:anchor="_Toc218759958" w:history="1">
            <w:r w:rsidRPr="00423F0D">
              <w:rPr>
                <w:rStyle w:val="Hyperlink"/>
                <w:noProof/>
              </w:rPr>
              <w:t>4.2. Risk Management (Protecting the Billion-Dollar IP)</w:t>
            </w:r>
            <w:r>
              <w:rPr>
                <w:noProof/>
                <w:webHidden/>
              </w:rPr>
              <w:tab/>
            </w:r>
            <w:r>
              <w:rPr>
                <w:noProof/>
                <w:webHidden/>
              </w:rPr>
              <w:fldChar w:fldCharType="begin"/>
            </w:r>
            <w:r>
              <w:rPr>
                <w:noProof/>
                <w:webHidden/>
              </w:rPr>
              <w:instrText xml:space="preserve"> PAGEREF _Toc218759958 \h </w:instrText>
            </w:r>
            <w:r>
              <w:rPr>
                <w:noProof/>
                <w:webHidden/>
              </w:rPr>
            </w:r>
            <w:r>
              <w:rPr>
                <w:noProof/>
                <w:webHidden/>
              </w:rPr>
              <w:fldChar w:fldCharType="separate"/>
            </w:r>
            <w:r>
              <w:rPr>
                <w:noProof/>
                <w:webHidden/>
              </w:rPr>
              <w:t>7</w:t>
            </w:r>
            <w:r>
              <w:rPr>
                <w:noProof/>
                <w:webHidden/>
              </w:rPr>
              <w:fldChar w:fldCharType="end"/>
            </w:r>
          </w:hyperlink>
        </w:p>
        <w:p w14:paraId="1062CDE0" w14:textId="02EC3C57" w:rsidR="0001231C" w:rsidRDefault="0001231C">
          <w:pPr>
            <w:pStyle w:val="TOC2"/>
            <w:tabs>
              <w:tab w:val="right" w:leader="dot" w:pos="9016"/>
            </w:tabs>
            <w:rPr>
              <w:rFonts w:eastAsiaTheme="minorEastAsia"/>
              <w:noProof/>
              <w:sz w:val="24"/>
              <w:szCs w:val="24"/>
              <w:lang w:eastAsia="en-GB"/>
            </w:rPr>
          </w:pPr>
          <w:hyperlink w:anchor="_Toc218759959" w:history="1">
            <w:r w:rsidRPr="00423F0D">
              <w:rPr>
                <w:rStyle w:val="Hyperlink"/>
                <w:noProof/>
              </w:rPr>
              <w:t>4.3. Compliance: Laws and Ethics</w:t>
            </w:r>
            <w:r>
              <w:rPr>
                <w:noProof/>
                <w:webHidden/>
              </w:rPr>
              <w:tab/>
            </w:r>
            <w:r>
              <w:rPr>
                <w:noProof/>
                <w:webHidden/>
              </w:rPr>
              <w:fldChar w:fldCharType="begin"/>
            </w:r>
            <w:r>
              <w:rPr>
                <w:noProof/>
                <w:webHidden/>
              </w:rPr>
              <w:instrText xml:space="preserve"> PAGEREF _Toc218759959 \h </w:instrText>
            </w:r>
            <w:r>
              <w:rPr>
                <w:noProof/>
                <w:webHidden/>
              </w:rPr>
            </w:r>
            <w:r>
              <w:rPr>
                <w:noProof/>
                <w:webHidden/>
              </w:rPr>
              <w:fldChar w:fldCharType="separate"/>
            </w:r>
            <w:r>
              <w:rPr>
                <w:noProof/>
                <w:webHidden/>
              </w:rPr>
              <w:t>7</w:t>
            </w:r>
            <w:r>
              <w:rPr>
                <w:noProof/>
                <w:webHidden/>
              </w:rPr>
              <w:fldChar w:fldCharType="end"/>
            </w:r>
          </w:hyperlink>
        </w:p>
        <w:p w14:paraId="3980BF46" w14:textId="3D55BB45" w:rsidR="0001231C" w:rsidRDefault="0001231C">
          <w:pPr>
            <w:pStyle w:val="TOC2"/>
            <w:tabs>
              <w:tab w:val="right" w:leader="dot" w:pos="9016"/>
            </w:tabs>
            <w:rPr>
              <w:rFonts w:eastAsiaTheme="minorEastAsia"/>
              <w:noProof/>
              <w:sz w:val="24"/>
              <w:szCs w:val="24"/>
              <w:lang w:eastAsia="en-GB"/>
            </w:rPr>
          </w:pPr>
          <w:hyperlink w:anchor="_Toc218759960" w:history="1">
            <w:r w:rsidRPr="00423F0D">
              <w:rPr>
                <w:rStyle w:val="Hyperlink"/>
                <w:noProof/>
              </w:rPr>
              <w:t>4.4. Contingency Planning</w:t>
            </w:r>
            <w:r>
              <w:rPr>
                <w:noProof/>
                <w:webHidden/>
              </w:rPr>
              <w:tab/>
            </w:r>
            <w:r>
              <w:rPr>
                <w:noProof/>
                <w:webHidden/>
              </w:rPr>
              <w:fldChar w:fldCharType="begin"/>
            </w:r>
            <w:r>
              <w:rPr>
                <w:noProof/>
                <w:webHidden/>
              </w:rPr>
              <w:instrText xml:space="preserve"> PAGEREF _Toc218759960 \h </w:instrText>
            </w:r>
            <w:r>
              <w:rPr>
                <w:noProof/>
                <w:webHidden/>
              </w:rPr>
            </w:r>
            <w:r>
              <w:rPr>
                <w:noProof/>
                <w:webHidden/>
              </w:rPr>
              <w:fldChar w:fldCharType="separate"/>
            </w:r>
            <w:r>
              <w:rPr>
                <w:noProof/>
                <w:webHidden/>
              </w:rPr>
              <w:t>7</w:t>
            </w:r>
            <w:r>
              <w:rPr>
                <w:noProof/>
                <w:webHidden/>
              </w:rPr>
              <w:fldChar w:fldCharType="end"/>
            </w:r>
          </w:hyperlink>
        </w:p>
        <w:p w14:paraId="1B36C36A" w14:textId="5A8B4AEE" w:rsidR="0001231C" w:rsidRDefault="0001231C">
          <w:pPr>
            <w:pStyle w:val="TOC2"/>
            <w:tabs>
              <w:tab w:val="right" w:leader="dot" w:pos="9016"/>
            </w:tabs>
            <w:rPr>
              <w:rFonts w:eastAsiaTheme="minorEastAsia"/>
              <w:noProof/>
              <w:sz w:val="24"/>
              <w:szCs w:val="24"/>
              <w:lang w:eastAsia="en-GB"/>
            </w:rPr>
          </w:pPr>
          <w:hyperlink w:anchor="_Toc218759961" w:history="1">
            <w:r w:rsidRPr="00423F0D">
              <w:rPr>
                <w:rStyle w:val="Hyperlink"/>
                <w:noProof/>
              </w:rPr>
              <w:t>4.5. Security Policies</w:t>
            </w:r>
            <w:r>
              <w:rPr>
                <w:noProof/>
                <w:webHidden/>
              </w:rPr>
              <w:tab/>
            </w:r>
            <w:r>
              <w:rPr>
                <w:noProof/>
                <w:webHidden/>
              </w:rPr>
              <w:fldChar w:fldCharType="begin"/>
            </w:r>
            <w:r>
              <w:rPr>
                <w:noProof/>
                <w:webHidden/>
              </w:rPr>
              <w:instrText xml:space="preserve"> PAGEREF _Toc218759961 \h </w:instrText>
            </w:r>
            <w:r>
              <w:rPr>
                <w:noProof/>
                <w:webHidden/>
              </w:rPr>
            </w:r>
            <w:r>
              <w:rPr>
                <w:noProof/>
                <w:webHidden/>
              </w:rPr>
              <w:fldChar w:fldCharType="separate"/>
            </w:r>
            <w:r>
              <w:rPr>
                <w:noProof/>
                <w:webHidden/>
              </w:rPr>
              <w:t>8</w:t>
            </w:r>
            <w:r>
              <w:rPr>
                <w:noProof/>
                <w:webHidden/>
              </w:rPr>
              <w:fldChar w:fldCharType="end"/>
            </w:r>
          </w:hyperlink>
        </w:p>
        <w:p w14:paraId="1EF36AF6" w14:textId="51D98EF2" w:rsidR="0001231C" w:rsidRDefault="0001231C">
          <w:pPr>
            <w:pStyle w:val="TOC2"/>
            <w:tabs>
              <w:tab w:val="right" w:leader="dot" w:pos="9016"/>
            </w:tabs>
            <w:rPr>
              <w:rFonts w:eastAsiaTheme="minorEastAsia"/>
              <w:noProof/>
              <w:sz w:val="24"/>
              <w:szCs w:val="24"/>
              <w:lang w:eastAsia="en-GB"/>
            </w:rPr>
          </w:pPr>
          <w:hyperlink w:anchor="_Toc218759962" w:history="1">
            <w:r w:rsidRPr="00423F0D">
              <w:rPr>
                <w:rStyle w:val="Hyperlink"/>
                <w:noProof/>
              </w:rPr>
              <w:t>4.6. Security Management Models and Practices</w:t>
            </w:r>
            <w:r>
              <w:rPr>
                <w:noProof/>
                <w:webHidden/>
              </w:rPr>
              <w:tab/>
            </w:r>
            <w:r>
              <w:rPr>
                <w:noProof/>
                <w:webHidden/>
              </w:rPr>
              <w:fldChar w:fldCharType="begin"/>
            </w:r>
            <w:r>
              <w:rPr>
                <w:noProof/>
                <w:webHidden/>
              </w:rPr>
              <w:instrText xml:space="preserve"> PAGEREF _Toc218759962 \h </w:instrText>
            </w:r>
            <w:r>
              <w:rPr>
                <w:noProof/>
                <w:webHidden/>
              </w:rPr>
            </w:r>
            <w:r>
              <w:rPr>
                <w:noProof/>
                <w:webHidden/>
              </w:rPr>
              <w:fldChar w:fldCharType="separate"/>
            </w:r>
            <w:r>
              <w:rPr>
                <w:noProof/>
                <w:webHidden/>
              </w:rPr>
              <w:t>8</w:t>
            </w:r>
            <w:r>
              <w:rPr>
                <w:noProof/>
                <w:webHidden/>
              </w:rPr>
              <w:fldChar w:fldCharType="end"/>
            </w:r>
          </w:hyperlink>
        </w:p>
        <w:p w14:paraId="7B5B34B5" w14:textId="1C378ACB" w:rsidR="0001231C" w:rsidRDefault="0001231C">
          <w:pPr>
            <w:pStyle w:val="TOC3"/>
            <w:tabs>
              <w:tab w:val="right" w:leader="dot" w:pos="9016"/>
            </w:tabs>
            <w:rPr>
              <w:rFonts w:eastAsiaTheme="minorEastAsia"/>
              <w:noProof/>
              <w:sz w:val="24"/>
              <w:szCs w:val="24"/>
              <w:lang w:eastAsia="en-GB"/>
            </w:rPr>
          </w:pPr>
          <w:hyperlink w:anchor="_Toc218759963" w:history="1">
            <w:r w:rsidRPr="00423F0D">
              <w:rPr>
                <w:rStyle w:val="Hyperlink"/>
                <w:noProof/>
              </w:rPr>
              <w:t>4.6.1. Integrated Management Models (The Hybrid Approach)</w:t>
            </w:r>
            <w:r>
              <w:rPr>
                <w:noProof/>
                <w:webHidden/>
              </w:rPr>
              <w:tab/>
            </w:r>
            <w:r>
              <w:rPr>
                <w:noProof/>
                <w:webHidden/>
              </w:rPr>
              <w:fldChar w:fldCharType="begin"/>
            </w:r>
            <w:r>
              <w:rPr>
                <w:noProof/>
                <w:webHidden/>
              </w:rPr>
              <w:instrText xml:space="preserve"> PAGEREF _Toc218759963 \h </w:instrText>
            </w:r>
            <w:r>
              <w:rPr>
                <w:noProof/>
                <w:webHidden/>
              </w:rPr>
            </w:r>
            <w:r>
              <w:rPr>
                <w:noProof/>
                <w:webHidden/>
              </w:rPr>
              <w:fldChar w:fldCharType="separate"/>
            </w:r>
            <w:r>
              <w:rPr>
                <w:noProof/>
                <w:webHidden/>
              </w:rPr>
              <w:t>8</w:t>
            </w:r>
            <w:r>
              <w:rPr>
                <w:noProof/>
                <w:webHidden/>
              </w:rPr>
              <w:fldChar w:fldCharType="end"/>
            </w:r>
          </w:hyperlink>
        </w:p>
        <w:p w14:paraId="7501FFAF" w14:textId="011E7F21" w:rsidR="0001231C" w:rsidRDefault="0001231C">
          <w:pPr>
            <w:pStyle w:val="TOC3"/>
            <w:tabs>
              <w:tab w:val="right" w:leader="dot" w:pos="9016"/>
            </w:tabs>
            <w:rPr>
              <w:rFonts w:eastAsiaTheme="minorEastAsia"/>
              <w:noProof/>
              <w:sz w:val="24"/>
              <w:szCs w:val="24"/>
              <w:lang w:eastAsia="en-GB"/>
            </w:rPr>
          </w:pPr>
          <w:hyperlink w:anchor="_Toc218759964" w:history="1">
            <w:r w:rsidRPr="00423F0D">
              <w:rPr>
                <w:rStyle w:val="Hyperlink"/>
                <w:noProof/>
              </w:rPr>
              <w:t>4.6.2. Strategic Management Practices</w:t>
            </w:r>
            <w:r>
              <w:rPr>
                <w:noProof/>
                <w:webHidden/>
              </w:rPr>
              <w:tab/>
            </w:r>
            <w:r>
              <w:rPr>
                <w:noProof/>
                <w:webHidden/>
              </w:rPr>
              <w:fldChar w:fldCharType="begin"/>
            </w:r>
            <w:r>
              <w:rPr>
                <w:noProof/>
                <w:webHidden/>
              </w:rPr>
              <w:instrText xml:space="preserve"> PAGEREF _Toc218759964 \h </w:instrText>
            </w:r>
            <w:r>
              <w:rPr>
                <w:noProof/>
                <w:webHidden/>
              </w:rPr>
            </w:r>
            <w:r>
              <w:rPr>
                <w:noProof/>
                <w:webHidden/>
              </w:rPr>
              <w:fldChar w:fldCharType="separate"/>
            </w:r>
            <w:r>
              <w:rPr>
                <w:noProof/>
                <w:webHidden/>
              </w:rPr>
              <w:t>8</w:t>
            </w:r>
            <w:r>
              <w:rPr>
                <w:noProof/>
                <w:webHidden/>
              </w:rPr>
              <w:fldChar w:fldCharType="end"/>
            </w:r>
          </w:hyperlink>
        </w:p>
        <w:p w14:paraId="68BAC732" w14:textId="35C5A2E1" w:rsidR="0001231C" w:rsidRDefault="0001231C">
          <w:pPr>
            <w:pStyle w:val="TOC3"/>
            <w:tabs>
              <w:tab w:val="right" w:leader="dot" w:pos="9016"/>
            </w:tabs>
            <w:rPr>
              <w:rFonts w:eastAsiaTheme="minorEastAsia"/>
              <w:noProof/>
              <w:sz w:val="24"/>
              <w:szCs w:val="24"/>
              <w:lang w:eastAsia="en-GB"/>
            </w:rPr>
          </w:pPr>
          <w:hyperlink w:anchor="_Toc218759965" w:history="1">
            <w:r w:rsidRPr="00423F0D">
              <w:rPr>
                <w:rStyle w:val="Hyperlink"/>
                <w:noProof/>
              </w:rPr>
              <w:t>4.6.3. Protection Motivation Theory (PMT)</w:t>
            </w:r>
            <w:r>
              <w:rPr>
                <w:noProof/>
                <w:webHidden/>
              </w:rPr>
              <w:tab/>
            </w:r>
            <w:r>
              <w:rPr>
                <w:noProof/>
                <w:webHidden/>
              </w:rPr>
              <w:fldChar w:fldCharType="begin"/>
            </w:r>
            <w:r>
              <w:rPr>
                <w:noProof/>
                <w:webHidden/>
              </w:rPr>
              <w:instrText xml:space="preserve"> PAGEREF _Toc218759965 \h </w:instrText>
            </w:r>
            <w:r>
              <w:rPr>
                <w:noProof/>
                <w:webHidden/>
              </w:rPr>
            </w:r>
            <w:r>
              <w:rPr>
                <w:noProof/>
                <w:webHidden/>
              </w:rPr>
              <w:fldChar w:fldCharType="separate"/>
            </w:r>
            <w:r>
              <w:rPr>
                <w:noProof/>
                <w:webHidden/>
              </w:rPr>
              <w:t>9</w:t>
            </w:r>
            <w:r>
              <w:rPr>
                <w:noProof/>
                <w:webHidden/>
              </w:rPr>
              <w:fldChar w:fldCharType="end"/>
            </w:r>
          </w:hyperlink>
        </w:p>
        <w:p w14:paraId="6078B549" w14:textId="5F507CE4" w:rsidR="0001231C" w:rsidRDefault="0001231C">
          <w:pPr>
            <w:pStyle w:val="TOC3"/>
            <w:tabs>
              <w:tab w:val="right" w:leader="dot" w:pos="9016"/>
            </w:tabs>
            <w:rPr>
              <w:rFonts w:eastAsiaTheme="minorEastAsia"/>
              <w:noProof/>
              <w:sz w:val="24"/>
              <w:szCs w:val="24"/>
              <w:lang w:eastAsia="en-GB"/>
            </w:rPr>
          </w:pPr>
          <w:hyperlink w:anchor="_Toc218759966" w:history="1">
            <w:r w:rsidRPr="00423F0D">
              <w:rPr>
                <w:rStyle w:val="Hyperlink"/>
                <w:noProof/>
              </w:rPr>
              <w:t>4.6.4. Protection Mechanisms</w:t>
            </w:r>
            <w:r>
              <w:rPr>
                <w:noProof/>
                <w:webHidden/>
              </w:rPr>
              <w:tab/>
            </w:r>
            <w:r>
              <w:rPr>
                <w:noProof/>
                <w:webHidden/>
              </w:rPr>
              <w:fldChar w:fldCharType="begin"/>
            </w:r>
            <w:r>
              <w:rPr>
                <w:noProof/>
                <w:webHidden/>
              </w:rPr>
              <w:instrText xml:space="preserve"> PAGEREF _Toc218759966 \h </w:instrText>
            </w:r>
            <w:r>
              <w:rPr>
                <w:noProof/>
                <w:webHidden/>
              </w:rPr>
            </w:r>
            <w:r>
              <w:rPr>
                <w:noProof/>
                <w:webHidden/>
              </w:rPr>
              <w:fldChar w:fldCharType="separate"/>
            </w:r>
            <w:r>
              <w:rPr>
                <w:noProof/>
                <w:webHidden/>
              </w:rPr>
              <w:t>9</w:t>
            </w:r>
            <w:r>
              <w:rPr>
                <w:noProof/>
                <w:webHidden/>
              </w:rPr>
              <w:fldChar w:fldCharType="end"/>
            </w:r>
          </w:hyperlink>
        </w:p>
        <w:p w14:paraId="11CF8F7C" w14:textId="3E871FA7" w:rsidR="0001231C" w:rsidRDefault="0001231C">
          <w:pPr>
            <w:pStyle w:val="TOC4"/>
            <w:tabs>
              <w:tab w:val="right" w:leader="dot" w:pos="9016"/>
            </w:tabs>
            <w:rPr>
              <w:rFonts w:eastAsiaTheme="minorEastAsia"/>
              <w:noProof/>
              <w:sz w:val="24"/>
              <w:szCs w:val="24"/>
              <w:lang w:eastAsia="en-GB"/>
            </w:rPr>
          </w:pPr>
          <w:hyperlink w:anchor="_Toc218759967" w:history="1">
            <w:r w:rsidRPr="00423F0D">
              <w:rPr>
                <w:rStyle w:val="Hyperlink"/>
                <w:noProof/>
              </w:rPr>
              <w:t>4.6.4.1. Network Protection: Securing the Wireless Perimeter</w:t>
            </w:r>
            <w:r>
              <w:rPr>
                <w:noProof/>
                <w:webHidden/>
              </w:rPr>
              <w:tab/>
            </w:r>
            <w:r>
              <w:rPr>
                <w:noProof/>
                <w:webHidden/>
              </w:rPr>
              <w:fldChar w:fldCharType="begin"/>
            </w:r>
            <w:r>
              <w:rPr>
                <w:noProof/>
                <w:webHidden/>
              </w:rPr>
              <w:instrText xml:space="preserve"> PAGEREF _Toc218759967 \h </w:instrText>
            </w:r>
            <w:r>
              <w:rPr>
                <w:noProof/>
                <w:webHidden/>
              </w:rPr>
            </w:r>
            <w:r>
              <w:rPr>
                <w:noProof/>
                <w:webHidden/>
              </w:rPr>
              <w:fldChar w:fldCharType="separate"/>
            </w:r>
            <w:r>
              <w:rPr>
                <w:noProof/>
                <w:webHidden/>
              </w:rPr>
              <w:t>9</w:t>
            </w:r>
            <w:r>
              <w:rPr>
                <w:noProof/>
                <w:webHidden/>
              </w:rPr>
              <w:fldChar w:fldCharType="end"/>
            </w:r>
          </w:hyperlink>
        </w:p>
        <w:p w14:paraId="62C032FB" w14:textId="0FFADC79" w:rsidR="0001231C" w:rsidRDefault="0001231C">
          <w:pPr>
            <w:pStyle w:val="TOC4"/>
            <w:tabs>
              <w:tab w:val="right" w:leader="dot" w:pos="9016"/>
            </w:tabs>
            <w:rPr>
              <w:rFonts w:eastAsiaTheme="minorEastAsia"/>
              <w:noProof/>
              <w:sz w:val="24"/>
              <w:szCs w:val="24"/>
              <w:lang w:eastAsia="en-GB"/>
            </w:rPr>
          </w:pPr>
          <w:hyperlink w:anchor="_Toc218759968" w:history="1">
            <w:r w:rsidRPr="00423F0D">
              <w:rPr>
                <w:rStyle w:val="Hyperlink"/>
                <w:noProof/>
              </w:rPr>
              <w:t>4.6.4.2. Device Protection: Managing the BYOD Threat</w:t>
            </w:r>
            <w:r>
              <w:rPr>
                <w:noProof/>
                <w:webHidden/>
              </w:rPr>
              <w:tab/>
            </w:r>
            <w:r>
              <w:rPr>
                <w:noProof/>
                <w:webHidden/>
              </w:rPr>
              <w:fldChar w:fldCharType="begin"/>
            </w:r>
            <w:r>
              <w:rPr>
                <w:noProof/>
                <w:webHidden/>
              </w:rPr>
              <w:instrText xml:space="preserve"> PAGEREF _Toc218759968 \h </w:instrText>
            </w:r>
            <w:r>
              <w:rPr>
                <w:noProof/>
                <w:webHidden/>
              </w:rPr>
            </w:r>
            <w:r>
              <w:rPr>
                <w:noProof/>
                <w:webHidden/>
              </w:rPr>
              <w:fldChar w:fldCharType="separate"/>
            </w:r>
            <w:r>
              <w:rPr>
                <w:noProof/>
                <w:webHidden/>
              </w:rPr>
              <w:t>10</w:t>
            </w:r>
            <w:r>
              <w:rPr>
                <w:noProof/>
                <w:webHidden/>
              </w:rPr>
              <w:fldChar w:fldCharType="end"/>
            </w:r>
          </w:hyperlink>
        </w:p>
        <w:p w14:paraId="0270A419" w14:textId="6F9BF69C" w:rsidR="0001231C" w:rsidRDefault="0001231C">
          <w:pPr>
            <w:pStyle w:val="TOC4"/>
            <w:tabs>
              <w:tab w:val="right" w:leader="dot" w:pos="9016"/>
            </w:tabs>
            <w:rPr>
              <w:rFonts w:eastAsiaTheme="minorEastAsia"/>
              <w:noProof/>
              <w:sz w:val="24"/>
              <w:szCs w:val="24"/>
              <w:lang w:eastAsia="en-GB"/>
            </w:rPr>
          </w:pPr>
          <w:hyperlink w:anchor="_Toc218759969" w:history="1">
            <w:r w:rsidRPr="00423F0D">
              <w:rPr>
                <w:rStyle w:val="Hyperlink"/>
                <w:noProof/>
              </w:rPr>
              <w:t>4.6.4.3. Cloud &amp; Data Protection</w:t>
            </w:r>
            <w:r>
              <w:rPr>
                <w:noProof/>
                <w:webHidden/>
              </w:rPr>
              <w:tab/>
            </w:r>
            <w:r>
              <w:rPr>
                <w:noProof/>
                <w:webHidden/>
              </w:rPr>
              <w:fldChar w:fldCharType="begin"/>
            </w:r>
            <w:r>
              <w:rPr>
                <w:noProof/>
                <w:webHidden/>
              </w:rPr>
              <w:instrText xml:space="preserve"> PAGEREF _Toc218759969 \h </w:instrText>
            </w:r>
            <w:r>
              <w:rPr>
                <w:noProof/>
                <w:webHidden/>
              </w:rPr>
            </w:r>
            <w:r>
              <w:rPr>
                <w:noProof/>
                <w:webHidden/>
              </w:rPr>
              <w:fldChar w:fldCharType="separate"/>
            </w:r>
            <w:r>
              <w:rPr>
                <w:noProof/>
                <w:webHidden/>
              </w:rPr>
              <w:t>10</w:t>
            </w:r>
            <w:r>
              <w:rPr>
                <w:noProof/>
                <w:webHidden/>
              </w:rPr>
              <w:fldChar w:fldCharType="end"/>
            </w:r>
          </w:hyperlink>
        </w:p>
        <w:p w14:paraId="36540F8D" w14:textId="2E24A435" w:rsidR="0001231C" w:rsidRDefault="0001231C">
          <w:pPr>
            <w:pStyle w:val="TOC3"/>
            <w:tabs>
              <w:tab w:val="right" w:leader="dot" w:pos="9016"/>
            </w:tabs>
            <w:rPr>
              <w:rFonts w:eastAsiaTheme="minorEastAsia"/>
              <w:noProof/>
              <w:sz w:val="24"/>
              <w:szCs w:val="24"/>
              <w:lang w:eastAsia="en-GB"/>
            </w:rPr>
          </w:pPr>
          <w:hyperlink w:anchor="_Toc218759970" w:history="1">
            <w:r w:rsidRPr="00423F0D">
              <w:rPr>
                <w:rStyle w:val="Hyperlink"/>
                <w:noProof/>
              </w:rPr>
              <w:t>4.6.5. Service Level Agreement</w:t>
            </w:r>
            <w:r>
              <w:rPr>
                <w:noProof/>
                <w:webHidden/>
              </w:rPr>
              <w:tab/>
            </w:r>
            <w:r>
              <w:rPr>
                <w:noProof/>
                <w:webHidden/>
              </w:rPr>
              <w:fldChar w:fldCharType="begin"/>
            </w:r>
            <w:r>
              <w:rPr>
                <w:noProof/>
                <w:webHidden/>
              </w:rPr>
              <w:instrText xml:space="preserve"> PAGEREF _Toc218759970 \h </w:instrText>
            </w:r>
            <w:r>
              <w:rPr>
                <w:noProof/>
                <w:webHidden/>
              </w:rPr>
            </w:r>
            <w:r>
              <w:rPr>
                <w:noProof/>
                <w:webHidden/>
              </w:rPr>
              <w:fldChar w:fldCharType="separate"/>
            </w:r>
            <w:r>
              <w:rPr>
                <w:noProof/>
                <w:webHidden/>
              </w:rPr>
              <w:t>11</w:t>
            </w:r>
            <w:r>
              <w:rPr>
                <w:noProof/>
                <w:webHidden/>
              </w:rPr>
              <w:fldChar w:fldCharType="end"/>
            </w:r>
          </w:hyperlink>
        </w:p>
        <w:p w14:paraId="51E55E1B" w14:textId="2C1A4793" w:rsidR="0001231C" w:rsidRDefault="0001231C">
          <w:pPr>
            <w:pStyle w:val="TOC4"/>
            <w:tabs>
              <w:tab w:val="right" w:leader="dot" w:pos="9016"/>
            </w:tabs>
            <w:rPr>
              <w:rFonts w:eastAsiaTheme="minorEastAsia"/>
              <w:noProof/>
              <w:sz w:val="24"/>
              <w:szCs w:val="24"/>
              <w:lang w:eastAsia="en-GB"/>
            </w:rPr>
          </w:pPr>
          <w:hyperlink w:anchor="_Toc218759971" w:history="1">
            <w:r w:rsidRPr="00423F0D">
              <w:rPr>
                <w:rStyle w:val="Hyperlink"/>
                <w:noProof/>
              </w:rPr>
              <w:t>4.6.5.1. The Transition to Security-Centric SLAs (SecSLAs)</w:t>
            </w:r>
            <w:r>
              <w:rPr>
                <w:noProof/>
                <w:webHidden/>
              </w:rPr>
              <w:tab/>
            </w:r>
            <w:r>
              <w:rPr>
                <w:noProof/>
                <w:webHidden/>
              </w:rPr>
              <w:fldChar w:fldCharType="begin"/>
            </w:r>
            <w:r>
              <w:rPr>
                <w:noProof/>
                <w:webHidden/>
              </w:rPr>
              <w:instrText xml:space="preserve"> PAGEREF _Toc218759971 \h </w:instrText>
            </w:r>
            <w:r>
              <w:rPr>
                <w:noProof/>
                <w:webHidden/>
              </w:rPr>
            </w:r>
            <w:r>
              <w:rPr>
                <w:noProof/>
                <w:webHidden/>
              </w:rPr>
              <w:fldChar w:fldCharType="separate"/>
            </w:r>
            <w:r>
              <w:rPr>
                <w:noProof/>
                <w:webHidden/>
              </w:rPr>
              <w:t>11</w:t>
            </w:r>
            <w:r>
              <w:rPr>
                <w:noProof/>
                <w:webHidden/>
              </w:rPr>
              <w:fldChar w:fldCharType="end"/>
            </w:r>
          </w:hyperlink>
        </w:p>
        <w:p w14:paraId="67580008" w14:textId="1F57F032" w:rsidR="0001231C" w:rsidRDefault="0001231C">
          <w:pPr>
            <w:pStyle w:val="TOC4"/>
            <w:tabs>
              <w:tab w:val="right" w:leader="dot" w:pos="9016"/>
            </w:tabs>
            <w:rPr>
              <w:rFonts w:eastAsiaTheme="minorEastAsia"/>
              <w:noProof/>
              <w:sz w:val="24"/>
              <w:szCs w:val="24"/>
              <w:lang w:eastAsia="en-GB"/>
            </w:rPr>
          </w:pPr>
          <w:hyperlink w:anchor="_Toc218759972" w:history="1">
            <w:r w:rsidRPr="00423F0D">
              <w:rPr>
                <w:rStyle w:val="Hyperlink"/>
                <w:noProof/>
              </w:rPr>
              <w:t>4.6.5.2. Key Metrics for NatureGreen’s SLA</w:t>
            </w:r>
            <w:r>
              <w:rPr>
                <w:noProof/>
                <w:webHidden/>
              </w:rPr>
              <w:tab/>
            </w:r>
            <w:r>
              <w:rPr>
                <w:noProof/>
                <w:webHidden/>
              </w:rPr>
              <w:fldChar w:fldCharType="begin"/>
            </w:r>
            <w:r>
              <w:rPr>
                <w:noProof/>
                <w:webHidden/>
              </w:rPr>
              <w:instrText xml:space="preserve"> PAGEREF _Toc218759972 \h </w:instrText>
            </w:r>
            <w:r>
              <w:rPr>
                <w:noProof/>
                <w:webHidden/>
              </w:rPr>
            </w:r>
            <w:r>
              <w:rPr>
                <w:noProof/>
                <w:webHidden/>
              </w:rPr>
              <w:fldChar w:fldCharType="separate"/>
            </w:r>
            <w:r>
              <w:rPr>
                <w:noProof/>
                <w:webHidden/>
              </w:rPr>
              <w:t>12</w:t>
            </w:r>
            <w:r>
              <w:rPr>
                <w:noProof/>
                <w:webHidden/>
              </w:rPr>
              <w:fldChar w:fldCharType="end"/>
            </w:r>
          </w:hyperlink>
        </w:p>
        <w:p w14:paraId="36062506" w14:textId="0BDF6104" w:rsidR="0001231C" w:rsidRDefault="0001231C">
          <w:pPr>
            <w:pStyle w:val="TOC4"/>
            <w:tabs>
              <w:tab w:val="right" w:leader="dot" w:pos="9016"/>
            </w:tabs>
            <w:rPr>
              <w:rFonts w:eastAsiaTheme="minorEastAsia"/>
              <w:noProof/>
              <w:sz w:val="24"/>
              <w:szCs w:val="24"/>
              <w:lang w:eastAsia="en-GB"/>
            </w:rPr>
          </w:pPr>
          <w:hyperlink w:anchor="_Toc218759973" w:history="1">
            <w:r w:rsidRPr="00423F0D">
              <w:rPr>
                <w:rStyle w:val="Hyperlink"/>
                <w:noProof/>
              </w:rPr>
              <w:t>4.6.5.3. Governance and Enforcement Mechanisms</w:t>
            </w:r>
            <w:r>
              <w:rPr>
                <w:noProof/>
                <w:webHidden/>
              </w:rPr>
              <w:tab/>
            </w:r>
            <w:r>
              <w:rPr>
                <w:noProof/>
                <w:webHidden/>
              </w:rPr>
              <w:fldChar w:fldCharType="begin"/>
            </w:r>
            <w:r>
              <w:rPr>
                <w:noProof/>
                <w:webHidden/>
              </w:rPr>
              <w:instrText xml:space="preserve"> PAGEREF _Toc218759973 \h </w:instrText>
            </w:r>
            <w:r>
              <w:rPr>
                <w:noProof/>
                <w:webHidden/>
              </w:rPr>
            </w:r>
            <w:r>
              <w:rPr>
                <w:noProof/>
                <w:webHidden/>
              </w:rPr>
              <w:fldChar w:fldCharType="separate"/>
            </w:r>
            <w:r>
              <w:rPr>
                <w:noProof/>
                <w:webHidden/>
              </w:rPr>
              <w:t>12</w:t>
            </w:r>
            <w:r>
              <w:rPr>
                <w:noProof/>
                <w:webHidden/>
              </w:rPr>
              <w:fldChar w:fldCharType="end"/>
            </w:r>
          </w:hyperlink>
        </w:p>
        <w:p w14:paraId="24C72329" w14:textId="067DC7EB" w:rsidR="0001231C" w:rsidRDefault="0001231C">
          <w:pPr>
            <w:pStyle w:val="TOC1"/>
            <w:tabs>
              <w:tab w:val="right" w:leader="dot" w:pos="9016"/>
            </w:tabs>
            <w:rPr>
              <w:rFonts w:eastAsiaTheme="minorEastAsia"/>
              <w:noProof/>
              <w:sz w:val="24"/>
              <w:szCs w:val="24"/>
              <w:lang w:eastAsia="en-GB"/>
            </w:rPr>
          </w:pPr>
          <w:hyperlink w:anchor="_Toc218759974" w:history="1">
            <w:r w:rsidRPr="00423F0D">
              <w:rPr>
                <w:rStyle w:val="Hyperlink"/>
                <w:noProof/>
              </w:rPr>
              <w:t>Conclusion:</w:t>
            </w:r>
            <w:r>
              <w:rPr>
                <w:noProof/>
                <w:webHidden/>
              </w:rPr>
              <w:tab/>
            </w:r>
            <w:r>
              <w:rPr>
                <w:noProof/>
                <w:webHidden/>
              </w:rPr>
              <w:fldChar w:fldCharType="begin"/>
            </w:r>
            <w:r>
              <w:rPr>
                <w:noProof/>
                <w:webHidden/>
              </w:rPr>
              <w:instrText xml:space="preserve"> PAGEREF _Toc218759974 \h </w:instrText>
            </w:r>
            <w:r>
              <w:rPr>
                <w:noProof/>
                <w:webHidden/>
              </w:rPr>
            </w:r>
            <w:r>
              <w:rPr>
                <w:noProof/>
                <w:webHidden/>
              </w:rPr>
              <w:fldChar w:fldCharType="separate"/>
            </w:r>
            <w:r>
              <w:rPr>
                <w:noProof/>
                <w:webHidden/>
              </w:rPr>
              <w:t>12</w:t>
            </w:r>
            <w:r>
              <w:rPr>
                <w:noProof/>
                <w:webHidden/>
              </w:rPr>
              <w:fldChar w:fldCharType="end"/>
            </w:r>
          </w:hyperlink>
        </w:p>
        <w:p w14:paraId="069C966B" w14:textId="0639F4CB" w:rsidR="0001231C" w:rsidRDefault="0001231C">
          <w:pPr>
            <w:pStyle w:val="TOC1"/>
            <w:tabs>
              <w:tab w:val="right" w:leader="dot" w:pos="9016"/>
            </w:tabs>
            <w:rPr>
              <w:rFonts w:eastAsiaTheme="minorEastAsia"/>
              <w:noProof/>
              <w:sz w:val="24"/>
              <w:szCs w:val="24"/>
              <w:lang w:eastAsia="en-GB"/>
            </w:rPr>
          </w:pPr>
          <w:hyperlink w:anchor="_Toc218759975" w:history="1">
            <w:r w:rsidRPr="00423F0D">
              <w:rPr>
                <w:rStyle w:val="Hyperlink"/>
                <w:noProof/>
              </w:rPr>
              <w:t>References:</w:t>
            </w:r>
            <w:r>
              <w:rPr>
                <w:noProof/>
                <w:webHidden/>
              </w:rPr>
              <w:tab/>
            </w:r>
            <w:r>
              <w:rPr>
                <w:noProof/>
                <w:webHidden/>
              </w:rPr>
              <w:fldChar w:fldCharType="begin"/>
            </w:r>
            <w:r>
              <w:rPr>
                <w:noProof/>
                <w:webHidden/>
              </w:rPr>
              <w:instrText xml:space="preserve"> PAGEREF _Toc218759975 \h </w:instrText>
            </w:r>
            <w:r>
              <w:rPr>
                <w:noProof/>
                <w:webHidden/>
              </w:rPr>
            </w:r>
            <w:r>
              <w:rPr>
                <w:noProof/>
                <w:webHidden/>
              </w:rPr>
              <w:fldChar w:fldCharType="separate"/>
            </w:r>
            <w:r>
              <w:rPr>
                <w:noProof/>
                <w:webHidden/>
              </w:rPr>
              <w:t>13</w:t>
            </w:r>
            <w:r>
              <w:rPr>
                <w:noProof/>
                <w:webHidden/>
              </w:rPr>
              <w:fldChar w:fldCharType="end"/>
            </w:r>
          </w:hyperlink>
        </w:p>
        <w:p w14:paraId="15F90F7D" w14:textId="40433507" w:rsidR="00A23239" w:rsidRDefault="001E2DEF">
          <w:r>
            <w:fldChar w:fldCharType="end"/>
          </w:r>
        </w:p>
      </w:sdtContent>
    </w:sdt>
    <w:p w14:paraId="7D62F92D" w14:textId="6EC77882" w:rsidR="00500D63" w:rsidRDefault="00500D63" w:rsidP="0055287C">
      <w:pPr>
        <w:pStyle w:val="Heading1"/>
      </w:pPr>
      <w:bookmarkStart w:id="1" w:name="_Toc218759947"/>
      <w:r>
        <w:t>Abstract:</w:t>
      </w:r>
      <w:bookmarkEnd w:id="1"/>
    </w:p>
    <w:p w14:paraId="7972901A" w14:textId="0807D32E" w:rsidR="00D9124E" w:rsidRPr="00D9124E" w:rsidRDefault="00D9124E" w:rsidP="00D9124E">
      <w:pPr>
        <w:jc w:val="both"/>
        <w:rPr>
          <w:rFonts w:ascii="Calibri" w:hAnsi="Calibri" w:cs="Calibri"/>
          <w:sz w:val="24"/>
          <w:szCs w:val="24"/>
        </w:rPr>
      </w:pPr>
      <w:r w:rsidRPr="00D9124E">
        <w:rPr>
          <w:rFonts w:ascii="Calibri" w:hAnsi="Calibri" w:cs="Calibri"/>
          <w:sz w:val="24"/>
          <w:szCs w:val="24"/>
        </w:rPr>
        <w:t xml:space="preserve">Today, almost every business relies on the Internet, but this also makes them easy targets for cyberattacks. This report looks at </w:t>
      </w:r>
      <w:proofErr w:type="spellStart"/>
      <w:r w:rsidRPr="00D9124E">
        <w:rPr>
          <w:rFonts w:ascii="Calibri" w:hAnsi="Calibri" w:cs="Calibri"/>
          <w:sz w:val="24"/>
          <w:szCs w:val="24"/>
        </w:rPr>
        <w:t>NatureGreen</w:t>
      </w:r>
      <w:proofErr w:type="spellEnd"/>
      <w:r w:rsidRPr="00D9124E">
        <w:rPr>
          <w:rFonts w:ascii="Calibri" w:hAnsi="Calibri" w:cs="Calibri"/>
          <w:sz w:val="24"/>
          <w:szCs w:val="24"/>
        </w:rPr>
        <w:t xml:space="preserve">, a global company that is currently in a difficult position. Although </w:t>
      </w:r>
      <w:proofErr w:type="spellStart"/>
      <w:r w:rsidR="002F1AC8" w:rsidRPr="00D9124E">
        <w:rPr>
          <w:rFonts w:ascii="Calibri" w:hAnsi="Calibri" w:cs="Calibri"/>
          <w:sz w:val="24"/>
          <w:szCs w:val="24"/>
        </w:rPr>
        <w:t>NatureGreen</w:t>
      </w:r>
      <w:proofErr w:type="spellEnd"/>
      <w:r w:rsidR="002F1AC8" w:rsidRPr="00D9124E">
        <w:rPr>
          <w:rFonts w:ascii="Calibri" w:hAnsi="Calibri" w:cs="Calibri"/>
          <w:sz w:val="24"/>
          <w:szCs w:val="24"/>
        </w:rPr>
        <w:t xml:space="preserve"> </w:t>
      </w:r>
      <w:r w:rsidRPr="00D9124E">
        <w:rPr>
          <w:rFonts w:ascii="Calibri" w:hAnsi="Calibri" w:cs="Calibri"/>
          <w:sz w:val="24"/>
          <w:szCs w:val="24"/>
        </w:rPr>
        <w:t>is a world-famous brand with a massive online presence and mostly wireless networks, it has no formal security rules. The company is now under pressure to let staff and customers use their own phones and laptops (BYOD) for work, which puts their billion-dollar secrets and private data at high risk.</w:t>
      </w:r>
    </w:p>
    <w:p w14:paraId="3B0F2218" w14:textId="77777777" w:rsidR="00D9124E" w:rsidRPr="00D9124E" w:rsidRDefault="00D9124E" w:rsidP="00D9124E">
      <w:pPr>
        <w:jc w:val="both"/>
        <w:rPr>
          <w:rFonts w:ascii="Calibri" w:hAnsi="Calibri" w:cs="Calibri"/>
          <w:sz w:val="24"/>
          <w:szCs w:val="24"/>
        </w:rPr>
      </w:pPr>
      <w:r w:rsidRPr="00D9124E">
        <w:rPr>
          <w:rFonts w:ascii="Calibri" w:hAnsi="Calibri" w:cs="Calibri"/>
          <w:sz w:val="24"/>
          <w:szCs w:val="24"/>
        </w:rPr>
        <w:t>The first part of this report researches well-known security "rulebooks" used by experts worldwide. We look at ISO/IEC 27001, which helps companies build a solid security management system, and the NIST Cybersecurity Framework, which provides a step-by-step guide to identifying and stopping threats [1]. By looking at peer-reviewed research from sources like IEEE Xplore, we can see how these frameworks help global companies stay organized and safe [2].</w:t>
      </w:r>
    </w:p>
    <w:p w14:paraId="12ECBC2D" w14:textId="77777777" w:rsidR="0001231C" w:rsidRDefault="00D9124E" w:rsidP="0001231C">
      <w:pPr>
        <w:jc w:val="both"/>
        <w:rPr>
          <w:rFonts w:ascii="Calibri" w:hAnsi="Calibri" w:cs="Calibri"/>
          <w:sz w:val="24"/>
          <w:szCs w:val="24"/>
        </w:rPr>
      </w:pPr>
      <w:r w:rsidRPr="00D9124E">
        <w:rPr>
          <w:rFonts w:ascii="Calibri" w:hAnsi="Calibri" w:cs="Calibri"/>
          <w:sz w:val="24"/>
          <w:szCs w:val="24"/>
        </w:rPr>
        <w:t xml:space="preserve">Based on this research, I have designed a new security plan for </w:t>
      </w:r>
      <w:proofErr w:type="spellStart"/>
      <w:r w:rsidRPr="00D9124E">
        <w:rPr>
          <w:rFonts w:ascii="Calibri" w:hAnsi="Calibri" w:cs="Calibri"/>
          <w:sz w:val="24"/>
          <w:szCs w:val="24"/>
        </w:rPr>
        <w:t>NatureGreen</w:t>
      </w:r>
      <w:proofErr w:type="spellEnd"/>
      <w:r w:rsidRPr="00D9124E">
        <w:rPr>
          <w:rFonts w:ascii="Calibri" w:hAnsi="Calibri" w:cs="Calibri"/>
          <w:sz w:val="24"/>
          <w:szCs w:val="24"/>
        </w:rPr>
        <w:t>. The plan moves away from "blind trust" and moves toward a Zero Trust approach—where every device must be verified before it can touch company data. I also suggest using Mobile Device Management (MDM) to keep personal photos separate from important company files. Finally, the report explains why it is so important to keep updating security laws and standards. As hackers get smarter, our rules must evolve to stay ahead of them [3]. This report shows that with the right</w:t>
      </w:r>
      <w:r w:rsidR="0001231C">
        <w:rPr>
          <w:rFonts w:ascii="Calibri" w:hAnsi="Calibri" w:cs="Calibri"/>
          <w:sz w:val="24"/>
          <w:szCs w:val="24"/>
        </w:rPr>
        <w:t xml:space="preserve"> </w:t>
      </w:r>
      <w:r w:rsidRPr="00D9124E">
        <w:rPr>
          <w:rFonts w:ascii="Calibri" w:hAnsi="Calibri" w:cs="Calibri"/>
          <w:sz w:val="24"/>
          <w:szCs w:val="24"/>
        </w:rPr>
        <w:lastRenderedPageBreak/>
        <w:t xml:space="preserve">policies and technology, </w:t>
      </w:r>
      <w:proofErr w:type="spellStart"/>
      <w:r w:rsidRPr="00D9124E">
        <w:rPr>
          <w:rFonts w:ascii="Calibri" w:hAnsi="Calibri" w:cs="Calibri"/>
          <w:sz w:val="24"/>
          <w:szCs w:val="24"/>
        </w:rPr>
        <w:t>NatureGreen</w:t>
      </w:r>
      <w:proofErr w:type="spellEnd"/>
      <w:r w:rsidRPr="00D9124E">
        <w:rPr>
          <w:rFonts w:ascii="Calibri" w:hAnsi="Calibri" w:cs="Calibri"/>
          <w:sz w:val="24"/>
          <w:szCs w:val="24"/>
        </w:rPr>
        <w:t xml:space="preserve"> can protect its global reputation and its most valuable assets.</w:t>
      </w:r>
      <w:bookmarkStart w:id="2" w:name="_Toc218759948"/>
    </w:p>
    <w:p w14:paraId="6EECA95D" w14:textId="0AB9BF4E" w:rsidR="00E662D7" w:rsidRPr="0001231C" w:rsidRDefault="00E662D7" w:rsidP="0001231C">
      <w:pPr>
        <w:pStyle w:val="Heading1"/>
        <w:rPr>
          <w:rFonts w:ascii="Calibri" w:hAnsi="Calibri" w:cs="Calibri"/>
          <w:sz w:val="24"/>
          <w:szCs w:val="24"/>
        </w:rPr>
      </w:pPr>
      <w:r>
        <w:t>Introduction:</w:t>
      </w:r>
      <w:bookmarkEnd w:id="2"/>
    </w:p>
    <w:p w14:paraId="15A7F1CD" w14:textId="7BBBD052" w:rsidR="00E662D7" w:rsidRPr="00E662D7" w:rsidRDefault="00E662D7" w:rsidP="00E662D7">
      <w:pPr>
        <w:rPr>
          <w:rFonts w:ascii="Calibri" w:hAnsi="Calibri" w:cs="Calibri"/>
          <w:sz w:val="24"/>
          <w:szCs w:val="24"/>
        </w:rPr>
      </w:pPr>
      <w:r w:rsidRPr="00E662D7">
        <w:rPr>
          <w:rFonts w:ascii="Calibri" w:hAnsi="Calibri" w:cs="Calibri"/>
          <w:sz w:val="24"/>
          <w:szCs w:val="24"/>
        </w:rPr>
        <w:t xml:space="preserve">As we move into 2026, the global business environment has become almost entirely dependent on digital infrastructure. While this "always-on" connectivity drives growth, it has also opened the door to highly sophisticated cyberattacks that can happen at any time from anywhere in the world </w:t>
      </w:r>
      <w:hyperlink w:anchor="_References:" w:history="1">
        <w:r w:rsidRPr="00E81EB9">
          <w:rPr>
            <w:rStyle w:val="Hyperlink"/>
            <w:rFonts w:ascii="Calibri" w:hAnsi="Calibri" w:cs="Calibri"/>
            <w:sz w:val="24"/>
            <w:szCs w:val="24"/>
          </w:rPr>
          <w:t>[</w:t>
        </w:r>
        <w:r w:rsidRPr="00E81EB9">
          <w:rPr>
            <w:rStyle w:val="Hyperlink"/>
            <w:rFonts w:ascii="Calibri" w:hAnsi="Calibri" w:cs="Calibri"/>
            <w:sz w:val="24"/>
            <w:szCs w:val="24"/>
          </w:rPr>
          <w:t>1</w:t>
        </w:r>
        <w:r w:rsidRPr="00E81EB9">
          <w:rPr>
            <w:rStyle w:val="Hyperlink"/>
            <w:rFonts w:ascii="Calibri" w:hAnsi="Calibri" w:cs="Calibri"/>
            <w:sz w:val="24"/>
            <w:szCs w:val="24"/>
          </w:rPr>
          <w:t>]</w:t>
        </w:r>
      </w:hyperlink>
      <w:r w:rsidRPr="00E662D7">
        <w:rPr>
          <w:rFonts w:ascii="Calibri" w:hAnsi="Calibri" w:cs="Calibri"/>
          <w:sz w:val="24"/>
          <w:szCs w:val="24"/>
        </w:rPr>
        <w:t>. For international companies, protecting information is no longer just a technical task for the IT department; it is now a critical part of business survival and governance.</w:t>
      </w:r>
    </w:p>
    <w:p w14:paraId="66F404EF" w14:textId="77777777" w:rsidR="00E662D7" w:rsidRPr="00E662D7" w:rsidRDefault="00E662D7" w:rsidP="00E662D7">
      <w:pPr>
        <w:pStyle w:val="Heading2"/>
      </w:pPr>
      <w:bookmarkStart w:id="3" w:name="_Toc218759949"/>
      <w:r w:rsidRPr="00E662D7">
        <w:t>1.1. The Global Threat Landscape</w:t>
      </w:r>
      <w:bookmarkEnd w:id="3"/>
    </w:p>
    <w:p w14:paraId="3A6E3F42" w14:textId="25C6D5A0" w:rsidR="00E662D7" w:rsidRPr="00E662D7" w:rsidRDefault="00E662D7" w:rsidP="00E662D7">
      <w:pPr>
        <w:jc w:val="both"/>
        <w:rPr>
          <w:rFonts w:ascii="Calibri" w:hAnsi="Calibri" w:cs="Calibri"/>
          <w:sz w:val="24"/>
          <w:szCs w:val="24"/>
        </w:rPr>
      </w:pPr>
      <w:r w:rsidRPr="00E662D7">
        <w:rPr>
          <w:rFonts w:ascii="Calibri" w:hAnsi="Calibri" w:cs="Calibri"/>
          <w:sz w:val="24"/>
          <w:szCs w:val="24"/>
        </w:rPr>
        <w:t xml:space="preserve">Recent research shows that cybercriminals are now using Artificial Intelligence (AI) to launch faster and more targeted attacks, such as automated phishing and "deepfake" scams [2]. For a global brand like </w:t>
      </w:r>
      <w:proofErr w:type="spellStart"/>
      <w:r w:rsidRPr="00E662D7">
        <w:rPr>
          <w:rFonts w:ascii="Calibri" w:hAnsi="Calibri" w:cs="Calibri"/>
          <w:sz w:val="24"/>
          <w:szCs w:val="24"/>
        </w:rPr>
        <w:t>NatureGreen</w:t>
      </w:r>
      <w:proofErr w:type="spellEnd"/>
      <w:r w:rsidRPr="00E662D7">
        <w:rPr>
          <w:rFonts w:ascii="Calibri" w:hAnsi="Calibri" w:cs="Calibri"/>
          <w:sz w:val="24"/>
          <w:szCs w:val="24"/>
        </w:rPr>
        <w:t xml:space="preserve"> , which relies heavily on its online presence, these threats are a daily reality. Furthermore, the move toward "triple extortion" ransomware—where hackers not only steal data but also threaten a company’s customers—makes the stakes higher than ever before [2].</w:t>
      </w:r>
    </w:p>
    <w:p w14:paraId="327D992D" w14:textId="77777777" w:rsidR="00E662D7" w:rsidRPr="00E662D7" w:rsidRDefault="00E662D7" w:rsidP="00E662D7">
      <w:pPr>
        <w:pStyle w:val="Heading2"/>
      </w:pPr>
      <w:bookmarkStart w:id="4" w:name="_Toc218759950"/>
      <w:r w:rsidRPr="00E662D7">
        <w:t xml:space="preserve">1.2. Problem Statement: </w:t>
      </w:r>
      <w:proofErr w:type="spellStart"/>
      <w:r w:rsidRPr="00E662D7">
        <w:t>NatureGreen</w:t>
      </w:r>
      <w:proofErr w:type="spellEnd"/>
      <w:r w:rsidRPr="00E662D7">
        <w:t xml:space="preserve"> in Disarray</w:t>
      </w:r>
      <w:bookmarkEnd w:id="4"/>
    </w:p>
    <w:p w14:paraId="176A10CB" w14:textId="6FBAD4C8" w:rsidR="00E662D7" w:rsidRPr="00E662D7" w:rsidRDefault="00E662D7" w:rsidP="00E662D7">
      <w:pPr>
        <w:jc w:val="both"/>
        <w:rPr>
          <w:rFonts w:ascii="Calibri" w:hAnsi="Calibri" w:cs="Calibri"/>
          <w:sz w:val="24"/>
          <w:szCs w:val="24"/>
        </w:rPr>
      </w:pPr>
      <w:proofErr w:type="spellStart"/>
      <w:r w:rsidRPr="00E662D7">
        <w:rPr>
          <w:rFonts w:ascii="Calibri" w:hAnsi="Calibri" w:cs="Calibri"/>
          <w:sz w:val="24"/>
          <w:szCs w:val="24"/>
        </w:rPr>
        <w:t>NatureGreen</w:t>
      </w:r>
      <w:proofErr w:type="spellEnd"/>
      <w:r w:rsidRPr="00E662D7">
        <w:rPr>
          <w:rFonts w:ascii="Calibri" w:hAnsi="Calibri" w:cs="Calibri"/>
          <w:sz w:val="24"/>
          <w:szCs w:val="24"/>
        </w:rPr>
        <w:t xml:space="preserve"> faces a unique and dangerous combination of security gaps. Despite being a world-famous brand with billions of dollars in intellectual property, the company's security is currently in a state of "disarray." The core issues include:</w:t>
      </w:r>
    </w:p>
    <w:p w14:paraId="5B12ED1F" w14:textId="6EBCC023" w:rsidR="00E662D7" w:rsidRPr="00E662D7" w:rsidRDefault="00E662D7" w:rsidP="00E662D7">
      <w:pPr>
        <w:numPr>
          <w:ilvl w:val="0"/>
          <w:numId w:val="1"/>
        </w:numPr>
        <w:jc w:val="both"/>
        <w:rPr>
          <w:rFonts w:ascii="Calibri" w:hAnsi="Calibri" w:cs="Calibri"/>
          <w:sz w:val="24"/>
          <w:szCs w:val="24"/>
        </w:rPr>
      </w:pPr>
      <w:r w:rsidRPr="00A23239">
        <w:rPr>
          <w:rFonts w:ascii="Calibri" w:hAnsi="Calibri" w:cs="Calibri"/>
          <w:b/>
          <w:bCs/>
          <w:sz w:val="24"/>
          <w:szCs w:val="24"/>
        </w:rPr>
        <w:t>Wireless Vulnerabilities</w:t>
      </w:r>
      <w:r w:rsidRPr="00E662D7">
        <w:rPr>
          <w:rFonts w:ascii="Calibri" w:hAnsi="Calibri" w:cs="Calibri"/>
          <w:sz w:val="24"/>
          <w:szCs w:val="24"/>
        </w:rPr>
        <w:t xml:space="preserve">: With </w:t>
      </w:r>
      <w:r w:rsidR="00694C3A">
        <w:rPr>
          <w:rFonts w:ascii="Calibri" w:hAnsi="Calibri" w:cs="Calibri"/>
          <w:sz w:val="24"/>
          <w:szCs w:val="24"/>
        </w:rPr>
        <w:t xml:space="preserve">%95 </w:t>
      </w:r>
      <w:r w:rsidRPr="00E662D7">
        <w:rPr>
          <w:rFonts w:ascii="Calibri" w:hAnsi="Calibri" w:cs="Calibri"/>
          <w:sz w:val="24"/>
          <w:szCs w:val="24"/>
        </w:rPr>
        <w:t xml:space="preserve">of the network being wireless, </w:t>
      </w:r>
      <w:proofErr w:type="spellStart"/>
      <w:r w:rsidR="00074AA4" w:rsidRPr="00074AA4">
        <w:rPr>
          <w:rFonts w:ascii="Calibri" w:hAnsi="Calibri" w:cs="Calibri"/>
          <w:sz w:val="24"/>
          <w:szCs w:val="24"/>
        </w:rPr>
        <w:t>NatureGreen</w:t>
      </w:r>
      <w:proofErr w:type="spellEnd"/>
      <w:r w:rsidRPr="00E662D7">
        <w:rPr>
          <w:rFonts w:ascii="Calibri" w:hAnsi="Calibri" w:cs="Calibri"/>
          <w:sz w:val="24"/>
          <w:szCs w:val="24"/>
        </w:rPr>
        <w:t xml:space="preserve"> is highly susceptible to eavesdropping and "Man-in-the-Middle" (MITM) attacks where hackers intercept data over the air [3].</w:t>
      </w:r>
    </w:p>
    <w:p w14:paraId="001FB301" w14:textId="77777777" w:rsidR="00E662D7" w:rsidRPr="00E662D7" w:rsidRDefault="00E662D7" w:rsidP="00E662D7">
      <w:pPr>
        <w:numPr>
          <w:ilvl w:val="0"/>
          <w:numId w:val="1"/>
        </w:numPr>
        <w:jc w:val="both"/>
        <w:rPr>
          <w:rFonts w:ascii="Calibri" w:hAnsi="Calibri" w:cs="Calibri"/>
          <w:sz w:val="24"/>
          <w:szCs w:val="24"/>
        </w:rPr>
      </w:pPr>
      <w:r w:rsidRPr="00A23239">
        <w:rPr>
          <w:rFonts w:ascii="Calibri" w:hAnsi="Calibri" w:cs="Calibri"/>
          <w:b/>
          <w:bCs/>
          <w:sz w:val="24"/>
          <w:szCs w:val="24"/>
        </w:rPr>
        <w:t>The BYOD Pressure</w:t>
      </w:r>
      <w:r w:rsidRPr="00E662D7">
        <w:rPr>
          <w:rFonts w:ascii="Calibri" w:hAnsi="Calibri" w:cs="Calibri"/>
          <w:sz w:val="24"/>
          <w:szCs w:val="24"/>
        </w:rPr>
        <w:t>: There is immense pressure to allow staff and customers to use their own personal devices. Without a strict policy, this "Bring Your Own Device" (BYOD) trend can lead to massive data leaks if a single personal phone is compromised [4].</w:t>
      </w:r>
    </w:p>
    <w:p w14:paraId="5B22E0B0" w14:textId="4D989A23" w:rsidR="00E662D7" w:rsidRPr="00E662D7" w:rsidRDefault="00E662D7" w:rsidP="00E662D7">
      <w:pPr>
        <w:numPr>
          <w:ilvl w:val="0"/>
          <w:numId w:val="1"/>
        </w:numPr>
        <w:jc w:val="both"/>
        <w:rPr>
          <w:rFonts w:ascii="Calibri" w:hAnsi="Calibri" w:cs="Calibri"/>
          <w:sz w:val="24"/>
          <w:szCs w:val="24"/>
        </w:rPr>
      </w:pPr>
      <w:r w:rsidRPr="00A23239">
        <w:rPr>
          <w:rFonts w:ascii="Calibri" w:hAnsi="Calibri" w:cs="Calibri"/>
          <w:b/>
          <w:bCs/>
          <w:sz w:val="24"/>
          <w:szCs w:val="24"/>
        </w:rPr>
        <w:t>Lack of Governance</w:t>
      </w:r>
      <w:r w:rsidRPr="00E662D7">
        <w:rPr>
          <w:rFonts w:ascii="Calibri" w:hAnsi="Calibri" w:cs="Calibri"/>
          <w:sz w:val="24"/>
          <w:szCs w:val="24"/>
        </w:rPr>
        <w:t xml:space="preserve">: Currently, </w:t>
      </w:r>
      <w:proofErr w:type="spellStart"/>
      <w:r w:rsidR="00074AA4" w:rsidRPr="00074AA4">
        <w:rPr>
          <w:rFonts w:ascii="Calibri" w:hAnsi="Calibri" w:cs="Calibri"/>
          <w:sz w:val="24"/>
          <w:szCs w:val="24"/>
        </w:rPr>
        <w:t>NatureGreen</w:t>
      </w:r>
      <w:proofErr w:type="spellEnd"/>
      <w:r w:rsidRPr="00E662D7">
        <w:rPr>
          <w:rFonts w:ascii="Calibri" w:hAnsi="Calibri" w:cs="Calibri"/>
          <w:sz w:val="24"/>
          <w:szCs w:val="24"/>
        </w:rPr>
        <w:t xml:space="preserve"> has no established security policies. Without a clear set of rules, the company cannot legally or technically protect its assets or prove it is following global laws like GDPR [5].</w:t>
      </w:r>
    </w:p>
    <w:p w14:paraId="6412AA09" w14:textId="77777777" w:rsidR="00E662D7" w:rsidRPr="00E662D7" w:rsidRDefault="00E662D7" w:rsidP="00E662D7">
      <w:pPr>
        <w:pStyle w:val="Heading2"/>
      </w:pPr>
      <w:bookmarkStart w:id="5" w:name="_Toc218759951"/>
      <w:r w:rsidRPr="00E662D7">
        <w:t>1.3. Purpose and Scope</w:t>
      </w:r>
      <w:bookmarkEnd w:id="5"/>
    </w:p>
    <w:p w14:paraId="10DBD834" w14:textId="05CCF714" w:rsidR="00E5499A" w:rsidRDefault="00E662D7" w:rsidP="00E5499A">
      <w:pPr>
        <w:jc w:val="both"/>
        <w:rPr>
          <w:rFonts w:ascii="Calibri" w:hAnsi="Calibri" w:cs="Calibri"/>
          <w:sz w:val="24"/>
          <w:szCs w:val="24"/>
        </w:rPr>
      </w:pPr>
      <w:r w:rsidRPr="00E662D7">
        <w:rPr>
          <w:rFonts w:ascii="Calibri" w:hAnsi="Calibri" w:cs="Calibri"/>
          <w:sz w:val="24"/>
          <w:szCs w:val="24"/>
        </w:rPr>
        <w:t xml:space="preserve">The purpose of this report is to move </w:t>
      </w:r>
      <w:proofErr w:type="spellStart"/>
      <w:r w:rsidRPr="00E662D7">
        <w:rPr>
          <w:rFonts w:ascii="Calibri" w:hAnsi="Calibri" w:cs="Calibri"/>
          <w:sz w:val="24"/>
          <w:szCs w:val="24"/>
        </w:rPr>
        <w:t>NatureGreen</w:t>
      </w:r>
      <w:proofErr w:type="spellEnd"/>
      <w:r w:rsidRPr="00E662D7">
        <w:rPr>
          <w:rFonts w:ascii="Calibri" w:hAnsi="Calibri" w:cs="Calibri"/>
          <w:sz w:val="24"/>
          <w:szCs w:val="24"/>
        </w:rPr>
        <w:t xml:space="preserve"> from its current disorganized state to a structured, secure environment. By researching frameworks like ISO/IEC 27001 and NIST, this report will design a custom security approach. This approach will focus on Zero Trust Architecture (never trust a device by default) and Governance to ensure that </w:t>
      </w:r>
      <w:proofErr w:type="spellStart"/>
      <w:r w:rsidR="00074AA4" w:rsidRPr="00074AA4">
        <w:rPr>
          <w:rFonts w:ascii="Calibri" w:hAnsi="Calibri" w:cs="Calibri"/>
          <w:sz w:val="24"/>
          <w:szCs w:val="24"/>
        </w:rPr>
        <w:t>NatureGreen</w:t>
      </w:r>
      <w:r w:rsidRPr="00E662D7">
        <w:rPr>
          <w:rFonts w:ascii="Calibri" w:hAnsi="Calibri" w:cs="Calibri"/>
          <w:sz w:val="24"/>
          <w:szCs w:val="24"/>
        </w:rPr>
        <w:t>'s</w:t>
      </w:r>
      <w:proofErr w:type="spellEnd"/>
      <w:r w:rsidRPr="00E662D7">
        <w:rPr>
          <w:rFonts w:ascii="Calibri" w:hAnsi="Calibri" w:cs="Calibri"/>
          <w:sz w:val="24"/>
          <w:szCs w:val="24"/>
        </w:rPr>
        <w:t xml:space="preserve"> billion-dollar secrets stay safe while still allowing the business to grow globally.</w:t>
      </w:r>
    </w:p>
    <w:p w14:paraId="5D2A020E" w14:textId="7A69EB3A" w:rsidR="005822E1" w:rsidRPr="005822E1" w:rsidRDefault="00942DD4" w:rsidP="005822E1">
      <w:pPr>
        <w:pStyle w:val="Heading2"/>
      </w:pPr>
      <w:bookmarkStart w:id="6" w:name="_Toc218759952"/>
      <w:r>
        <w:lastRenderedPageBreak/>
        <w:t xml:space="preserve">2. </w:t>
      </w:r>
      <w:r w:rsidR="005822E1" w:rsidRPr="005822E1">
        <w:t>ISO/IEC 27001 ISMS Structure</w:t>
      </w:r>
      <w:bookmarkEnd w:id="6"/>
    </w:p>
    <w:p w14:paraId="2F9DABCD" w14:textId="77777777" w:rsidR="005822E1" w:rsidRDefault="005822E1" w:rsidP="005822E1">
      <w:pPr>
        <w:jc w:val="both"/>
        <w:rPr>
          <w:rFonts w:ascii="Calibri" w:hAnsi="Calibri" w:cs="Calibri"/>
          <w:sz w:val="24"/>
          <w:szCs w:val="24"/>
        </w:rPr>
      </w:pPr>
      <w:r w:rsidRPr="005822E1">
        <w:rPr>
          <w:rFonts w:ascii="Calibri" w:hAnsi="Calibri" w:cs="Calibri"/>
          <w:sz w:val="24"/>
          <w:szCs w:val="24"/>
        </w:rPr>
        <w:t>The following diagrams illustrate the Information Security Management System (ISMS) model. In academic research, this is often represented through the Plan-Do-Check-Act (PDCA) cycle, which provides a systematic approach for establishing, implementing, operating, monitoring, reviewing, maintaining, and improving an organization's information security.</w:t>
      </w:r>
    </w:p>
    <w:p w14:paraId="4DF54BE6" w14:textId="426EF9B4" w:rsidR="005822E1" w:rsidRDefault="005822E1" w:rsidP="005822E1">
      <w:pPr>
        <w:jc w:val="both"/>
        <w:rPr>
          <w:rFonts w:ascii="Calibri" w:hAnsi="Calibri" w:cs="Calibri"/>
          <w:sz w:val="24"/>
          <w:szCs w:val="24"/>
        </w:rPr>
      </w:pPr>
      <w:r>
        <w:rPr>
          <w:rFonts w:ascii="Calibri" w:hAnsi="Calibri" w:cs="Calibri"/>
          <w:noProof/>
          <w:sz w:val="24"/>
          <w:szCs w:val="24"/>
        </w:rPr>
        <w:drawing>
          <wp:inline distT="0" distB="0" distL="0" distR="0" wp14:anchorId="366E3D37" wp14:editId="4DF1589F">
            <wp:extent cx="5731510" cy="3421380"/>
            <wp:effectExtent l="0" t="0" r="2540" b="7620"/>
            <wp:docPr id="4327517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2751759" name="Picture 432751759"/>
                    <pic:cNvPicPr/>
                  </pic:nvPicPr>
                  <pic:blipFill>
                    <a:blip r:embed="rId9">
                      <a:extLst>
                        <a:ext uri="{28A0092B-C50C-407E-A947-70E740481C1C}">
                          <a14:useLocalDpi xmlns:a14="http://schemas.microsoft.com/office/drawing/2010/main" val="0"/>
                        </a:ext>
                      </a:extLst>
                    </a:blip>
                    <a:stretch>
                      <a:fillRect/>
                    </a:stretch>
                  </pic:blipFill>
                  <pic:spPr>
                    <a:xfrm>
                      <a:off x="0" y="0"/>
                      <a:ext cx="5731510" cy="3421380"/>
                    </a:xfrm>
                    <a:prstGeom prst="rect">
                      <a:avLst/>
                    </a:prstGeom>
                  </pic:spPr>
                </pic:pic>
              </a:graphicData>
            </a:graphic>
          </wp:inline>
        </w:drawing>
      </w:r>
    </w:p>
    <w:p w14:paraId="7504AF4D" w14:textId="02BD64CB" w:rsidR="005822E1" w:rsidRDefault="005822E1" w:rsidP="005822E1">
      <w:pPr>
        <w:jc w:val="both"/>
        <w:rPr>
          <w:rFonts w:ascii="Calibri" w:hAnsi="Calibri" w:cs="Calibri"/>
          <w:sz w:val="24"/>
          <w:szCs w:val="24"/>
        </w:rPr>
      </w:pPr>
      <w:r w:rsidRPr="005822E1">
        <w:rPr>
          <w:rFonts w:ascii="Calibri" w:hAnsi="Calibri" w:cs="Calibri"/>
          <w:sz w:val="24"/>
          <w:szCs w:val="24"/>
        </w:rPr>
        <w:t>Fig</w:t>
      </w:r>
      <w:r w:rsidR="00A23239">
        <w:rPr>
          <w:rFonts w:ascii="Calibri" w:hAnsi="Calibri" w:cs="Calibri"/>
          <w:sz w:val="24"/>
          <w:szCs w:val="24"/>
        </w:rPr>
        <w:t>ure 1.</w:t>
      </w:r>
      <w:r w:rsidRPr="005822E1">
        <w:rPr>
          <w:rFonts w:ascii="Calibri" w:hAnsi="Calibri" w:cs="Calibri"/>
          <w:sz w:val="24"/>
          <w:szCs w:val="24"/>
        </w:rPr>
        <w:t xml:space="preserve"> Comparison between the reviewed cybersecurity frameworks [13].</w:t>
      </w:r>
    </w:p>
    <w:p w14:paraId="732B9F18" w14:textId="77777777" w:rsidR="00620F41" w:rsidRDefault="00620F41" w:rsidP="005822E1">
      <w:pPr>
        <w:jc w:val="both"/>
        <w:rPr>
          <w:rFonts w:ascii="Calibri" w:hAnsi="Calibri" w:cs="Calibri"/>
          <w:sz w:val="24"/>
          <w:szCs w:val="24"/>
        </w:rPr>
      </w:pPr>
    </w:p>
    <w:p w14:paraId="25AD09A0" w14:textId="294A5D0D" w:rsidR="00620F41" w:rsidRDefault="00942DD4" w:rsidP="00620F41">
      <w:pPr>
        <w:pStyle w:val="Heading2"/>
      </w:pPr>
      <w:bookmarkStart w:id="7" w:name="_Toc218759953"/>
      <w:r>
        <w:t xml:space="preserve">3. </w:t>
      </w:r>
      <w:r w:rsidR="00620F41" w:rsidRPr="00FC0209">
        <w:t>Information Technology Infrastructure Library (ITIL)</w:t>
      </w:r>
      <w:r w:rsidR="00620F41">
        <w:t>:</w:t>
      </w:r>
      <w:bookmarkEnd w:id="7"/>
    </w:p>
    <w:p w14:paraId="16A872F7" w14:textId="778FBD16" w:rsidR="008842CA" w:rsidRPr="008842CA" w:rsidRDefault="008842CA" w:rsidP="008842CA">
      <w:pPr>
        <w:pStyle w:val="Heading3"/>
        <w:rPr>
          <w:rFonts w:ascii="Calibri" w:eastAsiaTheme="minorHAnsi" w:hAnsi="Calibri" w:cs="Calibri"/>
          <w:color w:val="auto"/>
          <w:sz w:val="24"/>
          <w:szCs w:val="24"/>
        </w:rPr>
      </w:pPr>
      <w:bookmarkStart w:id="8" w:name="_Toc218759954"/>
      <w:r>
        <w:rPr>
          <w:rFonts w:ascii="Calibri" w:hAnsi="Calibri" w:cs="Calibri"/>
          <w:sz w:val="24"/>
          <w:szCs w:val="24"/>
        </w:rPr>
        <w:t>3.1</w:t>
      </w:r>
      <w:r w:rsidRPr="008842CA">
        <w:rPr>
          <w:rStyle w:val="Heading3Char"/>
        </w:rPr>
        <w:t xml:space="preserve">. </w:t>
      </w:r>
      <w:r w:rsidRPr="008842CA">
        <w:rPr>
          <w:rStyle w:val="Heading3Char"/>
        </w:rPr>
        <w:t>ITIL v3 service lifecycle</w:t>
      </w:r>
      <w:bookmarkEnd w:id="8"/>
    </w:p>
    <w:p w14:paraId="6B54219E" w14:textId="0AAD977E" w:rsidR="002A53A1" w:rsidRDefault="008842CA" w:rsidP="008842CA">
      <w:pPr>
        <w:jc w:val="both"/>
        <w:rPr>
          <w:rFonts w:ascii="Calibri" w:hAnsi="Calibri" w:cs="Calibri"/>
          <w:sz w:val="24"/>
          <w:szCs w:val="24"/>
        </w:rPr>
      </w:pPr>
      <w:r w:rsidRPr="008842CA">
        <w:rPr>
          <w:rFonts w:ascii="Calibri" w:hAnsi="Calibri" w:cs="Calibri"/>
          <w:sz w:val="24"/>
          <w:szCs w:val="24"/>
        </w:rPr>
        <w:t>ITIL is one of the best frameworks for describing the good practice of IT management services.</w:t>
      </w:r>
      <w:r w:rsidR="002A53A1">
        <w:rPr>
          <w:rFonts w:ascii="Calibri" w:hAnsi="Calibri" w:cs="Calibri"/>
          <w:sz w:val="24"/>
          <w:szCs w:val="24"/>
        </w:rPr>
        <w:t xml:space="preserve"> </w:t>
      </w:r>
      <w:r w:rsidRPr="008842CA">
        <w:rPr>
          <w:rFonts w:ascii="Calibri" w:hAnsi="Calibri" w:cs="Calibri"/>
          <w:sz w:val="24"/>
          <w:szCs w:val="24"/>
        </w:rPr>
        <w:t>ITIL was created in the 1980s in response to a need for increased efficiency by Government Commerce in the United Kingdom (OGC), and it is now one of the most extensively used ITSM techniques worldwide.</w:t>
      </w:r>
      <w:r w:rsidRPr="008842CA">
        <w:rPr>
          <w:rFonts w:ascii="Calibri" w:hAnsi="Calibri" w:cs="Calibri"/>
          <w:sz w:val="24"/>
          <w:szCs w:val="24"/>
        </w:rPr>
        <w:t xml:space="preserve"> </w:t>
      </w:r>
      <w:r w:rsidRPr="008842CA">
        <w:rPr>
          <w:rFonts w:ascii="Calibri" w:hAnsi="Calibri" w:cs="Calibri"/>
          <w:sz w:val="24"/>
          <w:szCs w:val="24"/>
        </w:rPr>
        <w:t>The second version of ITIL was published in 2001 by Government Commerce (OGC), followed by the ITIL V3 was released in 2007 and was last revised in 2011</w:t>
      </w:r>
      <w:r w:rsidR="002A53A1">
        <w:rPr>
          <w:rFonts w:ascii="Calibri" w:hAnsi="Calibri" w:cs="Calibri"/>
          <w:sz w:val="24"/>
          <w:szCs w:val="24"/>
        </w:rPr>
        <w:t xml:space="preserve"> [2</w:t>
      </w:r>
      <w:r w:rsidR="00735357">
        <w:rPr>
          <w:rFonts w:ascii="Calibri" w:hAnsi="Calibri" w:cs="Calibri"/>
          <w:sz w:val="24"/>
          <w:szCs w:val="24"/>
        </w:rPr>
        <w:t>2</w:t>
      </w:r>
      <w:r w:rsidR="002A53A1">
        <w:rPr>
          <w:rFonts w:ascii="Calibri" w:hAnsi="Calibri" w:cs="Calibri"/>
          <w:sz w:val="24"/>
          <w:szCs w:val="24"/>
        </w:rPr>
        <w:t>]</w:t>
      </w:r>
      <w:r>
        <w:rPr>
          <w:rFonts w:ascii="Calibri" w:hAnsi="Calibri" w:cs="Calibri"/>
          <w:sz w:val="24"/>
          <w:szCs w:val="24"/>
        </w:rPr>
        <w:t>.</w:t>
      </w:r>
      <w:r w:rsidR="002A53A1">
        <w:rPr>
          <w:rFonts w:ascii="Calibri" w:hAnsi="Calibri" w:cs="Calibri"/>
          <w:sz w:val="24"/>
          <w:szCs w:val="24"/>
        </w:rPr>
        <w:t xml:space="preserve"> </w:t>
      </w:r>
    </w:p>
    <w:p w14:paraId="50C44E90" w14:textId="389FF3AE" w:rsidR="008842CA" w:rsidRPr="008842CA" w:rsidRDefault="008842CA" w:rsidP="008842CA">
      <w:pPr>
        <w:jc w:val="both"/>
        <w:rPr>
          <w:rFonts w:ascii="Calibri" w:hAnsi="Calibri" w:cs="Calibri"/>
          <w:sz w:val="24"/>
          <w:szCs w:val="24"/>
        </w:rPr>
      </w:pPr>
      <w:r w:rsidRPr="008842CA">
        <w:rPr>
          <w:rFonts w:ascii="Calibri" w:hAnsi="Calibri" w:cs="Calibri"/>
          <w:sz w:val="24"/>
          <w:szCs w:val="24"/>
        </w:rPr>
        <w:t>ITIL 4 was introduced in February 2019 as a major update to ITIL v3. ITIL V4 fixes previous versions’ flaws, introduces new terminology and models, and emphasizes the concepts of cost, value, and risk</w:t>
      </w:r>
      <w:r>
        <w:rPr>
          <w:rFonts w:ascii="Calibri" w:hAnsi="Calibri" w:cs="Calibri"/>
          <w:sz w:val="24"/>
          <w:szCs w:val="24"/>
        </w:rPr>
        <w:t>.</w:t>
      </w:r>
    </w:p>
    <w:p w14:paraId="1606C760" w14:textId="1FAB701E" w:rsidR="008842CA" w:rsidRPr="008842CA" w:rsidRDefault="008842CA" w:rsidP="008842CA">
      <w:pPr>
        <w:jc w:val="both"/>
        <w:rPr>
          <w:rFonts w:ascii="Calibri" w:hAnsi="Calibri" w:cs="Calibri"/>
          <w:sz w:val="24"/>
          <w:szCs w:val="24"/>
        </w:rPr>
      </w:pPr>
      <w:r w:rsidRPr="008842CA">
        <w:rPr>
          <w:rFonts w:ascii="Calibri" w:hAnsi="Calibri" w:cs="Calibri"/>
          <w:sz w:val="24"/>
          <w:szCs w:val="24"/>
        </w:rPr>
        <w:t>Aside from minor changes in the ITIL 2011 version, the ITIL V3 specification maintained the industry-leading system for IT service management (ITSM) until the February 2019 release of ITIL 4.</w:t>
      </w:r>
    </w:p>
    <w:p w14:paraId="1D1B7848" w14:textId="59C7BE9F" w:rsidR="008842CA" w:rsidRPr="008842CA" w:rsidRDefault="008842CA" w:rsidP="008842CA">
      <w:pPr>
        <w:jc w:val="both"/>
        <w:rPr>
          <w:rFonts w:ascii="Calibri" w:hAnsi="Calibri" w:cs="Calibri"/>
          <w:sz w:val="24"/>
          <w:szCs w:val="24"/>
        </w:rPr>
      </w:pPr>
      <w:r w:rsidRPr="008842CA">
        <w:rPr>
          <w:rFonts w:ascii="Calibri" w:hAnsi="Calibri" w:cs="Calibri"/>
          <w:sz w:val="24"/>
          <w:szCs w:val="24"/>
        </w:rPr>
        <w:lastRenderedPageBreak/>
        <w:t>ITIL V3 is a process-oriented framework that spans the five stages of IT service lifecycle management with 26 activities. In ITIL V4, these 26 procedures were replaced by 34 “Practices.”.</w:t>
      </w:r>
    </w:p>
    <w:p w14:paraId="41E223CB" w14:textId="4B79A1E8" w:rsidR="008842CA" w:rsidRPr="008842CA" w:rsidRDefault="008842CA" w:rsidP="008842CA">
      <w:pPr>
        <w:jc w:val="both"/>
        <w:rPr>
          <w:rFonts w:ascii="Calibri" w:hAnsi="Calibri" w:cs="Calibri"/>
          <w:sz w:val="24"/>
          <w:szCs w:val="24"/>
        </w:rPr>
      </w:pPr>
      <w:r w:rsidRPr="008842CA">
        <w:rPr>
          <w:rFonts w:ascii="Calibri" w:hAnsi="Calibri" w:cs="Calibri"/>
          <w:sz w:val="24"/>
          <w:szCs w:val="24"/>
        </w:rPr>
        <w:t>The best practices in ITIL V3 are this process, and it is used for effective management of IT services</w:t>
      </w:r>
      <w:r w:rsidR="002A53A1">
        <w:rPr>
          <w:rFonts w:ascii="Calibri" w:hAnsi="Calibri" w:cs="Calibri"/>
          <w:sz w:val="24"/>
          <w:szCs w:val="24"/>
        </w:rPr>
        <w:t xml:space="preserve"> [23]</w:t>
      </w:r>
      <w:r w:rsidRPr="008842CA">
        <w:rPr>
          <w:rFonts w:ascii="Calibri" w:hAnsi="Calibri" w:cs="Calibri"/>
          <w:sz w:val="24"/>
          <w:szCs w:val="24"/>
        </w:rPr>
        <w:t>.</w:t>
      </w:r>
    </w:p>
    <w:p w14:paraId="5455EEA4" w14:textId="7DD1E5E1" w:rsidR="001E2DEF" w:rsidRDefault="008842CA" w:rsidP="008842CA">
      <w:pPr>
        <w:jc w:val="center"/>
        <w:rPr>
          <w:rFonts w:ascii="Calibri" w:hAnsi="Calibri" w:cs="Calibri"/>
          <w:sz w:val="24"/>
          <w:szCs w:val="24"/>
        </w:rPr>
      </w:pPr>
      <w:r>
        <w:rPr>
          <w:rFonts w:ascii="Calibri" w:hAnsi="Calibri" w:cs="Calibri"/>
          <w:noProof/>
          <w:sz w:val="24"/>
          <w:szCs w:val="24"/>
        </w:rPr>
        <w:drawing>
          <wp:inline distT="0" distB="0" distL="0" distR="0" wp14:anchorId="786CE0EC" wp14:editId="300A6A7C">
            <wp:extent cx="5238750" cy="4714875"/>
            <wp:effectExtent l="0" t="0" r="0" b="9525"/>
            <wp:docPr id="16892898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28984" name="Picture 168928984"/>
                    <pic:cNvPicPr/>
                  </pic:nvPicPr>
                  <pic:blipFill>
                    <a:blip r:embed="rId10">
                      <a:extLst>
                        <a:ext uri="{28A0092B-C50C-407E-A947-70E740481C1C}">
                          <a14:useLocalDpi xmlns:a14="http://schemas.microsoft.com/office/drawing/2010/main" val="0"/>
                        </a:ext>
                      </a:extLst>
                    </a:blip>
                    <a:stretch>
                      <a:fillRect/>
                    </a:stretch>
                  </pic:blipFill>
                  <pic:spPr>
                    <a:xfrm>
                      <a:off x="0" y="0"/>
                      <a:ext cx="5238750" cy="4714875"/>
                    </a:xfrm>
                    <a:prstGeom prst="rect">
                      <a:avLst/>
                    </a:prstGeom>
                  </pic:spPr>
                </pic:pic>
              </a:graphicData>
            </a:graphic>
          </wp:inline>
        </w:drawing>
      </w:r>
    </w:p>
    <w:p w14:paraId="1A9CF156" w14:textId="725E321C" w:rsidR="008842CA" w:rsidRDefault="008842CA" w:rsidP="008842CA">
      <w:pPr>
        <w:jc w:val="center"/>
        <w:rPr>
          <w:rFonts w:ascii="Calibri" w:hAnsi="Calibri" w:cs="Calibri"/>
          <w:sz w:val="24"/>
          <w:szCs w:val="24"/>
        </w:rPr>
      </w:pPr>
      <w:r>
        <w:rPr>
          <w:rFonts w:ascii="Calibri" w:hAnsi="Calibri" w:cs="Calibri"/>
          <w:sz w:val="24"/>
          <w:szCs w:val="24"/>
        </w:rPr>
        <w:t xml:space="preserve">Figure 1. </w:t>
      </w:r>
      <w:r w:rsidRPr="008842CA">
        <w:rPr>
          <w:rFonts w:ascii="Calibri" w:hAnsi="Calibri" w:cs="Calibri"/>
          <w:sz w:val="24"/>
          <w:szCs w:val="24"/>
        </w:rPr>
        <w:t>Service lifecycle according to ITILV3</w:t>
      </w:r>
      <w:r w:rsidR="00074AA4">
        <w:rPr>
          <w:rFonts w:ascii="Calibri" w:hAnsi="Calibri" w:cs="Calibri"/>
          <w:sz w:val="24"/>
          <w:szCs w:val="24"/>
        </w:rPr>
        <w:t xml:space="preserve"> [22]</w:t>
      </w:r>
      <w:r w:rsidRPr="008842CA">
        <w:rPr>
          <w:rFonts w:ascii="Calibri" w:hAnsi="Calibri" w:cs="Calibri"/>
          <w:sz w:val="24"/>
          <w:szCs w:val="24"/>
        </w:rPr>
        <w:t>.</w:t>
      </w:r>
    </w:p>
    <w:p w14:paraId="5A6F123D" w14:textId="2F6A348C" w:rsidR="008842CA" w:rsidRPr="008842CA" w:rsidRDefault="008842CA" w:rsidP="008842CA">
      <w:pPr>
        <w:pStyle w:val="Heading3"/>
        <w:rPr>
          <w:rFonts w:eastAsiaTheme="minorHAnsi"/>
        </w:rPr>
      </w:pPr>
      <w:bookmarkStart w:id="9" w:name="_Toc218759955"/>
      <w:r>
        <w:t xml:space="preserve">3.2. </w:t>
      </w:r>
      <w:r>
        <w:rPr>
          <w:rFonts w:eastAsiaTheme="minorHAnsi"/>
        </w:rPr>
        <w:t>Updated version of</w:t>
      </w:r>
      <w:r w:rsidRPr="008842CA">
        <w:rPr>
          <w:rFonts w:eastAsiaTheme="minorHAnsi"/>
        </w:rPr>
        <w:t xml:space="preserve"> ITIL V4</w:t>
      </w:r>
      <w:bookmarkEnd w:id="9"/>
    </w:p>
    <w:p w14:paraId="16ED1696" w14:textId="3DD61AAD" w:rsidR="008842CA" w:rsidRPr="008842CA" w:rsidRDefault="008842CA" w:rsidP="008842CA">
      <w:pPr>
        <w:jc w:val="both"/>
        <w:rPr>
          <w:rFonts w:ascii="Calibri" w:hAnsi="Calibri" w:cs="Calibri"/>
          <w:sz w:val="24"/>
          <w:szCs w:val="24"/>
        </w:rPr>
      </w:pPr>
      <w:r w:rsidRPr="008842CA">
        <w:rPr>
          <w:rFonts w:ascii="Calibri" w:hAnsi="Calibri" w:cs="Calibri"/>
          <w:sz w:val="24"/>
          <w:szCs w:val="24"/>
        </w:rPr>
        <w:t>According to AXELOS, ITIL V4 is the most recent update to the ITIL framework, which was released on the market in the month of February of 2019.</w:t>
      </w:r>
    </w:p>
    <w:p w14:paraId="20882A19" w14:textId="7DD6C106" w:rsidR="008842CA" w:rsidRPr="008842CA" w:rsidRDefault="008842CA" w:rsidP="008842CA">
      <w:pPr>
        <w:jc w:val="both"/>
        <w:rPr>
          <w:rFonts w:ascii="Calibri" w:hAnsi="Calibri" w:cs="Calibri"/>
          <w:sz w:val="24"/>
          <w:szCs w:val="24"/>
        </w:rPr>
      </w:pPr>
      <w:r w:rsidRPr="008842CA">
        <w:rPr>
          <w:rFonts w:ascii="Calibri" w:hAnsi="Calibri" w:cs="Calibri"/>
          <w:sz w:val="24"/>
          <w:szCs w:val="24"/>
        </w:rPr>
        <w:t>ITIL V4 improves upon earlier versions by offering a more practical approach and an adaptable structure to assist businesses in navigating the new digital transition world.</w:t>
      </w:r>
    </w:p>
    <w:p w14:paraId="22C3BE00" w14:textId="77777777" w:rsidR="008842CA" w:rsidRPr="008842CA" w:rsidRDefault="008842CA" w:rsidP="008842CA">
      <w:pPr>
        <w:jc w:val="both"/>
        <w:rPr>
          <w:rFonts w:ascii="Calibri" w:hAnsi="Calibri" w:cs="Calibri"/>
          <w:sz w:val="24"/>
          <w:szCs w:val="24"/>
        </w:rPr>
      </w:pPr>
      <w:r w:rsidRPr="008842CA">
        <w:rPr>
          <w:rFonts w:ascii="Calibri" w:hAnsi="Calibri" w:cs="Calibri"/>
          <w:sz w:val="24"/>
          <w:szCs w:val="24"/>
        </w:rPr>
        <w:t>ITIL V4 is, therefore, development rather than a revolution of the ITIL structure, and it retains many of the fundamental elements of ITIL V3, which was first released in 2007 and revised later in 2011. Several of the current ITIL V4 procedures, in particular, refer to processes from ITIL V3.</w:t>
      </w:r>
    </w:p>
    <w:p w14:paraId="4A5CD353" w14:textId="77777777" w:rsidR="008842CA" w:rsidRPr="008842CA" w:rsidRDefault="008842CA" w:rsidP="008842CA">
      <w:pPr>
        <w:jc w:val="both"/>
        <w:rPr>
          <w:rFonts w:ascii="Calibri" w:hAnsi="Calibri" w:cs="Calibri"/>
          <w:sz w:val="24"/>
          <w:szCs w:val="24"/>
        </w:rPr>
      </w:pPr>
      <w:r w:rsidRPr="008842CA">
        <w:rPr>
          <w:rFonts w:ascii="Calibri" w:hAnsi="Calibri" w:cs="Calibri"/>
          <w:sz w:val="24"/>
          <w:szCs w:val="24"/>
        </w:rPr>
        <w:lastRenderedPageBreak/>
        <w:t>ITIL V4 discusses how to offer tech-enabled goods and services using an operating model. The documentation has been thoroughly checked, simplified and expanded with several realistic examples to make it easier to read.</w:t>
      </w:r>
    </w:p>
    <w:p w14:paraId="6624025F" w14:textId="1D5E671E" w:rsidR="008842CA" w:rsidRPr="008842CA" w:rsidRDefault="008842CA" w:rsidP="008842CA">
      <w:pPr>
        <w:jc w:val="both"/>
        <w:rPr>
          <w:rFonts w:ascii="Calibri" w:hAnsi="Calibri" w:cs="Calibri"/>
          <w:sz w:val="24"/>
          <w:szCs w:val="24"/>
        </w:rPr>
      </w:pPr>
      <w:r>
        <w:rPr>
          <w:rFonts w:ascii="Calibri" w:hAnsi="Calibri" w:cs="Calibri"/>
          <w:sz w:val="24"/>
          <w:szCs w:val="24"/>
        </w:rPr>
        <w:t>I</w:t>
      </w:r>
      <w:r w:rsidRPr="008842CA">
        <w:rPr>
          <w:rFonts w:ascii="Calibri" w:hAnsi="Calibri" w:cs="Calibri"/>
          <w:sz w:val="24"/>
          <w:szCs w:val="24"/>
        </w:rPr>
        <w:t>TIL 4 offers recommendations for combining ITIL with other frameworks.</w:t>
      </w:r>
    </w:p>
    <w:p w14:paraId="0E7BF3F2" w14:textId="49A6B281" w:rsidR="008842CA" w:rsidRPr="008842CA" w:rsidRDefault="008842CA" w:rsidP="008842CA">
      <w:pPr>
        <w:jc w:val="both"/>
        <w:rPr>
          <w:rFonts w:ascii="Calibri" w:hAnsi="Calibri" w:cs="Calibri"/>
          <w:sz w:val="24"/>
          <w:szCs w:val="24"/>
        </w:rPr>
      </w:pPr>
      <w:r>
        <w:rPr>
          <w:rFonts w:ascii="Calibri" w:hAnsi="Calibri" w:cs="Calibri"/>
          <w:sz w:val="24"/>
          <w:szCs w:val="24"/>
        </w:rPr>
        <w:t>I</w:t>
      </w:r>
      <w:r w:rsidRPr="008842CA">
        <w:rPr>
          <w:rFonts w:ascii="Calibri" w:hAnsi="Calibri" w:cs="Calibri"/>
          <w:sz w:val="24"/>
          <w:szCs w:val="24"/>
        </w:rPr>
        <w:t>TIL V4 also incorporates guidance on how to adapt Agile, DevOps, and Lean methodologies to the area of service management, as well as emerging developments in software development and IT operations.</w:t>
      </w:r>
    </w:p>
    <w:p w14:paraId="444A40F0" w14:textId="5F9B5E2B" w:rsidR="008842CA" w:rsidRDefault="008842CA" w:rsidP="008842CA">
      <w:pPr>
        <w:jc w:val="both"/>
        <w:rPr>
          <w:rFonts w:ascii="Calibri" w:hAnsi="Calibri" w:cs="Calibri"/>
          <w:sz w:val="24"/>
          <w:szCs w:val="24"/>
        </w:rPr>
      </w:pPr>
      <w:r w:rsidRPr="008842CA">
        <w:rPr>
          <w:rFonts w:ascii="Calibri" w:hAnsi="Calibri" w:cs="Calibri"/>
          <w:sz w:val="24"/>
          <w:szCs w:val="24"/>
        </w:rPr>
        <w:t>ITIL V4 emphasizes that it is “a framework for service management” (rather than “IT service management”), reflecting an increasing trend of using service management best practices to increase enterprise and company service efficiency</w:t>
      </w:r>
      <w:r w:rsidR="002A53A1">
        <w:rPr>
          <w:rFonts w:ascii="Calibri" w:hAnsi="Calibri" w:cs="Calibri"/>
          <w:sz w:val="24"/>
          <w:szCs w:val="24"/>
        </w:rPr>
        <w:t xml:space="preserve"> [23]</w:t>
      </w:r>
      <w:r w:rsidRPr="008842CA">
        <w:rPr>
          <w:rFonts w:ascii="Calibri" w:hAnsi="Calibri" w:cs="Calibri"/>
          <w:sz w:val="24"/>
          <w:szCs w:val="24"/>
        </w:rPr>
        <w:t>.</w:t>
      </w:r>
    </w:p>
    <w:p w14:paraId="7006A26A" w14:textId="73D9A847" w:rsidR="008842CA" w:rsidRPr="008842CA" w:rsidRDefault="008842CA" w:rsidP="008842CA">
      <w:pPr>
        <w:jc w:val="center"/>
        <w:rPr>
          <w:rFonts w:ascii="Calibri" w:hAnsi="Calibri" w:cs="Calibri"/>
          <w:sz w:val="24"/>
          <w:szCs w:val="24"/>
        </w:rPr>
      </w:pPr>
      <w:r>
        <w:rPr>
          <w:rFonts w:ascii="Calibri" w:hAnsi="Calibri" w:cs="Calibri"/>
          <w:noProof/>
          <w:sz w:val="24"/>
          <w:szCs w:val="24"/>
        </w:rPr>
        <w:drawing>
          <wp:inline distT="0" distB="0" distL="0" distR="0" wp14:anchorId="00199A3E" wp14:editId="150E92BF">
            <wp:extent cx="5238750" cy="4514850"/>
            <wp:effectExtent l="0" t="0" r="0" b="0"/>
            <wp:docPr id="55521092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210921" name="Picture 555210921"/>
                    <pic:cNvPicPr/>
                  </pic:nvPicPr>
                  <pic:blipFill>
                    <a:blip r:embed="rId11">
                      <a:extLst>
                        <a:ext uri="{28A0092B-C50C-407E-A947-70E740481C1C}">
                          <a14:useLocalDpi xmlns:a14="http://schemas.microsoft.com/office/drawing/2010/main" val="0"/>
                        </a:ext>
                      </a:extLst>
                    </a:blip>
                    <a:stretch>
                      <a:fillRect/>
                    </a:stretch>
                  </pic:blipFill>
                  <pic:spPr>
                    <a:xfrm>
                      <a:off x="0" y="0"/>
                      <a:ext cx="5238750" cy="4514850"/>
                    </a:xfrm>
                    <a:prstGeom prst="rect">
                      <a:avLst/>
                    </a:prstGeom>
                  </pic:spPr>
                </pic:pic>
              </a:graphicData>
            </a:graphic>
          </wp:inline>
        </w:drawing>
      </w:r>
    </w:p>
    <w:p w14:paraId="73DF6574" w14:textId="53120712" w:rsidR="008842CA" w:rsidRPr="008842CA" w:rsidRDefault="008842CA" w:rsidP="008842CA">
      <w:pPr>
        <w:jc w:val="center"/>
        <w:rPr>
          <w:rFonts w:ascii="Calibri" w:hAnsi="Calibri" w:cs="Calibri"/>
          <w:sz w:val="24"/>
          <w:szCs w:val="24"/>
        </w:rPr>
      </w:pPr>
      <w:r w:rsidRPr="008842CA">
        <w:rPr>
          <w:rFonts w:ascii="Calibri" w:hAnsi="Calibri" w:cs="Calibri"/>
          <w:sz w:val="24"/>
          <w:szCs w:val="24"/>
        </w:rPr>
        <w:t>Figure 2</w:t>
      </w:r>
      <w:r>
        <w:rPr>
          <w:rFonts w:ascii="Calibri" w:hAnsi="Calibri" w:cs="Calibri"/>
          <w:sz w:val="24"/>
          <w:szCs w:val="24"/>
        </w:rPr>
        <w:t xml:space="preserve">. </w:t>
      </w:r>
      <w:r w:rsidRPr="008842CA">
        <w:rPr>
          <w:rFonts w:ascii="Calibri" w:hAnsi="Calibri" w:cs="Calibri"/>
          <w:sz w:val="24"/>
          <w:szCs w:val="24"/>
        </w:rPr>
        <w:t>What’s new in ITIL v4</w:t>
      </w:r>
      <w:r w:rsidR="00074AA4">
        <w:rPr>
          <w:rFonts w:ascii="Calibri" w:hAnsi="Calibri" w:cs="Calibri"/>
          <w:sz w:val="24"/>
          <w:szCs w:val="24"/>
        </w:rPr>
        <w:t xml:space="preserve"> [22]</w:t>
      </w:r>
      <w:r>
        <w:rPr>
          <w:rFonts w:ascii="Calibri" w:hAnsi="Calibri" w:cs="Calibri"/>
          <w:sz w:val="24"/>
          <w:szCs w:val="24"/>
        </w:rPr>
        <w:t>.</w:t>
      </w:r>
    </w:p>
    <w:p w14:paraId="05377131" w14:textId="77777777" w:rsidR="008842CA" w:rsidRPr="00B329A9" w:rsidRDefault="008842CA" w:rsidP="008842CA">
      <w:pPr>
        <w:jc w:val="center"/>
        <w:rPr>
          <w:rFonts w:ascii="Calibri" w:hAnsi="Calibri" w:cs="Calibri"/>
          <w:sz w:val="24"/>
          <w:szCs w:val="24"/>
        </w:rPr>
      </w:pPr>
    </w:p>
    <w:p w14:paraId="3720D95B" w14:textId="4A496CF1" w:rsidR="00620F41" w:rsidRDefault="00620F41" w:rsidP="00620F41">
      <w:pPr>
        <w:jc w:val="both"/>
      </w:pPr>
    </w:p>
    <w:p w14:paraId="2136BECA" w14:textId="7DE5352F" w:rsidR="00534DA3" w:rsidRPr="00620F41" w:rsidRDefault="00534DA3" w:rsidP="00620F41">
      <w:pPr>
        <w:jc w:val="both"/>
      </w:pPr>
    </w:p>
    <w:p w14:paraId="4926C236" w14:textId="061C41FD" w:rsidR="00E5499A" w:rsidRPr="00E5499A" w:rsidRDefault="00013C3A" w:rsidP="00E5499A">
      <w:pPr>
        <w:pStyle w:val="Heading1"/>
      </w:pPr>
      <w:bookmarkStart w:id="10" w:name="_Toc218759956"/>
      <w:r>
        <w:lastRenderedPageBreak/>
        <w:t xml:space="preserve">4. </w:t>
      </w:r>
      <w:r w:rsidR="00E5499A" w:rsidRPr="00E5499A">
        <w:t>Governance, Risk Management, and Compliance</w:t>
      </w:r>
      <w:bookmarkEnd w:id="10"/>
    </w:p>
    <w:p w14:paraId="6EF56FA6" w14:textId="2A0737CB" w:rsidR="00E5499A" w:rsidRPr="00E5499A" w:rsidRDefault="00E5499A" w:rsidP="00E5499A">
      <w:pPr>
        <w:jc w:val="both"/>
        <w:rPr>
          <w:rFonts w:ascii="Calibri" w:hAnsi="Calibri" w:cs="Calibri"/>
          <w:sz w:val="24"/>
          <w:szCs w:val="24"/>
        </w:rPr>
      </w:pPr>
      <w:r w:rsidRPr="00E5499A">
        <w:rPr>
          <w:rFonts w:ascii="Calibri" w:hAnsi="Calibri" w:cs="Calibri"/>
          <w:sz w:val="24"/>
          <w:szCs w:val="24"/>
        </w:rPr>
        <w:t xml:space="preserve">Security is not just about firewalls; it is about management and laws. For a global company like </w:t>
      </w:r>
      <w:proofErr w:type="spellStart"/>
      <w:r w:rsidRPr="00E5499A">
        <w:rPr>
          <w:rFonts w:ascii="Calibri" w:hAnsi="Calibri" w:cs="Calibri"/>
          <w:sz w:val="24"/>
          <w:szCs w:val="24"/>
        </w:rPr>
        <w:t>NatureGreen</w:t>
      </w:r>
      <w:proofErr w:type="spellEnd"/>
      <w:r w:rsidRPr="00E5499A">
        <w:rPr>
          <w:rFonts w:ascii="Calibri" w:hAnsi="Calibri" w:cs="Calibri"/>
          <w:sz w:val="24"/>
          <w:szCs w:val="24"/>
        </w:rPr>
        <w:t>, governance ensures that security decisions match the company's business goals [10].</w:t>
      </w:r>
    </w:p>
    <w:p w14:paraId="58C931EF" w14:textId="45EC67E2" w:rsidR="00E5499A" w:rsidRPr="00E5499A" w:rsidRDefault="00013C3A" w:rsidP="00E5499A">
      <w:pPr>
        <w:pStyle w:val="Heading2"/>
      </w:pPr>
      <w:bookmarkStart w:id="11" w:name="_Toc218759957"/>
      <w:r>
        <w:t xml:space="preserve">4.1. </w:t>
      </w:r>
      <w:r w:rsidR="00E5499A" w:rsidRPr="00E5499A">
        <w:t>Governance and Strategic Planning</w:t>
      </w:r>
      <w:bookmarkEnd w:id="11"/>
    </w:p>
    <w:p w14:paraId="398D76C4" w14:textId="279C2912" w:rsidR="00E5499A" w:rsidRPr="00E5499A" w:rsidRDefault="00E5499A" w:rsidP="00E5499A">
      <w:pPr>
        <w:jc w:val="both"/>
        <w:rPr>
          <w:rFonts w:ascii="Calibri" w:hAnsi="Calibri" w:cs="Calibri"/>
          <w:sz w:val="24"/>
          <w:szCs w:val="24"/>
        </w:rPr>
      </w:pPr>
      <w:r w:rsidRPr="00E5499A">
        <w:rPr>
          <w:rFonts w:ascii="Calibri" w:hAnsi="Calibri" w:cs="Calibri"/>
          <w:sz w:val="24"/>
          <w:szCs w:val="24"/>
        </w:rPr>
        <w:t xml:space="preserve">At </w:t>
      </w:r>
      <w:proofErr w:type="spellStart"/>
      <w:r w:rsidR="00074AA4" w:rsidRPr="00074AA4">
        <w:rPr>
          <w:rFonts w:ascii="Calibri" w:hAnsi="Calibri" w:cs="Calibri"/>
          <w:sz w:val="24"/>
          <w:szCs w:val="24"/>
        </w:rPr>
        <w:t>NatureGreen</w:t>
      </w:r>
      <w:proofErr w:type="spellEnd"/>
      <w:r w:rsidRPr="00E5499A">
        <w:rPr>
          <w:rFonts w:ascii="Calibri" w:hAnsi="Calibri" w:cs="Calibri"/>
          <w:sz w:val="24"/>
          <w:szCs w:val="24"/>
        </w:rPr>
        <w:t xml:space="preserve">, the "disarray" exists because there is no top-down leadership for security. Governance involves creating a Security Steering Committee that includes leaders from IT, Legal, and Finance. Their job is to ensure that security supports </w:t>
      </w:r>
      <w:proofErr w:type="spellStart"/>
      <w:r w:rsidR="00074AA4" w:rsidRPr="00074AA4">
        <w:rPr>
          <w:rFonts w:ascii="Calibri" w:hAnsi="Calibri" w:cs="Calibri"/>
          <w:sz w:val="24"/>
          <w:szCs w:val="24"/>
        </w:rPr>
        <w:t>NatureGreen</w:t>
      </w:r>
      <w:r w:rsidRPr="00E5499A">
        <w:rPr>
          <w:rFonts w:ascii="Calibri" w:hAnsi="Calibri" w:cs="Calibri"/>
          <w:sz w:val="24"/>
          <w:szCs w:val="24"/>
        </w:rPr>
        <w:t>'s</w:t>
      </w:r>
      <w:proofErr w:type="spellEnd"/>
      <w:r w:rsidRPr="00E5499A">
        <w:rPr>
          <w:rFonts w:ascii="Calibri" w:hAnsi="Calibri" w:cs="Calibri"/>
          <w:sz w:val="24"/>
          <w:szCs w:val="24"/>
        </w:rPr>
        <w:t xml:space="preserve"> global growth instead of slowing it down.</w:t>
      </w:r>
    </w:p>
    <w:p w14:paraId="031207FC" w14:textId="77777777" w:rsidR="00E5499A" w:rsidRPr="00E5499A" w:rsidRDefault="00E5499A" w:rsidP="00E5499A">
      <w:pPr>
        <w:numPr>
          <w:ilvl w:val="0"/>
          <w:numId w:val="2"/>
        </w:numPr>
        <w:jc w:val="both"/>
        <w:rPr>
          <w:rFonts w:ascii="Calibri" w:hAnsi="Calibri" w:cs="Calibri"/>
          <w:sz w:val="24"/>
          <w:szCs w:val="24"/>
        </w:rPr>
      </w:pPr>
      <w:r w:rsidRPr="00A23239">
        <w:rPr>
          <w:rFonts w:ascii="Calibri" w:hAnsi="Calibri" w:cs="Calibri"/>
          <w:b/>
          <w:bCs/>
          <w:sz w:val="24"/>
          <w:szCs w:val="24"/>
        </w:rPr>
        <w:t>Policy Creation</w:t>
      </w:r>
      <w:r w:rsidRPr="00E5499A">
        <w:rPr>
          <w:rFonts w:ascii="Calibri" w:hAnsi="Calibri" w:cs="Calibri"/>
          <w:sz w:val="24"/>
          <w:szCs w:val="24"/>
        </w:rPr>
        <w:t>: The first step is writing an Acceptable Use Policy (AUP). This tells staff exactly what they can and cannot do on the 95% wireless network [11].</w:t>
      </w:r>
    </w:p>
    <w:p w14:paraId="65C90CA9" w14:textId="564FFF0C" w:rsidR="00E5499A" w:rsidRPr="00E5499A" w:rsidRDefault="00E5499A" w:rsidP="00E5499A">
      <w:pPr>
        <w:numPr>
          <w:ilvl w:val="0"/>
          <w:numId w:val="2"/>
        </w:numPr>
        <w:jc w:val="both"/>
        <w:rPr>
          <w:rFonts w:ascii="Calibri" w:hAnsi="Calibri" w:cs="Calibri"/>
          <w:sz w:val="24"/>
          <w:szCs w:val="24"/>
        </w:rPr>
      </w:pPr>
      <w:r w:rsidRPr="00A23239">
        <w:rPr>
          <w:rFonts w:ascii="Calibri" w:hAnsi="Calibri" w:cs="Calibri"/>
          <w:b/>
          <w:bCs/>
          <w:sz w:val="24"/>
          <w:szCs w:val="24"/>
        </w:rPr>
        <w:t>SLA Management</w:t>
      </w:r>
      <w:r w:rsidRPr="00E5499A">
        <w:rPr>
          <w:rFonts w:ascii="Calibri" w:hAnsi="Calibri" w:cs="Calibri"/>
          <w:sz w:val="24"/>
          <w:szCs w:val="24"/>
        </w:rPr>
        <w:t xml:space="preserve">: Since </w:t>
      </w:r>
      <w:proofErr w:type="spellStart"/>
      <w:r w:rsidR="00074AA4" w:rsidRPr="00074AA4">
        <w:rPr>
          <w:rFonts w:ascii="Calibri" w:hAnsi="Calibri" w:cs="Calibri"/>
          <w:sz w:val="24"/>
          <w:szCs w:val="24"/>
        </w:rPr>
        <w:t>NatureGreen</w:t>
      </w:r>
      <w:proofErr w:type="spellEnd"/>
      <w:r w:rsidRPr="00E5499A">
        <w:rPr>
          <w:rFonts w:ascii="Calibri" w:hAnsi="Calibri" w:cs="Calibri"/>
          <w:sz w:val="24"/>
          <w:szCs w:val="24"/>
        </w:rPr>
        <w:t xml:space="preserve"> uses cloud services, they must have Service Level Agreements (SLAs) with providers (like AWS or Azure). These contracts must guarantee that the cloud provider is also following high security standards [8].</w:t>
      </w:r>
    </w:p>
    <w:p w14:paraId="6CF79F7D" w14:textId="56F2B866" w:rsidR="00E5499A" w:rsidRPr="00E5499A" w:rsidRDefault="00013C3A" w:rsidP="00E5499A">
      <w:pPr>
        <w:pStyle w:val="Heading2"/>
      </w:pPr>
      <w:bookmarkStart w:id="12" w:name="_Toc218759958"/>
      <w:r>
        <w:t xml:space="preserve">4.2. </w:t>
      </w:r>
      <w:r w:rsidR="00E5499A" w:rsidRPr="00E5499A">
        <w:t>Risk Management (Protecting the Billion-Dollar IP)</w:t>
      </w:r>
      <w:bookmarkEnd w:id="12"/>
    </w:p>
    <w:p w14:paraId="72AE650F" w14:textId="77777777" w:rsidR="00E5499A" w:rsidRPr="00E5499A" w:rsidRDefault="00E5499A" w:rsidP="00E5499A">
      <w:pPr>
        <w:jc w:val="both"/>
        <w:rPr>
          <w:rFonts w:ascii="Calibri" w:hAnsi="Calibri" w:cs="Calibri"/>
          <w:sz w:val="24"/>
          <w:szCs w:val="24"/>
        </w:rPr>
      </w:pPr>
      <w:proofErr w:type="spellStart"/>
      <w:r w:rsidRPr="00E5499A">
        <w:rPr>
          <w:rFonts w:ascii="Calibri" w:hAnsi="Calibri" w:cs="Calibri"/>
          <w:sz w:val="24"/>
          <w:szCs w:val="24"/>
        </w:rPr>
        <w:t>NatureGreen</w:t>
      </w:r>
      <w:proofErr w:type="spellEnd"/>
      <w:r w:rsidRPr="00E5499A">
        <w:rPr>
          <w:rFonts w:ascii="Calibri" w:hAnsi="Calibri" w:cs="Calibri"/>
          <w:sz w:val="24"/>
          <w:szCs w:val="24"/>
        </w:rPr>
        <w:t xml:space="preserve"> must identify what it is most afraid of losing. This is called a Risk Assessment.</w:t>
      </w:r>
    </w:p>
    <w:p w14:paraId="2767EAF5" w14:textId="65AD8BAC" w:rsidR="00E5499A" w:rsidRPr="00E5499A" w:rsidRDefault="00E5499A" w:rsidP="00E5499A">
      <w:pPr>
        <w:numPr>
          <w:ilvl w:val="0"/>
          <w:numId w:val="3"/>
        </w:numPr>
        <w:jc w:val="both"/>
        <w:rPr>
          <w:rFonts w:ascii="Calibri" w:hAnsi="Calibri" w:cs="Calibri"/>
          <w:sz w:val="24"/>
          <w:szCs w:val="24"/>
        </w:rPr>
      </w:pPr>
      <w:r w:rsidRPr="00A23239">
        <w:rPr>
          <w:rFonts w:ascii="Calibri" w:hAnsi="Calibri" w:cs="Calibri"/>
          <w:b/>
          <w:bCs/>
          <w:sz w:val="24"/>
          <w:szCs w:val="24"/>
        </w:rPr>
        <w:t>Asset Identification</w:t>
      </w:r>
      <w:r w:rsidRPr="00E5499A">
        <w:rPr>
          <w:rFonts w:ascii="Calibri" w:hAnsi="Calibri" w:cs="Calibri"/>
          <w:sz w:val="24"/>
          <w:szCs w:val="24"/>
        </w:rPr>
        <w:t xml:space="preserve">: </w:t>
      </w:r>
      <w:proofErr w:type="spellStart"/>
      <w:r w:rsidR="00074AA4" w:rsidRPr="00074AA4">
        <w:rPr>
          <w:rFonts w:ascii="Calibri" w:hAnsi="Calibri" w:cs="Calibri"/>
          <w:sz w:val="24"/>
          <w:szCs w:val="24"/>
        </w:rPr>
        <w:t>NatureGreen</w:t>
      </w:r>
      <w:proofErr w:type="spellEnd"/>
      <w:r w:rsidRPr="00E5499A">
        <w:rPr>
          <w:rFonts w:ascii="Calibri" w:hAnsi="Calibri" w:cs="Calibri"/>
          <w:sz w:val="24"/>
          <w:szCs w:val="24"/>
        </w:rPr>
        <w:t xml:space="preserve"> must list its "Crown Jewels"—its secret formulas and brand designs.</w:t>
      </w:r>
    </w:p>
    <w:p w14:paraId="58AD923E" w14:textId="6F4B341A" w:rsidR="00E5499A" w:rsidRPr="00E5499A" w:rsidRDefault="00E5499A" w:rsidP="00E5499A">
      <w:pPr>
        <w:numPr>
          <w:ilvl w:val="0"/>
          <w:numId w:val="3"/>
        </w:numPr>
        <w:jc w:val="both"/>
        <w:rPr>
          <w:rFonts w:ascii="Calibri" w:hAnsi="Calibri" w:cs="Calibri"/>
          <w:sz w:val="24"/>
          <w:szCs w:val="24"/>
        </w:rPr>
      </w:pPr>
      <w:r w:rsidRPr="00A23239">
        <w:rPr>
          <w:rFonts w:ascii="Calibri" w:hAnsi="Calibri" w:cs="Calibri"/>
          <w:b/>
          <w:bCs/>
          <w:sz w:val="24"/>
          <w:szCs w:val="24"/>
        </w:rPr>
        <w:t>Threat Model</w:t>
      </w:r>
      <w:r w:rsidR="00A23239" w:rsidRPr="00A23239">
        <w:rPr>
          <w:rFonts w:ascii="Calibri" w:hAnsi="Calibri" w:cs="Calibri"/>
          <w:b/>
          <w:bCs/>
          <w:sz w:val="24"/>
          <w:szCs w:val="24"/>
        </w:rPr>
        <w:t>l</w:t>
      </w:r>
      <w:r w:rsidRPr="00A23239">
        <w:rPr>
          <w:rFonts w:ascii="Calibri" w:hAnsi="Calibri" w:cs="Calibri"/>
          <w:b/>
          <w:bCs/>
          <w:sz w:val="24"/>
          <w:szCs w:val="24"/>
        </w:rPr>
        <w:t>ing</w:t>
      </w:r>
      <w:r w:rsidRPr="00E5499A">
        <w:rPr>
          <w:rFonts w:ascii="Calibri" w:hAnsi="Calibri" w:cs="Calibri"/>
          <w:sz w:val="24"/>
          <w:szCs w:val="24"/>
        </w:rPr>
        <w:t>: Who wants this data? Competitors, state-sponsored hackers, or disgruntled employees?</w:t>
      </w:r>
    </w:p>
    <w:p w14:paraId="15D03B2E" w14:textId="21E765A1" w:rsidR="00E5499A" w:rsidRPr="00E5499A" w:rsidRDefault="00E5499A" w:rsidP="00E5499A">
      <w:pPr>
        <w:numPr>
          <w:ilvl w:val="0"/>
          <w:numId w:val="3"/>
        </w:numPr>
        <w:jc w:val="both"/>
        <w:rPr>
          <w:rFonts w:ascii="Calibri" w:hAnsi="Calibri" w:cs="Calibri"/>
          <w:sz w:val="24"/>
          <w:szCs w:val="24"/>
        </w:rPr>
      </w:pPr>
      <w:r w:rsidRPr="00A23239">
        <w:rPr>
          <w:rFonts w:ascii="Calibri" w:hAnsi="Calibri" w:cs="Calibri"/>
          <w:b/>
          <w:bCs/>
          <w:sz w:val="24"/>
          <w:szCs w:val="24"/>
        </w:rPr>
        <w:t>Risk Treatment</w:t>
      </w:r>
      <w:r w:rsidRPr="00E5499A">
        <w:rPr>
          <w:rFonts w:ascii="Calibri" w:hAnsi="Calibri" w:cs="Calibri"/>
          <w:sz w:val="24"/>
          <w:szCs w:val="24"/>
        </w:rPr>
        <w:t xml:space="preserve">: For the intellectual property, </w:t>
      </w:r>
      <w:proofErr w:type="spellStart"/>
      <w:r w:rsidR="00074AA4" w:rsidRPr="00074AA4">
        <w:rPr>
          <w:rFonts w:ascii="Calibri" w:hAnsi="Calibri" w:cs="Calibri"/>
          <w:sz w:val="24"/>
          <w:szCs w:val="24"/>
        </w:rPr>
        <w:t>NatureGreen</w:t>
      </w:r>
      <w:proofErr w:type="spellEnd"/>
      <w:r w:rsidRPr="00E5499A">
        <w:rPr>
          <w:rFonts w:ascii="Calibri" w:hAnsi="Calibri" w:cs="Calibri"/>
          <w:sz w:val="24"/>
          <w:szCs w:val="24"/>
        </w:rPr>
        <w:t xml:space="preserve"> should use Data Loss Prevention (DLP) software. This acts like a "digital guard" that stops sensitive files from being sent to personal emails or uploaded to public social media [9].</w:t>
      </w:r>
    </w:p>
    <w:p w14:paraId="707B0157" w14:textId="6936D5F9" w:rsidR="00E5499A" w:rsidRPr="00E5499A" w:rsidRDefault="00013C3A" w:rsidP="00FF5154">
      <w:pPr>
        <w:pStyle w:val="Heading2"/>
      </w:pPr>
      <w:bookmarkStart w:id="13" w:name="_Toc218759959"/>
      <w:r>
        <w:t xml:space="preserve">4.3. </w:t>
      </w:r>
      <w:r w:rsidR="00E5499A" w:rsidRPr="00E5499A">
        <w:t>Compliance: Laws and Ethics</w:t>
      </w:r>
      <w:bookmarkEnd w:id="13"/>
    </w:p>
    <w:p w14:paraId="39EF5833" w14:textId="02D5A2EB" w:rsidR="00E5499A" w:rsidRPr="00E5499A" w:rsidRDefault="00E5499A" w:rsidP="00E5499A">
      <w:pPr>
        <w:jc w:val="both"/>
        <w:rPr>
          <w:rFonts w:ascii="Calibri" w:hAnsi="Calibri" w:cs="Calibri"/>
          <w:sz w:val="24"/>
          <w:szCs w:val="24"/>
        </w:rPr>
      </w:pPr>
      <w:r w:rsidRPr="00E5499A">
        <w:rPr>
          <w:rFonts w:ascii="Calibri" w:hAnsi="Calibri" w:cs="Calibri"/>
          <w:sz w:val="24"/>
          <w:szCs w:val="24"/>
        </w:rPr>
        <w:t xml:space="preserve">Operating globally means </w:t>
      </w:r>
      <w:proofErr w:type="spellStart"/>
      <w:r w:rsidR="00074AA4" w:rsidRPr="00074AA4">
        <w:rPr>
          <w:rFonts w:ascii="Calibri" w:hAnsi="Calibri" w:cs="Calibri"/>
          <w:sz w:val="24"/>
          <w:szCs w:val="24"/>
        </w:rPr>
        <w:t>NatureGreen</w:t>
      </w:r>
      <w:proofErr w:type="spellEnd"/>
      <w:r w:rsidRPr="00E5499A">
        <w:rPr>
          <w:rFonts w:ascii="Calibri" w:hAnsi="Calibri" w:cs="Calibri"/>
          <w:sz w:val="24"/>
          <w:szCs w:val="24"/>
        </w:rPr>
        <w:t xml:space="preserve"> must follow many different laws.</w:t>
      </w:r>
    </w:p>
    <w:p w14:paraId="2E175E17" w14:textId="1D16DD4D" w:rsidR="00E5499A" w:rsidRPr="00E5499A" w:rsidRDefault="00E5499A" w:rsidP="00E5499A">
      <w:pPr>
        <w:numPr>
          <w:ilvl w:val="0"/>
          <w:numId w:val="4"/>
        </w:numPr>
        <w:jc w:val="both"/>
        <w:rPr>
          <w:rFonts w:ascii="Calibri" w:hAnsi="Calibri" w:cs="Calibri"/>
          <w:sz w:val="24"/>
          <w:szCs w:val="24"/>
        </w:rPr>
      </w:pPr>
      <w:r w:rsidRPr="00A23239">
        <w:rPr>
          <w:rFonts w:ascii="Calibri" w:hAnsi="Calibri" w:cs="Calibri"/>
          <w:b/>
          <w:bCs/>
          <w:sz w:val="24"/>
          <w:szCs w:val="24"/>
        </w:rPr>
        <w:t>GDPR (General Data Protection Regulation)</w:t>
      </w:r>
      <w:r w:rsidRPr="00E5499A">
        <w:rPr>
          <w:rFonts w:ascii="Calibri" w:hAnsi="Calibri" w:cs="Calibri"/>
          <w:sz w:val="24"/>
          <w:szCs w:val="24"/>
        </w:rPr>
        <w:t xml:space="preserve">: Since </w:t>
      </w:r>
      <w:proofErr w:type="spellStart"/>
      <w:r w:rsidR="00074AA4" w:rsidRPr="00074AA4">
        <w:rPr>
          <w:rFonts w:ascii="Calibri" w:hAnsi="Calibri" w:cs="Calibri"/>
          <w:sz w:val="24"/>
          <w:szCs w:val="24"/>
        </w:rPr>
        <w:t>NatureGreen</w:t>
      </w:r>
      <w:proofErr w:type="spellEnd"/>
      <w:r w:rsidRPr="00E5499A">
        <w:rPr>
          <w:rFonts w:ascii="Calibri" w:hAnsi="Calibri" w:cs="Calibri"/>
          <w:sz w:val="24"/>
          <w:szCs w:val="24"/>
        </w:rPr>
        <w:t xml:space="preserve"> has an international customer base, they must protect European citizens' data or face massive fines (up to 4% of global turnover) [12].</w:t>
      </w:r>
    </w:p>
    <w:p w14:paraId="51816FB9" w14:textId="5A20A1F7" w:rsidR="00E5499A" w:rsidRPr="00E5499A" w:rsidRDefault="00E5499A" w:rsidP="00E5499A">
      <w:pPr>
        <w:numPr>
          <w:ilvl w:val="0"/>
          <w:numId w:val="4"/>
        </w:numPr>
        <w:jc w:val="both"/>
        <w:rPr>
          <w:rFonts w:ascii="Calibri" w:hAnsi="Calibri" w:cs="Calibri"/>
          <w:sz w:val="24"/>
          <w:szCs w:val="24"/>
        </w:rPr>
      </w:pPr>
      <w:r w:rsidRPr="00A23239">
        <w:rPr>
          <w:rFonts w:ascii="Calibri" w:hAnsi="Calibri" w:cs="Calibri"/>
          <w:b/>
          <w:bCs/>
          <w:sz w:val="24"/>
          <w:szCs w:val="24"/>
        </w:rPr>
        <w:t>Ethics</w:t>
      </w:r>
      <w:r w:rsidRPr="00E5499A">
        <w:rPr>
          <w:rFonts w:ascii="Calibri" w:hAnsi="Calibri" w:cs="Calibri"/>
          <w:sz w:val="24"/>
          <w:szCs w:val="24"/>
        </w:rPr>
        <w:t xml:space="preserve">: Beyond the law, </w:t>
      </w:r>
      <w:proofErr w:type="spellStart"/>
      <w:r w:rsidR="00074AA4" w:rsidRPr="00074AA4">
        <w:rPr>
          <w:rFonts w:ascii="Calibri" w:hAnsi="Calibri" w:cs="Calibri"/>
          <w:sz w:val="24"/>
          <w:szCs w:val="24"/>
        </w:rPr>
        <w:t>NatureGreen</w:t>
      </w:r>
      <w:proofErr w:type="spellEnd"/>
      <w:r w:rsidRPr="00E5499A">
        <w:rPr>
          <w:rFonts w:ascii="Calibri" w:hAnsi="Calibri" w:cs="Calibri"/>
          <w:sz w:val="24"/>
          <w:szCs w:val="24"/>
        </w:rPr>
        <w:t xml:space="preserve"> has an ethical duty to its customers. If a customer’s health data is leaked because a staff member used an unencrypted personal phone, the brand's "Healthy Living" reputation would be destroyed [12].</w:t>
      </w:r>
    </w:p>
    <w:p w14:paraId="6DA7DE1A" w14:textId="3D10BD72" w:rsidR="00E5499A" w:rsidRPr="00E5499A" w:rsidRDefault="00013C3A" w:rsidP="00FF5154">
      <w:pPr>
        <w:pStyle w:val="Heading2"/>
      </w:pPr>
      <w:bookmarkStart w:id="14" w:name="_Toc218759960"/>
      <w:r>
        <w:t xml:space="preserve">4.4. </w:t>
      </w:r>
      <w:r w:rsidR="00E5499A" w:rsidRPr="00E5499A">
        <w:t>Contingency Planning</w:t>
      </w:r>
      <w:bookmarkEnd w:id="14"/>
    </w:p>
    <w:p w14:paraId="5C0079BD" w14:textId="77777777" w:rsidR="00E5499A" w:rsidRPr="00E5499A" w:rsidRDefault="00E5499A" w:rsidP="00E5499A">
      <w:pPr>
        <w:jc w:val="both"/>
        <w:rPr>
          <w:rFonts w:ascii="Calibri" w:hAnsi="Calibri" w:cs="Calibri"/>
          <w:sz w:val="24"/>
          <w:szCs w:val="24"/>
        </w:rPr>
      </w:pPr>
      <w:r w:rsidRPr="00E5499A">
        <w:rPr>
          <w:rFonts w:ascii="Calibri" w:hAnsi="Calibri" w:cs="Calibri"/>
          <w:sz w:val="24"/>
          <w:szCs w:val="24"/>
        </w:rPr>
        <w:t>What happens if the wireless network goes down or the cloud service is hacked?</w:t>
      </w:r>
    </w:p>
    <w:p w14:paraId="194B2FE3" w14:textId="4ABDEFB0" w:rsidR="00E5499A" w:rsidRPr="00E5499A" w:rsidRDefault="00E5499A" w:rsidP="00E5499A">
      <w:pPr>
        <w:numPr>
          <w:ilvl w:val="0"/>
          <w:numId w:val="5"/>
        </w:numPr>
        <w:jc w:val="both"/>
        <w:rPr>
          <w:rFonts w:ascii="Calibri" w:hAnsi="Calibri" w:cs="Calibri"/>
          <w:sz w:val="24"/>
          <w:szCs w:val="24"/>
        </w:rPr>
      </w:pPr>
      <w:r w:rsidRPr="00A23239">
        <w:rPr>
          <w:rFonts w:ascii="Calibri" w:hAnsi="Calibri" w:cs="Calibri"/>
          <w:b/>
          <w:bCs/>
          <w:sz w:val="24"/>
          <w:szCs w:val="24"/>
        </w:rPr>
        <w:lastRenderedPageBreak/>
        <w:t>Business Continuity Plan (BCP)</w:t>
      </w:r>
      <w:r w:rsidR="00A23239" w:rsidRPr="00A23239">
        <w:rPr>
          <w:rFonts w:ascii="Calibri" w:hAnsi="Calibri" w:cs="Calibri"/>
          <w:sz w:val="24"/>
          <w:szCs w:val="24"/>
        </w:rPr>
        <w:t>:</w:t>
      </w:r>
      <w:r w:rsidRPr="00E5499A">
        <w:rPr>
          <w:rFonts w:ascii="Calibri" w:hAnsi="Calibri" w:cs="Calibri"/>
          <w:sz w:val="24"/>
          <w:szCs w:val="24"/>
        </w:rPr>
        <w:t xml:space="preserve"> This ensures </w:t>
      </w:r>
      <w:proofErr w:type="spellStart"/>
      <w:r w:rsidR="00074AA4" w:rsidRPr="00074AA4">
        <w:rPr>
          <w:rFonts w:ascii="Calibri" w:hAnsi="Calibri" w:cs="Calibri"/>
          <w:sz w:val="24"/>
          <w:szCs w:val="24"/>
        </w:rPr>
        <w:t>NatureGreen</w:t>
      </w:r>
      <w:proofErr w:type="spellEnd"/>
      <w:r w:rsidR="00074AA4">
        <w:rPr>
          <w:rFonts w:ascii="Calibri" w:hAnsi="Calibri" w:cs="Calibri"/>
          <w:sz w:val="24"/>
          <w:szCs w:val="24"/>
        </w:rPr>
        <w:t xml:space="preserve"> </w:t>
      </w:r>
      <w:r w:rsidRPr="00E5499A">
        <w:rPr>
          <w:rFonts w:ascii="Calibri" w:hAnsi="Calibri" w:cs="Calibri"/>
          <w:sz w:val="24"/>
          <w:szCs w:val="24"/>
        </w:rPr>
        <w:t>can keep selling products even during a cyberattack.</w:t>
      </w:r>
    </w:p>
    <w:p w14:paraId="7478E457" w14:textId="77777777" w:rsidR="00E5499A" w:rsidRDefault="00E5499A" w:rsidP="00E5499A">
      <w:pPr>
        <w:numPr>
          <w:ilvl w:val="0"/>
          <w:numId w:val="5"/>
        </w:numPr>
        <w:jc w:val="both"/>
        <w:rPr>
          <w:rFonts w:ascii="Calibri" w:hAnsi="Calibri" w:cs="Calibri"/>
          <w:sz w:val="24"/>
          <w:szCs w:val="24"/>
        </w:rPr>
      </w:pPr>
      <w:r w:rsidRPr="00A23239">
        <w:rPr>
          <w:rFonts w:ascii="Calibri" w:hAnsi="Calibri" w:cs="Calibri"/>
          <w:b/>
          <w:bCs/>
          <w:sz w:val="24"/>
          <w:szCs w:val="24"/>
        </w:rPr>
        <w:t>Disaster Recovery (DR)</w:t>
      </w:r>
      <w:r w:rsidRPr="00E5499A">
        <w:rPr>
          <w:rFonts w:ascii="Calibri" w:hAnsi="Calibri" w:cs="Calibri"/>
          <w:sz w:val="24"/>
          <w:szCs w:val="24"/>
        </w:rPr>
        <w:t>: This involves having "Off-site" backups of their intellectual property so they can recover data if a hacker deletes it [10].</w:t>
      </w:r>
    </w:p>
    <w:p w14:paraId="0F4AC71B" w14:textId="70C467FD" w:rsidR="002F1AC8" w:rsidRPr="002F1AC8" w:rsidRDefault="002F1AC8" w:rsidP="002F1AC8">
      <w:pPr>
        <w:pStyle w:val="Heading2"/>
        <w:jc w:val="both"/>
      </w:pPr>
      <w:bookmarkStart w:id="15" w:name="_Toc218759961"/>
      <w:r>
        <w:t xml:space="preserve">4.5. </w:t>
      </w:r>
      <w:r w:rsidRPr="002F1AC8">
        <w:t>Security Policies</w:t>
      </w:r>
      <w:bookmarkEnd w:id="15"/>
    </w:p>
    <w:p w14:paraId="42C5057D" w14:textId="77777777" w:rsidR="002F1AC8" w:rsidRPr="002F1AC8" w:rsidRDefault="002F1AC8" w:rsidP="002F1AC8">
      <w:pPr>
        <w:ind w:left="720"/>
        <w:jc w:val="both"/>
        <w:rPr>
          <w:rFonts w:ascii="Calibri" w:hAnsi="Calibri" w:cs="Calibri"/>
          <w:sz w:val="24"/>
          <w:szCs w:val="24"/>
        </w:rPr>
      </w:pPr>
      <w:r w:rsidRPr="002F1AC8">
        <w:rPr>
          <w:rFonts w:ascii="Calibri" w:hAnsi="Calibri" w:cs="Calibri"/>
          <w:sz w:val="24"/>
          <w:szCs w:val="24"/>
        </w:rPr>
        <w:t>Policies act as the "organizational law" that protection mechanisms enforce.</w:t>
      </w:r>
    </w:p>
    <w:p w14:paraId="1B706C79" w14:textId="3E624CB9" w:rsidR="002F1AC8" w:rsidRPr="002F1AC8" w:rsidRDefault="002F1AC8" w:rsidP="002F1AC8">
      <w:pPr>
        <w:numPr>
          <w:ilvl w:val="0"/>
          <w:numId w:val="6"/>
        </w:numPr>
        <w:jc w:val="both"/>
        <w:rPr>
          <w:rFonts w:ascii="Calibri" w:hAnsi="Calibri" w:cs="Calibri"/>
          <w:sz w:val="24"/>
          <w:szCs w:val="24"/>
        </w:rPr>
      </w:pPr>
      <w:r w:rsidRPr="002F1AC8">
        <w:rPr>
          <w:rFonts w:ascii="Calibri" w:hAnsi="Calibri" w:cs="Calibri"/>
          <w:b/>
          <w:bCs/>
          <w:sz w:val="24"/>
          <w:szCs w:val="24"/>
        </w:rPr>
        <w:t>BYOD Policy &amp; Zero Trust</w:t>
      </w:r>
      <w:r w:rsidRPr="002F1AC8">
        <w:rPr>
          <w:rFonts w:ascii="Calibri" w:hAnsi="Calibri" w:cs="Calibri"/>
          <w:sz w:val="24"/>
          <w:szCs w:val="24"/>
        </w:rPr>
        <w:t xml:space="preserve">: Scholarly research suggests that in a cloud-dependent environment, </w:t>
      </w:r>
      <w:proofErr w:type="spellStart"/>
      <w:r w:rsidR="00074AA4" w:rsidRPr="00074AA4">
        <w:rPr>
          <w:rFonts w:ascii="Calibri" w:hAnsi="Calibri" w:cs="Calibri"/>
          <w:sz w:val="24"/>
          <w:szCs w:val="24"/>
        </w:rPr>
        <w:t>NatureGreen</w:t>
      </w:r>
      <w:proofErr w:type="spellEnd"/>
      <w:r w:rsidRPr="002F1AC8">
        <w:rPr>
          <w:rFonts w:ascii="Calibri" w:hAnsi="Calibri" w:cs="Calibri"/>
          <w:sz w:val="24"/>
          <w:szCs w:val="24"/>
        </w:rPr>
        <w:t xml:space="preserve"> should adopt a Zero Trust Architecture (ZTA). This means every device (staff or customer) is treated as untrusted regardless of its location </w:t>
      </w:r>
      <w:r>
        <w:rPr>
          <w:rFonts w:ascii="Calibri" w:hAnsi="Calibri" w:cs="Calibri"/>
          <w:sz w:val="24"/>
          <w:szCs w:val="24"/>
        </w:rPr>
        <w:t>[14</w:t>
      </w:r>
      <w:r w:rsidRPr="002F1AC8">
        <w:rPr>
          <w:rFonts w:ascii="Calibri" w:hAnsi="Calibri" w:cs="Calibri"/>
          <w:sz w:val="24"/>
          <w:szCs w:val="24"/>
        </w:rPr>
        <w:t>].</w:t>
      </w:r>
    </w:p>
    <w:p w14:paraId="42FE0C30" w14:textId="3A0063B9" w:rsidR="002F1AC8" w:rsidRDefault="002F1AC8" w:rsidP="002F1AC8">
      <w:pPr>
        <w:numPr>
          <w:ilvl w:val="0"/>
          <w:numId w:val="6"/>
        </w:numPr>
        <w:jc w:val="both"/>
        <w:rPr>
          <w:rFonts w:ascii="Calibri" w:hAnsi="Calibri" w:cs="Calibri"/>
          <w:sz w:val="24"/>
          <w:szCs w:val="24"/>
        </w:rPr>
      </w:pPr>
      <w:r w:rsidRPr="002F1AC8">
        <w:rPr>
          <w:rFonts w:ascii="Calibri" w:hAnsi="Calibri" w:cs="Calibri"/>
          <w:b/>
          <w:bCs/>
          <w:sz w:val="24"/>
          <w:szCs w:val="24"/>
        </w:rPr>
        <w:t>Wireless Security (IEEE 802.11)</w:t>
      </w:r>
      <w:r w:rsidRPr="002F1AC8">
        <w:rPr>
          <w:rFonts w:ascii="Calibri" w:hAnsi="Calibri" w:cs="Calibri"/>
          <w:sz w:val="24"/>
          <w:szCs w:val="24"/>
        </w:rPr>
        <w:t xml:space="preserve">: To secure the 95% wireless network, </w:t>
      </w:r>
      <w:proofErr w:type="spellStart"/>
      <w:r w:rsidR="00074AA4" w:rsidRPr="00074AA4">
        <w:rPr>
          <w:rFonts w:ascii="Calibri" w:hAnsi="Calibri" w:cs="Calibri"/>
          <w:sz w:val="24"/>
          <w:szCs w:val="24"/>
        </w:rPr>
        <w:t>NatureGreen</w:t>
      </w:r>
      <w:proofErr w:type="spellEnd"/>
      <w:r w:rsidRPr="002F1AC8">
        <w:rPr>
          <w:rFonts w:ascii="Calibri" w:hAnsi="Calibri" w:cs="Calibri"/>
          <w:sz w:val="24"/>
          <w:szCs w:val="24"/>
        </w:rPr>
        <w:t xml:space="preserve"> should implement WPA3-Enterprise and IEEE 802.1X. These standards provide individualized encryption and port-based authentication, preventing "Man-in-the-Middle" attacks common in wireless environments [</w:t>
      </w:r>
      <w:r>
        <w:rPr>
          <w:rFonts w:ascii="Calibri" w:hAnsi="Calibri" w:cs="Calibri"/>
          <w:sz w:val="24"/>
          <w:szCs w:val="24"/>
        </w:rPr>
        <w:t>15</w:t>
      </w:r>
      <w:r w:rsidRPr="002F1AC8">
        <w:rPr>
          <w:rFonts w:ascii="Calibri" w:hAnsi="Calibri" w:cs="Calibri"/>
          <w:sz w:val="24"/>
          <w:szCs w:val="24"/>
        </w:rPr>
        <w:t>].</w:t>
      </w:r>
    </w:p>
    <w:p w14:paraId="513CA5D6" w14:textId="5289F8D2" w:rsidR="002F1AC8" w:rsidRDefault="002F1AC8" w:rsidP="002F1AC8">
      <w:pPr>
        <w:pStyle w:val="Heading2"/>
      </w:pPr>
      <w:bookmarkStart w:id="16" w:name="_Toc218759962"/>
      <w:r>
        <w:t xml:space="preserve">4.6. </w:t>
      </w:r>
      <w:r w:rsidRPr="00423018">
        <w:t>Security Management Models and Practices</w:t>
      </w:r>
      <w:bookmarkEnd w:id="16"/>
    </w:p>
    <w:p w14:paraId="409B0779" w14:textId="7ECCB558" w:rsidR="002F1AC8" w:rsidRDefault="002F1AC8" w:rsidP="002F1AC8">
      <w:pPr>
        <w:rPr>
          <w:rFonts w:ascii="Calibri" w:hAnsi="Calibri" w:cs="Calibri"/>
          <w:sz w:val="24"/>
          <w:szCs w:val="24"/>
        </w:rPr>
      </w:pPr>
      <w:r w:rsidRPr="002F1AC8">
        <w:rPr>
          <w:rFonts w:ascii="Calibri" w:hAnsi="Calibri" w:cs="Calibri"/>
          <w:sz w:val="24"/>
          <w:szCs w:val="24"/>
        </w:rPr>
        <w:t xml:space="preserve">To address the "disarray" at </w:t>
      </w:r>
      <w:proofErr w:type="spellStart"/>
      <w:r w:rsidRPr="002F1AC8">
        <w:rPr>
          <w:rFonts w:ascii="Calibri" w:hAnsi="Calibri" w:cs="Calibri"/>
          <w:sz w:val="24"/>
          <w:szCs w:val="24"/>
        </w:rPr>
        <w:t>NatureGreen</w:t>
      </w:r>
      <w:proofErr w:type="spellEnd"/>
      <w:r w:rsidRPr="002F1AC8">
        <w:rPr>
          <w:rFonts w:ascii="Calibri" w:hAnsi="Calibri" w:cs="Calibri"/>
          <w:sz w:val="24"/>
          <w:szCs w:val="24"/>
        </w:rPr>
        <w:t>, we must move from a fragmented approach to a formal Security Management Model. In academic literature (IEEE/ACM), this is often referred to as an Information Security Management System (ISMS).</w:t>
      </w:r>
    </w:p>
    <w:p w14:paraId="6570EF58" w14:textId="73DB76FE" w:rsidR="002F1AC8" w:rsidRPr="002F1AC8" w:rsidRDefault="002F1AC8" w:rsidP="002F1AC8">
      <w:pPr>
        <w:pStyle w:val="Heading3"/>
      </w:pPr>
      <w:bookmarkStart w:id="17" w:name="_Toc218759963"/>
      <w:r>
        <w:t>4.6.</w:t>
      </w:r>
      <w:r w:rsidRPr="002F1AC8">
        <w:t>1. Integrated Management Models (The Hybrid Approach)</w:t>
      </w:r>
      <w:bookmarkEnd w:id="17"/>
    </w:p>
    <w:p w14:paraId="389AEC65" w14:textId="138086BF" w:rsidR="002F1AC8" w:rsidRPr="002F1AC8" w:rsidRDefault="002F1AC8" w:rsidP="002F1AC8">
      <w:pPr>
        <w:rPr>
          <w:rFonts w:ascii="Calibri" w:hAnsi="Calibri" w:cs="Calibri"/>
          <w:sz w:val="24"/>
          <w:szCs w:val="24"/>
        </w:rPr>
      </w:pPr>
      <w:r w:rsidRPr="002F1AC8">
        <w:rPr>
          <w:rFonts w:ascii="Calibri" w:hAnsi="Calibri" w:cs="Calibri"/>
          <w:sz w:val="24"/>
          <w:szCs w:val="24"/>
        </w:rPr>
        <w:t xml:space="preserve">Since </w:t>
      </w:r>
      <w:proofErr w:type="spellStart"/>
      <w:r w:rsidRPr="002F1AC8">
        <w:rPr>
          <w:rFonts w:ascii="Calibri" w:hAnsi="Calibri" w:cs="Calibri"/>
          <w:sz w:val="24"/>
          <w:szCs w:val="24"/>
        </w:rPr>
        <w:t>NatureGreen</w:t>
      </w:r>
      <w:proofErr w:type="spellEnd"/>
      <w:r>
        <w:rPr>
          <w:rFonts w:ascii="Calibri" w:hAnsi="Calibri" w:cs="Calibri"/>
          <w:sz w:val="24"/>
          <w:szCs w:val="24"/>
        </w:rPr>
        <w:t xml:space="preserve"> </w:t>
      </w:r>
      <w:r w:rsidRPr="002F1AC8">
        <w:rPr>
          <w:rFonts w:ascii="Calibri" w:hAnsi="Calibri" w:cs="Calibri"/>
          <w:sz w:val="24"/>
          <w:szCs w:val="24"/>
        </w:rPr>
        <w:t>has billion-dollar IP but is currently in disarray, academic research suggests that no single model is sufficient. A hybrid</w:t>
      </w:r>
      <w:r w:rsidRPr="002F1AC8">
        <w:rPr>
          <w:rFonts w:ascii="Calibri" w:hAnsi="Calibri" w:cs="Calibri"/>
          <w:b/>
          <w:bCs/>
          <w:sz w:val="24"/>
          <w:szCs w:val="24"/>
        </w:rPr>
        <w:t xml:space="preserve"> </w:t>
      </w:r>
      <w:r w:rsidRPr="002F1AC8">
        <w:rPr>
          <w:rFonts w:ascii="Calibri" w:hAnsi="Calibri" w:cs="Calibri"/>
          <w:sz w:val="24"/>
          <w:szCs w:val="24"/>
        </w:rPr>
        <w:t>approach is the industry standard for multinational corporations.</w:t>
      </w:r>
    </w:p>
    <w:p w14:paraId="2A6BA7F9" w14:textId="558B8113" w:rsidR="002F1AC8" w:rsidRPr="002F1AC8" w:rsidRDefault="002F1AC8" w:rsidP="002F1AC8">
      <w:pPr>
        <w:numPr>
          <w:ilvl w:val="0"/>
          <w:numId w:val="8"/>
        </w:numPr>
        <w:rPr>
          <w:rFonts w:ascii="Calibri" w:hAnsi="Calibri" w:cs="Calibri"/>
          <w:sz w:val="24"/>
          <w:szCs w:val="24"/>
        </w:rPr>
      </w:pPr>
      <w:r w:rsidRPr="002F1AC8">
        <w:rPr>
          <w:rFonts w:ascii="Calibri" w:hAnsi="Calibri" w:cs="Calibri"/>
          <w:b/>
          <w:bCs/>
          <w:sz w:val="24"/>
          <w:szCs w:val="24"/>
        </w:rPr>
        <w:t>ISO/IEC 27001 (The Standard):</w:t>
      </w:r>
      <w:r w:rsidRPr="002F1AC8">
        <w:rPr>
          <w:rFonts w:ascii="Calibri" w:hAnsi="Calibri" w:cs="Calibri"/>
          <w:sz w:val="24"/>
          <w:szCs w:val="24"/>
        </w:rPr>
        <w:t xml:space="preserve"> This is the most cited model for establishing an ISMS. It provides a top-down management structure using the </w:t>
      </w:r>
      <w:r w:rsidRPr="002F1AC8">
        <w:rPr>
          <w:rFonts w:ascii="Calibri" w:hAnsi="Calibri" w:cs="Calibri"/>
          <w:b/>
          <w:bCs/>
          <w:sz w:val="24"/>
          <w:szCs w:val="24"/>
        </w:rPr>
        <w:t>PDCA (Plan-Do-Check-Act)</w:t>
      </w:r>
      <w:r w:rsidRPr="002F1AC8">
        <w:rPr>
          <w:rFonts w:ascii="Calibri" w:hAnsi="Calibri" w:cs="Calibri"/>
          <w:sz w:val="24"/>
          <w:szCs w:val="24"/>
        </w:rPr>
        <w:t xml:space="preserve"> cycle. It is essential for </w:t>
      </w:r>
      <w:proofErr w:type="spellStart"/>
      <w:r w:rsidR="00074AA4" w:rsidRPr="00074AA4">
        <w:rPr>
          <w:rFonts w:ascii="Calibri" w:hAnsi="Calibri" w:cs="Calibri"/>
          <w:sz w:val="24"/>
          <w:szCs w:val="24"/>
        </w:rPr>
        <w:t>NatureGreen</w:t>
      </w:r>
      <w:proofErr w:type="spellEnd"/>
      <w:r w:rsidRPr="002F1AC8">
        <w:rPr>
          <w:rFonts w:ascii="Calibri" w:hAnsi="Calibri" w:cs="Calibri"/>
          <w:sz w:val="24"/>
          <w:szCs w:val="24"/>
        </w:rPr>
        <w:t xml:space="preserve"> to demonstrate "compliance-ready" security to its international customers [</w:t>
      </w:r>
      <w:r>
        <w:rPr>
          <w:rFonts w:ascii="Calibri" w:hAnsi="Calibri" w:cs="Calibri"/>
          <w:sz w:val="24"/>
          <w:szCs w:val="24"/>
        </w:rPr>
        <w:t>16</w:t>
      </w:r>
      <w:r w:rsidRPr="002F1AC8">
        <w:rPr>
          <w:rFonts w:ascii="Calibri" w:hAnsi="Calibri" w:cs="Calibri"/>
          <w:sz w:val="24"/>
          <w:szCs w:val="24"/>
        </w:rPr>
        <w:t>].</w:t>
      </w:r>
    </w:p>
    <w:p w14:paraId="7F17C7A8" w14:textId="7E4B90ED" w:rsidR="002F1AC8" w:rsidRPr="002F1AC8" w:rsidRDefault="002F1AC8" w:rsidP="002F1AC8">
      <w:pPr>
        <w:numPr>
          <w:ilvl w:val="0"/>
          <w:numId w:val="8"/>
        </w:numPr>
        <w:rPr>
          <w:rFonts w:ascii="Calibri" w:hAnsi="Calibri" w:cs="Calibri"/>
          <w:sz w:val="24"/>
          <w:szCs w:val="24"/>
        </w:rPr>
      </w:pPr>
      <w:r w:rsidRPr="002F1AC8">
        <w:rPr>
          <w:rFonts w:ascii="Calibri" w:hAnsi="Calibri" w:cs="Calibri"/>
          <w:b/>
          <w:bCs/>
          <w:sz w:val="24"/>
          <w:szCs w:val="24"/>
        </w:rPr>
        <w:t>NIST Cybersecurity Framework (The Guide):</w:t>
      </w:r>
      <w:r w:rsidRPr="002F1AC8">
        <w:rPr>
          <w:rFonts w:ascii="Calibri" w:hAnsi="Calibri" w:cs="Calibri"/>
          <w:sz w:val="24"/>
          <w:szCs w:val="24"/>
        </w:rPr>
        <w:t xml:space="preserve"> While ISO 27001 is for certification, the </w:t>
      </w:r>
      <w:r w:rsidRPr="002F1AC8">
        <w:rPr>
          <w:rFonts w:ascii="Calibri" w:hAnsi="Calibri" w:cs="Calibri"/>
          <w:b/>
          <w:bCs/>
          <w:sz w:val="24"/>
          <w:szCs w:val="24"/>
        </w:rPr>
        <w:t>NIST CSF</w:t>
      </w:r>
      <w:r w:rsidRPr="002F1AC8">
        <w:rPr>
          <w:rFonts w:ascii="Calibri" w:hAnsi="Calibri" w:cs="Calibri"/>
          <w:sz w:val="24"/>
          <w:szCs w:val="24"/>
        </w:rPr>
        <w:t xml:space="preserve"> is more technical and prescriptive. It helps </w:t>
      </w:r>
      <w:proofErr w:type="spellStart"/>
      <w:r w:rsidR="00074AA4" w:rsidRPr="00074AA4">
        <w:rPr>
          <w:rFonts w:ascii="Calibri" w:hAnsi="Calibri" w:cs="Calibri"/>
          <w:sz w:val="24"/>
          <w:szCs w:val="24"/>
        </w:rPr>
        <w:t>NatureGreen</w:t>
      </w:r>
      <w:proofErr w:type="spellEnd"/>
      <w:r w:rsidRPr="002F1AC8">
        <w:rPr>
          <w:rFonts w:ascii="Calibri" w:hAnsi="Calibri" w:cs="Calibri"/>
          <w:sz w:val="24"/>
          <w:szCs w:val="24"/>
        </w:rPr>
        <w:t xml:space="preserve"> organize its security activities into five functions: </w:t>
      </w:r>
      <w:r w:rsidRPr="002F1AC8">
        <w:rPr>
          <w:rFonts w:ascii="Calibri" w:hAnsi="Calibri" w:cs="Calibri"/>
          <w:i/>
          <w:iCs/>
          <w:sz w:val="24"/>
          <w:szCs w:val="24"/>
        </w:rPr>
        <w:t>Identify, Protect, Detect, Respond, and Recover</w:t>
      </w:r>
      <w:r w:rsidRPr="002F1AC8">
        <w:rPr>
          <w:rFonts w:ascii="Calibri" w:hAnsi="Calibri" w:cs="Calibri"/>
          <w:sz w:val="24"/>
          <w:szCs w:val="24"/>
        </w:rPr>
        <w:t xml:space="preserve"> [</w:t>
      </w:r>
      <w:r>
        <w:rPr>
          <w:rFonts w:ascii="Calibri" w:hAnsi="Calibri" w:cs="Calibri"/>
          <w:sz w:val="24"/>
          <w:szCs w:val="24"/>
        </w:rPr>
        <w:t>16</w:t>
      </w:r>
      <w:r w:rsidRPr="002F1AC8">
        <w:rPr>
          <w:rFonts w:ascii="Calibri" w:hAnsi="Calibri" w:cs="Calibri"/>
          <w:sz w:val="24"/>
          <w:szCs w:val="24"/>
        </w:rPr>
        <w:t>].</w:t>
      </w:r>
    </w:p>
    <w:p w14:paraId="4E536DD1" w14:textId="16CA9A9D" w:rsidR="002F1AC8" w:rsidRPr="002F1AC8" w:rsidRDefault="002F1AC8" w:rsidP="002F1AC8">
      <w:pPr>
        <w:numPr>
          <w:ilvl w:val="0"/>
          <w:numId w:val="8"/>
        </w:numPr>
        <w:rPr>
          <w:rFonts w:ascii="Calibri" w:hAnsi="Calibri" w:cs="Calibri"/>
          <w:sz w:val="24"/>
          <w:szCs w:val="24"/>
        </w:rPr>
      </w:pPr>
      <w:r w:rsidRPr="002F1AC8">
        <w:rPr>
          <w:rFonts w:ascii="Calibri" w:hAnsi="Calibri" w:cs="Calibri"/>
          <w:b/>
          <w:bCs/>
          <w:sz w:val="24"/>
          <w:szCs w:val="24"/>
        </w:rPr>
        <w:t>Zero Trust Architecture (ZTA):</w:t>
      </w:r>
      <w:r w:rsidRPr="002F1AC8">
        <w:rPr>
          <w:rFonts w:ascii="Calibri" w:hAnsi="Calibri" w:cs="Calibri"/>
          <w:sz w:val="24"/>
          <w:szCs w:val="24"/>
        </w:rPr>
        <w:t xml:space="preserve"> In a 95% wireless environment, the traditional "perimeter" is dead. ZTA is the modern management model that assumes the network is already compromised. It enforces </w:t>
      </w:r>
      <w:r w:rsidRPr="002F1AC8">
        <w:rPr>
          <w:rFonts w:ascii="Calibri" w:hAnsi="Calibri" w:cs="Calibri"/>
          <w:b/>
          <w:bCs/>
          <w:sz w:val="24"/>
          <w:szCs w:val="24"/>
        </w:rPr>
        <w:t>continuous verification</w:t>
      </w:r>
      <w:r w:rsidRPr="002F1AC8">
        <w:rPr>
          <w:rFonts w:ascii="Calibri" w:hAnsi="Calibri" w:cs="Calibri"/>
          <w:sz w:val="24"/>
          <w:szCs w:val="24"/>
        </w:rPr>
        <w:t xml:space="preserve"> of every user and device (IEEE 802.11 standards) before granting access to IP [</w:t>
      </w:r>
      <w:r>
        <w:rPr>
          <w:rFonts w:ascii="Calibri" w:hAnsi="Calibri" w:cs="Calibri"/>
          <w:sz w:val="24"/>
          <w:szCs w:val="24"/>
        </w:rPr>
        <w:t>17</w:t>
      </w:r>
      <w:r w:rsidRPr="002F1AC8">
        <w:rPr>
          <w:rFonts w:ascii="Calibri" w:hAnsi="Calibri" w:cs="Calibri"/>
          <w:sz w:val="24"/>
          <w:szCs w:val="24"/>
        </w:rPr>
        <w:t>].</w:t>
      </w:r>
    </w:p>
    <w:p w14:paraId="5F83B257" w14:textId="18A1B4E5" w:rsidR="00A074DC" w:rsidRDefault="00A074DC" w:rsidP="00A074DC">
      <w:pPr>
        <w:pStyle w:val="Heading3"/>
      </w:pPr>
      <w:bookmarkStart w:id="18" w:name="_Toc218759964"/>
      <w:r>
        <w:t>4.6.2. Strategic Management Practices</w:t>
      </w:r>
      <w:bookmarkEnd w:id="18"/>
    </w:p>
    <w:p w14:paraId="5A5D8ABF" w14:textId="77777777" w:rsidR="00A074DC" w:rsidRDefault="00A074DC" w:rsidP="00A074DC">
      <w:pPr>
        <w:pStyle w:val="NormalWeb"/>
        <w:rPr>
          <w:rFonts w:ascii="Calibri" w:hAnsi="Calibri" w:cs="Calibri"/>
        </w:rPr>
      </w:pPr>
      <w:r w:rsidRPr="00A074DC">
        <w:rPr>
          <w:rFonts w:ascii="Calibri" w:hAnsi="Calibri" w:cs="Calibri"/>
        </w:rPr>
        <w:t xml:space="preserve">To protect its IP, </w:t>
      </w:r>
      <w:proofErr w:type="spellStart"/>
      <w:r w:rsidRPr="00A074DC">
        <w:rPr>
          <w:rFonts w:ascii="Calibri" w:hAnsi="Calibri" w:cs="Calibri"/>
        </w:rPr>
        <w:t>NatureGreen</w:t>
      </w:r>
      <w:proofErr w:type="spellEnd"/>
      <w:r w:rsidRPr="00A074DC">
        <w:rPr>
          <w:rFonts w:ascii="Calibri" w:hAnsi="Calibri" w:cs="Calibri"/>
        </w:rPr>
        <w:t xml:space="preserve"> should adopt these specific management practices identified in scholarly literature:</w:t>
      </w:r>
    </w:p>
    <w:p w14:paraId="1ED133A1" w14:textId="76106394" w:rsidR="00A074DC" w:rsidRDefault="00A23DD7" w:rsidP="00A23DD7">
      <w:pPr>
        <w:pStyle w:val="NormalWeb"/>
        <w:jc w:val="center"/>
        <w:rPr>
          <w:rFonts w:ascii="Calibri" w:hAnsi="Calibri" w:cs="Calibri"/>
        </w:rPr>
      </w:pPr>
      <w:r>
        <w:rPr>
          <w:rFonts w:ascii="Calibri" w:hAnsi="Calibri" w:cs="Calibri"/>
          <w:noProof/>
        </w:rPr>
        <w:lastRenderedPageBreak/>
        <w:drawing>
          <wp:inline distT="0" distB="0" distL="0" distR="0" wp14:anchorId="6DC9226B" wp14:editId="3CFB7B88">
            <wp:extent cx="5731510" cy="3531235"/>
            <wp:effectExtent l="0" t="0" r="2540" b="0"/>
            <wp:docPr id="7512474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247489" name="Picture 751247489"/>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531235"/>
                    </a:xfrm>
                    <a:prstGeom prst="rect">
                      <a:avLst/>
                    </a:prstGeom>
                  </pic:spPr>
                </pic:pic>
              </a:graphicData>
            </a:graphic>
          </wp:inline>
        </w:drawing>
      </w:r>
    </w:p>
    <w:p w14:paraId="1B31FA28" w14:textId="681E45D0" w:rsidR="00A074DC" w:rsidRDefault="00A23DD7" w:rsidP="00A23DD7">
      <w:pPr>
        <w:pStyle w:val="NormalWeb"/>
        <w:jc w:val="center"/>
        <w:rPr>
          <w:rFonts w:ascii="Calibri" w:hAnsi="Calibri" w:cs="Calibri"/>
        </w:rPr>
      </w:pPr>
      <w:r>
        <w:rPr>
          <w:rFonts w:ascii="Calibri" w:hAnsi="Calibri" w:cs="Calibri"/>
        </w:rPr>
        <w:t xml:space="preserve">Figure </w:t>
      </w:r>
      <w:r w:rsidR="008842CA">
        <w:rPr>
          <w:rFonts w:ascii="Calibri" w:hAnsi="Calibri" w:cs="Calibri"/>
        </w:rPr>
        <w:t>3</w:t>
      </w:r>
      <w:r>
        <w:rPr>
          <w:rFonts w:ascii="Calibri" w:hAnsi="Calibri" w:cs="Calibri"/>
        </w:rPr>
        <w:t xml:space="preserve">. </w:t>
      </w:r>
      <w:r w:rsidRPr="00A23DD7">
        <w:rPr>
          <w:rFonts w:ascii="Calibri" w:hAnsi="Calibri" w:cs="Calibri"/>
        </w:rPr>
        <w:t>Strategic Framework for Asset Identification and Access Control</w:t>
      </w:r>
      <w:r w:rsidR="00A23239">
        <w:rPr>
          <w:rFonts w:ascii="Calibri" w:hAnsi="Calibri" w:cs="Calibri"/>
        </w:rPr>
        <w:t>.</w:t>
      </w:r>
    </w:p>
    <w:p w14:paraId="5C8459B0" w14:textId="67015369" w:rsidR="00E81EB9" w:rsidRDefault="00E81EB9" w:rsidP="00E81EB9">
      <w:pPr>
        <w:pStyle w:val="Heading3"/>
      </w:pPr>
      <w:bookmarkStart w:id="19" w:name="_Toc218759965"/>
      <w:r>
        <w:t xml:space="preserve">4.6.3. </w:t>
      </w:r>
      <w:r w:rsidRPr="00E81EB9">
        <w:t>Protection Motivation Theory (PMT)</w:t>
      </w:r>
      <w:bookmarkEnd w:id="19"/>
    </w:p>
    <w:p w14:paraId="4149FA3E" w14:textId="310DC7C2" w:rsidR="00E81EB9" w:rsidRPr="00E81EB9" w:rsidRDefault="00E81EB9" w:rsidP="00E81EB9">
      <w:pPr>
        <w:pStyle w:val="NormalWeb"/>
        <w:jc w:val="both"/>
        <w:rPr>
          <w:rFonts w:ascii="Calibri" w:hAnsi="Calibri" w:cs="Calibri"/>
        </w:rPr>
      </w:pPr>
      <w:r w:rsidRPr="00E81EB9">
        <w:rPr>
          <w:rFonts w:ascii="Calibri" w:hAnsi="Calibri" w:cs="Calibri"/>
        </w:rPr>
        <w:t xml:space="preserve">A key practice in security management is addressing the </w:t>
      </w:r>
      <w:r w:rsidRPr="00E81EB9">
        <w:rPr>
          <w:rFonts w:ascii="Calibri" w:hAnsi="Calibri" w:cs="Calibri"/>
          <w:b/>
          <w:bCs/>
        </w:rPr>
        <w:t>human element</w:t>
      </w:r>
      <w:r w:rsidRPr="00E81EB9">
        <w:rPr>
          <w:rFonts w:ascii="Calibri" w:hAnsi="Calibri" w:cs="Calibri"/>
        </w:rPr>
        <w:t xml:space="preserve">. Scholarly articles in </w:t>
      </w:r>
      <w:r w:rsidRPr="00E81EB9">
        <w:rPr>
          <w:rFonts w:ascii="Calibri" w:hAnsi="Calibri" w:cs="Calibri"/>
          <w:i/>
          <w:iCs/>
        </w:rPr>
        <w:t>Information Security Journal</w:t>
      </w:r>
      <w:r w:rsidRPr="00E81EB9">
        <w:rPr>
          <w:rFonts w:ascii="Calibri" w:hAnsi="Calibri" w:cs="Calibri"/>
        </w:rPr>
        <w:t xml:space="preserve"> often apply </w:t>
      </w:r>
      <w:r w:rsidRPr="00E81EB9">
        <w:rPr>
          <w:rFonts w:ascii="Calibri" w:hAnsi="Calibri" w:cs="Calibri"/>
          <w:b/>
          <w:bCs/>
        </w:rPr>
        <w:t>Protection Motivation Theory (PMT)</w:t>
      </w:r>
      <w:r w:rsidRPr="00E81EB9">
        <w:rPr>
          <w:rFonts w:ascii="Calibri" w:hAnsi="Calibri" w:cs="Calibri"/>
        </w:rPr>
        <w:t xml:space="preserve"> to explain why employees follow (or ignore) security policies [</w:t>
      </w:r>
      <w:r>
        <w:rPr>
          <w:rFonts w:ascii="Calibri" w:hAnsi="Calibri" w:cs="Calibri"/>
        </w:rPr>
        <w:t>18</w:t>
      </w:r>
      <w:r w:rsidRPr="00E81EB9">
        <w:rPr>
          <w:rFonts w:ascii="Calibri" w:hAnsi="Calibri" w:cs="Calibri"/>
        </w:rPr>
        <w:t>].</w:t>
      </w:r>
    </w:p>
    <w:p w14:paraId="4E12019A" w14:textId="39E5F71F" w:rsidR="00E81EB9" w:rsidRPr="00E81EB9" w:rsidRDefault="00E81EB9" w:rsidP="00E81EB9">
      <w:pPr>
        <w:pStyle w:val="NormalWeb"/>
        <w:numPr>
          <w:ilvl w:val="0"/>
          <w:numId w:val="9"/>
        </w:numPr>
        <w:jc w:val="both"/>
        <w:rPr>
          <w:rFonts w:ascii="Calibri" w:hAnsi="Calibri" w:cs="Calibri"/>
        </w:rPr>
      </w:pPr>
      <w:r w:rsidRPr="00E81EB9">
        <w:rPr>
          <w:rFonts w:ascii="Calibri" w:hAnsi="Calibri" w:cs="Calibri"/>
          <w:b/>
          <w:bCs/>
        </w:rPr>
        <w:t>Threat Appraisal:</w:t>
      </w:r>
      <w:r w:rsidRPr="00E81EB9">
        <w:rPr>
          <w:rFonts w:ascii="Calibri" w:hAnsi="Calibri" w:cs="Calibri"/>
        </w:rPr>
        <w:t xml:space="preserve"> </w:t>
      </w:r>
      <w:proofErr w:type="spellStart"/>
      <w:r w:rsidR="00074AA4" w:rsidRPr="00074AA4">
        <w:rPr>
          <w:rFonts w:ascii="Calibri" w:hAnsi="Calibri" w:cs="Calibri"/>
        </w:rPr>
        <w:t>NatureGreen</w:t>
      </w:r>
      <w:proofErr w:type="spellEnd"/>
      <w:r w:rsidRPr="00E81EB9">
        <w:rPr>
          <w:rFonts w:ascii="Calibri" w:hAnsi="Calibri" w:cs="Calibri"/>
        </w:rPr>
        <w:t xml:space="preserve"> must communicate the real danger of IP theft to staff.</w:t>
      </w:r>
    </w:p>
    <w:p w14:paraId="23D44C0F" w14:textId="72D1C3DE" w:rsidR="00E81EB9" w:rsidRDefault="00E81EB9" w:rsidP="00E81EB9">
      <w:pPr>
        <w:pStyle w:val="NormalWeb"/>
        <w:numPr>
          <w:ilvl w:val="0"/>
          <w:numId w:val="9"/>
        </w:numPr>
        <w:jc w:val="both"/>
        <w:rPr>
          <w:rFonts w:ascii="Calibri" w:hAnsi="Calibri" w:cs="Calibri"/>
        </w:rPr>
      </w:pPr>
      <w:r w:rsidRPr="00E81EB9">
        <w:rPr>
          <w:rFonts w:ascii="Calibri" w:hAnsi="Calibri" w:cs="Calibri"/>
          <w:b/>
          <w:bCs/>
        </w:rPr>
        <w:t>Coping Appraisal:</w:t>
      </w:r>
      <w:r w:rsidRPr="00E81EB9">
        <w:rPr>
          <w:rFonts w:ascii="Calibri" w:hAnsi="Calibri" w:cs="Calibri"/>
        </w:rPr>
        <w:t xml:space="preserve"> </w:t>
      </w:r>
      <w:proofErr w:type="spellStart"/>
      <w:r w:rsidR="00074AA4" w:rsidRPr="00074AA4">
        <w:rPr>
          <w:rFonts w:ascii="Calibri" w:hAnsi="Calibri" w:cs="Calibri"/>
        </w:rPr>
        <w:t>NatureGreen</w:t>
      </w:r>
      <w:proofErr w:type="spellEnd"/>
      <w:r w:rsidRPr="00E81EB9">
        <w:rPr>
          <w:rFonts w:ascii="Calibri" w:hAnsi="Calibri" w:cs="Calibri"/>
        </w:rPr>
        <w:t xml:space="preserve"> must ensure that the security tools provided (like VPNs or MDM) are easy to use, so staff don't bypass them for the sake of productivity.</w:t>
      </w:r>
    </w:p>
    <w:p w14:paraId="75E07258" w14:textId="1CD20B46" w:rsidR="00E81EB9" w:rsidRDefault="00E81EB9" w:rsidP="00E81EB9">
      <w:pPr>
        <w:pStyle w:val="Heading3"/>
      </w:pPr>
      <w:bookmarkStart w:id="20" w:name="_Toc218759966"/>
      <w:r>
        <w:t xml:space="preserve">4.6.4. </w:t>
      </w:r>
      <w:r w:rsidRPr="00E81EB9">
        <w:t>Protection Mechanisms</w:t>
      </w:r>
      <w:bookmarkEnd w:id="20"/>
    </w:p>
    <w:p w14:paraId="352903AC" w14:textId="450EB969" w:rsidR="00E81EB9" w:rsidRPr="00E81EB9" w:rsidRDefault="00E81EB9" w:rsidP="00E81EB9">
      <w:pPr>
        <w:pStyle w:val="NormalWeb"/>
        <w:ind w:left="720"/>
        <w:rPr>
          <w:rFonts w:ascii="Calibri" w:hAnsi="Calibri" w:cs="Calibri"/>
        </w:rPr>
      </w:pPr>
      <w:r w:rsidRPr="00E81EB9">
        <w:rPr>
          <w:rFonts w:ascii="Calibri" w:hAnsi="Calibri" w:cs="Calibri"/>
        </w:rPr>
        <w:t xml:space="preserve">To protect </w:t>
      </w:r>
      <w:proofErr w:type="spellStart"/>
      <w:r w:rsidRPr="00E81EB9">
        <w:rPr>
          <w:rFonts w:ascii="Calibri" w:hAnsi="Calibri" w:cs="Calibri"/>
        </w:rPr>
        <w:t>NatureGreen's</w:t>
      </w:r>
      <w:proofErr w:type="spellEnd"/>
      <w:r w:rsidRPr="00E81EB9">
        <w:rPr>
          <w:rFonts w:ascii="Calibri" w:hAnsi="Calibri" w:cs="Calibri"/>
        </w:rPr>
        <w:t xml:space="preserve"> billion-dollar intellectual property (IP) and resolve its state of "disarray," specific </w:t>
      </w:r>
      <w:r w:rsidRPr="00E81EB9">
        <w:rPr>
          <w:rFonts w:ascii="Calibri" w:hAnsi="Calibri" w:cs="Calibri"/>
          <w:b/>
          <w:bCs/>
        </w:rPr>
        <w:t>Protection Mechanisms</w:t>
      </w:r>
      <w:r w:rsidRPr="00E81EB9">
        <w:rPr>
          <w:rFonts w:ascii="Calibri" w:hAnsi="Calibri" w:cs="Calibri"/>
        </w:rPr>
        <w:t xml:space="preserve"> must be deployed. These are the technical safeguards that enforce the policies and management models discussed previously.</w:t>
      </w:r>
    </w:p>
    <w:p w14:paraId="017EAF63" w14:textId="77777777" w:rsidR="00E81EB9" w:rsidRPr="00E81EB9" w:rsidRDefault="00E81EB9" w:rsidP="00E81EB9">
      <w:pPr>
        <w:pStyle w:val="NormalWeb"/>
        <w:ind w:left="720"/>
        <w:rPr>
          <w:rFonts w:ascii="Calibri" w:hAnsi="Calibri" w:cs="Calibri"/>
        </w:rPr>
      </w:pPr>
      <w:r w:rsidRPr="00E81EB9">
        <w:rPr>
          <w:rFonts w:ascii="Calibri" w:hAnsi="Calibri" w:cs="Calibri"/>
        </w:rPr>
        <w:t xml:space="preserve">The following mechanisms are recommended based on </w:t>
      </w:r>
      <w:r w:rsidRPr="00E81EB9">
        <w:rPr>
          <w:rFonts w:ascii="Calibri" w:hAnsi="Calibri" w:cs="Calibri"/>
          <w:b/>
          <w:bCs/>
        </w:rPr>
        <w:t>IEEE 802.11</w:t>
      </w:r>
      <w:r w:rsidRPr="00E81EB9">
        <w:rPr>
          <w:rFonts w:ascii="Calibri" w:hAnsi="Calibri" w:cs="Calibri"/>
        </w:rPr>
        <w:t xml:space="preserve"> standards and peer-reviewed research from </w:t>
      </w:r>
      <w:r w:rsidRPr="00E81EB9">
        <w:rPr>
          <w:rFonts w:ascii="Calibri" w:hAnsi="Calibri" w:cs="Calibri"/>
          <w:b/>
          <w:bCs/>
        </w:rPr>
        <w:t>ACM</w:t>
      </w:r>
      <w:r w:rsidRPr="00E81EB9">
        <w:rPr>
          <w:rFonts w:ascii="Calibri" w:hAnsi="Calibri" w:cs="Calibri"/>
        </w:rPr>
        <w:t xml:space="preserve"> and </w:t>
      </w:r>
      <w:r w:rsidRPr="00E81EB9">
        <w:rPr>
          <w:rFonts w:ascii="Calibri" w:hAnsi="Calibri" w:cs="Calibri"/>
          <w:b/>
          <w:bCs/>
        </w:rPr>
        <w:t>ScienceDirect</w:t>
      </w:r>
      <w:r w:rsidRPr="00E81EB9">
        <w:rPr>
          <w:rFonts w:ascii="Calibri" w:hAnsi="Calibri" w:cs="Calibri"/>
        </w:rPr>
        <w:t>.</w:t>
      </w:r>
    </w:p>
    <w:p w14:paraId="4C6FEBA2" w14:textId="7CE6B6A1" w:rsidR="00E81EB9" w:rsidRPr="00E81EB9" w:rsidRDefault="00E81EB9" w:rsidP="00E81EB9">
      <w:pPr>
        <w:pStyle w:val="Heading4"/>
        <w:jc w:val="both"/>
      </w:pPr>
      <w:bookmarkStart w:id="21" w:name="_Toc218759967"/>
      <w:r>
        <w:t>4.6.4.</w:t>
      </w:r>
      <w:r w:rsidRPr="00E81EB9">
        <w:t>1. Network Protection: Securing the Wireless Perimeter</w:t>
      </w:r>
      <w:bookmarkEnd w:id="21"/>
    </w:p>
    <w:p w14:paraId="7CAF7E57" w14:textId="3985C83A" w:rsidR="00E81EB9" w:rsidRPr="00E81EB9" w:rsidRDefault="00E81EB9" w:rsidP="00E81EB9">
      <w:pPr>
        <w:pStyle w:val="NormalWeb"/>
        <w:ind w:left="720"/>
        <w:jc w:val="both"/>
        <w:rPr>
          <w:rFonts w:ascii="Calibri" w:hAnsi="Calibri" w:cs="Calibri"/>
        </w:rPr>
      </w:pPr>
      <w:r w:rsidRPr="00E81EB9">
        <w:rPr>
          <w:rFonts w:ascii="Calibri" w:hAnsi="Calibri" w:cs="Calibri"/>
        </w:rPr>
        <w:t xml:space="preserve">With 95% of the network being wireless, </w:t>
      </w:r>
      <w:proofErr w:type="spellStart"/>
      <w:r w:rsidR="00074AA4" w:rsidRPr="00074AA4">
        <w:rPr>
          <w:rFonts w:ascii="Calibri" w:hAnsi="Calibri" w:cs="Calibri"/>
        </w:rPr>
        <w:t>NatureGreen</w:t>
      </w:r>
      <w:proofErr w:type="spellEnd"/>
      <w:r w:rsidRPr="00E81EB9">
        <w:rPr>
          <w:rFonts w:ascii="Calibri" w:hAnsi="Calibri" w:cs="Calibri"/>
        </w:rPr>
        <w:t xml:space="preserve"> must move beyond basic encryption to enterprise-grade security.</w:t>
      </w:r>
    </w:p>
    <w:p w14:paraId="738EBD4C" w14:textId="64A4109A" w:rsidR="00E81EB9" w:rsidRPr="00E81EB9" w:rsidRDefault="00E81EB9" w:rsidP="00E81EB9">
      <w:pPr>
        <w:pStyle w:val="NormalWeb"/>
        <w:numPr>
          <w:ilvl w:val="0"/>
          <w:numId w:val="10"/>
        </w:numPr>
        <w:jc w:val="both"/>
        <w:rPr>
          <w:rFonts w:ascii="Calibri" w:hAnsi="Calibri" w:cs="Calibri"/>
        </w:rPr>
      </w:pPr>
      <w:r w:rsidRPr="00E81EB9">
        <w:rPr>
          <w:rFonts w:ascii="Calibri" w:hAnsi="Calibri" w:cs="Calibri"/>
          <w:b/>
          <w:bCs/>
        </w:rPr>
        <w:t>IEEE 802.1X (The Gold Standard):</w:t>
      </w:r>
      <w:r w:rsidRPr="00E81EB9">
        <w:rPr>
          <w:rFonts w:ascii="Calibri" w:hAnsi="Calibri" w:cs="Calibri"/>
        </w:rPr>
        <w:t xml:space="preserve"> Scholarly research identifies </w:t>
      </w:r>
      <w:r w:rsidRPr="00E81EB9">
        <w:rPr>
          <w:rFonts w:ascii="Calibri" w:hAnsi="Calibri" w:cs="Calibri"/>
          <w:b/>
          <w:bCs/>
        </w:rPr>
        <w:t>802.1X</w:t>
      </w:r>
      <w:r w:rsidRPr="00E81EB9">
        <w:rPr>
          <w:rFonts w:ascii="Calibri" w:hAnsi="Calibri" w:cs="Calibri"/>
        </w:rPr>
        <w:t xml:space="preserve"> as the primary </w:t>
      </w:r>
      <w:proofErr w:type="spellStart"/>
      <w:r w:rsidRPr="00E81EB9">
        <w:rPr>
          <w:rFonts w:ascii="Calibri" w:hAnsi="Calibri" w:cs="Calibri"/>
        </w:rPr>
        <w:t>defense</w:t>
      </w:r>
      <w:proofErr w:type="spellEnd"/>
      <w:r w:rsidRPr="00E81EB9">
        <w:rPr>
          <w:rFonts w:ascii="Calibri" w:hAnsi="Calibri" w:cs="Calibri"/>
        </w:rPr>
        <w:t xml:space="preserve"> against unauthorized access. It uses a </w:t>
      </w:r>
      <w:r w:rsidRPr="00E81EB9">
        <w:rPr>
          <w:rFonts w:ascii="Calibri" w:hAnsi="Calibri" w:cs="Calibri"/>
          <w:b/>
          <w:bCs/>
        </w:rPr>
        <w:t>RADIUS server</w:t>
      </w:r>
      <w:r w:rsidRPr="00E81EB9">
        <w:rPr>
          <w:rFonts w:ascii="Calibri" w:hAnsi="Calibri" w:cs="Calibri"/>
        </w:rPr>
        <w:t xml:space="preserve"> to authenticate each </w:t>
      </w:r>
      <w:r w:rsidRPr="00E81EB9">
        <w:rPr>
          <w:rFonts w:ascii="Calibri" w:hAnsi="Calibri" w:cs="Calibri"/>
        </w:rPr>
        <w:lastRenderedPageBreak/>
        <w:t>device individually. This prevents a single compromised password from endangering the entire network [</w:t>
      </w:r>
      <w:r w:rsidR="00AC1D08">
        <w:rPr>
          <w:rFonts w:ascii="Calibri" w:hAnsi="Calibri" w:cs="Calibri"/>
        </w:rPr>
        <w:t>17</w:t>
      </w:r>
      <w:r w:rsidRPr="00E81EB9">
        <w:rPr>
          <w:rFonts w:ascii="Calibri" w:hAnsi="Calibri" w:cs="Calibri"/>
        </w:rPr>
        <w:t>].</w:t>
      </w:r>
    </w:p>
    <w:p w14:paraId="460109D1" w14:textId="5C56117C" w:rsidR="00E81EB9" w:rsidRPr="00E81EB9" w:rsidRDefault="00E81EB9" w:rsidP="00E81EB9">
      <w:pPr>
        <w:pStyle w:val="NormalWeb"/>
        <w:numPr>
          <w:ilvl w:val="0"/>
          <w:numId w:val="10"/>
        </w:numPr>
        <w:jc w:val="both"/>
        <w:rPr>
          <w:rFonts w:ascii="Calibri" w:hAnsi="Calibri" w:cs="Calibri"/>
        </w:rPr>
      </w:pPr>
      <w:r w:rsidRPr="00E81EB9">
        <w:rPr>
          <w:rFonts w:ascii="Calibri" w:hAnsi="Calibri" w:cs="Calibri"/>
          <w:b/>
          <w:bCs/>
        </w:rPr>
        <w:t>WPA3-Enterprise:</w:t>
      </w:r>
      <w:r w:rsidRPr="00E81EB9">
        <w:rPr>
          <w:rFonts w:ascii="Calibri" w:hAnsi="Calibri" w:cs="Calibri"/>
        </w:rPr>
        <w:t xml:space="preserve"> </w:t>
      </w:r>
      <w:proofErr w:type="spellStart"/>
      <w:r w:rsidR="00074AA4" w:rsidRPr="00074AA4">
        <w:rPr>
          <w:rFonts w:ascii="Calibri" w:hAnsi="Calibri" w:cs="Calibri"/>
        </w:rPr>
        <w:t>NatureGreen</w:t>
      </w:r>
      <w:proofErr w:type="spellEnd"/>
      <w:r w:rsidRPr="00E81EB9">
        <w:rPr>
          <w:rFonts w:ascii="Calibri" w:hAnsi="Calibri" w:cs="Calibri"/>
        </w:rPr>
        <w:t xml:space="preserve"> should upgrade to </w:t>
      </w:r>
      <w:r w:rsidRPr="00E81EB9">
        <w:rPr>
          <w:rFonts w:ascii="Calibri" w:hAnsi="Calibri" w:cs="Calibri"/>
          <w:b/>
          <w:bCs/>
        </w:rPr>
        <w:t>WPA3</w:t>
      </w:r>
      <w:r w:rsidRPr="00E81EB9">
        <w:rPr>
          <w:rFonts w:ascii="Calibri" w:hAnsi="Calibri" w:cs="Calibri"/>
        </w:rPr>
        <w:t xml:space="preserve">, which provides </w:t>
      </w:r>
      <w:r w:rsidRPr="00E81EB9">
        <w:rPr>
          <w:rFonts w:ascii="Calibri" w:hAnsi="Calibri" w:cs="Calibri"/>
          <w:b/>
          <w:bCs/>
        </w:rPr>
        <w:t>192-bit cryptographic strength</w:t>
      </w:r>
      <w:r w:rsidRPr="00E81EB9">
        <w:rPr>
          <w:rFonts w:ascii="Calibri" w:hAnsi="Calibri" w:cs="Calibri"/>
        </w:rPr>
        <w:t>. Unlike older standards, WPA3-Enterprise offers "Individualized Data Encryption," ensuring that even if one staff member's connection is intercepted, the attacker cannot decrypt another's data [</w:t>
      </w:r>
      <w:r w:rsidR="00AC1D08">
        <w:rPr>
          <w:rFonts w:ascii="Calibri" w:hAnsi="Calibri" w:cs="Calibri"/>
        </w:rPr>
        <w:t>18</w:t>
      </w:r>
      <w:r w:rsidRPr="00E81EB9">
        <w:rPr>
          <w:rFonts w:ascii="Calibri" w:hAnsi="Calibri" w:cs="Calibri"/>
        </w:rPr>
        <w:t>].</w:t>
      </w:r>
    </w:p>
    <w:p w14:paraId="30E25E7C" w14:textId="48295408" w:rsidR="00E81EB9" w:rsidRPr="00E81EB9" w:rsidRDefault="00E81EB9" w:rsidP="00E81EB9">
      <w:pPr>
        <w:pStyle w:val="NormalWeb"/>
        <w:numPr>
          <w:ilvl w:val="0"/>
          <w:numId w:val="10"/>
        </w:numPr>
        <w:jc w:val="both"/>
        <w:rPr>
          <w:rFonts w:ascii="Calibri" w:hAnsi="Calibri" w:cs="Calibri"/>
        </w:rPr>
      </w:pPr>
      <w:r w:rsidRPr="00E81EB9">
        <w:rPr>
          <w:rFonts w:ascii="Calibri" w:hAnsi="Calibri" w:cs="Calibri"/>
          <w:b/>
          <w:bCs/>
        </w:rPr>
        <w:t>Intrusion Prevention Systems (IPS):</w:t>
      </w:r>
      <w:r w:rsidRPr="00E81EB9">
        <w:rPr>
          <w:rFonts w:ascii="Calibri" w:hAnsi="Calibri" w:cs="Calibri"/>
        </w:rPr>
        <w:t xml:space="preserve"> To protect IP from over-the-air attacks, </w:t>
      </w:r>
      <w:proofErr w:type="spellStart"/>
      <w:r w:rsidR="00074AA4" w:rsidRPr="00074AA4">
        <w:rPr>
          <w:rFonts w:ascii="Calibri" w:hAnsi="Calibri" w:cs="Calibri"/>
        </w:rPr>
        <w:t>NatureGreen</w:t>
      </w:r>
      <w:proofErr w:type="spellEnd"/>
      <w:r w:rsidRPr="00E81EB9">
        <w:rPr>
          <w:rFonts w:ascii="Calibri" w:hAnsi="Calibri" w:cs="Calibri"/>
        </w:rPr>
        <w:t xml:space="preserve"> requires a Wireless IPS (WIPS) to detect and automatically disconnect "Rogue Access Points" that might be impersonating the company network to steal credentials [</w:t>
      </w:r>
      <w:r w:rsidR="00AC1D08">
        <w:rPr>
          <w:rFonts w:ascii="Calibri" w:hAnsi="Calibri" w:cs="Calibri"/>
        </w:rPr>
        <w:t>14</w:t>
      </w:r>
      <w:r w:rsidRPr="00E81EB9">
        <w:rPr>
          <w:rFonts w:ascii="Calibri" w:hAnsi="Calibri" w:cs="Calibri"/>
        </w:rPr>
        <w:t>].</w:t>
      </w:r>
    </w:p>
    <w:p w14:paraId="774F806D" w14:textId="5DA0B7F6" w:rsidR="00E81EB9" w:rsidRPr="00E81EB9" w:rsidRDefault="00E81EB9" w:rsidP="00E81EB9">
      <w:pPr>
        <w:pStyle w:val="Heading4"/>
        <w:jc w:val="both"/>
      </w:pPr>
      <w:bookmarkStart w:id="22" w:name="_Toc218759968"/>
      <w:r>
        <w:t>4.6.4.</w:t>
      </w:r>
      <w:r w:rsidRPr="00E81EB9">
        <w:t>2. Device Protection: Managing the BYOD Threat</w:t>
      </w:r>
      <w:bookmarkEnd w:id="22"/>
    </w:p>
    <w:p w14:paraId="3FFEDD71" w14:textId="3F65E71D" w:rsidR="00E81EB9" w:rsidRPr="00E81EB9" w:rsidRDefault="00E81EB9" w:rsidP="00E81EB9">
      <w:pPr>
        <w:pStyle w:val="NormalWeb"/>
        <w:ind w:left="720"/>
        <w:jc w:val="both"/>
        <w:rPr>
          <w:rFonts w:ascii="Calibri" w:hAnsi="Calibri" w:cs="Calibri"/>
        </w:rPr>
      </w:pPr>
      <w:r w:rsidRPr="00E81EB9">
        <w:rPr>
          <w:rFonts w:ascii="Calibri" w:hAnsi="Calibri" w:cs="Calibri"/>
        </w:rPr>
        <w:t xml:space="preserve">Since </w:t>
      </w:r>
      <w:proofErr w:type="spellStart"/>
      <w:r w:rsidR="00074AA4" w:rsidRPr="00074AA4">
        <w:rPr>
          <w:rFonts w:ascii="Calibri" w:hAnsi="Calibri" w:cs="Calibri"/>
        </w:rPr>
        <w:t>NatureGreen</w:t>
      </w:r>
      <w:proofErr w:type="spellEnd"/>
      <w:r w:rsidRPr="00E81EB9">
        <w:rPr>
          <w:rFonts w:ascii="Calibri" w:hAnsi="Calibri" w:cs="Calibri"/>
        </w:rPr>
        <w:t xml:space="preserve"> is under pressure to allow personal devices, it must implement mechanisms that protect corporate data without infringing on personal privacy.</w:t>
      </w:r>
    </w:p>
    <w:p w14:paraId="2F821E08" w14:textId="6F6CAEE0" w:rsidR="00E81EB9" w:rsidRPr="00E81EB9" w:rsidRDefault="00E81EB9" w:rsidP="00E81EB9">
      <w:pPr>
        <w:pStyle w:val="NormalWeb"/>
        <w:numPr>
          <w:ilvl w:val="0"/>
          <w:numId w:val="11"/>
        </w:numPr>
        <w:jc w:val="both"/>
        <w:rPr>
          <w:rFonts w:ascii="Calibri" w:hAnsi="Calibri" w:cs="Calibri"/>
        </w:rPr>
      </w:pPr>
      <w:r w:rsidRPr="00E81EB9">
        <w:rPr>
          <w:rFonts w:ascii="Calibri" w:hAnsi="Calibri" w:cs="Calibri"/>
          <w:b/>
          <w:bCs/>
        </w:rPr>
        <w:t>Mobile Device Management (MDM) &amp; Containerization:</w:t>
      </w:r>
      <w:r w:rsidRPr="00E81EB9">
        <w:rPr>
          <w:rFonts w:ascii="Calibri" w:hAnsi="Calibri" w:cs="Calibri"/>
        </w:rPr>
        <w:t xml:space="preserve"> Research in the </w:t>
      </w:r>
      <w:r w:rsidRPr="00E81EB9">
        <w:rPr>
          <w:rFonts w:ascii="Calibri" w:hAnsi="Calibri" w:cs="Calibri"/>
          <w:i/>
          <w:iCs/>
        </w:rPr>
        <w:t>Information Security Journal</w:t>
      </w:r>
      <w:r w:rsidRPr="00E81EB9">
        <w:rPr>
          <w:rFonts w:ascii="Calibri" w:hAnsi="Calibri" w:cs="Calibri"/>
        </w:rPr>
        <w:t xml:space="preserve"> highlights </w:t>
      </w:r>
      <w:r w:rsidRPr="00E81EB9">
        <w:rPr>
          <w:rFonts w:ascii="Calibri" w:hAnsi="Calibri" w:cs="Calibri"/>
          <w:b/>
          <w:bCs/>
        </w:rPr>
        <w:t>containerization</w:t>
      </w:r>
      <w:r w:rsidRPr="00E81EB9">
        <w:rPr>
          <w:rFonts w:ascii="Calibri" w:hAnsi="Calibri" w:cs="Calibri"/>
        </w:rPr>
        <w:t xml:space="preserve"> as a critical </w:t>
      </w:r>
      <w:proofErr w:type="spellStart"/>
      <w:r w:rsidRPr="00E81EB9">
        <w:rPr>
          <w:rFonts w:ascii="Calibri" w:hAnsi="Calibri" w:cs="Calibri"/>
        </w:rPr>
        <w:t>defense</w:t>
      </w:r>
      <w:proofErr w:type="spellEnd"/>
      <w:r w:rsidRPr="00E81EB9">
        <w:rPr>
          <w:rFonts w:ascii="Calibri" w:hAnsi="Calibri" w:cs="Calibri"/>
        </w:rPr>
        <w:t>. This creates a secure, encrypted "vault" on the employee’s personal phone. Corporate IP stays inside the vault, and the company can "remote wipe" only that vault if the phone is lost, leaving personal photos untouched [</w:t>
      </w:r>
      <w:r w:rsidR="00AC1D08">
        <w:rPr>
          <w:rFonts w:ascii="Calibri" w:hAnsi="Calibri" w:cs="Calibri"/>
        </w:rPr>
        <w:t>14</w:t>
      </w:r>
      <w:r w:rsidRPr="00E81EB9">
        <w:rPr>
          <w:rFonts w:ascii="Calibri" w:hAnsi="Calibri" w:cs="Calibri"/>
        </w:rPr>
        <w:t>].</w:t>
      </w:r>
    </w:p>
    <w:p w14:paraId="2DC6D48D" w14:textId="725BE435" w:rsidR="00E81EB9" w:rsidRPr="00E81EB9" w:rsidRDefault="00E81EB9" w:rsidP="00E81EB9">
      <w:pPr>
        <w:pStyle w:val="NormalWeb"/>
        <w:numPr>
          <w:ilvl w:val="0"/>
          <w:numId w:val="11"/>
        </w:numPr>
        <w:jc w:val="both"/>
        <w:rPr>
          <w:rFonts w:ascii="Calibri" w:hAnsi="Calibri" w:cs="Calibri"/>
        </w:rPr>
      </w:pPr>
      <w:r w:rsidRPr="00E81EB9">
        <w:rPr>
          <w:rFonts w:ascii="Calibri" w:hAnsi="Calibri" w:cs="Calibri"/>
          <w:b/>
          <w:bCs/>
        </w:rPr>
        <w:t>Endpoint Detection and Response (EDR):</w:t>
      </w:r>
      <w:r w:rsidRPr="00E81EB9">
        <w:rPr>
          <w:rFonts w:ascii="Calibri" w:hAnsi="Calibri" w:cs="Calibri"/>
        </w:rPr>
        <w:t xml:space="preserve"> Instead of simple antivirus, EDR uses </w:t>
      </w:r>
      <w:proofErr w:type="spellStart"/>
      <w:r w:rsidRPr="00E81EB9">
        <w:rPr>
          <w:rFonts w:ascii="Calibri" w:hAnsi="Calibri" w:cs="Calibri"/>
        </w:rPr>
        <w:t>behavioral</w:t>
      </w:r>
      <w:proofErr w:type="spellEnd"/>
      <w:r w:rsidRPr="00E81EB9">
        <w:rPr>
          <w:rFonts w:ascii="Calibri" w:hAnsi="Calibri" w:cs="Calibri"/>
        </w:rPr>
        <w:t xml:space="preserve"> analysis to detect suspicious activity. If a personal device starts exporting large amounts of IP to an external cloud, the EDR system can automatically "quarantine" the device from the network [</w:t>
      </w:r>
      <w:r w:rsidR="00735357">
        <w:rPr>
          <w:rFonts w:ascii="Calibri" w:hAnsi="Calibri" w:cs="Calibri"/>
        </w:rPr>
        <w:t>19</w:t>
      </w:r>
      <w:r w:rsidRPr="00E81EB9">
        <w:rPr>
          <w:rFonts w:ascii="Calibri" w:hAnsi="Calibri" w:cs="Calibri"/>
        </w:rPr>
        <w:t>].</w:t>
      </w:r>
    </w:p>
    <w:p w14:paraId="3FD4EF2D" w14:textId="7022C296" w:rsidR="00E81EB9" w:rsidRPr="00E81EB9" w:rsidRDefault="00E81EB9" w:rsidP="00E81EB9">
      <w:pPr>
        <w:pStyle w:val="Heading4"/>
        <w:jc w:val="both"/>
      </w:pPr>
      <w:bookmarkStart w:id="23" w:name="_Toc218759969"/>
      <w:r>
        <w:t>4.6.4.</w:t>
      </w:r>
      <w:r w:rsidRPr="00E81EB9">
        <w:t>3. Cloud &amp; Data Protection</w:t>
      </w:r>
      <w:bookmarkEnd w:id="23"/>
    </w:p>
    <w:p w14:paraId="66E875E6" w14:textId="597177A0" w:rsidR="00E81EB9" w:rsidRPr="00E81EB9" w:rsidRDefault="00E81EB9" w:rsidP="00E81EB9">
      <w:pPr>
        <w:pStyle w:val="NormalWeb"/>
        <w:ind w:left="720"/>
        <w:jc w:val="both"/>
        <w:rPr>
          <w:rFonts w:ascii="Calibri" w:hAnsi="Calibri" w:cs="Calibri"/>
        </w:rPr>
      </w:pPr>
      <w:r w:rsidRPr="00E81EB9">
        <w:rPr>
          <w:rFonts w:ascii="Calibri" w:hAnsi="Calibri" w:cs="Calibri"/>
        </w:rPr>
        <w:t xml:space="preserve">Since </w:t>
      </w:r>
      <w:proofErr w:type="spellStart"/>
      <w:r w:rsidR="00074AA4" w:rsidRPr="00074AA4">
        <w:rPr>
          <w:rFonts w:ascii="Calibri" w:hAnsi="Calibri" w:cs="Calibri"/>
        </w:rPr>
        <w:t>NatureGreen</w:t>
      </w:r>
      <w:proofErr w:type="spellEnd"/>
      <w:r w:rsidRPr="00E81EB9">
        <w:rPr>
          <w:rFonts w:ascii="Calibri" w:hAnsi="Calibri" w:cs="Calibri"/>
        </w:rPr>
        <w:t xml:space="preserve"> uses cloud services for staff and clients, the data itself must be protected at every stage.</w:t>
      </w:r>
    </w:p>
    <w:p w14:paraId="7EFFEF9D" w14:textId="77777777" w:rsidR="00E81EB9" w:rsidRPr="00E81EB9" w:rsidRDefault="00E81EB9" w:rsidP="00E81EB9">
      <w:pPr>
        <w:pStyle w:val="NormalWeb"/>
        <w:numPr>
          <w:ilvl w:val="0"/>
          <w:numId w:val="12"/>
        </w:numPr>
        <w:jc w:val="both"/>
        <w:rPr>
          <w:rFonts w:ascii="Calibri" w:hAnsi="Calibri" w:cs="Calibri"/>
        </w:rPr>
      </w:pPr>
      <w:r w:rsidRPr="00E81EB9">
        <w:rPr>
          <w:rFonts w:ascii="Calibri" w:hAnsi="Calibri" w:cs="Calibri"/>
          <w:b/>
          <w:bCs/>
        </w:rPr>
        <w:t>Data Loss Prevention (DLP):</w:t>
      </w:r>
      <w:r w:rsidRPr="00E81EB9">
        <w:rPr>
          <w:rFonts w:ascii="Calibri" w:hAnsi="Calibri" w:cs="Calibri"/>
        </w:rPr>
        <w:t xml:space="preserve"> DLP software identifies sensitive IP (using keywords or digital "fingerprints") and prevents it from being uploaded to unauthorized social media or personal cloud accounts.</w:t>
      </w:r>
    </w:p>
    <w:p w14:paraId="3B984BED" w14:textId="4EB22711" w:rsidR="00E81EB9" w:rsidRDefault="00E81EB9" w:rsidP="00E81EB9">
      <w:pPr>
        <w:pStyle w:val="NormalWeb"/>
        <w:numPr>
          <w:ilvl w:val="0"/>
          <w:numId w:val="12"/>
        </w:numPr>
        <w:jc w:val="both"/>
        <w:rPr>
          <w:rFonts w:ascii="Calibri" w:hAnsi="Calibri" w:cs="Calibri"/>
        </w:rPr>
      </w:pPr>
      <w:r w:rsidRPr="00E81EB9">
        <w:rPr>
          <w:rFonts w:ascii="Calibri" w:hAnsi="Calibri" w:cs="Calibri"/>
          <w:b/>
          <w:bCs/>
        </w:rPr>
        <w:t>Zero Trust Access (ZTA):</w:t>
      </w:r>
      <w:r w:rsidRPr="00E81EB9">
        <w:rPr>
          <w:rFonts w:ascii="Calibri" w:hAnsi="Calibri" w:cs="Calibri"/>
        </w:rPr>
        <w:t xml:space="preserve"> Under a Zero Trust model, "location does not equal trust." Even if a device is on the office Wi-Fi, it must pass a </w:t>
      </w:r>
      <w:r w:rsidRPr="00E81EB9">
        <w:rPr>
          <w:rFonts w:ascii="Calibri" w:hAnsi="Calibri" w:cs="Calibri"/>
          <w:b/>
          <w:bCs/>
        </w:rPr>
        <w:t>Multi-Factor Authentication (MFA)</w:t>
      </w:r>
      <w:r w:rsidRPr="00E81EB9">
        <w:rPr>
          <w:rFonts w:ascii="Calibri" w:hAnsi="Calibri" w:cs="Calibri"/>
        </w:rPr>
        <w:t xml:space="preserve"> check and a "device health check" before accessing the IP repository [</w:t>
      </w:r>
      <w:r w:rsidR="00AC1D08">
        <w:rPr>
          <w:rFonts w:ascii="Calibri" w:hAnsi="Calibri" w:cs="Calibri"/>
        </w:rPr>
        <w:t>17</w:t>
      </w:r>
      <w:r w:rsidRPr="00E81EB9">
        <w:rPr>
          <w:rFonts w:ascii="Calibri" w:hAnsi="Calibri" w:cs="Calibri"/>
        </w:rPr>
        <w:t>].</w:t>
      </w:r>
    </w:p>
    <w:p w14:paraId="666F673A" w14:textId="522853A1" w:rsidR="00D5521E" w:rsidRDefault="00D5521E" w:rsidP="00D5521E">
      <w:pPr>
        <w:pStyle w:val="NormalWeb"/>
        <w:rPr>
          <w:rFonts w:ascii="Calibri" w:hAnsi="Calibri" w:cs="Calibri"/>
        </w:rPr>
      </w:pPr>
      <w:r>
        <w:rPr>
          <w:rFonts w:ascii="Calibri" w:hAnsi="Calibri" w:cs="Calibri"/>
          <w:noProof/>
        </w:rPr>
        <w:lastRenderedPageBreak/>
        <w:drawing>
          <wp:inline distT="0" distB="0" distL="0" distR="0" wp14:anchorId="701D18EF" wp14:editId="61C0DAA7">
            <wp:extent cx="5731510" cy="3226435"/>
            <wp:effectExtent l="0" t="0" r="2540" b="0"/>
            <wp:docPr id="21349254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925412" name="Picture 2134925412"/>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6435"/>
                    </a:xfrm>
                    <a:prstGeom prst="rect">
                      <a:avLst/>
                    </a:prstGeom>
                  </pic:spPr>
                </pic:pic>
              </a:graphicData>
            </a:graphic>
          </wp:inline>
        </w:drawing>
      </w:r>
    </w:p>
    <w:p w14:paraId="090E7777" w14:textId="1C206ED8" w:rsidR="00D5521E" w:rsidRDefault="00D5521E" w:rsidP="00D5521E">
      <w:pPr>
        <w:pStyle w:val="NormalWeb"/>
        <w:jc w:val="center"/>
        <w:rPr>
          <w:rFonts w:ascii="Calibri" w:hAnsi="Calibri" w:cs="Calibri"/>
        </w:rPr>
      </w:pPr>
      <w:r>
        <w:rPr>
          <w:rFonts w:ascii="Calibri" w:hAnsi="Calibri" w:cs="Calibri"/>
        </w:rPr>
        <w:t xml:space="preserve">Figure </w:t>
      </w:r>
      <w:r w:rsidR="008842CA">
        <w:rPr>
          <w:rFonts w:ascii="Calibri" w:hAnsi="Calibri" w:cs="Calibri"/>
        </w:rPr>
        <w:t>4</w:t>
      </w:r>
      <w:r>
        <w:rPr>
          <w:rFonts w:ascii="Calibri" w:hAnsi="Calibri" w:cs="Calibri"/>
        </w:rPr>
        <w:t xml:space="preserve">. </w:t>
      </w:r>
      <w:r w:rsidRPr="00D5521E">
        <w:rPr>
          <w:rFonts w:ascii="Calibri" w:hAnsi="Calibri" w:cs="Calibri"/>
        </w:rPr>
        <w:t>Summary of Protection Mechanisms</w:t>
      </w:r>
      <w:r w:rsidR="00A23239">
        <w:rPr>
          <w:rFonts w:ascii="Calibri" w:hAnsi="Calibri" w:cs="Calibri"/>
        </w:rPr>
        <w:t>.</w:t>
      </w:r>
    </w:p>
    <w:p w14:paraId="55E57410" w14:textId="3BC9B9AC" w:rsidR="002C56D9" w:rsidRPr="00423018" w:rsidRDefault="002C56D9" w:rsidP="002C56D9">
      <w:pPr>
        <w:pStyle w:val="Heading3"/>
      </w:pPr>
      <w:bookmarkStart w:id="24" w:name="_Toc218759970"/>
      <w:r>
        <w:t xml:space="preserve">4.6.5. </w:t>
      </w:r>
      <w:r>
        <w:t xml:space="preserve">Service Level </w:t>
      </w:r>
      <w:r w:rsidRPr="002C56D9">
        <w:t>Agreement</w:t>
      </w:r>
      <w:bookmarkEnd w:id="24"/>
    </w:p>
    <w:p w14:paraId="11BB34CE" w14:textId="77777777" w:rsidR="002C56D9" w:rsidRDefault="002C56D9" w:rsidP="002C56D9">
      <w:pPr>
        <w:pStyle w:val="NormalWeb"/>
        <w:jc w:val="center"/>
        <w:rPr>
          <w:rFonts w:ascii="Calibri" w:hAnsi="Calibri" w:cs="Calibri"/>
        </w:rPr>
      </w:pPr>
    </w:p>
    <w:p w14:paraId="3C7D0CE7" w14:textId="0C7018AB" w:rsidR="002C56D9" w:rsidRPr="002C56D9" w:rsidRDefault="002C56D9" w:rsidP="002C56D9">
      <w:pPr>
        <w:pStyle w:val="NormalWeb"/>
        <w:jc w:val="both"/>
        <w:rPr>
          <w:rFonts w:ascii="Calibri" w:hAnsi="Calibri" w:cs="Calibri"/>
        </w:rPr>
      </w:pPr>
      <w:r w:rsidRPr="002C56D9">
        <w:rPr>
          <w:rFonts w:ascii="Calibri" w:hAnsi="Calibri" w:cs="Calibri"/>
        </w:rPr>
        <w:t xml:space="preserve">In the context of </w:t>
      </w:r>
      <w:proofErr w:type="spellStart"/>
      <w:r w:rsidRPr="002C56D9">
        <w:rPr>
          <w:rFonts w:ascii="Calibri" w:hAnsi="Calibri" w:cs="Calibri"/>
        </w:rPr>
        <w:t>NatureGreen</w:t>
      </w:r>
      <w:proofErr w:type="spellEnd"/>
      <w:r w:rsidRPr="002C56D9">
        <w:rPr>
          <w:rFonts w:ascii="Calibri" w:hAnsi="Calibri" w:cs="Calibri"/>
        </w:rPr>
        <w:t xml:space="preserve"> , which relies heavily on cloud services to deliver IT to a global audience, the </w:t>
      </w:r>
      <w:r w:rsidRPr="002C56D9">
        <w:rPr>
          <w:rFonts w:ascii="Calibri" w:hAnsi="Calibri" w:cs="Calibri"/>
          <w:b/>
          <w:bCs/>
        </w:rPr>
        <w:t>Service Level Agreement (SLA)</w:t>
      </w:r>
      <w:r w:rsidRPr="002C56D9">
        <w:rPr>
          <w:rFonts w:ascii="Calibri" w:hAnsi="Calibri" w:cs="Calibri"/>
        </w:rPr>
        <w:t xml:space="preserve"> is the most critical legal and technical tool for ensuring that third-party providers protect the company's billion-dollar intellectual property (IP).</w:t>
      </w:r>
    </w:p>
    <w:p w14:paraId="2464D302" w14:textId="2E9EF646" w:rsidR="002C56D9" w:rsidRPr="002C56D9" w:rsidRDefault="002C56D9" w:rsidP="002C56D9">
      <w:pPr>
        <w:pStyle w:val="NormalWeb"/>
        <w:jc w:val="both"/>
        <w:rPr>
          <w:rFonts w:ascii="Calibri" w:hAnsi="Calibri" w:cs="Calibri"/>
        </w:rPr>
      </w:pPr>
      <w:r w:rsidRPr="002C56D9">
        <w:rPr>
          <w:rFonts w:ascii="Calibri" w:hAnsi="Calibri" w:cs="Calibri"/>
        </w:rPr>
        <w:t xml:space="preserve">Research from </w:t>
      </w:r>
      <w:r w:rsidRPr="002C56D9">
        <w:rPr>
          <w:rFonts w:ascii="Calibri" w:hAnsi="Calibri" w:cs="Calibri"/>
          <w:b/>
          <w:bCs/>
        </w:rPr>
        <w:t>IEEE</w:t>
      </w:r>
      <w:r w:rsidRPr="002C56D9">
        <w:rPr>
          <w:rFonts w:ascii="Calibri" w:hAnsi="Calibri" w:cs="Calibri"/>
        </w:rPr>
        <w:t xml:space="preserve"> and </w:t>
      </w:r>
      <w:r w:rsidRPr="002C56D9">
        <w:rPr>
          <w:rFonts w:ascii="Calibri" w:hAnsi="Calibri" w:cs="Calibri"/>
          <w:b/>
          <w:bCs/>
        </w:rPr>
        <w:t>ScienceDirect</w:t>
      </w:r>
      <w:r w:rsidRPr="002C56D9">
        <w:rPr>
          <w:rFonts w:ascii="Calibri" w:hAnsi="Calibri" w:cs="Calibri"/>
        </w:rPr>
        <w:t xml:space="preserve"> indicates that traditional SLAs focused solely on "uptime" are insufficient for modern security needs. </w:t>
      </w:r>
      <w:proofErr w:type="spellStart"/>
      <w:r w:rsidR="00074AA4" w:rsidRPr="00074AA4">
        <w:rPr>
          <w:rFonts w:ascii="Calibri" w:hAnsi="Calibri" w:cs="Calibri"/>
        </w:rPr>
        <w:t>NatureGreen</w:t>
      </w:r>
      <w:proofErr w:type="spellEnd"/>
      <w:r w:rsidRPr="002C56D9">
        <w:rPr>
          <w:rFonts w:ascii="Calibri" w:hAnsi="Calibri" w:cs="Calibri"/>
        </w:rPr>
        <w:t xml:space="preserve"> requires a </w:t>
      </w:r>
      <w:r w:rsidRPr="002C56D9">
        <w:rPr>
          <w:rFonts w:ascii="Calibri" w:hAnsi="Calibri" w:cs="Calibri"/>
          <w:b/>
          <w:bCs/>
        </w:rPr>
        <w:t>Security-Specific SLA (SecSLA)</w:t>
      </w:r>
      <w:r w:rsidRPr="002C56D9">
        <w:rPr>
          <w:rFonts w:ascii="Calibri" w:hAnsi="Calibri" w:cs="Calibri"/>
        </w:rPr>
        <w:t>.</w:t>
      </w:r>
    </w:p>
    <w:p w14:paraId="4AFFCC71" w14:textId="77777777" w:rsidR="002C56D9" w:rsidRPr="002C56D9" w:rsidRDefault="002C56D9" w:rsidP="002C56D9">
      <w:pPr>
        <w:pStyle w:val="NormalWeb"/>
        <w:jc w:val="both"/>
        <w:rPr>
          <w:rFonts w:ascii="Calibri" w:hAnsi="Calibri" w:cs="Calibri"/>
        </w:rPr>
      </w:pPr>
      <w:r w:rsidRPr="002C56D9">
        <w:rPr>
          <w:rFonts w:ascii="Calibri" w:hAnsi="Calibri" w:cs="Calibri"/>
        </w:rPr>
        <w:pict w14:anchorId="06BDDABC">
          <v:rect id="_x0000_i1043" style="width:0;height:1.5pt" o:hralign="center" o:hrstd="t" o:hr="t" fillcolor="#a0a0a0" stroked="f"/>
        </w:pict>
      </w:r>
    </w:p>
    <w:p w14:paraId="5252E749" w14:textId="56E9129D" w:rsidR="002C56D9" w:rsidRPr="002C56D9" w:rsidRDefault="002C56D9" w:rsidP="002C56D9">
      <w:pPr>
        <w:pStyle w:val="Heading4"/>
      </w:pPr>
      <w:bookmarkStart w:id="25" w:name="_Toc218759971"/>
      <w:r>
        <w:t>4.6.5.</w:t>
      </w:r>
      <w:r w:rsidRPr="002C56D9">
        <w:t>1. The Transition to Security-Centric SLAs (</w:t>
      </w:r>
      <w:proofErr w:type="spellStart"/>
      <w:r w:rsidRPr="002C56D9">
        <w:t>SecSLAs</w:t>
      </w:r>
      <w:proofErr w:type="spellEnd"/>
      <w:r w:rsidRPr="002C56D9">
        <w:t>)</w:t>
      </w:r>
      <w:bookmarkEnd w:id="25"/>
    </w:p>
    <w:p w14:paraId="517FCC5C" w14:textId="5E026D59" w:rsidR="002C56D9" w:rsidRPr="002C56D9" w:rsidRDefault="002C56D9" w:rsidP="002C56D9">
      <w:pPr>
        <w:pStyle w:val="NormalWeb"/>
        <w:jc w:val="both"/>
        <w:rPr>
          <w:rFonts w:ascii="Calibri" w:hAnsi="Calibri" w:cs="Calibri"/>
        </w:rPr>
      </w:pPr>
      <w:r w:rsidRPr="002C56D9">
        <w:rPr>
          <w:rFonts w:ascii="Calibri" w:hAnsi="Calibri" w:cs="Calibri"/>
        </w:rPr>
        <w:t xml:space="preserve">Academic literature defines a SecSLA as a formal document that specifies the security levels a service provider must maintain. For </w:t>
      </w:r>
      <w:proofErr w:type="spellStart"/>
      <w:r w:rsidR="00A23239" w:rsidRPr="002C56D9">
        <w:rPr>
          <w:rFonts w:ascii="Calibri" w:hAnsi="Calibri" w:cs="Calibri"/>
        </w:rPr>
        <w:t>N</w:t>
      </w:r>
      <w:r w:rsidR="00A23239">
        <w:rPr>
          <w:rFonts w:ascii="Calibri" w:hAnsi="Calibri" w:cs="Calibri"/>
        </w:rPr>
        <w:t>atureGreen</w:t>
      </w:r>
      <w:proofErr w:type="spellEnd"/>
      <w:r w:rsidRPr="002C56D9">
        <w:rPr>
          <w:rFonts w:ascii="Calibri" w:hAnsi="Calibri" w:cs="Calibri"/>
        </w:rPr>
        <w:t>, this must include:</w:t>
      </w:r>
    </w:p>
    <w:p w14:paraId="2ECFD464" w14:textId="0DC9795E" w:rsidR="002C56D9" w:rsidRPr="002C56D9" w:rsidRDefault="002C56D9" w:rsidP="002C56D9">
      <w:pPr>
        <w:pStyle w:val="NormalWeb"/>
        <w:numPr>
          <w:ilvl w:val="0"/>
          <w:numId w:val="13"/>
        </w:numPr>
        <w:jc w:val="both"/>
        <w:rPr>
          <w:rFonts w:ascii="Calibri" w:hAnsi="Calibri" w:cs="Calibri"/>
        </w:rPr>
      </w:pPr>
      <w:r w:rsidRPr="002C56D9">
        <w:rPr>
          <w:rFonts w:ascii="Calibri" w:hAnsi="Calibri" w:cs="Calibri"/>
          <w:b/>
          <w:bCs/>
        </w:rPr>
        <w:t>Data Residency and Sovereignty:</w:t>
      </w:r>
      <w:r w:rsidRPr="002C56D9">
        <w:rPr>
          <w:rFonts w:ascii="Calibri" w:hAnsi="Calibri" w:cs="Calibri"/>
        </w:rPr>
        <w:t xml:space="preserve"> Since </w:t>
      </w:r>
      <w:proofErr w:type="spellStart"/>
      <w:r w:rsidR="00074AA4" w:rsidRPr="00074AA4">
        <w:rPr>
          <w:rFonts w:ascii="Calibri" w:hAnsi="Calibri" w:cs="Calibri"/>
        </w:rPr>
        <w:t>NatureGreen</w:t>
      </w:r>
      <w:proofErr w:type="spellEnd"/>
      <w:r w:rsidRPr="002C56D9">
        <w:rPr>
          <w:rFonts w:ascii="Calibri" w:hAnsi="Calibri" w:cs="Calibri"/>
        </w:rPr>
        <w:t xml:space="preserve"> is global, the SLA must specify where data is stored to ensure compliance with the </w:t>
      </w:r>
      <w:r w:rsidRPr="002C56D9">
        <w:rPr>
          <w:rFonts w:ascii="Calibri" w:hAnsi="Calibri" w:cs="Calibri"/>
          <w:b/>
          <w:bCs/>
        </w:rPr>
        <w:t>GDPR</w:t>
      </w:r>
      <w:r w:rsidRPr="002C56D9">
        <w:rPr>
          <w:rFonts w:ascii="Calibri" w:hAnsi="Calibri" w:cs="Calibri"/>
        </w:rPr>
        <w:t xml:space="preserve"> or other local laws.</w:t>
      </w:r>
    </w:p>
    <w:p w14:paraId="7613DA8A" w14:textId="26A1FD14" w:rsidR="002C56D9" w:rsidRPr="002C56D9" w:rsidRDefault="002C56D9" w:rsidP="002C56D9">
      <w:pPr>
        <w:pStyle w:val="NormalWeb"/>
        <w:numPr>
          <w:ilvl w:val="0"/>
          <w:numId w:val="13"/>
        </w:numPr>
        <w:jc w:val="both"/>
        <w:rPr>
          <w:rFonts w:ascii="Calibri" w:hAnsi="Calibri" w:cs="Calibri"/>
        </w:rPr>
      </w:pPr>
      <w:r w:rsidRPr="002C56D9">
        <w:rPr>
          <w:rFonts w:ascii="Calibri" w:hAnsi="Calibri" w:cs="Calibri"/>
          <w:b/>
          <w:bCs/>
        </w:rPr>
        <w:t>Incident Notification Timeframe:</w:t>
      </w:r>
      <w:r w:rsidRPr="002C56D9">
        <w:rPr>
          <w:rFonts w:ascii="Calibri" w:hAnsi="Calibri" w:cs="Calibri"/>
        </w:rPr>
        <w:t xml:space="preserve"> A critical metric is the "Time to Notify." Scholarly articles suggest that for high-value IP, providers should be contractually obligated to report breaches within </w:t>
      </w:r>
      <w:r w:rsidRPr="002C56D9">
        <w:rPr>
          <w:rFonts w:ascii="Calibri" w:hAnsi="Calibri" w:cs="Calibri"/>
          <w:b/>
          <w:bCs/>
        </w:rPr>
        <w:t>hours</w:t>
      </w:r>
      <w:r w:rsidRPr="002C56D9">
        <w:rPr>
          <w:rFonts w:ascii="Calibri" w:hAnsi="Calibri" w:cs="Calibri"/>
        </w:rPr>
        <w:t>, not days [</w:t>
      </w:r>
      <w:r w:rsidR="00A23239">
        <w:rPr>
          <w:rFonts w:ascii="Calibri" w:hAnsi="Calibri" w:cs="Calibri"/>
        </w:rPr>
        <w:t>18</w:t>
      </w:r>
      <w:r w:rsidRPr="002C56D9">
        <w:rPr>
          <w:rFonts w:ascii="Calibri" w:hAnsi="Calibri" w:cs="Calibri"/>
        </w:rPr>
        <w:t>].</w:t>
      </w:r>
    </w:p>
    <w:p w14:paraId="72B3D4A5" w14:textId="1BB2E9C0" w:rsidR="002C56D9" w:rsidRPr="002C56D9" w:rsidRDefault="002C56D9" w:rsidP="002C56D9">
      <w:pPr>
        <w:pStyle w:val="NormalWeb"/>
        <w:numPr>
          <w:ilvl w:val="0"/>
          <w:numId w:val="13"/>
        </w:numPr>
        <w:jc w:val="both"/>
        <w:rPr>
          <w:rFonts w:ascii="Calibri" w:hAnsi="Calibri" w:cs="Calibri"/>
        </w:rPr>
      </w:pPr>
      <w:r w:rsidRPr="002C56D9">
        <w:rPr>
          <w:rFonts w:ascii="Calibri" w:hAnsi="Calibri" w:cs="Calibri"/>
          <w:b/>
          <w:bCs/>
        </w:rPr>
        <w:t>Right to Audit:</w:t>
      </w:r>
      <w:r w:rsidRPr="002C56D9">
        <w:rPr>
          <w:rFonts w:ascii="Calibri" w:hAnsi="Calibri" w:cs="Calibri"/>
        </w:rPr>
        <w:t xml:space="preserve"> </w:t>
      </w:r>
      <w:proofErr w:type="spellStart"/>
      <w:r w:rsidRPr="002C56D9">
        <w:rPr>
          <w:rFonts w:ascii="Calibri" w:hAnsi="Calibri" w:cs="Calibri"/>
        </w:rPr>
        <w:t>N</w:t>
      </w:r>
      <w:r w:rsidR="00A23239">
        <w:rPr>
          <w:rFonts w:ascii="Calibri" w:hAnsi="Calibri" w:cs="Calibri"/>
        </w:rPr>
        <w:t>atureGreen</w:t>
      </w:r>
      <w:proofErr w:type="spellEnd"/>
      <w:r w:rsidRPr="002C56D9">
        <w:rPr>
          <w:rFonts w:ascii="Calibri" w:hAnsi="Calibri" w:cs="Calibri"/>
        </w:rPr>
        <w:t xml:space="preserve"> must have the legal right to audit the provider's security controls or receive third-party audit reports (like </w:t>
      </w:r>
      <w:r w:rsidRPr="002C56D9">
        <w:rPr>
          <w:rFonts w:ascii="Calibri" w:hAnsi="Calibri" w:cs="Calibri"/>
          <w:b/>
          <w:bCs/>
        </w:rPr>
        <w:t>SOC 2 Type II</w:t>
      </w:r>
      <w:r w:rsidRPr="002C56D9">
        <w:rPr>
          <w:rFonts w:ascii="Calibri" w:hAnsi="Calibri" w:cs="Calibri"/>
        </w:rPr>
        <w:t xml:space="preserve"> or </w:t>
      </w:r>
      <w:r w:rsidRPr="002C56D9">
        <w:rPr>
          <w:rFonts w:ascii="Calibri" w:hAnsi="Calibri" w:cs="Calibri"/>
          <w:b/>
          <w:bCs/>
        </w:rPr>
        <w:t>ISO 27001</w:t>
      </w:r>
      <w:r w:rsidRPr="002C56D9">
        <w:rPr>
          <w:rFonts w:ascii="Calibri" w:hAnsi="Calibri" w:cs="Calibri"/>
        </w:rPr>
        <w:t xml:space="preserve"> certifications) [</w:t>
      </w:r>
      <w:r w:rsidR="00A23239">
        <w:rPr>
          <w:rFonts w:ascii="Calibri" w:hAnsi="Calibri" w:cs="Calibri"/>
        </w:rPr>
        <w:t>16</w:t>
      </w:r>
      <w:r w:rsidRPr="002C56D9">
        <w:rPr>
          <w:rFonts w:ascii="Calibri" w:hAnsi="Calibri" w:cs="Calibri"/>
        </w:rPr>
        <w:t>].</w:t>
      </w:r>
    </w:p>
    <w:p w14:paraId="77F1A929" w14:textId="089FAE2B" w:rsidR="002C56D9" w:rsidRPr="002C56D9" w:rsidRDefault="002C56D9" w:rsidP="002C56D9">
      <w:pPr>
        <w:pStyle w:val="Heading4"/>
      </w:pPr>
      <w:bookmarkStart w:id="26" w:name="_Toc218759972"/>
      <w:r>
        <w:lastRenderedPageBreak/>
        <w:t>4.6.5.</w:t>
      </w:r>
      <w:r w:rsidRPr="002C56D9">
        <w:t xml:space="preserve">2. Key Metrics for </w:t>
      </w:r>
      <w:proofErr w:type="spellStart"/>
      <w:r w:rsidRPr="002C56D9">
        <w:t>NatureGreen’s</w:t>
      </w:r>
      <w:proofErr w:type="spellEnd"/>
      <w:r w:rsidRPr="002C56D9">
        <w:t xml:space="preserve"> SLA</w:t>
      </w:r>
      <w:bookmarkEnd w:id="26"/>
    </w:p>
    <w:p w14:paraId="0CF38767" w14:textId="21E954C1" w:rsidR="002C56D9" w:rsidRDefault="002C56D9" w:rsidP="002C56D9">
      <w:pPr>
        <w:pStyle w:val="NormalWeb"/>
        <w:jc w:val="both"/>
        <w:rPr>
          <w:rFonts w:ascii="Calibri" w:hAnsi="Calibri" w:cs="Calibri"/>
        </w:rPr>
      </w:pPr>
      <w:r w:rsidRPr="002C56D9">
        <w:rPr>
          <w:rFonts w:ascii="Calibri" w:hAnsi="Calibri" w:cs="Calibri"/>
        </w:rPr>
        <w:t xml:space="preserve">To resolve the "disarray," </w:t>
      </w:r>
      <w:proofErr w:type="spellStart"/>
      <w:r w:rsidR="00A23239" w:rsidRPr="002C56D9">
        <w:rPr>
          <w:rFonts w:ascii="Calibri" w:hAnsi="Calibri" w:cs="Calibri"/>
        </w:rPr>
        <w:t>N</w:t>
      </w:r>
      <w:r w:rsidR="00A23239">
        <w:rPr>
          <w:rFonts w:ascii="Calibri" w:hAnsi="Calibri" w:cs="Calibri"/>
        </w:rPr>
        <w:t>atureGreen</w:t>
      </w:r>
      <w:proofErr w:type="spellEnd"/>
      <w:r w:rsidR="00A23239" w:rsidRPr="002C56D9">
        <w:rPr>
          <w:rFonts w:ascii="Calibri" w:hAnsi="Calibri" w:cs="Calibri"/>
        </w:rPr>
        <w:t xml:space="preserve"> </w:t>
      </w:r>
      <w:r w:rsidRPr="002C56D9">
        <w:rPr>
          <w:rFonts w:ascii="Calibri" w:hAnsi="Calibri" w:cs="Calibri"/>
        </w:rPr>
        <w:t xml:space="preserve">must move away from vague promises to measurable </w:t>
      </w:r>
      <w:r w:rsidRPr="002C56D9">
        <w:rPr>
          <w:rFonts w:ascii="Calibri" w:hAnsi="Calibri" w:cs="Calibri"/>
          <w:b/>
          <w:bCs/>
        </w:rPr>
        <w:t>Service Level Objectives (SLOs)</w:t>
      </w:r>
      <w:r w:rsidRPr="002C56D9">
        <w:rPr>
          <w:rFonts w:ascii="Calibri" w:hAnsi="Calibri" w:cs="Calibri"/>
        </w:rPr>
        <w:t>.</w:t>
      </w:r>
    </w:p>
    <w:p w14:paraId="61A8D590" w14:textId="4FCEDF18" w:rsidR="002C56D9" w:rsidRDefault="002C56D9" w:rsidP="002C56D9">
      <w:pPr>
        <w:pStyle w:val="NormalWeb"/>
        <w:jc w:val="both"/>
        <w:rPr>
          <w:rFonts w:ascii="Calibri" w:hAnsi="Calibri" w:cs="Calibri"/>
        </w:rPr>
      </w:pPr>
      <w:r>
        <w:rPr>
          <w:rFonts w:ascii="Calibri" w:hAnsi="Calibri" w:cs="Calibri"/>
          <w:noProof/>
        </w:rPr>
        <w:drawing>
          <wp:inline distT="0" distB="0" distL="0" distR="0" wp14:anchorId="4E51709D" wp14:editId="030A4B18">
            <wp:extent cx="5731510" cy="3077845"/>
            <wp:effectExtent l="0" t="0" r="2540" b="8255"/>
            <wp:docPr id="89913550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135509" name="Picture 899135509"/>
                    <pic:cNvPicPr/>
                  </pic:nvPicPr>
                  <pic:blipFill>
                    <a:blip r:embed="rId14">
                      <a:extLst>
                        <a:ext uri="{28A0092B-C50C-407E-A947-70E740481C1C}">
                          <a14:useLocalDpi xmlns:a14="http://schemas.microsoft.com/office/drawing/2010/main" val="0"/>
                        </a:ext>
                      </a:extLst>
                    </a:blip>
                    <a:stretch>
                      <a:fillRect/>
                    </a:stretch>
                  </pic:blipFill>
                  <pic:spPr>
                    <a:xfrm>
                      <a:off x="0" y="0"/>
                      <a:ext cx="5731510" cy="3077845"/>
                    </a:xfrm>
                    <a:prstGeom prst="rect">
                      <a:avLst/>
                    </a:prstGeom>
                  </pic:spPr>
                </pic:pic>
              </a:graphicData>
            </a:graphic>
          </wp:inline>
        </w:drawing>
      </w:r>
    </w:p>
    <w:p w14:paraId="4D3D2905" w14:textId="46FE7B57" w:rsidR="002C56D9" w:rsidRDefault="002C56D9" w:rsidP="00A23239">
      <w:pPr>
        <w:pStyle w:val="NormalWeb"/>
        <w:jc w:val="center"/>
        <w:rPr>
          <w:rFonts w:ascii="Calibri" w:hAnsi="Calibri" w:cs="Calibri"/>
        </w:rPr>
      </w:pPr>
      <w:r>
        <w:rPr>
          <w:rFonts w:ascii="Calibri" w:hAnsi="Calibri" w:cs="Calibri"/>
        </w:rPr>
        <w:t xml:space="preserve">Figure </w:t>
      </w:r>
      <w:r w:rsidR="008842CA">
        <w:rPr>
          <w:rFonts w:ascii="Calibri" w:hAnsi="Calibri" w:cs="Calibri"/>
        </w:rPr>
        <w:t>5</w:t>
      </w:r>
      <w:r>
        <w:rPr>
          <w:rFonts w:ascii="Calibri" w:hAnsi="Calibri" w:cs="Calibri"/>
        </w:rPr>
        <w:t>. Compari</w:t>
      </w:r>
      <w:r w:rsidR="00A23239">
        <w:rPr>
          <w:rFonts w:ascii="Calibri" w:hAnsi="Calibri" w:cs="Calibri"/>
        </w:rPr>
        <w:t xml:space="preserve">son of </w:t>
      </w:r>
      <w:r w:rsidR="00A23239" w:rsidRPr="00A23239">
        <w:rPr>
          <w:rFonts w:ascii="Calibri" w:hAnsi="Calibri" w:cs="Calibri"/>
        </w:rPr>
        <w:t>Service Level Objectives</w:t>
      </w:r>
      <w:r w:rsidR="00A23239">
        <w:rPr>
          <w:rFonts w:ascii="Calibri" w:hAnsi="Calibri" w:cs="Calibri"/>
        </w:rPr>
        <w:t>.</w:t>
      </w:r>
    </w:p>
    <w:p w14:paraId="37FDD727" w14:textId="466694C2" w:rsidR="002C56D9" w:rsidRPr="002C56D9" w:rsidRDefault="002C56D9" w:rsidP="002C56D9">
      <w:pPr>
        <w:pStyle w:val="Heading4"/>
      </w:pPr>
      <w:bookmarkStart w:id="27" w:name="_Toc218759973"/>
      <w:r>
        <w:t>4.6.5.</w:t>
      </w:r>
      <w:r w:rsidRPr="002C56D9">
        <w:t>3. Governance and Enforcement Mechanisms</w:t>
      </w:r>
      <w:bookmarkEnd w:id="27"/>
    </w:p>
    <w:p w14:paraId="2033D0E8" w14:textId="77777777" w:rsidR="002C56D9" w:rsidRPr="002C56D9" w:rsidRDefault="002C56D9" w:rsidP="002C56D9">
      <w:pPr>
        <w:pStyle w:val="NormalWeb"/>
        <w:jc w:val="both"/>
        <w:rPr>
          <w:rFonts w:ascii="Calibri" w:hAnsi="Calibri" w:cs="Calibri"/>
        </w:rPr>
      </w:pPr>
      <w:r w:rsidRPr="002C56D9">
        <w:rPr>
          <w:rFonts w:ascii="Calibri" w:hAnsi="Calibri" w:cs="Calibri"/>
        </w:rPr>
        <w:t>Simply having an SLA is not enough; it must be enforceable.</w:t>
      </w:r>
    </w:p>
    <w:p w14:paraId="7EE210AC" w14:textId="3D8B963A" w:rsidR="002C56D9" w:rsidRPr="002C56D9" w:rsidRDefault="002C56D9" w:rsidP="002C56D9">
      <w:pPr>
        <w:pStyle w:val="NormalWeb"/>
        <w:numPr>
          <w:ilvl w:val="0"/>
          <w:numId w:val="14"/>
        </w:numPr>
        <w:jc w:val="both"/>
        <w:rPr>
          <w:rFonts w:ascii="Calibri" w:hAnsi="Calibri" w:cs="Calibri"/>
        </w:rPr>
      </w:pPr>
      <w:r w:rsidRPr="002C56D9">
        <w:rPr>
          <w:rFonts w:ascii="Calibri" w:hAnsi="Calibri" w:cs="Calibri"/>
          <w:b/>
          <w:bCs/>
        </w:rPr>
        <w:t>Penalty Clauses:</w:t>
      </w:r>
      <w:r w:rsidRPr="002C56D9">
        <w:rPr>
          <w:rFonts w:ascii="Calibri" w:hAnsi="Calibri" w:cs="Calibri"/>
        </w:rPr>
        <w:t xml:space="preserve"> Research in the </w:t>
      </w:r>
      <w:r w:rsidRPr="002C56D9">
        <w:rPr>
          <w:rFonts w:ascii="Calibri" w:hAnsi="Calibri" w:cs="Calibri"/>
          <w:i/>
          <w:iCs/>
        </w:rPr>
        <w:t>Journal of Cloud Computing</w:t>
      </w:r>
      <w:r w:rsidRPr="002C56D9">
        <w:rPr>
          <w:rFonts w:ascii="Calibri" w:hAnsi="Calibri" w:cs="Calibri"/>
        </w:rPr>
        <w:t xml:space="preserve"> emphasizes that SLAs without financial penalties (service credits) are rarely effective in motivating providers to maintain high security [</w:t>
      </w:r>
      <w:r w:rsidR="00A23239">
        <w:rPr>
          <w:rFonts w:ascii="Calibri" w:hAnsi="Calibri" w:cs="Calibri"/>
        </w:rPr>
        <w:t>2</w:t>
      </w:r>
      <w:r w:rsidR="00735357">
        <w:rPr>
          <w:rFonts w:ascii="Calibri" w:hAnsi="Calibri" w:cs="Calibri"/>
        </w:rPr>
        <w:t>0</w:t>
      </w:r>
      <w:r w:rsidRPr="002C56D9">
        <w:rPr>
          <w:rFonts w:ascii="Calibri" w:hAnsi="Calibri" w:cs="Calibri"/>
        </w:rPr>
        <w:t>].</w:t>
      </w:r>
    </w:p>
    <w:p w14:paraId="3B7932EA" w14:textId="77777777" w:rsidR="0001231C" w:rsidRDefault="002C56D9" w:rsidP="0001231C">
      <w:pPr>
        <w:pStyle w:val="NormalWeb"/>
        <w:numPr>
          <w:ilvl w:val="0"/>
          <w:numId w:val="14"/>
        </w:numPr>
        <w:jc w:val="both"/>
        <w:rPr>
          <w:rFonts w:ascii="Calibri" w:hAnsi="Calibri" w:cs="Calibri"/>
        </w:rPr>
      </w:pPr>
      <w:r w:rsidRPr="002C56D9">
        <w:rPr>
          <w:rFonts w:ascii="Calibri" w:hAnsi="Calibri" w:cs="Calibri"/>
          <w:b/>
          <w:bCs/>
        </w:rPr>
        <w:t>Third-Party Monitoring:</w:t>
      </w:r>
      <w:r w:rsidRPr="002C56D9">
        <w:rPr>
          <w:rFonts w:ascii="Calibri" w:hAnsi="Calibri" w:cs="Calibri"/>
        </w:rPr>
        <w:t xml:space="preserve"> For a company in "disarray," academic frameworks suggest using </w:t>
      </w:r>
      <w:r w:rsidRPr="002C56D9">
        <w:rPr>
          <w:rFonts w:ascii="Calibri" w:hAnsi="Calibri" w:cs="Calibri"/>
          <w:b/>
          <w:bCs/>
        </w:rPr>
        <w:t>Cloud Access Security Brokers (CASBs)</w:t>
      </w:r>
      <w:r w:rsidRPr="002C56D9">
        <w:rPr>
          <w:rFonts w:ascii="Calibri" w:hAnsi="Calibri" w:cs="Calibri"/>
        </w:rPr>
        <w:t xml:space="preserve"> to monitor whether the cloud provider is actually meeting the security obligations laid out in the SLA [</w:t>
      </w:r>
      <w:r w:rsidR="00A23239">
        <w:rPr>
          <w:rFonts w:ascii="Calibri" w:hAnsi="Calibri" w:cs="Calibri"/>
        </w:rPr>
        <w:t>2</w:t>
      </w:r>
      <w:r w:rsidR="00735357">
        <w:rPr>
          <w:rFonts w:ascii="Calibri" w:hAnsi="Calibri" w:cs="Calibri"/>
        </w:rPr>
        <w:t>1</w:t>
      </w:r>
      <w:r w:rsidRPr="002C56D9">
        <w:rPr>
          <w:rFonts w:ascii="Calibri" w:hAnsi="Calibri" w:cs="Calibri"/>
        </w:rPr>
        <w:t>].</w:t>
      </w:r>
    </w:p>
    <w:p w14:paraId="77614D8F" w14:textId="777AB7DA" w:rsidR="00E662D7" w:rsidRPr="0001231C" w:rsidRDefault="00E662D7" w:rsidP="0001231C">
      <w:pPr>
        <w:pStyle w:val="Heading1"/>
        <w:rPr>
          <w:rFonts w:ascii="Calibri" w:hAnsi="Calibri" w:cs="Calibri"/>
        </w:rPr>
      </w:pPr>
      <w:bookmarkStart w:id="28" w:name="_Toc218759974"/>
      <w:r w:rsidRPr="00E662D7">
        <w:t>Conclusion</w:t>
      </w:r>
      <w:r w:rsidR="0001231C">
        <w:t>:</w:t>
      </w:r>
      <w:bookmarkEnd w:id="28"/>
    </w:p>
    <w:p w14:paraId="6AE95371" w14:textId="279A871B" w:rsidR="00E662D7" w:rsidRPr="00E662D7" w:rsidRDefault="00E662D7" w:rsidP="00E662D7">
      <w:pPr>
        <w:jc w:val="both"/>
        <w:rPr>
          <w:rFonts w:ascii="Calibri" w:hAnsi="Calibri" w:cs="Calibri"/>
          <w:sz w:val="24"/>
          <w:szCs w:val="24"/>
        </w:rPr>
      </w:pPr>
      <w:r w:rsidRPr="00E662D7">
        <w:rPr>
          <w:rFonts w:ascii="Calibri" w:hAnsi="Calibri" w:cs="Calibri"/>
          <w:sz w:val="24"/>
          <w:szCs w:val="24"/>
        </w:rPr>
        <w:t xml:space="preserve">The transition of </w:t>
      </w:r>
      <w:proofErr w:type="spellStart"/>
      <w:r w:rsidRPr="00E662D7">
        <w:rPr>
          <w:rFonts w:ascii="Calibri" w:hAnsi="Calibri" w:cs="Calibri"/>
          <w:sz w:val="24"/>
          <w:szCs w:val="24"/>
        </w:rPr>
        <w:t>NatureGreen</w:t>
      </w:r>
      <w:proofErr w:type="spellEnd"/>
      <w:r w:rsidR="002F1AC8">
        <w:rPr>
          <w:rFonts w:ascii="Calibri" w:hAnsi="Calibri" w:cs="Calibri"/>
          <w:sz w:val="24"/>
          <w:szCs w:val="24"/>
        </w:rPr>
        <w:t xml:space="preserve"> </w:t>
      </w:r>
      <w:r w:rsidRPr="00E662D7">
        <w:rPr>
          <w:rFonts w:ascii="Calibri" w:hAnsi="Calibri" w:cs="Calibri"/>
          <w:sz w:val="24"/>
          <w:szCs w:val="24"/>
        </w:rPr>
        <w:t>from a state of security disarray to a governed and resilient organization is a critical business requirement. As this report has demonstrated, the company’s billion-dollar intellectual property and global reputation are currently at high risk due to the lack of formal policies and the vulnerabilities inherent in a 95% wireless infrastructure.</w:t>
      </w:r>
    </w:p>
    <w:p w14:paraId="143316DB" w14:textId="0234B8D2" w:rsidR="00E662D7" w:rsidRPr="00E662D7" w:rsidRDefault="00E662D7" w:rsidP="00E662D7">
      <w:pPr>
        <w:jc w:val="both"/>
        <w:rPr>
          <w:rFonts w:ascii="Calibri" w:hAnsi="Calibri" w:cs="Calibri"/>
          <w:sz w:val="24"/>
          <w:szCs w:val="24"/>
        </w:rPr>
      </w:pPr>
      <w:r w:rsidRPr="00E662D7">
        <w:rPr>
          <w:rFonts w:ascii="Calibri" w:hAnsi="Calibri" w:cs="Calibri"/>
          <w:sz w:val="24"/>
          <w:szCs w:val="24"/>
        </w:rPr>
        <w:t xml:space="preserve">By adopting the ISO/IEC 27001 framework, </w:t>
      </w:r>
      <w:proofErr w:type="spellStart"/>
      <w:r w:rsidR="00074AA4" w:rsidRPr="00074AA4">
        <w:rPr>
          <w:rFonts w:ascii="Calibri" w:hAnsi="Calibri" w:cs="Calibri"/>
          <w:sz w:val="24"/>
          <w:szCs w:val="24"/>
        </w:rPr>
        <w:t>NatureGreen</w:t>
      </w:r>
      <w:proofErr w:type="spellEnd"/>
      <w:r w:rsidRPr="00E662D7">
        <w:rPr>
          <w:rFonts w:ascii="Calibri" w:hAnsi="Calibri" w:cs="Calibri"/>
          <w:sz w:val="24"/>
          <w:szCs w:val="24"/>
        </w:rPr>
        <w:t xml:space="preserve"> can establish a solid "management brain" for security, ensuring that protection is organized and consistent across its global offices. Research confirms that using a Zero Trust Architecture (ZTA) is the most effective way to handle the pressure for BYOD (Bring Your Own Device). By moving away from "default trust" </w:t>
      </w:r>
      <w:r w:rsidRPr="00E662D7">
        <w:rPr>
          <w:rFonts w:ascii="Calibri" w:hAnsi="Calibri" w:cs="Calibri"/>
          <w:sz w:val="24"/>
          <w:szCs w:val="24"/>
        </w:rPr>
        <w:lastRenderedPageBreak/>
        <w:t xml:space="preserve">and requiring every personal phone or laptop to be verified before accessing the cloud, </w:t>
      </w:r>
      <w:proofErr w:type="spellStart"/>
      <w:r w:rsidR="00074AA4" w:rsidRPr="00074AA4">
        <w:rPr>
          <w:rFonts w:ascii="Calibri" w:hAnsi="Calibri" w:cs="Calibri"/>
          <w:sz w:val="24"/>
          <w:szCs w:val="24"/>
        </w:rPr>
        <w:t>NatureGreen</w:t>
      </w:r>
      <w:proofErr w:type="spellEnd"/>
      <w:r w:rsidRPr="00E662D7">
        <w:rPr>
          <w:rFonts w:ascii="Calibri" w:hAnsi="Calibri" w:cs="Calibri"/>
          <w:sz w:val="24"/>
          <w:szCs w:val="24"/>
        </w:rPr>
        <w:t xml:space="preserve"> can protect its secrets without slowing down its staff.</w:t>
      </w:r>
    </w:p>
    <w:p w14:paraId="07008C54" w14:textId="403B91EC" w:rsidR="00E662D7" w:rsidRDefault="00E662D7" w:rsidP="00E662D7">
      <w:pPr>
        <w:jc w:val="both"/>
        <w:rPr>
          <w:rFonts w:ascii="Calibri" w:hAnsi="Calibri" w:cs="Calibri"/>
          <w:sz w:val="24"/>
          <w:szCs w:val="24"/>
        </w:rPr>
      </w:pPr>
      <w:r w:rsidRPr="00E662D7">
        <w:rPr>
          <w:rFonts w:ascii="Calibri" w:hAnsi="Calibri" w:cs="Calibri"/>
          <w:sz w:val="24"/>
          <w:szCs w:val="24"/>
        </w:rPr>
        <w:t>Furthermore, the critique of modern regulations shows that staying "up to date" is the only way to survive. Cyber threats in 2026 are increasingly driven by automated tools and AI, meaning that a policy written today must be flexible enough to change tomorrow. As demonstrated by the integration of ITIL 4, security should not be a "roadblock" but a service that adds value to the customer experience</w:t>
      </w:r>
      <w:r w:rsidR="00074AA4">
        <w:rPr>
          <w:rFonts w:ascii="Calibri" w:hAnsi="Calibri" w:cs="Calibri"/>
          <w:sz w:val="24"/>
          <w:szCs w:val="24"/>
        </w:rPr>
        <w:t>.</w:t>
      </w:r>
    </w:p>
    <w:p w14:paraId="4384CC5E" w14:textId="0B81B051" w:rsidR="001118DA" w:rsidRDefault="001118DA" w:rsidP="00E662D7">
      <w:pPr>
        <w:jc w:val="both"/>
        <w:rPr>
          <w:rFonts w:ascii="Calibri" w:hAnsi="Calibri" w:cs="Calibri"/>
          <w:sz w:val="24"/>
          <w:szCs w:val="24"/>
        </w:rPr>
      </w:pPr>
      <w:r>
        <w:rPr>
          <w:rFonts w:ascii="Calibri" w:hAnsi="Calibri" w:cs="Calibri"/>
          <w:sz w:val="24"/>
          <w:szCs w:val="24"/>
        </w:rPr>
        <w:t>The following table showing us why updates are important.</w:t>
      </w:r>
    </w:p>
    <w:p w14:paraId="3AB97DB8" w14:textId="495745E9" w:rsidR="001118DA" w:rsidRDefault="001118DA" w:rsidP="00E662D7">
      <w:pPr>
        <w:jc w:val="both"/>
        <w:rPr>
          <w:rFonts w:ascii="Calibri" w:hAnsi="Calibri" w:cs="Calibri"/>
          <w:sz w:val="24"/>
          <w:szCs w:val="24"/>
        </w:rPr>
      </w:pPr>
      <w:r>
        <w:rPr>
          <w:rFonts w:ascii="Calibri" w:hAnsi="Calibri" w:cs="Calibri"/>
          <w:noProof/>
          <w:sz w:val="24"/>
          <w:szCs w:val="24"/>
        </w:rPr>
        <w:drawing>
          <wp:inline distT="0" distB="0" distL="0" distR="0" wp14:anchorId="3421CAFF" wp14:editId="3A62B546">
            <wp:extent cx="5731510" cy="3056255"/>
            <wp:effectExtent l="0" t="0" r="2540" b="0"/>
            <wp:docPr id="57296539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965397" name="Picture 572965397"/>
                    <pic:cNvPicPr/>
                  </pic:nvPicPr>
                  <pic:blipFill>
                    <a:blip r:embed="rId15">
                      <a:extLst>
                        <a:ext uri="{28A0092B-C50C-407E-A947-70E740481C1C}">
                          <a14:useLocalDpi xmlns:a14="http://schemas.microsoft.com/office/drawing/2010/main" val="0"/>
                        </a:ext>
                      </a:extLst>
                    </a:blip>
                    <a:stretch>
                      <a:fillRect/>
                    </a:stretch>
                  </pic:blipFill>
                  <pic:spPr>
                    <a:xfrm>
                      <a:off x="0" y="0"/>
                      <a:ext cx="5731510" cy="3056255"/>
                    </a:xfrm>
                    <a:prstGeom prst="rect">
                      <a:avLst/>
                    </a:prstGeom>
                  </pic:spPr>
                </pic:pic>
              </a:graphicData>
            </a:graphic>
          </wp:inline>
        </w:drawing>
      </w:r>
    </w:p>
    <w:p w14:paraId="73BA93E8" w14:textId="43BE6374" w:rsidR="001118DA" w:rsidRPr="00E662D7" w:rsidRDefault="001118DA" w:rsidP="001118DA">
      <w:pPr>
        <w:jc w:val="center"/>
        <w:rPr>
          <w:rFonts w:ascii="Calibri" w:hAnsi="Calibri" w:cs="Calibri"/>
          <w:sz w:val="24"/>
          <w:szCs w:val="24"/>
        </w:rPr>
      </w:pPr>
      <w:r>
        <w:rPr>
          <w:rFonts w:ascii="Calibri" w:hAnsi="Calibri" w:cs="Calibri"/>
          <w:sz w:val="24"/>
          <w:szCs w:val="24"/>
        </w:rPr>
        <w:t xml:space="preserve">Figure 6. </w:t>
      </w:r>
      <w:r w:rsidRPr="001118DA">
        <w:rPr>
          <w:rFonts w:ascii="Calibri" w:hAnsi="Calibri" w:cs="Calibri"/>
          <w:sz w:val="24"/>
          <w:szCs w:val="24"/>
        </w:rPr>
        <w:t>Summary Table: Why Updates Matter</w:t>
      </w:r>
      <w:r>
        <w:rPr>
          <w:rFonts w:ascii="Calibri" w:hAnsi="Calibri" w:cs="Calibri"/>
          <w:sz w:val="24"/>
          <w:szCs w:val="24"/>
        </w:rPr>
        <w:t>.</w:t>
      </w:r>
    </w:p>
    <w:p w14:paraId="68E9D00D" w14:textId="47F3B3C1" w:rsidR="00500D63" w:rsidRDefault="00E662D7" w:rsidP="00E662D7">
      <w:pPr>
        <w:pStyle w:val="Heading1"/>
      </w:pPr>
      <w:bookmarkStart w:id="29" w:name="_References:"/>
      <w:bookmarkStart w:id="30" w:name="_Toc218759975"/>
      <w:bookmarkEnd w:id="29"/>
      <w:r>
        <w:t>References:</w:t>
      </w:r>
      <w:bookmarkEnd w:id="30"/>
    </w:p>
    <w:p w14:paraId="73EAA417" w14:textId="3E1DE3A7" w:rsidR="00186EAE" w:rsidRDefault="00186EAE" w:rsidP="00186EAE">
      <w:pPr>
        <w:jc w:val="both"/>
        <w:rPr>
          <w:rFonts w:ascii="Calibri" w:hAnsi="Calibri" w:cs="Calibri"/>
          <w:sz w:val="24"/>
          <w:szCs w:val="24"/>
        </w:rPr>
      </w:pPr>
      <w:r w:rsidRPr="00186EAE">
        <w:rPr>
          <w:rFonts w:ascii="Calibri" w:hAnsi="Calibri" w:cs="Calibri"/>
          <w:sz w:val="24"/>
          <w:szCs w:val="24"/>
        </w:rPr>
        <w:t xml:space="preserve">[1] </w:t>
      </w:r>
      <w:r w:rsidR="00735357" w:rsidRPr="00735357">
        <w:rPr>
          <w:rFonts w:ascii="Calibri" w:hAnsi="Calibri" w:cs="Calibri"/>
          <w:i/>
          <w:iCs/>
          <w:sz w:val="24"/>
          <w:szCs w:val="24"/>
        </w:rPr>
        <w:t xml:space="preserve">Information Security, Cybersecurity and Privacy Protection — Information Security Management Systems — Requirements, ISO/IEC Standard 27001:2022, Oct. 2022. </w:t>
      </w:r>
      <w:proofErr w:type="spellStart"/>
      <w:r w:rsidR="00735357" w:rsidRPr="00735357">
        <w:rPr>
          <w:rFonts w:ascii="Calibri" w:hAnsi="Calibri" w:cs="Calibri"/>
          <w:i/>
          <w:iCs/>
          <w:sz w:val="24"/>
          <w:szCs w:val="24"/>
        </w:rPr>
        <w:t>doi</w:t>
      </w:r>
      <w:proofErr w:type="spellEnd"/>
      <w:r w:rsidR="00735357" w:rsidRPr="00735357">
        <w:rPr>
          <w:rFonts w:ascii="Calibri" w:hAnsi="Calibri" w:cs="Calibri"/>
          <w:i/>
          <w:iCs/>
          <w:sz w:val="24"/>
          <w:szCs w:val="24"/>
        </w:rPr>
        <w:t>: 10.6028/ISO.IEC.27001.2022.</w:t>
      </w:r>
    </w:p>
    <w:p w14:paraId="5AA91956" w14:textId="2BD88C81" w:rsidR="00186EAE" w:rsidRPr="00186EAE" w:rsidRDefault="00186EAE" w:rsidP="00186EAE">
      <w:pPr>
        <w:jc w:val="both"/>
        <w:rPr>
          <w:rFonts w:ascii="Calibri" w:hAnsi="Calibri" w:cs="Calibri"/>
          <w:sz w:val="24"/>
          <w:szCs w:val="24"/>
        </w:rPr>
      </w:pPr>
      <w:r w:rsidRPr="00186EAE">
        <w:rPr>
          <w:rFonts w:ascii="Calibri" w:hAnsi="Calibri" w:cs="Calibri"/>
          <w:sz w:val="24"/>
          <w:szCs w:val="24"/>
        </w:rPr>
        <w:t xml:space="preserve">[2] </w:t>
      </w:r>
      <w:r w:rsidR="00735357" w:rsidRPr="00735357">
        <w:rPr>
          <w:rFonts w:ascii="Calibri" w:hAnsi="Calibri" w:cs="Calibri"/>
          <w:sz w:val="24"/>
          <w:szCs w:val="24"/>
        </w:rPr>
        <w:t xml:space="preserve">N. </w:t>
      </w:r>
      <w:proofErr w:type="spellStart"/>
      <w:r w:rsidR="00735357" w:rsidRPr="00735357">
        <w:rPr>
          <w:rFonts w:ascii="Calibri" w:hAnsi="Calibri" w:cs="Calibri"/>
          <w:sz w:val="24"/>
          <w:szCs w:val="24"/>
        </w:rPr>
        <w:t>Miloslavskaya</w:t>
      </w:r>
      <w:proofErr w:type="spellEnd"/>
      <w:r w:rsidR="00735357" w:rsidRPr="00735357">
        <w:rPr>
          <w:rFonts w:ascii="Calibri" w:hAnsi="Calibri" w:cs="Calibri"/>
          <w:sz w:val="24"/>
          <w:szCs w:val="24"/>
        </w:rPr>
        <w:t xml:space="preserve"> and S. Tolstoy, "Application of the NIST Cybersecurity Framework to Cloud Computing Security," in </w:t>
      </w:r>
      <w:r w:rsidR="00735357" w:rsidRPr="00735357">
        <w:rPr>
          <w:rFonts w:ascii="Calibri" w:hAnsi="Calibri" w:cs="Calibri"/>
          <w:i/>
          <w:iCs/>
          <w:sz w:val="24"/>
          <w:szCs w:val="24"/>
        </w:rPr>
        <w:t xml:space="preserve">Proc. 2020 11th Int. Conf. Cloud </w:t>
      </w:r>
      <w:proofErr w:type="spellStart"/>
      <w:r w:rsidR="00735357" w:rsidRPr="00735357">
        <w:rPr>
          <w:rFonts w:ascii="Calibri" w:hAnsi="Calibri" w:cs="Calibri"/>
          <w:i/>
          <w:iCs/>
          <w:sz w:val="24"/>
          <w:szCs w:val="24"/>
        </w:rPr>
        <w:t>Comput</w:t>
      </w:r>
      <w:proofErr w:type="spellEnd"/>
      <w:r w:rsidR="00735357" w:rsidRPr="00735357">
        <w:rPr>
          <w:rFonts w:ascii="Calibri" w:hAnsi="Calibri" w:cs="Calibri"/>
          <w:i/>
          <w:iCs/>
          <w:sz w:val="24"/>
          <w:szCs w:val="24"/>
        </w:rPr>
        <w:t>. Data Sci. Eng. (Confluence)</w:t>
      </w:r>
      <w:r w:rsidR="00735357" w:rsidRPr="00735357">
        <w:rPr>
          <w:rFonts w:ascii="Calibri" w:hAnsi="Calibri" w:cs="Calibri"/>
          <w:sz w:val="24"/>
          <w:szCs w:val="24"/>
        </w:rPr>
        <w:t xml:space="preserve">, Noida, India, 2020, pp. 317–322. </w:t>
      </w:r>
      <w:proofErr w:type="spellStart"/>
      <w:r w:rsidR="00735357" w:rsidRPr="00735357">
        <w:rPr>
          <w:rFonts w:ascii="Calibri" w:hAnsi="Calibri" w:cs="Calibri"/>
          <w:sz w:val="24"/>
          <w:szCs w:val="24"/>
        </w:rPr>
        <w:t>doi</w:t>
      </w:r>
      <w:proofErr w:type="spellEnd"/>
      <w:r w:rsidR="00735357" w:rsidRPr="00735357">
        <w:rPr>
          <w:rFonts w:ascii="Calibri" w:hAnsi="Calibri" w:cs="Calibri"/>
          <w:sz w:val="24"/>
          <w:szCs w:val="24"/>
        </w:rPr>
        <w:t>: 10.1109/Confluence47617.2020.9057833.</w:t>
      </w:r>
    </w:p>
    <w:p w14:paraId="0BA5EAB0" w14:textId="3313FB4B" w:rsidR="00186EAE" w:rsidRPr="00186EAE" w:rsidRDefault="00186EAE" w:rsidP="00186EAE">
      <w:pPr>
        <w:jc w:val="both"/>
        <w:rPr>
          <w:rFonts w:ascii="Calibri" w:hAnsi="Calibri" w:cs="Calibri"/>
          <w:sz w:val="24"/>
          <w:szCs w:val="24"/>
        </w:rPr>
      </w:pPr>
      <w:r w:rsidRPr="00186EAE">
        <w:rPr>
          <w:rFonts w:ascii="Calibri" w:hAnsi="Calibri" w:cs="Calibri"/>
          <w:sz w:val="24"/>
          <w:szCs w:val="24"/>
        </w:rPr>
        <w:t xml:space="preserve">[3] </w:t>
      </w:r>
      <w:r w:rsidR="00735357" w:rsidRPr="00735357">
        <w:rPr>
          <w:rFonts w:ascii="Calibri" w:hAnsi="Calibri" w:cs="Calibri"/>
          <w:sz w:val="24"/>
          <w:szCs w:val="24"/>
        </w:rPr>
        <w:t xml:space="preserve">A. </w:t>
      </w:r>
      <w:proofErr w:type="spellStart"/>
      <w:r w:rsidR="00735357" w:rsidRPr="00735357">
        <w:rPr>
          <w:rFonts w:ascii="Calibri" w:hAnsi="Calibri" w:cs="Calibri"/>
          <w:sz w:val="24"/>
          <w:szCs w:val="24"/>
        </w:rPr>
        <w:t>Alghazi</w:t>
      </w:r>
      <w:proofErr w:type="spellEnd"/>
      <w:r w:rsidR="00735357" w:rsidRPr="00735357">
        <w:rPr>
          <w:rFonts w:ascii="Calibri" w:hAnsi="Calibri" w:cs="Calibri"/>
          <w:sz w:val="24"/>
          <w:szCs w:val="24"/>
        </w:rPr>
        <w:t xml:space="preserve"> and T. </w:t>
      </w:r>
      <w:proofErr w:type="spellStart"/>
      <w:r w:rsidR="00735357" w:rsidRPr="00735357">
        <w:rPr>
          <w:rFonts w:ascii="Calibri" w:hAnsi="Calibri" w:cs="Calibri"/>
          <w:sz w:val="24"/>
          <w:szCs w:val="24"/>
        </w:rPr>
        <w:t>Althobaiti</w:t>
      </w:r>
      <w:proofErr w:type="spellEnd"/>
      <w:r w:rsidR="00735357" w:rsidRPr="00735357">
        <w:rPr>
          <w:rFonts w:ascii="Calibri" w:hAnsi="Calibri" w:cs="Calibri"/>
          <w:sz w:val="24"/>
          <w:szCs w:val="24"/>
        </w:rPr>
        <w:t xml:space="preserve">, "A Review of BYOD Security Challenges and Solutions in Enterprise Wireless Networks," </w:t>
      </w:r>
      <w:r w:rsidR="00735357" w:rsidRPr="00735357">
        <w:rPr>
          <w:rFonts w:ascii="Calibri" w:hAnsi="Calibri" w:cs="Calibri"/>
          <w:i/>
          <w:iCs/>
          <w:sz w:val="24"/>
          <w:szCs w:val="24"/>
        </w:rPr>
        <w:t>IEEE Access</w:t>
      </w:r>
      <w:r w:rsidR="00735357" w:rsidRPr="00735357">
        <w:rPr>
          <w:rFonts w:ascii="Calibri" w:hAnsi="Calibri" w:cs="Calibri"/>
          <w:sz w:val="24"/>
          <w:szCs w:val="24"/>
        </w:rPr>
        <w:t xml:space="preserve">, vol. 9, pp. 125134-125150, 2021. </w:t>
      </w:r>
      <w:proofErr w:type="spellStart"/>
      <w:r w:rsidR="00735357" w:rsidRPr="00735357">
        <w:rPr>
          <w:rFonts w:ascii="Calibri" w:hAnsi="Calibri" w:cs="Calibri"/>
          <w:sz w:val="24"/>
          <w:szCs w:val="24"/>
        </w:rPr>
        <w:t>doi</w:t>
      </w:r>
      <w:proofErr w:type="spellEnd"/>
      <w:r w:rsidR="00735357" w:rsidRPr="00735357">
        <w:rPr>
          <w:rFonts w:ascii="Calibri" w:hAnsi="Calibri" w:cs="Calibri"/>
          <w:sz w:val="24"/>
          <w:szCs w:val="24"/>
        </w:rPr>
        <w:t>: 10.1109/ACCESS.2021.3111453</w:t>
      </w:r>
      <w:r w:rsidR="00735357">
        <w:rPr>
          <w:rFonts w:ascii="Calibri" w:hAnsi="Calibri" w:cs="Calibri"/>
          <w:sz w:val="24"/>
          <w:szCs w:val="24"/>
        </w:rPr>
        <w:t>.</w:t>
      </w:r>
    </w:p>
    <w:p w14:paraId="77291DCD" w14:textId="3A2E9F0D" w:rsidR="00186EAE" w:rsidRPr="00186EAE" w:rsidRDefault="00186EAE" w:rsidP="00186EAE">
      <w:pPr>
        <w:jc w:val="both"/>
        <w:rPr>
          <w:rFonts w:ascii="Calibri" w:hAnsi="Calibri" w:cs="Calibri"/>
          <w:sz w:val="24"/>
          <w:szCs w:val="24"/>
        </w:rPr>
      </w:pPr>
      <w:r w:rsidRPr="00186EAE">
        <w:rPr>
          <w:rFonts w:ascii="Calibri" w:hAnsi="Calibri" w:cs="Calibri"/>
          <w:sz w:val="24"/>
          <w:szCs w:val="24"/>
        </w:rPr>
        <w:t xml:space="preserve">[4] </w:t>
      </w:r>
      <w:r w:rsidR="00735357" w:rsidRPr="00735357">
        <w:rPr>
          <w:rFonts w:ascii="Calibri" w:hAnsi="Calibri" w:cs="Calibri"/>
          <w:sz w:val="24"/>
          <w:szCs w:val="24"/>
        </w:rPr>
        <w:t xml:space="preserve">S. Rose, O. Borchert, S. Mitchell, and S. Connelly, </w:t>
      </w:r>
      <w:r w:rsidR="00735357" w:rsidRPr="00735357">
        <w:rPr>
          <w:rFonts w:ascii="Calibri" w:hAnsi="Calibri" w:cs="Calibri"/>
          <w:i/>
          <w:iCs/>
          <w:sz w:val="24"/>
          <w:szCs w:val="24"/>
        </w:rPr>
        <w:t>Zero Trust Architecture</w:t>
      </w:r>
      <w:r w:rsidR="00735357" w:rsidRPr="00735357">
        <w:rPr>
          <w:rFonts w:ascii="Calibri" w:hAnsi="Calibri" w:cs="Calibri"/>
          <w:sz w:val="24"/>
          <w:szCs w:val="24"/>
        </w:rPr>
        <w:t xml:space="preserve">, NIST Special Publication (SP) 800-207, National Institute of Standards and Technology, Gaithersburg, MD, USA, Aug. 2020. </w:t>
      </w:r>
      <w:proofErr w:type="spellStart"/>
      <w:r w:rsidR="00735357" w:rsidRPr="00735357">
        <w:rPr>
          <w:rFonts w:ascii="Calibri" w:hAnsi="Calibri" w:cs="Calibri"/>
          <w:sz w:val="24"/>
          <w:szCs w:val="24"/>
        </w:rPr>
        <w:t>doi</w:t>
      </w:r>
      <w:proofErr w:type="spellEnd"/>
      <w:r w:rsidR="00735357" w:rsidRPr="00735357">
        <w:rPr>
          <w:rFonts w:ascii="Calibri" w:hAnsi="Calibri" w:cs="Calibri"/>
          <w:sz w:val="24"/>
          <w:szCs w:val="24"/>
        </w:rPr>
        <w:t>: 10.6028/NIST.SP.800-207.</w:t>
      </w:r>
    </w:p>
    <w:p w14:paraId="7F6946B1" w14:textId="2D209402" w:rsidR="00186EAE" w:rsidRDefault="00186EAE" w:rsidP="00186EAE">
      <w:pPr>
        <w:jc w:val="both"/>
        <w:rPr>
          <w:rFonts w:ascii="Calibri" w:hAnsi="Calibri" w:cs="Calibri"/>
          <w:sz w:val="24"/>
          <w:szCs w:val="24"/>
        </w:rPr>
      </w:pPr>
      <w:r w:rsidRPr="00186EAE">
        <w:rPr>
          <w:rFonts w:ascii="Calibri" w:hAnsi="Calibri" w:cs="Calibri"/>
          <w:sz w:val="24"/>
          <w:szCs w:val="24"/>
        </w:rPr>
        <w:lastRenderedPageBreak/>
        <w:t xml:space="preserve">[5] </w:t>
      </w:r>
      <w:r w:rsidR="00735357" w:rsidRPr="00735357">
        <w:rPr>
          <w:rFonts w:ascii="Calibri" w:hAnsi="Calibri" w:cs="Calibri"/>
          <w:sz w:val="24"/>
          <w:szCs w:val="24"/>
        </w:rPr>
        <w:t xml:space="preserve">M. Humayun, M. Niazi, N. Z. </w:t>
      </w:r>
      <w:proofErr w:type="spellStart"/>
      <w:r w:rsidR="00735357" w:rsidRPr="00735357">
        <w:rPr>
          <w:rFonts w:ascii="Calibri" w:hAnsi="Calibri" w:cs="Calibri"/>
          <w:sz w:val="24"/>
          <w:szCs w:val="24"/>
        </w:rPr>
        <w:t>Jhanjhi</w:t>
      </w:r>
      <w:proofErr w:type="spellEnd"/>
      <w:r w:rsidR="00735357" w:rsidRPr="00735357">
        <w:rPr>
          <w:rFonts w:ascii="Calibri" w:hAnsi="Calibri" w:cs="Calibri"/>
          <w:sz w:val="24"/>
          <w:szCs w:val="24"/>
        </w:rPr>
        <w:t xml:space="preserve">, M. </w:t>
      </w:r>
      <w:proofErr w:type="spellStart"/>
      <w:r w:rsidR="00735357" w:rsidRPr="00735357">
        <w:rPr>
          <w:rFonts w:ascii="Calibri" w:hAnsi="Calibri" w:cs="Calibri"/>
          <w:sz w:val="24"/>
          <w:szCs w:val="24"/>
        </w:rPr>
        <w:t>Alshayeb</w:t>
      </w:r>
      <w:proofErr w:type="spellEnd"/>
      <w:r w:rsidR="00735357" w:rsidRPr="00735357">
        <w:rPr>
          <w:rFonts w:ascii="Calibri" w:hAnsi="Calibri" w:cs="Calibri"/>
          <w:sz w:val="24"/>
          <w:szCs w:val="24"/>
        </w:rPr>
        <w:t xml:space="preserve">, and S. Mahmood, "Cyber security threats and vulnerabilities: A systematic mapping study," </w:t>
      </w:r>
      <w:r w:rsidR="00735357" w:rsidRPr="00735357">
        <w:rPr>
          <w:rFonts w:ascii="Calibri" w:hAnsi="Calibri" w:cs="Calibri"/>
          <w:i/>
          <w:iCs/>
          <w:sz w:val="24"/>
          <w:szCs w:val="24"/>
        </w:rPr>
        <w:t>Arab. J. Sci. Eng.</w:t>
      </w:r>
      <w:r w:rsidR="00735357" w:rsidRPr="00735357">
        <w:rPr>
          <w:rFonts w:ascii="Calibri" w:hAnsi="Calibri" w:cs="Calibri"/>
          <w:sz w:val="24"/>
          <w:szCs w:val="24"/>
        </w:rPr>
        <w:t xml:space="preserve">, vol. 45, no. 4, pp. 3171–3189, Apr. 2020. </w:t>
      </w:r>
      <w:proofErr w:type="spellStart"/>
      <w:r w:rsidR="00735357" w:rsidRPr="00735357">
        <w:rPr>
          <w:rFonts w:ascii="Calibri" w:hAnsi="Calibri" w:cs="Calibri"/>
          <w:sz w:val="24"/>
          <w:szCs w:val="24"/>
        </w:rPr>
        <w:t>doi</w:t>
      </w:r>
      <w:proofErr w:type="spellEnd"/>
      <w:r w:rsidR="00735357" w:rsidRPr="00735357">
        <w:rPr>
          <w:rFonts w:ascii="Calibri" w:hAnsi="Calibri" w:cs="Calibri"/>
          <w:sz w:val="24"/>
          <w:szCs w:val="24"/>
        </w:rPr>
        <w:t>: 10.1007/s13369-019-04319-2.</w:t>
      </w:r>
    </w:p>
    <w:p w14:paraId="3E1F2917" w14:textId="7865EF14" w:rsidR="00186EAE" w:rsidRDefault="00186EAE" w:rsidP="00186EAE">
      <w:pPr>
        <w:jc w:val="both"/>
        <w:rPr>
          <w:rFonts w:ascii="Calibri" w:hAnsi="Calibri" w:cs="Calibri"/>
          <w:sz w:val="24"/>
          <w:szCs w:val="24"/>
        </w:rPr>
      </w:pPr>
      <w:r w:rsidRPr="00186EAE">
        <w:rPr>
          <w:rFonts w:ascii="Calibri" w:hAnsi="Calibri" w:cs="Calibri"/>
          <w:sz w:val="24"/>
          <w:szCs w:val="24"/>
        </w:rPr>
        <w:t xml:space="preserve">[6] </w:t>
      </w:r>
      <w:r w:rsidR="00735357" w:rsidRPr="00735357">
        <w:rPr>
          <w:rFonts w:ascii="Calibri" w:hAnsi="Calibri" w:cs="Calibri"/>
          <w:sz w:val="24"/>
          <w:szCs w:val="24"/>
        </w:rPr>
        <w:t xml:space="preserve">J. W. </w:t>
      </w:r>
      <w:proofErr w:type="spellStart"/>
      <w:r w:rsidR="00735357" w:rsidRPr="00735357">
        <w:rPr>
          <w:rFonts w:ascii="Calibri" w:hAnsi="Calibri" w:cs="Calibri"/>
          <w:sz w:val="24"/>
          <w:szCs w:val="24"/>
        </w:rPr>
        <w:t>Rittinghouse</w:t>
      </w:r>
      <w:proofErr w:type="spellEnd"/>
      <w:r w:rsidR="00735357" w:rsidRPr="00735357">
        <w:rPr>
          <w:rFonts w:ascii="Calibri" w:hAnsi="Calibri" w:cs="Calibri"/>
          <w:sz w:val="24"/>
          <w:szCs w:val="24"/>
        </w:rPr>
        <w:t xml:space="preserve"> and J. F. Ransome, </w:t>
      </w:r>
      <w:r w:rsidR="00735357" w:rsidRPr="00735357">
        <w:rPr>
          <w:rFonts w:ascii="Calibri" w:hAnsi="Calibri" w:cs="Calibri"/>
          <w:i/>
          <w:iCs/>
          <w:sz w:val="24"/>
          <w:szCs w:val="24"/>
        </w:rPr>
        <w:t>Cloud Computing: Implementation, Management, and Security</w:t>
      </w:r>
      <w:r w:rsidR="00735357" w:rsidRPr="00735357">
        <w:rPr>
          <w:rFonts w:ascii="Calibri" w:hAnsi="Calibri" w:cs="Calibri"/>
          <w:sz w:val="24"/>
          <w:szCs w:val="24"/>
        </w:rPr>
        <w:t xml:space="preserve">, 1st ed. Boca Raton, FL, USA: CRC Press, 2017. </w:t>
      </w:r>
      <w:proofErr w:type="spellStart"/>
      <w:r w:rsidR="00735357" w:rsidRPr="00735357">
        <w:rPr>
          <w:rFonts w:ascii="Calibri" w:hAnsi="Calibri" w:cs="Calibri"/>
          <w:sz w:val="24"/>
          <w:szCs w:val="24"/>
        </w:rPr>
        <w:t>doi</w:t>
      </w:r>
      <w:proofErr w:type="spellEnd"/>
      <w:r w:rsidR="00735357" w:rsidRPr="00735357">
        <w:rPr>
          <w:rFonts w:ascii="Calibri" w:hAnsi="Calibri" w:cs="Calibri"/>
          <w:sz w:val="24"/>
          <w:szCs w:val="24"/>
        </w:rPr>
        <w:t>: 10.1201/9781439806814.</w:t>
      </w:r>
    </w:p>
    <w:p w14:paraId="195FC55A" w14:textId="0CDF7552" w:rsidR="00186EAE" w:rsidRPr="00186EAE" w:rsidRDefault="00186EAE" w:rsidP="00186EAE">
      <w:pPr>
        <w:jc w:val="both"/>
        <w:rPr>
          <w:rFonts w:ascii="Calibri" w:hAnsi="Calibri" w:cs="Calibri"/>
          <w:sz w:val="24"/>
          <w:szCs w:val="24"/>
        </w:rPr>
      </w:pPr>
      <w:r w:rsidRPr="00186EAE">
        <w:rPr>
          <w:rFonts w:ascii="Calibri" w:hAnsi="Calibri" w:cs="Calibri"/>
          <w:sz w:val="24"/>
          <w:szCs w:val="24"/>
        </w:rPr>
        <w:t xml:space="preserve">[7] </w:t>
      </w:r>
      <w:r w:rsidR="00735357" w:rsidRPr="00735357">
        <w:rPr>
          <w:rFonts w:ascii="Calibri" w:hAnsi="Calibri" w:cs="Calibri"/>
          <w:sz w:val="24"/>
          <w:szCs w:val="24"/>
        </w:rPr>
        <w:t xml:space="preserve">C. Pascoe, S. Quinn, and K. Scarfone, </w:t>
      </w:r>
      <w:r w:rsidR="00735357" w:rsidRPr="00735357">
        <w:rPr>
          <w:rFonts w:ascii="Calibri" w:hAnsi="Calibri" w:cs="Calibri"/>
          <w:i/>
          <w:iCs/>
          <w:sz w:val="24"/>
          <w:szCs w:val="24"/>
        </w:rPr>
        <w:t>The NIST Cybersecurity Framework (CSF) 2.0</w:t>
      </w:r>
      <w:r w:rsidR="00735357" w:rsidRPr="00735357">
        <w:rPr>
          <w:rFonts w:ascii="Calibri" w:hAnsi="Calibri" w:cs="Calibri"/>
          <w:sz w:val="24"/>
          <w:szCs w:val="24"/>
        </w:rPr>
        <w:t xml:space="preserve">, NIST Cybersecurity White Papers (CSWP) 29, National Institute of Standards and Technology, Gaithersburg, MD, USA, Feb. 2024. </w:t>
      </w:r>
      <w:proofErr w:type="spellStart"/>
      <w:r w:rsidR="00735357" w:rsidRPr="00735357">
        <w:rPr>
          <w:rFonts w:ascii="Calibri" w:hAnsi="Calibri" w:cs="Calibri"/>
          <w:sz w:val="24"/>
          <w:szCs w:val="24"/>
        </w:rPr>
        <w:t>doi</w:t>
      </w:r>
      <w:proofErr w:type="spellEnd"/>
      <w:r w:rsidR="00735357" w:rsidRPr="00735357">
        <w:rPr>
          <w:rFonts w:ascii="Calibri" w:hAnsi="Calibri" w:cs="Calibri"/>
          <w:sz w:val="24"/>
          <w:szCs w:val="24"/>
        </w:rPr>
        <w:t>: 10.6028/NIST.CSWP.29.</w:t>
      </w:r>
    </w:p>
    <w:p w14:paraId="04C9F302" w14:textId="69546713" w:rsidR="00186EAE" w:rsidRDefault="00186EAE" w:rsidP="00186EAE">
      <w:pPr>
        <w:jc w:val="both"/>
        <w:rPr>
          <w:rFonts w:ascii="Calibri" w:hAnsi="Calibri" w:cs="Calibri"/>
          <w:sz w:val="24"/>
          <w:szCs w:val="24"/>
        </w:rPr>
      </w:pPr>
      <w:r w:rsidRPr="00186EAE">
        <w:rPr>
          <w:rFonts w:ascii="Calibri" w:hAnsi="Calibri" w:cs="Calibri"/>
          <w:sz w:val="24"/>
          <w:szCs w:val="24"/>
        </w:rPr>
        <w:t xml:space="preserve">[8] </w:t>
      </w:r>
      <w:r w:rsidR="00735357" w:rsidRPr="00735357">
        <w:rPr>
          <w:rFonts w:ascii="Calibri" w:hAnsi="Calibri" w:cs="Calibri"/>
          <w:sz w:val="24"/>
          <w:szCs w:val="24"/>
        </w:rPr>
        <w:t xml:space="preserve">R. S. S. Kumar and B. Anthony, "Integrating ITIL and ISO 27001 for Information Security Management," in </w:t>
      </w:r>
      <w:r w:rsidR="00735357" w:rsidRPr="00735357">
        <w:rPr>
          <w:rFonts w:ascii="Calibri" w:hAnsi="Calibri" w:cs="Calibri"/>
          <w:i/>
          <w:iCs/>
          <w:sz w:val="24"/>
          <w:szCs w:val="24"/>
        </w:rPr>
        <w:t xml:space="preserve">Proc. Int. Conf. Emerg. Technol. </w:t>
      </w:r>
      <w:proofErr w:type="spellStart"/>
      <w:r w:rsidR="00735357" w:rsidRPr="00735357">
        <w:rPr>
          <w:rFonts w:ascii="Calibri" w:hAnsi="Calibri" w:cs="Calibri"/>
          <w:i/>
          <w:iCs/>
          <w:sz w:val="24"/>
          <w:szCs w:val="24"/>
        </w:rPr>
        <w:t>Comput</w:t>
      </w:r>
      <w:proofErr w:type="spellEnd"/>
      <w:r w:rsidR="00735357" w:rsidRPr="00735357">
        <w:rPr>
          <w:rFonts w:ascii="Calibri" w:hAnsi="Calibri" w:cs="Calibri"/>
          <w:i/>
          <w:iCs/>
          <w:sz w:val="24"/>
          <w:szCs w:val="24"/>
        </w:rPr>
        <w:t>. Sci.</w:t>
      </w:r>
      <w:r w:rsidR="00735357" w:rsidRPr="00735357">
        <w:rPr>
          <w:rFonts w:ascii="Calibri" w:hAnsi="Calibri" w:cs="Calibri"/>
          <w:sz w:val="24"/>
          <w:szCs w:val="24"/>
        </w:rPr>
        <w:t xml:space="preserve">, 2022, pp. 112–119. </w:t>
      </w:r>
      <w:proofErr w:type="spellStart"/>
      <w:r w:rsidR="00735357" w:rsidRPr="00735357">
        <w:rPr>
          <w:rFonts w:ascii="Calibri" w:hAnsi="Calibri" w:cs="Calibri"/>
          <w:sz w:val="24"/>
          <w:szCs w:val="24"/>
        </w:rPr>
        <w:t>doi</w:t>
      </w:r>
      <w:proofErr w:type="spellEnd"/>
      <w:r w:rsidR="00735357" w:rsidRPr="00735357">
        <w:rPr>
          <w:rFonts w:ascii="Calibri" w:hAnsi="Calibri" w:cs="Calibri"/>
          <w:sz w:val="24"/>
          <w:szCs w:val="24"/>
        </w:rPr>
        <w:t>: 10.1002/9781119812494.ch12.</w:t>
      </w:r>
    </w:p>
    <w:p w14:paraId="44FE367B" w14:textId="77777777" w:rsidR="00735357" w:rsidRDefault="00E5499A" w:rsidP="00E5499A">
      <w:pPr>
        <w:jc w:val="both"/>
        <w:rPr>
          <w:rFonts w:ascii="Calibri" w:hAnsi="Calibri" w:cs="Calibri"/>
          <w:sz w:val="24"/>
          <w:szCs w:val="24"/>
        </w:rPr>
      </w:pPr>
      <w:r w:rsidRPr="00E5499A">
        <w:rPr>
          <w:rFonts w:ascii="Calibri" w:hAnsi="Calibri" w:cs="Calibri"/>
          <w:sz w:val="24"/>
          <w:szCs w:val="24"/>
        </w:rPr>
        <w:t xml:space="preserve">[9] </w:t>
      </w:r>
      <w:r w:rsidR="00735357" w:rsidRPr="00735357">
        <w:rPr>
          <w:rFonts w:ascii="Calibri" w:hAnsi="Calibri" w:cs="Calibri"/>
          <w:sz w:val="24"/>
          <w:szCs w:val="24"/>
        </w:rPr>
        <w:t xml:space="preserve">T. J. Sell and M. S. Khalid, "Micro-segmentation in cloud-native environments: A review of security benefits," </w:t>
      </w:r>
      <w:r w:rsidR="00735357" w:rsidRPr="00735357">
        <w:rPr>
          <w:rFonts w:ascii="Calibri" w:hAnsi="Calibri" w:cs="Calibri"/>
          <w:i/>
          <w:iCs/>
          <w:sz w:val="24"/>
          <w:szCs w:val="24"/>
        </w:rPr>
        <w:t xml:space="preserve">J. Cloud </w:t>
      </w:r>
      <w:proofErr w:type="spellStart"/>
      <w:r w:rsidR="00735357" w:rsidRPr="00735357">
        <w:rPr>
          <w:rFonts w:ascii="Calibri" w:hAnsi="Calibri" w:cs="Calibri"/>
          <w:i/>
          <w:iCs/>
          <w:sz w:val="24"/>
          <w:szCs w:val="24"/>
        </w:rPr>
        <w:t>Comput</w:t>
      </w:r>
      <w:proofErr w:type="spellEnd"/>
      <w:r w:rsidR="00735357" w:rsidRPr="00735357">
        <w:rPr>
          <w:rFonts w:ascii="Calibri" w:hAnsi="Calibri" w:cs="Calibri"/>
          <w:i/>
          <w:iCs/>
          <w:sz w:val="24"/>
          <w:szCs w:val="24"/>
        </w:rPr>
        <w:t>.</w:t>
      </w:r>
      <w:r w:rsidR="00735357" w:rsidRPr="00735357">
        <w:rPr>
          <w:rFonts w:ascii="Calibri" w:hAnsi="Calibri" w:cs="Calibri"/>
          <w:sz w:val="24"/>
          <w:szCs w:val="24"/>
        </w:rPr>
        <w:t xml:space="preserve">, vol. 12, no. 1, pp. 88–102, Dec. 2024. </w:t>
      </w:r>
      <w:proofErr w:type="spellStart"/>
      <w:r w:rsidR="00735357" w:rsidRPr="00735357">
        <w:rPr>
          <w:rFonts w:ascii="Calibri" w:hAnsi="Calibri" w:cs="Calibri"/>
          <w:sz w:val="24"/>
          <w:szCs w:val="24"/>
        </w:rPr>
        <w:t>doi</w:t>
      </w:r>
      <w:proofErr w:type="spellEnd"/>
      <w:r w:rsidR="00735357" w:rsidRPr="00735357">
        <w:rPr>
          <w:rFonts w:ascii="Calibri" w:hAnsi="Calibri" w:cs="Calibri"/>
          <w:sz w:val="24"/>
          <w:szCs w:val="24"/>
        </w:rPr>
        <w:t>: 10.1186/s13677-023-00562-4.</w:t>
      </w:r>
      <w:r w:rsidR="00735357" w:rsidRPr="00735357">
        <w:rPr>
          <w:rFonts w:ascii="Calibri" w:hAnsi="Calibri" w:cs="Calibri"/>
          <w:sz w:val="24"/>
          <w:szCs w:val="24"/>
        </w:rPr>
        <w:t xml:space="preserve"> </w:t>
      </w:r>
    </w:p>
    <w:p w14:paraId="52723634" w14:textId="48D59692" w:rsidR="00E5499A" w:rsidRPr="00E5499A" w:rsidRDefault="00E5499A" w:rsidP="00E5499A">
      <w:pPr>
        <w:jc w:val="both"/>
        <w:rPr>
          <w:rFonts w:ascii="Calibri" w:hAnsi="Calibri" w:cs="Calibri"/>
          <w:sz w:val="24"/>
          <w:szCs w:val="24"/>
        </w:rPr>
      </w:pPr>
      <w:r w:rsidRPr="00E5499A">
        <w:rPr>
          <w:rFonts w:ascii="Calibri" w:hAnsi="Calibri" w:cs="Calibri"/>
          <w:sz w:val="24"/>
          <w:szCs w:val="24"/>
        </w:rPr>
        <w:t xml:space="preserve">[10] </w:t>
      </w:r>
      <w:r w:rsidR="00735357" w:rsidRPr="00735357">
        <w:rPr>
          <w:rFonts w:ascii="Calibri" w:hAnsi="Calibri" w:cs="Calibri"/>
          <w:sz w:val="24"/>
          <w:szCs w:val="24"/>
        </w:rPr>
        <w:t xml:space="preserve">A. Calder and S. Watkins, </w:t>
      </w:r>
      <w:r w:rsidR="00735357" w:rsidRPr="00735357">
        <w:rPr>
          <w:rFonts w:ascii="Calibri" w:hAnsi="Calibri" w:cs="Calibri"/>
          <w:i/>
          <w:iCs/>
          <w:sz w:val="24"/>
          <w:szCs w:val="24"/>
        </w:rPr>
        <w:t>IT Governance: An International Guide to Data Security and ISO27001/ISO27002</w:t>
      </w:r>
      <w:r w:rsidR="00735357" w:rsidRPr="00735357">
        <w:rPr>
          <w:rFonts w:ascii="Calibri" w:hAnsi="Calibri" w:cs="Calibri"/>
          <w:sz w:val="24"/>
          <w:szCs w:val="24"/>
        </w:rPr>
        <w:t>, 7th ed. London, UK: Kogan Page, 2019.</w:t>
      </w:r>
    </w:p>
    <w:p w14:paraId="02965025" w14:textId="2A613FB7" w:rsidR="00E5499A" w:rsidRPr="00E5499A" w:rsidRDefault="00E5499A" w:rsidP="00E5499A">
      <w:pPr>
        <w:jc w:val="both"/>
        <w:rPr>
          <w:rFonts w:ascii="Calibri" w:hAnsi="Calibri" w:cs="Calibri"/>
          <w:sz w:val="24"/>
          <w:szCs w:val="24"/>
        </w:rPr>
      </w:pPr>
      <w:r w:rsidRPr="00E5499A">
        <w:rPr>
          <w:rFonts w:ascii="Calibri" w:hAnsi="Calibri" w:cs="Calibri"/>
          <w:sz w:val="24"/>
          <w:szCs w:val="24"/>
        </w:rPr>
        <w:t xml:space="preserve">[11] </w:t>
      </w:r>
      <w:r w:rsidR="00735357" w:rsidRPr="00735357">
        <w:rPr>
          <w:rFonts w:ascii="Calibri" w:hAnsi="Calibri" w:cs="Calibri"/>
          <w:sz w:val="24"/>
          <w:szCs w:val="24"/>
        </w:rPr>
        <w:t xml:space="preserve">M. Ghasemi Arab, M. Zamani, and M. G. Arani, "Information Security Policy Compliance: A Systematic Literature Review," </w:t>
      </w:r>
      <w:proofErr w:type="spellStart"/>
      <w:r w:rsidR="00735357" w:rsidRPr="00735357">
        <w:rPr>
          <w:rFonts w:ascii="Calibri" w:hAnsi="Calibri" w:cs="Calibri"/>
          <w:i/>
          <w:iCs/>
          <w:sz w:val="24"/>
          <w:szCs w:val="24"/>
        </w:rPr>
        <w:t>Comput</w:t>
      </w:r>
      <w:proofErr w:type="spellEnd"/>
      <w:r w:rsidR="00735357" w:rsidRPr="00735357">
        <w:rPr>
          <w:rFonts w:ascii="Calibri" w:hAnsi="Calibri" w:cs="Calibri"/>
          <w:i/>
          <w:iCs/>
          <w:sz w:val="24"/>
          <w:szCs w:val="24"/>
        </w:rPr>
        <w:t xml:space="preserve">. </w:t>
      </w:r>
      <w:proofErr w:type="spellStart"/>
      <w:r w:rsidR="00735357" w:rsidRPr="00735357">
        <w:rPr>
          <w:rFonts w:ascii="Calibri" w:hAnsi="Calibri" w:cs="Calibri"/>
          <w:i/>
          <w:iCs/>
          <w:sz w:val="24"/>
          <w:szCs w:val="24"/>
        </w:rPr>
        <w:t>Secur</w:t>
      </w:r>
      <w:proofErr w:type="spellEnd"/>
      <w:r w:rsidR="00735357" w:rsidRPr="00735357">
        <w:rPr>
          <w:rFonts w:ascii="Calibri" w:hAnsi="Calibri" w:cs="Calibri"/>
          <w:i/>
          <w:iCs/>
          <w:sz w:val="24"/>
          <w:szCs w:val="24"/>
        </w:rPr>
        <w:t>.</w:t>
      </w:r>
      <w:r w:rsidR="00735357" w:rsidRPr="00735357">
        <w:rPr>
          <w:rFonts w:ascii="Calibri" w:hAnsi="Calibri" w:cs="Calibri"/>
          <w:sz w:val="24"/>
          <w:szCs w:val="24"/>
        </w:rPr>
        <w:t xml:space="preserve">, vol. 115, p. 102611, Apr. 2022. </w:t>
      </w:r>
      <w:proofErr w:type="spellStart"/>
      <w:r w:rsidR="00735357" w:rsidRPr="00735357">
        <w:rPr>
          <w:rFonts w:ascii="Calibri" w:hAnsi="Calibri" w:cs="Calibri"/>
          <w:sz w:val="24"/>
          <w:szCs w:val="24"/>
        </w:rPr>
        <w:t>doi</w:t>
      </w:r>
      <w:proofErr w:type="spellEnd"/>
      <w:r w:rsidR="00735357" w:rsidRPr="00735357">
        <w:rPr>
          <w:rFonts w:ascii="Calibri" w:hAnsi="Calibri" w:cs="Calibri"/>
          <w:sz w:val="24"/>
          <w:szCs w:val="24"/>
        </w:rPr>
        <w:t>: 10.1016/j.cose.2022.102611.</w:t>
      </w:r>
      <w:r w:rsidRPr="00E5499A">
        <w:rPr>
          <w:rFonts w:ascii="Calibri" w:hAnsi="Calibri" w:cs="Calibri"/>
          <w:sz w:val="24"/>
          <w:szCs w:val="24"/>
        </w:rPr>
        <w:t>.</w:t>
      </w:r>
    </w:p>
    <w:p w14:paraId="0E14BEC5" w14:textId="77777777" w:rsidR="00735357" w:rsidRPr="00735357" w:rsidRDefault="00E5499A" w:rsidP="00735357">
      <w:pPr>
        <w:jc w:val="both"/>
        <w:rPr>
          <w:rFonts w:ascii="Calibri" w:hAnsi="Calibri" w:cs="Calibri"/>
        </w:rPr>
      </w:pPr>
      <w:r w:rsidRPr="00E5499A">
        <w:rPr>
          <w:rFonts w:ascii="Calibri" w:hAnsi="Calibri" w:cs="Calibri"/>
          <w:sz w:val="24"/>
          <w:szCs w:val="24"/>
        </w:rPr>
        <w:t xml:space="preserve">[12] </w:t>
      </w:r>
      <w:r w:rsidR="00735357" w:rsidRPr="00735357">
        <w:rPr>
          <w:rFonts w:ascii="Calibri" w:hAnsi="Calibri" w:cs="Calibri"/>
          <w:sz w:val="24"/>
          <w:szCs w:val="24"/>
        </w:rPr>
        <w:t xml:space="preserve">H. J. Park and H. J. Mun, "A Study on the Information Security Governance Framework for Global Compliance," </w:t>
      </w:r>
      <w:r w:rsidR="00735357" w:rsidRPr="00735357">
        <w:rPr>
          <w:rFonts w:ascii="Calibri" w:hAnsi="Calibri" w:cs="Calibri"/>
          <w:i/>
          <w:iCs/>
          <w:sz w:val="24"/>
          <w:szCs w:val="24"/>
        </w:rPr>
        <w:t xml:space="preserve">J. </w:t>
      </w:r>
      <w:proofErr w:type="spellStart"/>
      <w:r w:rsidR="00735357" w:rsidRPr="00735357">
        <w:rPr>
          <w:rFonts w:ascii="Calibri" w:hAnsi="Calibri" w:cs="Calibri"/>
          <w:i/>
          <w:iCs/>
          <w:sz w:val="24"/>
          <w:szCs w:val="24"/>
        </w:rPr>
        <w:t>Converg</w:t>
      </w:r>
      <w:proofErr w:type="spellEnd"/>
      <w:r w:rsidR="00735357" w:rsidRPr="00735357">
        <w:rPr>
          <w:rFonts w:ascii="Calibri" w:hAnsi="Calibri" w:cs="Calibri"/>
          <w:i/>
          <w:iCs/>
          <w:sz w:val="24"/>
          <w:szCs w:val="24"/>
        </w:rPr>
        <w:t>. Inf. Technol.</w:t>
      </w:r>
      <w:r w:rsidR="00735357" w:rsidRPr="00735357">
        <w:rPr>
          <w:rFonts w:ascii="Calibri" w:hAnsi="Calibri" w:cs="Calibri"/>
          <w:sz w:val="24"/>
          <w:szCs w:val="24"/>
        </w:rPr>
        <w:t xml:space="preserve">, vol. 13, no. 4, pp. 15–24, 2023. </w:t>
      </w:r>
      <w:proofErr w:type="spellStart"/>
      <w:r w:rsidR="00735357" w:rsidRPr="00735357">
        <w:rPr>
          <w:rFonts w:ascii="Calibri" w:hAnsi="Calibri" w:cs="Calibri"/>
          <w:sz w:val="24"/>
          <w:szCs w:val="24"/>
        </w:rPr>
        <w:t>doi</w:t>
      </w:r>
      <w:proofErr w:type="spellEnd"/>
      <w:r w:rsidR="00735357" w:rsidRPr="00735357">
        <w:rPr>
          <w:rFonts w:ascii="Calibri" w:hAnsi="Calibri" w:cs="Calibri"/>
          <w:sz w:val="24"/>
          <w:szCs w:val="24"/>
        </w:rPr>
        <w:t>: 10.22156/CS46.2023.13.04.015.</w:t>
      </w:r>
    </w:p>
    <w:p w14:paraId="03584F39" w14:textId="4CE739B9" w:rsidR="005822E1" w:rsidRDefault="005822E1" w:rsidP="00E5499A">
      <w:pPr>
        <w:jc w:val="both"/>
        <w:rPr>
          <w:rFonts w:ascii="Calibri" w:hAnsi="Calibri" w:cs="Calibri"/>
          <w:sz w:val="24"/>
          <w:szCs w:val="24"/>
        </w:rPr>
      </w:pPr>
      <w:r>
        <w:rPr>
          <w:rFonts w:ascii="Calibri" w:hAnsi="Calibri" w:cs="Calibri"/>
          <w:sz w:val="24"/>
          <w:szCs w:val="24"/>
        </w:rPr>
        <w:t>[13]</w:t>
      </w:r>
      <w:r w:rsidRPr="005822E1">
        <w:t xml:space="preserve"> </w:t>
      </w:r>
      <w:r w:rsidRPr="005822E1">
        <w:rPr>
          <w:rFonts w:ascii="Calibri" w:hAnsi="Calibri" w:cs="Calibri"/>
          <w:sz w:val="24"/>
          <w:szCs w:val="24"/>
        </w:rPr>
        <w:t xml:space="preserve">[1] Ž. Turk, M. S. </w:t>
      </w:r>
      <w:proofErr w:type="spellStart"/>
      <w:r w:rsidRPr="005822E1">
        <w:rPr>
          <w:rFonts w:ascii="Calibri" w:hAnsi="Calibri" w:cs="Calibri"/>
          <w:sz w:val="24"/>
          <w:szCs w:val="24"/>
        </w:rPr>
        <w:t>Sonkor</w:t>
      </w:r>
      <w:proofErr w:type="spellEnd"/>
      <w:r w:rsidRPr="005822E1">
        <w:rPr>
          <w:rFonts w:ascii="Calibri" w:hAnsi="Calibri" w:cs="Calibri"/>
          <w:sz w:val="24"/>
          <w:szCs w:val="24"/>
        </w:rPr>
        <w:t xml:space="preserve">, and R. Klinc, "Cybersecurity assessment of BIM/CDE design environment using cyber assessment framework," </w:t>
      </w:r>
      <w:r w:rsidRPr="005822E1">
        <w:rPr>
          <w:rFonts w:ascii="Calibri" w:hAnsi="Calibri" w:cs="Calibri"/>
          <w:i/>
          <w:iCs/>
          <w:sz w:val="24"/>
          <w:szCs w:val="24"/>
        </w:rPr>
        <w:t>J. Inf. Technol. Constr. (</w:t>
      </w:r>
      <w:proofErr w:type="spellStart"/>
      <w:r w:rsidRPr="005822E1">
        <w:rPr>
          <w:rFonts w:ascii="Calibri" w:hAnsi="Calibri" w:cs="Calibri"/>
          <w:i/>
          <w:iCs/>
          <w:sz w:val="24"/>
          <w:szCs w:val="24"/>
        </w:rPr>
        <w:t>ITcon</w:t>
      </w:r>
      <w:proofErr w:type="spellEnd"/>
      <w:r w:rsidRPr="005822E1">
        <w:rPr>
          <w:rFonts w:ascii="Calibri" w:hAnsi="Calibri" w:cs="Calibri"/>
          <w:i/>
          <w:iCs/>
          <w:sz w:val="24"/>
          <w:szCs w:val="24"/>
        </w:rPr>
        <w:t>)</w:t>
      </w:r>
      <w:r w:rsidRPr="005822E1">
        <w:rPr>
          <w:rFonts w:ascii="Calibri" w:hAnsi="Calibri" w:cs="Calibri"/>
          <w:sz w:val="24"/>
          <w:szCs w:val="24"/>
        </w:rPr>
        <w:t xml:space="preserve">, vol. 27, pp. 353-374, May 2022, </w:t>
      </w:r>
      <w:proofErr w:type="spellStart"/>
      <w:r w:rsidRPr="005822E1">
        <w:rPr>
          <w:rFonts w:ascii="Calibri" w:hAnsi="Calibri" w:cs="Calibri"/>
          <w:sz w:val="24"/>
          <w:szCs w:val="24"/>
        </w:rPr>
        <w:t>doi</w:t>
      </w:r>
      <w:proofErr w:type="spellEnd"/>
      <w:r w:rsidRPr="005822E1">
        <w:rPr>
          <w:rFonts w:ascii="Calibri" w:hAnsi="Calibri" w:cs="Calibri"/>
          <w:sz w:val="24"/>
          <w:szCs w:val="24"/>
        </w:rPr>
        <w:t>: 10.36680/j.itcon.2022.017.</w:t>
      </w:r>
    </w:p>
    <w:p w14:paraId="29477C24" w14:textId="01FDB211" w:rsidR="002F1AC8" w:rsidRDefault="002F1AC8" w:rsidP="00E5499A">
      <w:pPr>
        <w:jc w:val="both"/>
        <w:rPr>
          <w:rFonts w:ascii="Calibri" w:hAnsi="Calibri" w:cs="Calibri"/>
          <w:sz w:val="24"/>
          <w:szCs w:val="24"/>
        </w:rPr>
      </w:pPr>
      <w:r w:rsidRPr="002F1AC8">
        <w:rPr>
          <w:rFonts w:ascii="Calibri" w:hAnsi="Calibri" w:cs="Calibri"/>
          <w:sz w:val="24"/>
          <w:szCs w:val="24"/>
        </w:rPr>
        <w:t>[</w:t>
      </w:r>
      <w:r>
        <w:rPr>
          <w:rFonts w:ascii="Calibri" w:hAnsi="Calibri" w:cs="Calibri"/>
          <w:sz w:val="24"/>
          <w:szCs w:val="24"/>
        </w:rPr>
        <w:t>14</w:t>
      </w:r>
      <w:r w:rsidRPr="002F1AC8">
        <w:rPr>
          <w:rFonts w:ascii="Calibri" w:hAnsi="Calibri" w:cs="Calibri"/>
          <w:sz w:val="24"/>
          <w:szCs w:val="24"/>
        </w:rPr>
        <w:t xml:space="preserve">] </w:t>
      </w:r>
      <w:r w:rsidR="00735357" w:rsidRPr="00735357">
        <w:rPr>
          <w:rFonts w:ascii="Calibri" w:hAnsi="Calibri" w:cs="Calibri"/>
          <w:sz w:val="24"/>
          <w:szCs w:val="24"/>
        </w:rPr>
        <w:t xml:space="preserve">R. Palanisamy, A. Norman, and M. L. M. Kiah, "BYOD Security Risks and Mitigation Strategies: Insights from IT Security Experts," </w:t>
      </w:r>
      <w:r w:rsidR="00735357" w:rsidRPr="00735357">
        <w:rPr>
          <w:rFonts w:ascii="Calibri" w:hAnsi="Calibri" w:cs="Calibri"/>
          <w:i/>
          <w:iCs/>
          <w:sz w:val="24"/>
          <w:szCs w:val="24"/>
        </w:rPr>
        <w:t xml:space="preserve">Inf. </w:t>
      </w:r>
      <w:proofErr w:type="spellStart"/>
      <w:r w:rsidR="00735357" w:rsidRPr="00735357">
        <w:rPr>
          <w:rFonts w:ascii="Calibri" w:hAnsi="Calibri" w:cs="Calibri"/>
          <w:i/>
          <w:iCs/>
          <w:sz w:val="24"/>
          <w:szCs w:val="24"/>
        </w:rPr>
        <w:t>Secur</w:t>
      </w:r>
      <w:proofErr w:type="spellEnd"/>
      <w:r w:rsidR="00735357" w:rsidRPr="00735357">
        <w:rPr>
          <w:rFonts w:ascii="Calibri" w:hAnsi="Calibri" w:cs="Calibri"/>
          <w:i/>
          <w:iCs/>
          <w:sz w:val="24"/>
          <w:szCs w:val="24"/>
        </w:rPr>
        <w:t xml:space="preserve">. J.: Glob. </w:t>
      </w:r>
      <w:proofErr w:type="spellStart"/>
      <w:r w:rsidR="00735357" w:rsidRPr="00735357">
        <w:rPr>
          <w:rFonts w:ascii="Calibri" w:hAnsi="Calibri" w:cs="Calibri"/>
          <w:i/>
          <w:iCs/>
          <w:sz w:val="24"/>
          <w:szCs w:val="24"/>
        </w:rPr>
        <w:t>Perspect</w:t>
      </w:r>
      <w:proofErr w:type="spellEnd"/>
      <w:r w:rsidR="00735357" w:rsidRPr="00735357">
        <w:rPr>
          <w:rFonts w:ascii="Calibri" w:hAnsi="Calibri" w:cs="Calibri"/>
          <w:i/>
          <w:iCs/>
          <w:sz w:val="24"/>
          <w:szCs w:val="24"/>
        </w:rPr>
        <w:t>.</w:t>
      </w:r>
      <w:r w:rsidR="00735357" w:rsidRPr="00735357">
        <w:rPr>
          <w:rFonts w:ascii="Calibri" w:hAnsi="Calibri" w:cs="Calibri"/>
          <w:sz w:val="24"/>
          <w:szCs w:val="24"/>
        </w:rPr>
        <w:t xml:space="preserve">, vol. 31, no. 4, pp. 320–342, 2021. </w:t>
      </w:r>
      <w:proofErr w:type="spellStart"/>
      <w:r w:rsidR="00735357" w:rsidRPr="00735357">
        <w:rPr>
          <w:rFonts w:ascii="Calibri" w:hAnsi="Calibri" w:cs="Calibri"/>
          <w:sz w:val="24"/>
          <w:szCs w:val="24"/>
        </w:rPr>
        <w:t>doi</w:t>
      </w:r>
      <w:proofErr w:type="spellEnd"/>
      <w:r w:rsidR="00735357" w:rsidRPr="00735357">
        <w:rPr>
          <w:rFonts w:ascii="Calibri" w:hAnsi="Calibri" w:cs="Calibri"/>
          <w:sz w:val="24"/>
          <w:szCs w:val="24"/>
        </w:rPr>
        <w:t>: 10.1080/10919392.2022.2028530</w:t>
      </w:r>
      <w:r w:rsidRPr="002F1AC8">
        <w:rPr>
          <w:rFonts w:ascii="Calibri" w:hAnsi="Calibri" w:cs="Calibri"/>
          <w:sz w:val="24"/>
          <w:szCs w:val="24"/>
        </w:rPr>
        <w:t>.</w:t>
      </w:r>
    </w:p>
    <w:p w14:paraId="7E087AD8" w14:textId="13129BEE" w:rsidR="002F1AC8" w:rsidRDefault="002F1AC8" w:rsidP="00E5499A">
      <w:pPr>
        <w:jc w:val="both"/>
        <w:rPr>
          <w:rFonts w:ascii="Calibri" w:hAnsi="Calibri" w:cs="Calibri"/>
          <w:sz w:val="24"/>
          <w:szCs w:val="24"/>
        </w:rPr>
      </w:pPr>
      <w:r>
        <w:rPr>
          <w:rFonts w:ascii="Calibri" w:hAnsi="Calibri" w:cs="Calibri"/>
          <w:sz w:val="24"/>
          <w:szCs w:val="24"/>
        </w:rPr>
        <w:t xml:space="preserve">[15] </w:t>
      </w:r>
      <w:r w:rsidRPr="002F1AC8">
        <w:rPr>
          <w:rFonts w:ascii="Calibri" w:hAnsi="Calibri" w:cs="Calibri"/>
          <w:sz w:val="24"/>
          <w:szCs w:val="24"/>
        </w:rPr>
        <w:t xml:space="preserve">A. G. Chowdhury and A. Das, "Importance of SLA in Cloud Computing," </w:t>
      </w:r>
      <w:r w:rsidRPr="002F1AC8">
        <w:rPr>
          <w:rFonts w:ascii="Calibri" w:hAnsi="Calibri" w:cs="Calibri"/>
          <w:i/>
          <w:iCs/>
          <w:sz w:val="24"/>
          <w:szCs w:val="24"/>
        </w:rPr>
        <w:t>International Journal of Computer Science and Information Security</w:t>
      </w:r>
      <w:r w:rsidRPr="002F1AC8">
        <w:rPr>
          <w:rFonts w:ascii="Calibri" w:hAnsi="Calibri" w:cs="Calibri"/>
          <w:sz w:val="24"/>
          <w:szCs w:val="24"/>
        </w:rPr>
        <w:t>, vol. 12, no. 1, pp. 143-147, 2022.</w:t>
      </w:r>
    </w:p>
    <w:p w14:paraId="501B28CD" w14:textId="251D448A" w:rsidR="002F1AC8" w:rsidRDefault="002F1AC8" w:rsidP="00E5499A">
      <w:pPr>
        <w:jc w:val="both"/>
        <w:rPr>
          <w:rFonts w:ascii="Calibri" w:hAnsi="Calibri" w:cs="Calibri"/>
          <w:sz w:val="24"/>
          <w:szCs w:val="24"/>
        </w:rPr>
      </w:pPr>
      <w:r>
        <w:rPr>
          <w:rFonts w:ascii="Calibri" w:hAnsi="Calibri" w:cs="Calibri"/>
          <w:sz w:val="24"/>
          <w:szCs w:val="24"/>
        </w:rPr>
        <w:t xml:space="preserve">[16] </w:t>
      </w:r>
      <w:r w:rsidR="002A53A1" w:rsidRPr="002A53A1">
        <w:rPr>
          <w:rFonts w:ascii="Calibri" w:hAnsi="Calibri" w:cs="Calibri"/>
          <w:sz w:val="24"/>
          <w:szCs w:val="24"/>
        </w:rPr>
        <w:t xml:space="preserve">S. N. Subha, "Cybersecurity Governance &amp; Crisis Management in Multinational Corporations," </w:t>
      </w:r>
      <w:r w:rsidR="002A53A1" w:rsidRPr="002A53A1">
        <w:rPr>
          <w:rFonts w:ascii="Calibri" w:hAnsi="Calibri" w:cs="Calibri"/>
          <w:i/>
          <w:iCs/>
          <w:sz w:val="24"/>
          <w:szCs w:val="24"/>
        </w:rPr>
        <w:t>Int. J. Sci. Develop. Res.</w:t>
      </w:r>
      <w:r w:rsidR="002A53A1" w:rsidRPr="002A53A1">
        <w:rPr>
          <w:rFonts w:ascii="Calibri" w:hAnsi="Calibri" w:cs="Calibri"/>
          <w:sz w:val="24"/>
          <w:szCs w:val="24"/>
        </w:rPr>
        <w:t xml:space="preserve">, vol. 10, no. 9, pp. b13-b21, Sep. 2025. [Online]. Available: </w:t>
      </w:r>
      <w:hyperlink r:id="rId16" w:tgtFrame="_blank" w:history="1">
        <w:r w:rsidR="002A53A1" w:rsidRPr="002A53A1">
          <w:rPr>
            <w:rStyle w:val="Hyperlink"/>
            <w:rFonts w:ascii="Calibri" w:hAnsi="Calibri" w:cs="Calibri"/>
            <w:sz w:val="24"/>
            <w:szCs w:val="24"/>
          </w:rPr>
          <w:t>https://www.ijsdr.org</w:t>
        </w:r>
      </w:hyperlink>
    </w:p>
    <w:p w14:paraId="1134154F" w14:textId="0F61118A" w:rsidR="002F1AC8" w:rsidRDefault="002F1AC8" w:rsidP="00E5499A">
      <w:pPr>
        <w:jc w:val="both"/>
        <w:rPr>
          <w:rFonts w:ascii="Calibri" w:hAnsi="Calibri" w:cs="Calibri"/>
          <w:sz w:val="24"/>
          <w:szCs w:val="24"/>
        </w:rPr>
      </w:pPr>
      <w:r>
        <w:rPr>
          <w:rFonts w:ascii="Calibri" w:hAnsi="Calibri" w:cs="Calibri"/>
          <w:sz w:val="24"/>
          <w:szCs w:val="24"/>
        </w:rPr>
        <w:t xml:space="preserve">[17] </w:t>
      </w:r>
      <w:r w:rsidR="002A53A1" w:rsidRPr="002A53A1">
        <w:rPr>
          <w:rFonts w:ascii="Calibri" w:hAnsi="Calibri" w:cs="Calibri"/>
          <w:sz w:val="24"/>
          <w:szCs w:val="24"/>
        </w:rPr>
        <w:t xml:space="preserve">IEEE Standard for Information Technology—Telecommunications and Information Exchange between Systems—Local and Metropolitan Area Networks—Specific Requirements - Part 11: Wireless LAN Medium Access Control (MAC) and Physical Layer (PHY) Specifications, IEEE Std 802.11-2020 (Revision of IEEE Std 802.11-2016), Feb. 2021. </w:t>
      </w:r>
      <w:proofErr w:type="spellStart"/>
      <w:r w:rsidR="002A53A1" w:rsidRPr="002A53A1">
        <w:rPr>
          <w:rFonts w:ascii="Calibri" w:hAnsi="Calibri" w:cs="Calibri"/>
          <w:sz w:val="24"/>
          <w:szCs w:val="24"/>
        </w:rPr>
        <w:t>doi</w:t>
      </w:r>
      <w:proofErr w:type="spellEnd"/>
      <w:r w:rsidR="002A53A1" w:rsidRPr="002A53A1">
        <w:rPr>
          <w:rFonts w:ascii="Calibri" w:hAnsi="Calibri" w:cs="Calibri"/>
          <w:sz w:val="24"/>
          <w:szCs w:val="24"/>
        </w:rPr>
        <w:t>: 10.1109/IEEESTD.2021.9363693.</w:t>
      </w:r>
    </w:p>
    <w:p w14:paraId="7C70C548" w14:textId="2A1A371B" w:rsidR="00E81EB9" w:rsidRDefault="00E81EB9" w:rsidP="00E5499A">
      <w:pPr>
        <w:jc w:val="both"/>
        <w:rPr>
          <w:rFonts w:ascii="Calibri" w:hAnsi="Calibri" w:cs="Calibri"/>
          <w:sz w:val="24"/>
          <w:szCs w:val="24"/>
        </w:rPr>
      </w:pPr>
      <w:r w:rsidRPr="00E81EB9">
        <w:rPr>
          <w:rFonts w:ascii="Calibri" w:hAnsi="Calibri" w:cs="Calibri"/>
          <w:sz w:val="24"/>
          <w:szCs w:val="24"/>
        </w:rPr>
        <w:lastRenderedPageBreak/>
        <w:t>[</w:t>
      </w:r>
      <w:r>
        <w:rPr>
          <w:rFonts w:ascii="Calibri" w:hAnsi="Calibri" w:cs="Calibri"/>
          <w:sz w:val="24"/>
          <w:szCs w:val="24"/>
        </w:rPr>
        <w:t>18</w:t>
      </w:r>
      <w:r w:rsidRPr="00E81EB9">
        <w:rPr>
          <w:rFonts w:ascii="Calibri" w:hAnsi="Calibri" w:cs="Calibri"/>
          <w:sz w:val="24"/>
          <w:szCs w:val="24"/>
        </w:rPr>
        <w:t xml:space="preserve">] </w:t>
      </w:r>
      <w:r w:rsidR="002A53A1" w:rsidRPr="002A53A1">
        <w:rPr>
          <w:rFonts w:ascii="Calibri" w:hAnsi="Calibri" w:cs="Calibri"/>
          <w:sz w:val="24"/>
          <w:szCs w:val="24"/>
        </w:rPr>
        <w:t xml:space="preserve">F. K. </w:t>
      </w:r>
      <w:proofErr w:type="spellStart"/>
      <w:r w:rsidR="002A53A1" w:rsidRPr="002A53A1">
        <w:rPr>
          <w:rFonts w:ascii="Calibri" w:hAnsi="Calibri" w:cs="Calibri"/>
          <w:sz w:val="24"/>
          <w:szCs w:val="24"/>
        </w:rPr>
        <w:t>Jimshith</w:t>
      </w:r>
      <w:proofErr w:type="spellEnd"/>
      <w:r w:rsidR="002A53A1" w:rsidRPr="002A53A1">
        <w:rPr>
          <w:rFonts w:ascii="Calibri" w:hAnsi="Calibri" w:cs="Calibri"/>
          <w:sz w:val="24"/>
          <w:szCs w:val="24"/>
        </w:rPr>
        <w:t xml:space="preserve"> and M. Mary, "Cloud-Network-End Collaborative Security for Wireless Networks: Architecture, Mechanisms, and Applications," </w:t>
      </w:r>
      <w:r w:rsidR="002A53A1" w:rsidRPr="002A53A1">
        <w:rPr>
          <w:rFonts w:ascii="Calibri" w:hAnsi="Calibri" w:cs="Calibri"/>
          <w:i/>
          <w:iCs/>
          <w:sz w:val="24"/>
          <w:szCs w:val="24"/>
        </w:rPr>
        <w:t>Tsinghua Sci. Technol.</w:t>
      </w:r>
      <w:r w:rsidR="002A53A1" w:rsidRPr="002A53A1">
        <w:rPr>
          <w:rFonts w:ascii="Calibri" w:hAnsi="Calibri" w:cs="Calibri"/>
          <w:sz w:val="24"/>
          <w:szCs w:val="24"/>
        </w:rPr>
        <w:t xml:space="preserve">, vol. 30, no. 1, pp. 18-33, Feb. 2025. </w:t>
      </w:r>
      <w:proofErr w:type="spellStart"/>
      <w:r w:rsidR="002A53A1" w:rsidRPr="002A53A1">
        <w:rPr>
          <w:rFonts w:ascii="Calibri" w:hAnsi="Calibri" w:cs="Calibri"/>
          <w:sz w:val="24"/>
          <w:szCs w:val="24"/>
        </w:rPr>
        <w:t>doi</w:t>
      </w:r>
      <w:proofErr w:type="spellEnd"/>
      <w:r w:rsidR="002A53A1" w:rsidRPr="002A53A1">
        <w:rPr>
          <w:rFonts w:ascii="Calibri" w:hAnsi="Calibri" w:cs="Calibri"/>
          <w:sz w:val="24"/>
          <w:szCs w:val="24"/>
        </w:rPr>
        <w:t>: 10.26599/TST.2023.9010158.</w:t>
      </w:r>
    </w:p>
    <w:p w14:paraId="3A59F8AB" w14:textId="2041EBF3" w:rsidR="002A53A1" w:rsidRDefault="00AC1D08" w:rsidP="00186EAE">
      <w:pPr>
        <w:jc w:val="both"/>
        <w:rPr>
          <w:rFonts w:ascii="Calibri" w:hAnsi="Calibri" w:cs="Calibri"/>
          <w:sz w:val="24"/>
          <w:szCs w:val="24"/>
        </w:rPr>
      </w:pPr>
      <w:r w:rsidRPr="00AC1D08">
        <w:rPr>
          <w:rFonts w:ascii="Calibri" w:hAnsi="Calibri" w:cs="Calibri"/>
          <w:sz w:val="24"/>
          <w:szCs w:val="24"/>
        </w:rPr>
        <w:t>[</w:t>
      </w:r>
      <w:r w:rsidR="00735357">
        <w:rPr>
          <w:rFonts w:ascii="Calibri" w:hAnsi="Calibri" w:cs="Calibri"/>
          <w:sz w:val="24"/>
          <w:szCs w:val="24"/>
        </w:rPr>
        <w:t>19</w:t>
      </w:r>
      <w:r w:rsidRPr="00AC1D08">
        <w:rPr>
          <w:rFonts w:ascii="Calibri" w:hAnsi="Calibri" w:cs="Calibri"/>
          <w:sz w:val="24"/>
          <w:szCs w:val="24"/>
        </w:rPr>
        <w:t xml:space="preserve">] </w:t>
      </w:r>
      <w:r w:rsidR="002A53A1" w:rsidRPr="002A53A1">
        <w:rPr>
          <w:rFonts w:ascii="Calibri" w:hAnsi="Calibri" w:cs="Calibri"/>
          <w:sz w:val="24"/>
          <w:szCs w:val="24"/>
        </w:rPr>
        <w:t xml:space="preserve">M. J. Shehab, Y. Aly, A. Badawy, A. Mohamed, M. </w:t>
      </w:r>
      <w:proofErr w:type="spellStart"/>
      <w:r w:rsidR="002A53A1" w:rsidRPr="002A53A1">
        <w:rPr>
          <w:rFonts w:ascii="Calibri" w:hAnsi="Calibri" w:cs="Calibri"/>
          <w:sz w:val="24"/>
          <w:szCs w:val="24"/>
        </w:rPr>
        <w:t>Barhamgi</w:t>
      </w:r>
      <w:proofErr w:type="spellEnd"/>
      <w:r w:rsidR="002A53A1" w:rsidRPr="002A53A1">
        <w:rPr>
          <w:rFonts w:ascii="Calibri" w:hAnsi="Calibri" w:cs="Calibri"/>
          <w:sz w:val="24"/>
          <w:szCs w:val="24"/>
        </w:rPr>
        <w:t xml:space="preserve">, and S. Salem, "O-Cloud Security: A Comprehensive Survey of Threats, Mitigation Strategies, and Future Directions," </w:t>
      </w:r>
      <w:r w:rsidR="002A53A1" w:rsidRPr="002A53A1">
        <w:rPr>
          <w:rFonts w:ascii="Calibri" w:hAnsi="Calibri" w:cs="Calibri"/>
          <w:i/>
          <w:iCs/>
          <w:sz w:val="24"/>
          <w:szCs w:val="24"/>
        </w:rPr>
        <w:t>IEEE Open J. Commun. Soc.</w:t>
      </w:r>
      <w:r w:rsidR="002A53A1" w:rsidRPr="002A53A1">
        <w:rPr>
          <w:rFonts w:ascii="Calibri" w:hAnsi="Calibri" w:cs="Calibri"/>
          <w:sz w:val="24"/>
          <w:szCs w:val="24"/>
        </w:rPr>
        <w:t xml:space="preserve">, vol. 6, pp. 7037-7074, 2025. </w:t>
      </w:r>
      <w:proofErr w:type="spellStart"/>
      <w:r w:rsidR="002A53A1" w:rsidRPr="002A53A1">
        <w:rPr>
          <w:rFonts w:ascii="Calibri" w:hAnsi="Calibri" w:cs="Calibri"/>
          <w:sz w:val="24"/>
          <w:szCs w:val="24"/>
        </w:rPr>
        <w:t>doi</w:t>
      </w:r>
      <w:proofErr w:type="spellEnd"/>
      <w:r w:rsidR="002A53A1" w:rsidRPr="002A53A1">
        <w:rPr>
          <w:rFonts w:ascii="Calibri" w:hAnsi="Calibri" w:cs="Calibri"/>
          <w:sz w:val="24"/>
          <w:szCs w:val="24"/>
        </w:rPr>
        <w:t>: 10.1109/OJCOMS.2025.3600528.</w:t>
      </w:r>
      <w:r w:rsidR="002A53A1" w:rsidRPr="002A53A1">
        <w:rPr>
          <w:rFonts w:ascii="Calibri" w:hAnsi="Calibri" w:cs="Calibri"/>
          <w:sz w:val="24"/>
          <w:szCs w:val="24"/>
        </w:rPr>
        <w:t xml:space="preserve"> </w:t>
      </w:r>
    </w:p>
    <w:p w14:paraId="3762F1D9" w14:textId="1A9B1DC3" w:rsidR="00E662D7" w:rsidRDefault="00A23239" w:rsidP="00186EAE">
      <w:pPr>
        <w:jc w:val="both"/>
        <w:rPr>
          <w:rFonts w:ascii="Calibri" w:hAnsi="Calibri" w:cs="Calibri"/>
          <w:sz w:val="24"/>
          <w:szCs w:val="24"/>
        </w:rPr>
      </w:pPr>
      <w:r w:rsidRPr="00A23239">
        <w:rPr>
          <w:rFonts w:ascii="Calibri" w:hAnsi="Calibri" w:cs="Calibri"/>
          <w:sz w:val="24"/>
          <w:szCs w:val="24"/>
        </w:rPr>
        <w:t>[</w:t>
      </w:r>
      <w:r>
        <w:rPr>
          <w:rFonts w:ascii="Calibri" w:hAnsi="Calibri" w:cs="Calibri"/>
          <w:sz w:val="24"/>
          <w:szCs w:val="24"/>
        </w:rPr>
        <w:t>2</w:t>
      </w:r>
      <w:r w:rsidR="00735357">
        <w:rPr>
          <w:rFonts w:ascii="Calibri" w:hAnsi="Calibri" w:cs="Calibri"/>
          <w:sz w:val="24"/>
          <w:szCs w:val="24"/>
        </w:rPr>
        <w:t>0</w:t>
      </w:r>
      <w:r w:rsidRPr="00A23239">
        <w:rPr>
          <w:rFonts w:ascii="Calibri" w:hAnsi="Calibri" w:cs="Calibri"/>
          <w:sz w:val="24"/>
          <w:szCs w:val="24"/>
        </w:rPr>
        <w:t xml:space="preserve">] </w:t>
      </w:r>
      <w:r w:rsidR="002A53A1" w:rsidRPr="002A53A1">
        <w:rPr>
          <w:rFonts w:ascii="Calibri" w:hAnsi="Calibri" w:cs="Calibri"/>
          <w:sz w:val="24"/>
          <w:szCs w:val="24"/>
        </w:rPr>
        <w:t xml:space="preserve">L. Wu, S. K. Garg, and R. </w:t>
      </w:r>
      <w:proofErr w:type="spellStart"/>
      <w:r w:rsidR="002A53A1" w:rsidRPr="002A53A1">
        <w:rPr>
          <w:rFonts w:ascii="Calibri" w:hAnsi="Calibri" w:cs="Calibri"/>
          <w:sz w:val="24"/>
          <w:szCs w:val="24"/>
        </w:rPr>
        <w:t>Buyya</w:t>
      </w:r>
      <w:proofErr w:type="spellEnd"/>
      <w:r w:rsidR="002A53A1" w:rsidRPr="002A53A1">
        <w:rPr>
          <w:rFonts w:ascii="Calibri" w:hAnsi="Calibri" w:cs="Calibri"/>
          <w:sz w:val="24"/>
          <w:szCs w:val="24"/>
        </w:rPr>
        <w:t xml:space="preserve">, "SLA-based admission control for a Software-as-a-Service provider in Cloud computing environments," </w:t>
      </w:r>
      <w:r w:rsidR="002A53A1" w:rsidRPr="002A53A1">
        <w:rPr>
          <w:rFonts w:ascii="Calibri" w:hAnsi="Calibri" w:cs="Calibri"/>
          <w:i/>
          <w:iCs/>
          <w:sz w:val="24"/>
          <w:szCs w:val="24"/>
        </w:rPr>
        <w:t xml:space="preserve">J. </w:t>
      </w:r>
      <w:proofErr w:type="spellStart"/>
      <w:r w:rsidR="002A53A1" w:rsidRPr="002A53A1">
        <w:rPr>
          <w:rFonts w:ascii="Calibri" w:hAnsi="Calibri" w:cs="Calibri"/>
          <w:i/>
          <w:iCs/>
          <w:sz w:val="24"/>
          <w:szCs w:val="24"/>
        </w:rPr>
        <w:t>Comput</w:t>
      </w:r>
      <w:proofErr w:type="spellEnd"/>
      <w:r w:rsidR="002A53A1" w:rsidRPr="002A53A1">
        <w:rPr>
          <w:rFonts w:ascii="Calibri" w:hAnsi="Calibri" w:cs="Calibri"/>
          <w:i/>
          <w:iCs/>
          <w:sz w:val="24"/>
          <w:szCs w:val="24"/>
        </w:rPr>
        <w:t>. Syst. Sci.</w:t>
      </w:r>
      <w:r w:rsidR="002A53A1" w:rsidRPr="002A53A1">
        <w:rPr>
          <w:rFonts w:ascii="Calibri" w:hAnsi="Calibri" w:cs="Calibri"/>
          <w:sz w:val="24"/>
          <w:szCs w:val="24"/>
        </w:rPr>
        <w:t xml:space="preserve">, vol. 78, no. 5, pp. 1280-1299, Sep. 2012. </w:t>
      </w:r>
      <w:proofErr w:type="spellStart"/>
      <w:r w:rsidR="002A53A1" w:rsidRPr="002A53A1">
        <w:rPr>
          <w:rFonts w:ascii="Calibri" w:hAnsi="Calibri" w:cs="Calibri"/>
          <w:sz w:val="24"/>
          <w:szCs w:val="24"/>
        </w:rPr>
        <w:t>doi</w:t>
      </w:r>
      <w:proofErr w:type="spellEnd"/>
      <w:r w:rsidR="002A53A1" w:rsidRPr="002A53A1">
        <w:rPr>
          <w:rFonts w:ascii="Calibri" w:hAnsi="Calibri" w:cs="Calibri"/>
          <w:sz w:val="24"/>
          <w:szCs w:val="24"/>
        </w:rPr>
        <w:t>: 10.1016/j.jcss.2011.12.014.</w:t>
      </w:r>
    </w:p>
    <w:p w14:paraId="6E1DAB62" w14:textId="6614CA3C" w:rsidR="00A23239" w:rsidRPr="002A53A1" w:rsidRDefault="00A23239" w:rsidP="00186EAE">
      <w:pPr>
        <w:jc w:val="both"/>
        <w:rPr>
          <w:rFonts w:ascii="Calibri" w:hAnsi="Calibri" w:cs="Calibri"/>
          <w:sz w:val="24"/>
          <w:szCs w:val="24"/>
          <w:lang w:val="fr-FR"/>
        </w:rPr>
      </w:pPr>
      <w:r w:rsidRPr="00A23239">
        <w:rPr>
          <w:rFonts w:ascii="Calibri" w:hAnsi="Calibri" w:cs="Calibri"/>
          <w:sz w:val="24"/>
          <w:szCs w:val="24"/>
        </w:rPr>
        <w:t>[</w:t>
      </w:r>
      <w:r>
        <w:rPr>
          <w:rFonts w:ascii="Calibri" w:hAnsi="Calibri" w:cs="Calibri"/>
          <w:sz w:val="24"/>
          <w:szCs w:val="24"/>
        </w:rPr>
        <w:t>2</w:t>
      </w:r>
      <w:r w:rsidR="00735357">
        <w:rPr>
          <w:rFonts w:ascii="Calibri" w:hAnsi="Calibri" w:cs="Calibri"/>
          <w:sz w:val="24"/>
          <w:szCs w:val="24"/>
        </w:rPr>
        <w:t>1</w:t>
      </w:r>
      <w:r w:rsidRPr="00A23239">
        <w:rPr>
          <w:rFonts w:ascii="Calibri" w:hAnsi="Calibri" w:cs="Calibri"/>
          <w:sz w:val="24"/>
          <w:szCs w:val="24"/>
        </w:rPr>
        <w:t xml:space="preserve">] </w:t>
      </w:r>
      <w:r w:rsidR="002A53A1" w:rsidRPr="002A53A1">
        <w:rPr>
          <w:rFonts w:ascii="Calibri" w:hAnsi="Calibri" w:cs="Calibri"/>
          <w:sz w:val="24"/>
          <w:szCs w:val="24"/>
        </w:rPr>
        <w:t xml:space="preserve">M. </w:t>
      </w:r>
      <w:proofErr w:type="spellStart"/>
      <w:r w:rsidR="002A53A1" w:rsidRPr="002A53A1">
        <w:rPr>
          <w:rFonts w:ascii="Calibri" w:hAnsi="Calibri" w:cs="Calibri"/>
          <w:sz w:val="24"/>
          <w:szCs w:val="24"/>
        </w:rPr>
        <w:t>Ofusori</w:t>
      </w:r>
      <w:proofErr w:type="spellEnd"/>
      <w:r w:rsidR="002A53A1" w:rsidRPr="002A53A1">
        <w:rPr>
          <w:rFonts w:ascii="Calibri" w:hAnsi="Calibri" w:cs="Calibri"/>
          <w:sz w:val="24"/>
          <w:szCs w:val="24"/>
        </w:rPr>
        <w:t xml:space="preserve"> and G. Subramaniam, "Bring Your Own Device Risk Management – A Systematic Review of Threats, Vulnerabilities and Mitigation Strategies," Research Report, Dept. </w:t>
      </w:r>
      <w:proofErr w:type="spellStart"/>
      <w:r w:rsidR="002A53A1" w:rsidRPr="002A53A1">
        <w:rPr>
          <w:rFonts w:ascii="Calibri" w:hAnsi="Calibri" w:cs="Calibri"/>
          <w:sz w:val="24"/>
          <w:szCs w:val="24"/>
        </w:rPr>
        <w:t>Comput</w:t>
      </w:r>
      <w:proofErr w:type="spellEnd"/>
      <w:r w:rsidR="002A53A1" w:rsidRPr="002A53A1">
        <w:rPr>
          <w:rFonts w:ascii="Calibri" w:hAnsi="Calibri" w:cs="Calibri"/>
          <w:sz w:val="24"/>
          <w:szCs w:val="24"/>
        </w:rPr>
        <w:t xml:space="preserve">. Sci., Elect. and Space Eng., </w:t>
      </w:r>
      <w:proofErr w:type="spellStart"/>
      <w:r w:rsidR="002A53A1" w:rsidRPr="002A53A1">
        <w:rPr>
          <w:rFonts w:ascii="Calibri" w:hAnsi="Calibri" w:cs="Calibri"/>
          <w:sz w:val="24"/>
          <w:szCs w:val="24"/>
        </w:rPr>
        <w:t>Luleå</w:t>
      </w:r>
      <w:proofErr w:type="spellEnd"/>
      <w:r w:rsidR="002A53A1" w:rsidRPr="002A53A1">
        <w:rPr>
          <w:rFonts w:ascii="Calibri" w:hAnsi="Calibri" w:cs="Calibri"/>
          <w:sz w:val="24"/>
          <w:szCs w:val="24"/>
        </w:rPr>
        <w:t xml:space="preserve"> Univ. Technol., </w:t>
      </w:r>
      <w:proofErr w:type="spellStart"/>
      <w:r w:rsidR="002A53A1" w:rsidRPr="002A53A1">
        <w:rPr>
          <w:rFonts w:ascii="Calibri" w:hAnsi="Calibri" w:cs="Calibri"/>
          <w:sz w:val="24"/>
          <w:szCs w:val="24"/>
        </w:rPr>
        <w:t>Luleå</w:t>
      </w:r>
      <w:proofErr w:type="spellEnd"/>
      <w:r w:rsidR="002A53A1" w:rsidRPr="002A53A1">
        <w:rPr>
          <w:rFonts w:ascii="Calibri" w:hAnsi="Calibri" w:cs="Calibri"/>
          <w:sz w:val="24"/>
          <w:szCs w:val="24"/>
        </w:rPr>
        <w:t xml:space="preserve">, Sweden, 2024. </w:t>
      </w:r>
      <w:r w:rsidR="002A53A1" w:rsidRPr="002A53A1">
        <w:rPr>
          <w:rFonts w:ascii="Calibri" w:hAnsi="Calibri" w:cs="Calibri"/>
          <w:sz w:val="24"/>
          <w:szCs w:val="24"/>
          <w:lang w:val="fr-FR"/>
        </w:rPr>
        <w:t xml:space="preserve">[Online]. </w:t>
      </w:r>
      <w:proofErr w:type="spellStart"/>
      <w:r w:rsidR="002A53A1" w:rsidRPr="002A53A1">
        <w:rPr>
          <w:rFonts w:ascii="Calibri" w:hAnsi="Calibri" w:cs="Calibri"/>
          <w:sz w:val="24"/>
          <w:szCs w:val="24"/>
          <w:lang w:val="fr-FR"/>
        </w:rPr>
        <w:t>Available</w:t>
      </w:r>
      <w:proofErr w:type="spellEnd"/>
      <w:r w:rsidR="002A53A1" w:rsidRPr="002A53A1">
        <w:rPr>
          <w:rFonts w:ascii="Calibri" w:hAnsi="Calibri" w:cs="Calibri"/>
          <w:sz w:val="24"/>
          <w:szCs w:val="24"/>
          <w:lang w:val="fr-FR"/>
        </w:rPr>
        <w:t xml:space="preserve">: </w:t>
      </w:r>
      <w:hyperlink r:id="rId17" w:tgtFrame="_blank" w:history="1">
        <w:r w:rsidR="002A53A1" w:rsidRPr="002A53A1">
          <w:rPr>
            <w:rStyle w:val="Hyperlink"/>
            <w:rFonts w:ascii="Calibri" w:hAnsi="Calibri" w:cs="Calibri"/>
            <w:sz w:val="24"/>
            <w:szCs w:val="24"/>
            <w:lang w:val="fr-FR"/>
          </w:rPr>
          <w:t>http://urn.kb.se/resolve?urn=urn:nbn:se:ltu:diva-106579</w:t>
        </w:r>
      </w:hyperlink>
    </w:p>
    <w:p w14:paraId="0C47DED2" w14:textId="684FF2E8" w:rsidR="002A53A1" w:rsidRPr="00E662D7" w:rsidRDefault="002A53A1" w:rsidP="00186EAE">
      <w:pPr>
        <w:jc w:val="both"/>
        <w:rPr>
          <w:rFonts w:ascii="Calibri" w:hAnsi="Calibri" w:cs="Calibri"/>
          <w:sz w:val="24"/>
          <w:szCs w:val="24"/>
        </w:rPr>
      </w:pPr>
      <w:r w:rsidRPr="002A53A1">
        <w:rPr>
          <w:rFonts w:ascii="Calibri" w:hAnsi="Calibri" w:cs="Calibri"/>
          <w:sz w:val="24"/>
          <w:szCs w:val="24"/>
        </w:rPr>
        <w:t>[</w:t>
      </w:r>
      <w:r>
        <w:rPr>
          <w:rFonts w:ascii="Calibri" w:hAnsi="Calibri" w:cs="Calibri"/>
          <w:sz w:val="24"/>
          <w:szCs w:val="24"/>
        </w:rPr>
        <w:t>2</w:t>
      </w:r>
      <w:r w:rsidR="00735357">
        <w:rPr>
          <w:rFonts w:ascii="Calibri" w:hAnsi="Calibri" w:cs="Calibri"/>
          <w:sz w:val="24"/>
          <w:szCs w:val="24"/>
        </w:rPr>
        <w:t>2</w:t>
      </w:r>
      <w:r w:rsidRPr="002A53A1">
        <w:rPr>
          <w:rFonts w:ascii="Calibri" w:hAnsi="Calibri" w:cs="Calibri"/>
          <w:sz w:val="24"/>
          <w:szCs w:val="24"/>
        </w:rPr>
        <w:t>] Y. Al-</w:t>
      </w:r>
      <w:proofErr w:type="spellStart"/>
      <w:r w:rsidRPr="002A53A1">
        <w:rPr>
          <w:rFonts w:ascii="Calibri" w:hAnsi="Calibri" w:cs="Calibri"/>
          <w:sz w:val="24"/>
          <w:szCs w:val="24"/>
        </w:rPr>
        <w:t>Ashmoery</w:t>
      </w:r>
      <w:proofErr w:type="spellEnd"/>
      <w:r w:rsidRPr="002A53A1">
        <w:rPr>
          <w:rFonts w:ascii="Calibri" w:hAnsi="Calibri" w:cs="Calibri"/>
          <w:sz w:val="24"/>
          <w:szCs w:val="24"/>
        </w:rPr>
        <w:t xml:space="preserve">, H. Haider, A. Haider, N. Nasser, and M. Al-Sarem, "Impact of IT Service Management and ITIL Framework on the Businesses," in </w:t>
      </w:r>
      <w:r w:rsidRPr="002A53A1">
        <w:rPr>
          <w:rFonts w:ascii="Calibri" w:hAnsi="Calibri" w:cs="Calibri"/>
          <w:i/>
          <w:iCs/>
          <w:sz w:val="24"/>
          <w:szCs w:val="24"/>
        </w:rPr>
        <w:t>2021 International Conference of Modern Trends in Information and Communication Technology Industry (MTICTI)</w:t>
      </w:r>
      <w:r w:rsidRPr="002A53A1">
        <w:rPr>
          <w:rFonts w:ascii="Calibri" w:hAnsi="Calibri" w:cs="Calibri"/>
          <w:sz w:val="24"/>
          <w:szCs w:val="24"/>
        </w:rPr>
        <w:t xml:space="preserve">, Sana'a, Yemen, 2021, pp. 1-5. </w:t>
      </w:r>
      <w:proofErr w:type="spellStart"/>
      <w:r w:rsidRPr="002A53A1">
        <w:rPr>
          <w:rFonts w:ascii="Calibri" w:hAnsi="Calibri" w:cs="Calibri"/>
          <w:sz w:val="24"/>
          <w:szCs w:val="24"/>
        </w:rPr>
        <w:t>doi</w:t>
      </w:r>
      <w:proofErr w:type="spellEnd"/>
      <w:r w:rsidRPr="002A53A1">
        <w:rPr>
          <w:rFonts w:ascii="Calibri" w:hAnsi="Calibri" w:cs="Calibri"/>
          <w:sz w:val="24"/>
          <w:szCs w:val="24"/>
        </w:rPr>
        <w:t>: 10.1109/MTICTI53925.2021.9664763.</w:t>
      </w:r>
    </w:p>
    <w:sectPr w:rsidR="002A53A1" w:rsidRPr="00E662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488F58" w14:textId="77777777" w:rsidR="00272EA6" w:rsidRDefault="00272EA6" w:rsidP="001118DA">
      <w:pPr>
        <w:spacing w:after="0" w:line="240" w:lineRule="auto"/>
      </w:pPr>
      <w:r>
        <w:separator/>
      </w:r>
    </w:p>
  </w:endnote>
  <w:endnote w:type="continuationSeparator" w:id="0">
    <w:p w14:paraId="2E4B42CD" w14:textId="77777777" w:rsidR="00272EA6" w:rsidRDefault="00272EA6" w:rsidP="001118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7EE2BF" w14:textId="77777777" w:rsidR="00272EA6" w:rsidRDefault="00272EA6" w:rsidP="001118DA">
      <w:pPr>
        <w:spacing w:after="0" w:line="240" w:lineRule="auto"/>
      </w:pPr>
      <w:r>
        <w:separator/>
      </w:r>
    </w:p>
  </w:footnote>
  <w:footnote w:type="continuationSeparator" w:id="0">
    <w:p w14:paraId="1F037BDA" w14:textId="77777777" w:rsidR="00272EA6" w:rsidRDefault="00272EA6" w:rsidP="001118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76540F"/>
    <w:multiLevelType w:val="multilevel"/>
    <w:tmpl w:val="31981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CD3189D"/>
    <w:multiLevelType w:val="multilevel"/>
    <w:tmpl w:val="EA0673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DA46A6E"/>
    <w:multiLevelType w:val="multilevel"/>
    <w:tmpl w:val="91EA2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2753D2D"/>
    <w:multiLevelType w:val="multilevel"/>
    <w:tmpl w:val="2B8C1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D020B7F"/>
    <w:multiLevelType w:val="multilevel"/>
    <w:tmpl w:val="733E8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EEF5A2F"/>
    <w:multiLevelType w:val="multilevel"/>
    <w:tmpl w:val="13F88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92B0619"/>
    <w:multiLevelType w:val="multilevel"/>
    <w:tmpl w:val="36667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B6170B1"/>
    <w:multiLevelType w:val="multilevel"/>
    <w:tmpl w:val="EDE61D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F783AD4"/>
    <w:multiLevelType w:val="multilevel"/>
    <w:tmpl w:val="4FEA32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55C4A98"/>
    <w:multiLevelType w:val="hybridMultilevel"/>
    <w:tmpl w:val="D45C4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0AB0D1F"/>
    <w:multiLevelType w:val="multilevel"/>
    <w:tmpl w:val="07547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49A7BC9"/>
    <w:multiLevelType w:val="multilevel"/>
    <w:tmpl w:val="641AA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C68671A"/>
    <w:multiLevelType w:val="multilevel"/>
    <w:tmpl w:val="19320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F86153E"/>
    <w:multiLevelType w:val="multilevel"/>
    <w:tmpl w:val="1E7857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82949694">
    <w:abstractNumId w:val="2"/>
  </w:num>
  <w:num w:numId="2" w16cid:durableId="1048648424">
    <w:abstractNumId w:val="10"/>
  </w:num>
  <w:num w:numId="3" w16cid:durableId="1952734986">
    <w:abstractNumId w:val="13"/>
  </w:num>
  <w:num w:numId="4" w16cid:durableId="21129956">
    <w:abstractNumId w:val="7"/>
  </w:num>
  <w:num w:numId="5" w16cid:durableId="938221875">
    <w:abstractNumId w:val="11"/>
  </w:num>
  <w:num w:numId="6" w16cid:durableId="354157471">
    <w:abstractNumId w:val="1"/>
  </w:num>
  <w:num w:numId="7" w16cid:durableId="2088111247">
    <w:abstractNumId w:val="9"/>
  </w:num>
  <w:num w:numId="8" w16cid:durableId="726419583">
    <w:abstractNumId w:val="3"/>
  </w:num>
  <w:num w:numId="9" w16cid:durableId="268320724">
    <w:abstractNumId w:val="12"/>
  </w:num>
  <w:num w:numId="10" w16cid:durableId="981156218">
    <w:abstractNumId w:val="4"/>
  </w:num>
  <w:num w:numId="11" w16cid:durableId="905260310">
    <w:abstractNumId w:val="0"/>
  </w:num>
  <w:num w:numId="12" w16cid:durableId="748040590">
    <w:abstractNumId w:val="6"/>
  </w:num>
  <w:num w:numId="13" w16cid:durableId="340547625">
    <w:abstractNumId w:val="5"/>
  </w:num>
  <w:num w:numId="14" w16cid:durableId="154082528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147F"/>
    <w:rsid w:val="0001231C"/>
    <w:rsid w:val="00013C3A"/>
    <w:rsid w:val="0007212F"/>
    <w:rsid w:val="00074AA4"/>
    <w:rsid w:val="000A7A30"/>
    <w:rsid w:val="001118DA"/>
    <w:rsid w:val="00152F7E"/>
    <w:rsid w:val="00170B9D"/>
    <w:rsid w:val="00186EAE"/>
    <w:rsid w:val="001B027C"/>
    <w:rsid w:val="001C4EB6"/>
    <w:rsid w:val="001E2DEF"/>
    <w:rsid w:val="00272EA6"/>
    <w:rsid w:val="002A53A1"/>
    <w:rsid w:val="002C56D9"/>
    <w:rsid w:val="002F07E6"/>
    <w:rsid w:val="002F1AC8"/>
    <w:rsid w:val="00300FB0"/>
    <w:rsid w:val="003D08D3"/>
    <w:rsid w:val="003E1C33"/>
    <w:rsid w:val="00500D63"/>
    <w:rsid w:val="00534DA3"/>
    <w:rsid w:val="0055287C"/>
    <w:rsid w:val="005822E1"/>
    <w:rsid w:val="00620F41"/>
    <w:rsid w:val="00694C3A"/>
    <w:rsid w:val="00735357"/>
    <w:rsid w:val="00845D90"/>
    <w:rsid w:val="008842CA"/>
    <w:rsid w:val="008A54B6"/>
    <w:rsid w:val="008F147F"/>
    <w:rsid w:val="00942DD4"/>
    <w:rsid w:val="009554E4"/>
    <w:rsid w:val="009B6FC5"/>
    <w:rsid w:val="00A074DC"/>
    <w:rsid w:val="00A23239"/>
    <w:rsid w:val="00A23DD7"/>
    <w:rsid w:val="00A604BF"/>
    <w:rsid w:val="00AC1D08"/>
    <w:rsid w:val="00B329A9"/>
    <w:rsid w:val="00B90A2F"/>
    <w:rsid w:val="00C6781B"/>
    <w:rsid w:val="00D5521E"/>
    <w:rsid w:val="00D9124E"/>
    <w:rsid w:val="00E364BF"/>
    <w:rsid w:val="00E43249"/>
    <w:rsid w:val="00E5499A"/>
    <w:rsid w:val="00E662D7"/>
    <w:rsid w:val="00E76FD9"/>
    <w:rsid w:val="00E81EB9"/>
    <w:rsid w:val="00EE494A"/>
    <w:rsid w:val="00F866F8"/>
    <w:rsid w:val="00FF51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11A502"/>
  <w15:chartTrackingRefBased/>
  <w15:docId w15:val="{56FAB207-8F3E-4371-98B9-F0E0A3061E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14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F14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F14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F14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14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14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14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14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14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14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F14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F14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F14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14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14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14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14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147F"/>
    <w:rPr>
      <w:rFonts w:eastAsiaTheme="majorEastAsia" w:cstheme="majorBidi"/>
      <w:color w:val="272727" w:themeColor="text1" w:themeTint="D8"/>
    </w:rPr>
  </w:style>
  <w:style w:type="paragraph" w:styleId="Title">
    <w:name w:val="Title"/>
    <w:basedOn w:val="Normal"/>
    <w:next w:val="Normal"/>
    <w:link w:val="TitleChar"/>
    <w:uiPriority w:val="10"/>
    <w:qFormat/>
    <w:rsid w:val="008F14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14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14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14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147F"/>
    <w:pPr>
      <w:spacing w:before="160"/>
      <w:jc w:val="center"/>
    </w:pPr>
    <w:rPr>
      <w:i/>
      <w:iCs/>
      <w:color w:val="404040" w:themeColor="text1" w:themeTint="BF"/>
    </w:rPr>
  </w:style>
  <w:style w:type="character" w:customStyle="1" w:styleId="QuoteChar">
    <w:name w:val="Quote Char"/>
    <w:basedOn w:val="DefaultParagraphFont"/>
    <w:link w:val="Quote"/>
    <w:uiPriority w:val="29"/>
    <w:rsid w:val="008F147F"/>
    <w:rPr>
      <w:i/>
      <w:iCs/>
      <w:color w:val="404040" w:themeColor="text1" w:themeTint="BF"/>
    </w:rPr>
  </w:style>
  <w:style w:type="paragraph" w:styleId="ListParagraph">
    <w:name w:val="List Paragraph"/>
    <w:basedOn w:val="Normal"/>
    <w:uiPriority w:val="34"/>
    <w:qFormat/>
    <w:rsid w:val="008F147F"/>
    <w:pPr>
      <w:ind w:left="720"/>
      <w:contextualSpacing/>
    </w:pPr>
  </w:style>
  <w:style w:type="character" w:styleId="IntenseEmphasis">
    <w:name w:val="Intense Emphasis"/>
    <w:basedOn w:val="DefaultParagraphFont"/>
    <w:uiPriority w:val="21"/>
    <w:qFormat/>
    <w:rsid w:val="008F147F"/>
    <w:rPr>
      <w:i/>
      <w:iCs/>
      <w:color w:val="0F4761" w:themeColor="accent1" w:themeShade="BF"/>
    </w:rPr>
  </w:style>
  <w:style w:type="paragraph" w:styleId="IntenseQuote">
    <w:name w:val="Intense Quote"/>
    <w:basedOn w:val="Normal"/>
    <w:next w:val="Normal"/>
    <w:link w:val="IntenseQuoteChar"/>
    <w:uiPriority w:val="30"/>
    <w:qFormat/>
    <w:rsid w:val="008F14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147F"/>
    <w:rPr>
      <w:i/>
      <w:iCs/>
      <w:color w:val="0F4761" w:themeColor="accent1" w:themeShade="BF"/>
    </w:rPr>
  </w:style>
  <w:style w:type="character" w:styleId="IntenseReference">
    <w:name w:val="Intense Reference"/>
    <w:basedOn w:val="DefaultParagraphFont"/>
    <w:uiPriority w:val="32"/>
    <w:qFormat/>
    <w:rsid w:val="008F147F"/>
    <w:rPr>
      <w:b/>
      <w:bCs/>
      <w:smallCaps/>
      <w:color w:val="0F4761" w:themeColor="accent1" w:themeShade="BF"/>
      <w:spacing w:val="5"/>
    </w:rPr>
  </w:style>
  <w:style w:type="character" w:styleId="Hyperlink">
    <w:name w:val="Hyperlink"/>
    <w:basedOn w:val="DefaultParagraphFont"/>
    <w:uiPriority w:val="99"/>
    <w:unhideWhenUsed/>
    <w:rsid w:val="00E662D7"/>
    <w:rPr>
      <w:color w:val="467886" w:themeColor="hyperlink"/>
      <w:u w:val="single"/>
    </w:rPr>
  </w:style>
  <w:style w:type="character" w:styleId="UnresolvedMention">
    <w:name w:val="Unresolved Mention"/>
    <w:basedOn w:val="DefaultParagraphFont"/>
    <w:uiPriority w:val="99"/>
    <w:semiHidden/>
    <w:unhideWhenUsed/>
    <w:rsid w:val="00E662D7"/>
    <w:rPr>
      <w:color w:val="605E5C"/>
      <w:shd w:val="clear" w:color="auto" w:fill="E1DFDD"/>
    </w:rPr>
  </w:style>
  <w:style w:type="paragraph" w:styleId="NoSpacing">
    <w:name w:val="No Spacing"/>
    <w:uiPriority w:val="1"/>
    <w:qFormat/>
    <w:rsid w:val="00E5499A"/>
    <w:pPr>
      <w:spacing w:after="0" w:line="240" w:lineRule="auto"/>
    </w:pPr>
  </w:style>
  <w:style w:type="paragraph" w:styleId="NormalWeb">
    <w:name w:val="Normal (Web)"/>
    <w:basedOn w:val="Normal"/>
    <w:uiPriority w:val="99"/>
    <w:unhideWhenUsed/>
    <w:rsid w:val="005822E1"/>
    <w:rPr>
      <w:rFonts w:ascii="Times New Roman" w:hAnsi="Times New Roman" w:cs="Times New Roman"/>
      <w:sz w:val="24"/>
      <w:szCs w:val="24"/>
    </w:rPr>
  </w:style>
  <w:style w:type="paragraph" w:styleId="TOCHeading">
    <w:name w:val="TOC Heading"/>
    <w:basedOn w:val="Heading1"/>
    <w:next w:val="Normal"/>
    <w:uiPriority w:val="39"/>
    <w:unhideWhenUsed/>
    <w:qFormat/>
    <w:rsid w:val="00013C3A"/>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013C3A"/>
    <w:pPr>
      <w:spacing w:after="100"/>
    </w:pPr>
  </w:style>
  <w:style w:type="paragraph" w:styleId="TOC2">
    <w:name w:val="toc 2"/>
    <w:basedOn w:val="Normal"/>
    <w:next w:val="Normal"/>
    <w:autoRedefine/>
    <w:uiPriority w:val="39"/>
    <w:unhideWhenUsed/>
    <w:rsid w:val="00013C3A"/>
    <w:pPr>
      <w:spacing w:after="100"/>
      <w:ind w:left="220"/>
    </w:pPr>
  </w:style>
  <w:style w:type="paragraph" w:styleId="TOC3">
    <w:name w:val="toc 3"/>
    <w:basedOn w:val="Normal"/>
    <w:next w:val="Normal"/>
    <w:autoRedefine/>
    <w:uiPriority w:val="39"/>
    <w:unhideWhenUsed/>
    <w:rsid w:val="00013C3A"/>
    <w:pPr>
      <w:spacing w:after="100"/>
      <w:ind w:left="440"/>
    </w:pPr>
  </w:style>
  <w:style w:type="character" w:styleId="FollowedHyperlink">
    <w:name w:val="FollowedHyperlink"/>
    <w:basedOn w:val="DefaultParagraphFont"/>
    <w:uiPriority w:val="99"/>
    <w:semiHidden/>
    <w:unhideWhenUsed/>
    <w:rsid w:val="00013C3A"/>
    <w:rPr>
      <w:color w:val="96607D" w:themeColor="followedHyperlink"/>
      <w:u w:val="single"/>
    </w:rPr>
  </w:style>
  <w:style w:type="table" w:styleId="TableGrid">
    <w:name w:val="Table Grid"/>
    <w:basedOn w:val="TableNormal"/>
    <w:uiPriority w:val="39"/>
    <w:rsid w:val="00A074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4">
    <w:name w:val="toc 4"/>
    <w:basedOn w:val="Normal"/>
    <w:next w:val="Normal"/>
    <w:autoRedefine/>
    <w:uiPriority w:val="39"/>
    <w:unhideWhenUsed/>
    <w:rsid w:val="001E2DEF"/>
    <w:pPr>
      <w:spacing w:after="100"/>
      <w:ind w:left="660"/>
    </w:pPr>
  </w:style>
  <w:style w:type="paragraph" w:styleId="Header">
    <w:name w:val="header"/>
    <w:basedOn w:val="Normal"/>
    <w:link w:val="HeaderChar"/>
    <w:uiPriority w:val="99"/>
    <w:unhideWhenUsed/>
    <w:rsid w:val="001118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18DA"/>
  </w:style>
  <w:style w:type="paragraph" w:styleId="Footer">
    <w:name w:val="footer"/>
    <w:basedOn w:val="Normal"/>
    <w:link w:val="FooterChar"/>
    <w:uiPriority w:val="99"/>
    <w:unhideWhenUsed/>
    <w:rsid w:val="001118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18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2424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google.com/search?q=http://urn.kb.se/resolve%3Furn%3Durn:nbn:se:ltu:diva-106579" TargetMode="External"/><Relationship Id="rId2" Type="http://schemas.openxmlformats.org/officeDocument/2006/relationships/numbering" Target="numbering.xml"/><Relationship Id="rId16" Type="http://schemas.openxmlformats.org/officeDocument/2006/relationships/hyperlink" Target="https://www.ijsdr.or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gif"/><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gif"/><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abc</b:Tag>
    <b:SourceType>Book</b:SourceType>
    <b:Guid>{60B03C03-A39A-47C6-A720-204847A317FF}</b:Guid>
    <b:Author>
      <b:Author>
        <b:NameList>
          <b:Person>
            <b:Last>abc</b:Last>
          </b:Person>
        </b:NameList>
      </b:Author>
    </b:Author>
    <b:RefOrder>1</b:RefOrder>
  </b:Source>
</b:Sources>
</file>

<file path=customXml/itemProps1.xml><?xml version="1.0" encoding="utf-8"?>
<ds:datastoreItem xmlns:ds="http://schemas.openxmlformats.org/officeDocument/2006/customXml" ds:itemID="{75906224-69E0-43E6-AAAC-685FE6EDA4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4120</Words>
  <Characters>23484</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Erhan Kocal</dc:creator>
  <cp:keywords/>
  <dc:description/>
  <cp:lastModifiedBy>Erhan Kocal</cp:lastModifiedBy>
  <cp:revision>12</cp:revision>
  <dcterms:created xsi:type="dcterms:W3CDTF">2025-12-30T18:59:00Z</dcterms:created>
  <dcterms:modified xsi:type="dcterms:W3CDTF">2026-01-08T10:19:00Z</dcterms:modified>
</cp:coreProperties>
</file>