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0398AE" w14:textId="21F8CC01" w:rsidR="003651E8" w:rsidRPr="00A4647C" w:rsidRDefault="00B46132" w:rsidP="003651E8">
      <w:pPr>
        <w:pStyle w:val="Heading3"/>
        <w:rPr>
          <w:rFonts w:ascii="Calibri" w:hAnsi="Calibri" w:cs="Calibri"/>
          <w:color w:val="000000" w:themeColor="text1"/>
          <w:sz w:val="24"/>
          <w:szCs w:val="24"/>
        </w:rPr>
      </w:pPr>
      <w:r w:rsidRPr="008D4D27">
        <w:rPr>
          <w:rFonts w:ascii="Calibri" w:hAnsi="Calibri" w:cs="Calibri"/>
          <w:color w:val="000000" w:themeColor="text1"/>
          <w:sz w:val="24"/>
          <w:szCs w:val="24"/>
        </w:rPr>
        <w:t>S</w:t>
      </w:r>
      <w:r w:rsidRPr="00A4647C">
        <w:rPr>
          <w:rFonts w:ascii="Calibri" w:hAnsi="Calibri" w:cs="Calibri"/>
          <w:color w:val="000000" w:themeColor="text1"/>
          <w:sz w:val="24"/>
          <w:szCs w:val="24"/>
        </w:rPr>
        <w:t>econdary l</w:t>
      </w:r>
      <w:r w:rsidR="003651E8" w:rsidRPr="00A4647C">
        <w:rPr>
          <w:rFonts w:ascii="Calibri" w:hAnsi="Calibri" w:cs="Calibri"/>
          <w:color w:val="000000" w:themeColor="text1"/>
          <w:sz w:val="24"/>
          <w:szCs w:val="24"/>
        </w:rPr>
        <w:t xml:space="preserve">iterature </w:t>
      </w:r>
      <w:r w:rsidRPr="00A4647C">
        <w:rPr>
          <w:rFonts w:ascii="Calibri" w:hAnsi="Calibri" w:cs="Calibri"/>
          <w:color w:val="000000" w:themeColor="text1"/>
          <w:sz w:val="24"/>
          <w:szCs w:val="24"/>
        </w:rPr>
        <w:t>r</w:t>
      </w:r>
      <w:r w:rsidR="003651E8" w:rsidRPr="00A4647C">
        <w:rPr>
          <w:rFonts w:ascii="Calibri" w:hAnsi="Calibri" w:cs="Calibri"/>
          <w:color w:val="000000" w:themeColor="text1"/>
          <w:sz w:val="24"/>
          <w:szCs w:val="24"/>
        </w:rPr>
        <w:t>eview: Elizabeth Thornberry</w:t>
      </w:r>
      <w:r w:rsidR="0062740E" w:rsidRPr="00A4647C">
        <w:rPr>
          <w:rFonts w:ascii="Calibri" w:hAnsi="Calibri" w:cs="Calibri"/>
          <w:color w:val="000000" w:themeColor="text1"/>
          <w:sz w:val="24"/>
          <w:szCs w:val="24"/>
        </w:rPr>
        <w:t xml:space="preserve"> (2016)</w:t>
      </w:r>
      <w:r w:rsidR="003651E8" w:rsidRPr="00A4647C">
        <w:rPr>
          <w:rFonts w:ascii="Calibri" w:hAnsi="Calibri" w:cs="Calibri"/>
          <w:color w:val="000000" w:themeColor="text1"/>
          <w:sz w:val="24"/>
          <w:szCs w:val="24"/>
        </w:rPr>
        <w:t xml:space="preserve"> </w:t>
      </w:r>
      <w:r w:rsidR="003651E8" w:rsidRPr="00A4647C">
        <w:rPr>
          <w:rStyle w:val="Emphasis"/>
          <w:rFonts w:ascii="Calibri" w:hAnsi="Calibri" w:cs="Calibri"/>
          <w:color w:val="000000" w:themeColor="text1"/>
          <w:sz w:val="24"/>
          <w:szCs w:val="24"/>
        </w:rPr>
        <w:t>“Rape, Race, and Respectability in a South African Port City: East London, 1870–1927</w:t>
      </w:r>
      <w:r w:rsidRPr="00A4647C">
        <w:rPr>
          <w:rStyle w:val="Emphasis"/>
          <w:rFonts w:ascii="Calibri" w:hAnsi="Calibri" w:cs="Calibri"/>
          <w:color w:val="000000" w:themeColor="text1"/>
          <w:sz w:val="24"/>
          <w:szCs w:val="24"/>
        </w:rPr>
        <w:t>”,</w:t>
      </w:r>
      <w:r w:rsidRPr="00A4647C">
        <w:rPr>
          <w:rFonts w:ascii="Calibri" w:hAnsi="Calibri" w:cs="Calibri"/>
          <w:i/>
          <w:iCs/>
          <w:color w:val="000000" w:themeColor="text1"/>
          <w:sz w:val="24"/>
          <w:szCs w:val="24"/>
          <w:shd w:val="clear" w:color="auto" w:fill="FFFFFF"/>
        </w:rPr>
        <w:t xml:space="preserve"> Journal of Urban History</w:t>
      </w:r>
      <w:r w:rsidRPr="00A4647C">
        <w:rPr>
          <w:rFonts w:ascii="Calibri" w:hAnsi="Calibri" w:cs="Calibri"/>
          <w:color w:val="000000" w:themeColor="text1"/>
          <w:sz w:val="24"/>
          <w:szCs w:val="24"/>
          <w:shd w:val="clear" w:color="auto" w:fill="FFFFFF"/>
        </w:rPr>
        <w:t>, 42(5), pp. 863–880.</w:t>
      </w:r>
    </w:p>
    <w:p w14:paraId="22D83B06" w14:textId="4A5D7C3B" w:rsidR="00D13B0B" w:rsidRPr="00A4647C" w:rsidRDefault="00DC475E" w:rsidP="00B66F92">
      <w:pPr>
        <w:pStyle w:val="NormalWeb"/>
        <w:spacing w:before="0" w:beforeAutospacing="0" w:after="0" w:afterAutospacing="0" w:line="360" w:lineRule="auto"/>
        <w:rPr>
          <w:rFonts w:ascii="Calibri" w:hAnsi="Calibri" w:cs="Calibri"/>
          <w:color w:val="000000" w:themeColor="text1"/>
        </w:rPr>
      </w:pPr>
      <w:r w:rsidRPr="00A4647C">
        <w:rPr>
          <w:rFonts w:ascii="Calibri" w:hAnsi="Calibri" w:cs="Calibri"/>
          <w:color w:val="000000" w:themeColor="text1"/>
        </w:rPr>
        <w:br/>
        <w:t>Elizabeth Thornberry is an Associate Professor of History, specialising in law, gender, sexuality, and race in southern Africa during the colonial and segregation eras</w:t>
      </w:r>
      <w:r w:rsidR="00B74A94" w:rsidRPr="00A4647C">
        <w:rPr>
          <w:rFonts w:ascii="Calibri" w:hAnsi="Calibri" w:cs="Calibri"/>
          <w:color w:val="000000" w:themeColor="text1"/>
        </w:rPr>
        <w:t xml:space="preserve"> (J</w:t>
      </w:r>
      <w:r w:rsidRPr="00A4647C">
        <w:rPr>
          <w:rFonts w:ascii="Calibri" w:hAnsi="Calibri" w:cs="Calibri"/>
          <w:color w:val="000000" w:themeColor="text1"/>
        </w:rPr>
        <w:t xml:space="preserve">ohns Hopkins University, 2025). </w:t>
      </w:r>
      <w:r w:rsidR="00CB497A" w:rsidRPr="00A4647C">
        <w:rPr>
          <w:rFonts w:ascii="Calibri" w:hAnsi="Calibri" w:cs="Calibri"/>
          <w:color w:val="000000" w:themeColor="text1"/>
        </w:rPr>
        <w:t xml:space="preserve">In her article, </w:t>
      </w:r>
      <w:r w:rsidR="002E14C7" w:rsidRPr="00A4647C">
        <w:rPr>
          <w:rFonts w:ascii="Calibri" w:hAnsi="Calibri" w:cs="Calibri"/>
          <w:color w:val="000000" w:themeColor="text1"/>
        </w:rPr>
        <w:t xml:space="preserve">Thornberry </w:t>
      </w:r>
      <w:r w:rsidRPr="00A4647C">
        <w:rPr>
          <w:rFonts w:ascii="Calibri" w:hAnsi="Calibri" w:cs="Calibri"/>
          <w:color w:val="000000" w:themeColor="text1"/>
        </w:rPr>
        <w:t>demonstrates</w:t>
      </w:r>
      <w:r w:rsidR="002E14C7" w:rsidRPr="00A4647C">
        <w:rPr>
          <w:rFonts w:ascii="Calibri" w:hAnsi="Calibri" w:cs="Calibri"/>
          <w:color w:val="000000" w:themeColor="text1"/>
        </w:rPr>
        <w:t xml:space="preserve"> that while </w:t>
      </w:r>
      <w:r w:rsidR="00DB6D0E">
        <w:rPr>
          <w:rFonts w:ascii="Calibri" w:hAnsi="Calibri" w:cs="Calibri"/>
          <w:color w:val="000000" w:themeColor="text1"/>
        </w:rPr>
        <w:t>‘</w:t>
      </w:r>
      <w:r w:rsidR="002E14C7" w:rsidRPr="00A4647C">
        <w:rPr>
          <w:rFonts w:ascii="Calibri" w:hAnsi="Calibri" w:cs="Calibri"/>
          <w:color w:val="000000" w:themeColor="text1"/>
        </w:rPr>
        <w:t>black peril</w:t>
      </w:r>
      <w:r w:rsidR="00DB6D0E">
        <w:rPr>
          <w:rFonts w:ascii="Calibri" w:hAnsi="Calibri" w:cs="Calibri"/>
          <w:color w:val="000000" w:themeColor="text1"/>
        </w:rPr>
        <w:t>’</w:t>
      </w:r>
      <w:r w:rsidR="002E14C7" w:rsidRPr="00A4647C">
        <w:rPr>
          <w:rFonts w:ascii="Calibri" w:hAnsi="Calibri" w:cs="Calibri"/>
          <w:color w:val="000000" w:themeColor="text1"/>
        </w:rPr>
        <w:t xml:space="preserve"> panics shaped public perceptions of interracial sexual violence in early twentieth-century South Africa, courtroom credibility was </w:t>
      </w:r>
      <w:r w:rsidRPr="00A4647C">
        <w:rPr>
          <w:rFonts w:ascii="Calibri" w:hAnsi="Calibri" w:cs="Calibri"/>
          <w:color w:val="000000" w:themeColor="text1"/>
        </w:rPr>
        <w:t xml:space="preserve">also </w:t>
      </w:r>
      <w:r w:rsidR="002E14C7" w:rsidRPr="00A4647C">
        <w:rPr>
          <w:rFonts w:ascii="Calibri" w:hAnsi="Calibri" w:cs="Calibri"/>
          <w:color w:val="000000" w:themeColor="text1"/>
        </w:rPr>
        <w:t>governed by middle-class norms of respectability.</w:t>
      </w:r>
      <w:r w:rsidR="002E14C7" w:rsidRPr="00A4647C">
        <w:rPr>
          <w:rFonts w:ascii="Calibri" w:hAnsi="Calibri" w:cs="Calibri"/>
          <w:b/>
          <w:bCs/>
          <w:color w:val="000000" w:themeColor="text1"/>
        </w:rPr>
        <w:t xml:space="preserve"> </w:t>
      </w:r>
      <w:r w:rsidR="00B537D8" w:rsidRPr="00A4647C">
        <w:rPr>
          <w:rStyle w:val="Strong"/>
          <w:rFonts w:ascii="Calibri" w:eastAsiaTheme="majorEastAsia" w:hAnsi="Calibri" w:cs="Calibri"/>
          <w:b w:val="0"/>
          <w:bCs w:val="0"/>
          <w:color w:val="000000" w:themeColor="text1"/>
          <w:spacing w:val="-2"/>
          <w:shd w:val="clear" w:color="auto" w:fill="FFFFFF"/>
        </w:rPr>
        <w:t>Black women and poorer white women were often disbelieved, and even some white women faced scepticism if their behaviour crossed social or racial boundaries</w:t>
      </w:r>
      <w:r w:rsidR="002E14C7" w:rsidRPr="00A4647C">
        <w:rPr>
          <w:rFonts w:ascii="Calibri" w:hAnsi="Calibri" w:cs="Calibri"/>
          <w:b/>
          <w:bCs/>
          <w:color w:val="000000" w:themeColor="text1"/>
        </w:rPr>
        <w:t>.</w:t>
      </w:r>
      <w:r w:rsidR="002E14C7" w:rsidRPr="00A4647C">
        <w:rPr>
          <w:rFonts w:ascii="Calibri" w:hAnsi="Calibri" w:cs="Calibri"/>
          <w:color w:val="000000" w:themeColor="text1"/>
        </w:rPr>
        <w:t xml:space="preserve"> Drawing on court records, government documents</w:t>
      </w:r>
      <w:r w:rsidR="00115F1B" w:rsidRPr="00A4647C">
        <w:rPr>
          <w:rFonts w:ascii="Calibri" w:hAnsi="Calibri" w:cs="Calibri"/>
          <w:color w:val="000000" w:themeColor="text1"/>
        </w:rPr>
        <w:t xml:space="preserve">, and </w:t>
      </w:r>
      <w:r w:rsidR="002E14C7" w:rsidRPr="00A4647C">
        <w:rPr>
          <w:rFonts w:ascii="Calibri" w:hAnsi="Calibri" w:cs="Calibri"/>
          <w:color w:val="000000" w:themeColor="text1"/>
        </w:rPr>
        <w:t>newspapers</w:t>
      </w:r>
      <w:r w:rsidR="00115F1B" w:rsidRPr="00A4647C">
        <w:rPr>
          <w:rFonts w:ascii="Calibri" w:hAnsi="Calibri" w:cs="Calibri"/>
          <w:color w:val="000000" w:themeColor="text1"/>
        </w:rPr>
        <w:t>, Thornberry demonstrates how these intersecting factors shaped the prosecution and evaluation of sexual assault complaints, highlighting the broader dynamics of race, gender, class, and social credibility in the colonial courtroom.</w:t>
      </w:r>
      <w:r w:rsidRPr="00A4647C">
        <w:rPr>
          <w:rFonts w:ascii="Calibri" w:hAnsi="Calibri" w:cs="Calibri"/>
          <w:color w:val="000000" w:themeColor="text1"/>
        </w:rPr>
        <w:t xml:space="preserve"> </w:t>
      </w:r>
      <w:r w:rsidRPr="00A4647C">
        <w:rPr>
          <w:rFonts w:ascii="Calibri" w:hAnsi="Calibri" w:cs="Calibri"/>
          <w:color w:val="000000" w:themeColor="text1"/>
          <w:spacing w:val="-2"/>
          <w:shd w:val="clear" w:color="auto" w:fill="FFFFFF"/>
        </w:rPr>
        <w:t>This review assesses Thornberry’s main arguments, methodology, and contribution to the literature, while considering both the strengths and potential limitations of her approach.</w:t>
      </w:r>
    </w:p>
    <w:p w14:paraId="357617D9" w14:textId="5666FE6C" w:rsidR="00CB497A" w:rsidRPr="00A4647C" w:rsidRDefault="003651E8" w:rsidP="00B66F92">
      <w:pPr>
        <w:pStyle w:val="NormalWeb"/>
        <w:spacing w:before="0" w:beforeAutospacing="0" w:after="0" w:afterAutospacing="0" w:line="360" w:lineRule="auto"/>
        <w:rPr>
          <w:rFonts w:ascii="Calibri" w:hAnsi="Calibri" w:cs="Calibri"/>
          <w:color w:val="000000" w:themeColor="text1"/>
        </w:rPr>
      </w:pPr>
      <w:r w:rsidRPr="00A4647C">
        <w:rPr>
          <w:rFonts w:ascii="Calibri" w:hAnsi="Calibri" w:cs="Calibri"/>
          <w:color w:val="000000" w:themeColor="text1"/>
        </w:rPr>
        <w:br/>
      </w:r>
      <w:r w:rsidR="00CB497A" w:rsidRPr="00A4647C">
        <w:rPr>
          <w:rFonts w:ascii="Calibri" w:hAnsi="Calibri" w:cs="Calibri"/>
          <w:color w:val="000000" w:themeColor="text1"/>
          <w:spacing w:val="-2"/>
          <w:shd w:val="clear" w:color="auto" w:fill="FFFFFF"/>
        </w:rPr>
        <w:t xml:space="preserve">Thornberry begins by contextualising </w:t>
      </w:r>
      <w:r w:rsidR="00DB6D0E">
        <w:rPr>
          <w:rFonts w:ascii="Calibri" w:hAnsi="Calibri" w:cs="Calibri"/>
          <w:color w:val="000000" w:themeColor="text1"/>
          <w:spacing w:val="-2"/>
          <w:shd w:val="clear" w:color="auto" w:fill="FFFFFF"/>
        </w:rPr>
        <w:t>‘</w:t>
      </w:r>
      <w:r w:rsidR="00CB497A" w:rsidRPr="00A4647C">
        <w:rPr>
          <w:rFonts w:ascii="Calibri" w:hAnsi="Calibri" w:cs="Calibri"/>
          <w:color w:val="000000" w:themeColor="text1"/>
          <w:spacing w:val="-2"/>
          <w:shd w:val="clear" w:color="auto" w:fill="FFFFFF"/>
        </w:rPr>
        <w:t>black peril</w:t>
      </w:r>
      <w:r w:rsidR="00DB6D0E">
        <w:rPr>
          <w:rFonts w:ascii="Calibri" w:hAnsi="Calibri" w:cs="Calibri"/>
          <w:color w:val="000000" w:themeColor="text1"/>
          <w:spacing w:val="-2"/>
          <w:shd w:val="clear" w:color="auto" w:fill="FFFFFF"/>
        </w:rPr>
        <w:t>’</w:t>
      </w:r>
      <w:r w:rsidR="00CB497A" w:rsidRPr="00A4647C">
        <w:rPr>
          <w:rFonts w:ascii="Calibri" w:hAnsi="Calibri" w:cs="Calibri"/>
          <w:color w:val="000000" w:themeColor="text1"/>
          <w:spacing w:val="-2"/>
          <w:shd w:val="clear" w:color="auto" w:fill="FFFFFF"/>
        </w:rPr>
        <w:t xml:space="preserve"> panics and then explores how anxieties about sexual violence were prosecuted in colonial courts. Using East London as a case study and drawing on 118 rape and attempted-rape files, she reveals how urbanisation, migration, and class shaped both the reporting and legal treatment of sexual assault. Through detailed case studies, </w:t>
      </w:r>
      <w:r w:rsidR="005D6B82">
        <w:rPr>
          <w:rFonts w:ascii="Calibri" w:hAnsi="Calibri" w:cs="Calibri"/>
          <w:color w:val="000000" w:themeColor="text1"/>
          <w:spacing w:val="-2"/>
          <w:shd w:val="clear" w:color="auto" w:fill="FFFFFF"/>
        </w:rPr>
        <w:t>her analysis shows</w:t>
      </w:r>
      <w:r w:rsidR="00CB497A" w:rsidRPr="00A4647C">
        <w:rPr>
          <w:rFonts w:ascii="Calibri" w:hAnsi="Calibri" w:cs="Calibri"/>
          <w:color w:val="000000" w:themeColor="text1"/>
          <w:spacing w:val="-2"/>
          <w:shd w:val="clear" w:color="auto" w:fill="FFFFFF"/>
        </w:rPr>
        <w:t xml:space="preserve"> how courtroom credibility depended on adherence to middle-class norms of respectability, with poor or non-English-speaking white women and black women navigating Christian, Western, and Xhosa norms receiving uneven protection. She also discusses how Black commentators responded to these dynamics with alternative narratives, such as the </w:t>
      </w:r>
      <w:r w:rsidR="00DB6D0E">
        <w:rPr>
          <w:rFonts w:ascii="Calibri" w:hAnsi="Calibri" w:cs="Calibri"/>
          <w:color w:val="000000" w:themeColor="text1"/>
          <w:spacing w:val="-2"/>
          <w:shd w:val="clear" w:color="auto" w:fill="FFFFFF"/>
        </w:rPr>
        <w:t>‘</w:t>
      </w:r>
      <w:r w:rsidR="00CB497A" w:rsidRPr="00A4647C">
        <w:rPr>
          <w:rFonts w:ascii="Calibri" w:hAnsi="Calibri" w:cs="Calibri"/>
          <w:color w:val="000000" w:themeColor="text1"/>
          <w:spacing w:val="-2"/>
          <w:shd w:val="clear" w:color="auto" w:fill="FFFFFF"/>
        </w:rPr>
        <w:t>white peril</w:t>
      </w:r>
      <w:r w:rsidR="00DB6D0E">
        <w:rPr>
          <w:rFonts w:ascii="Calibri" w:hAnsi="Calibri" w:cs="Calibri"/>
          <w:color w:val="000000" w:themeColor="text1"/>
          <w:spacing w:val="-2"/>
          <w:shd w:val="clear" w:color="auto" w:fill="FFFFFF"/>
        </w:rPr>
        <w:t>,’</w:t>
      </w:r>
      <w:r w:rsidR="00CB497A" w:rsidRPr="00A4647C">
        <w:rPr>
          <w:rFonts w:ascii="Calibri" w:hAnsi="Calibri" w:cs="Calibri"/>
          <w:color w:val="000000" w:themeColor="text1"/>
          <w:spacing w:val="-2"/>
          <w:shd w:val="clear" w:color="auto" w:fill="FFFFFF"/>
        </w:rPr>
        <w:t xml:space="preserve"> and called for reforms, including anti-miscegenation laws.</w:t>
      </w:r>
    </w:p>
    <w:p w14:paraId="0F861CFA" w14:textId="0712385E" w:rsidR="00DC475E" w:rsidRPr="00A4647C" w:rsidRDefault="003651E8" w:rsidP="00A4647C">
      <w:pPr>
        <w:pStyle w:val="NormalWeb"/>
        <w:spacing w:line="360" w:lineRule="auto"/>
        <w:rPr>
          <w:rFonts w:ascii="Calibri" w:hAnsi="Calibri" w:cs="Calibri"/>
          <w:color w:val="000000" w:themeColor="text1"/>
        </w:rPr>
      </w:pPr>
      <w:r w:rsidRPr="00A4647C">
        <w:rPr>
          <w:rFonts w:ascii="Calibri" w:hAnsi="Calibri" w:cs="Calibri"/>
          <w:color w:val="000000" w:themeColor="text1"/>
        </w:rPr>
        <w:t xml:space="preserve">Overall, Thornberry </w:t>
      </w:r>
      <w:r w:rsidR="009C50B1">
        <w:rPr>
          <w:rFonts w:ascii="Calibri" w:hAnsi="Calibri" w:cs="Calibri"/>
          <w:color w:val="000000" w:themeColor="text1"/>
        </w:rPr>
        <w:t>suggests</w:t>
      </w:r>
      <w:r w:rsidRPr="00A4647C">
        <w:rPr>
          <w:rFonts w:ascii="Calibri" w:hAnsi="Calibri" w:cs="Calibri"/>
          <w:color w:val="000000" w:themeColor="text1"/>
        </w:rPr>
        <w:t xml:space="preserve"> that while </w:t>
      </w:r>
      <w:r w:rsidR="00DB6D0E">
        <w:rPr>
          <w:rFonts w:ascii="Calibri" w:hAnsi="Calibri" w:cs="Calibri"/>
          <w:color w:val="000000" w:themeColor="text1"/>
        </w:rPr>
        <w:t>‘</w:t>
      </w:r>
      <w:r w:rsidRPr="00A4647C">
        <w:rPr>
          <w:rFonts w:ascii="Calibri" w:hAnsi="Calibri" w:cs="Calibri"/>
          <w:color w:val="000000" w:themeColor="text1"/>
        </w:rPr>
        <w:t>black peril</w:t>
      </w:r>
      <w:r w:rsidR="00DB6D0E">
        <w:rPr>
          <w:rFonts w:ascii="Calibri" w:hAnsi="Calibri" w:cs="Calibri"/>
          <w:color w:val="000000" w:themeColor="text1"/>
        </w:rPr>
        <w:t>’</w:t>
      </w:r>
      <w:r w:rsidRPr="00A4647C">
        <w:rPr>
          <w:rFonts w:ascii="Calibri" w:hAnsi="Calibri" w:cs="Calibri"/>
          <w:color w:val="000000" w:themeColor="text1"/>
        </w:rPr>
        <w:t xml:space="preserve"> panics were used by colonial authorities and white society to justify segregation and discriminatory legislation, the legal realities were far more complex. Courtroom credibility was mediated not simply by race but by the extent to which complainants conformed to ideals of respectability. Poor or non-English-</w:t>
      </w:r>
      <w:r w:rsidRPr="00A4647C">
        <w:rPr>
          <w:rFonts w:ascii="Calibri" w:hAnsi="Calibri" w:cs="Calibri"/>
          <w:color w:val="000000" w:themeColor="text1"/>
        </w:rPr>
        <w:lastRenderedPageBreak/>
        <w:t>speaking white women were often dismissed, whereas some black women, by presenting themselves as respectable through Christian marriage or European dress, could gain credibility. Class and racial hierarchies still shaped outcomes, and rapid urbani</w:t>
      </w:r>
      <w:r w:rsidR="002E14C7" w:rsidRPr="00A4647C">
        <w:rPr>
          <w:rFonts w:ascii="Calibri" w:hAnsi="Calibri" w:cs="Calibri"/>
          <w:color w:val="000000" w:themeColor="text1"/>
        </w:rPr>
        <w:t>s</w:t>
      </w:r>
      <w:r w:rsidRPr="00A4647C">
        <w:rPr>
          <w:rFonts w:ascii="Calibri" w:hAnsi="Calibri" w:cs="Calibri"/>
          <w:color w:val="000000" w:themeColor="text1"/>
        </w:rPr>
        <w:t xml:space="preserve">ation created further social vulnerabilities for women. </w:t>
      </w:r>
      <w:r w:rsidR="00C31E9B" w:rsidRPr="00A4647C">
        <w:rPr>
          <w:rFonts w:ascii="Calibri" w:hAnsi="Calibri" w:cs="Calibri"/>
          <w:color w:val="000000" w:themeColor="text1"/>
        </w:rPr>
        <w:t>O</w:t>
      </w:r>
      <w:r w:rsidRPr="00A4647C">
        <w:rPr>
          <w:rFonts w:ascii="Calibri" w:hAnsi="Calibri" w:cs="Calibri"/>
          <w:color w:val="000000" w:themeColor="text1"/>
        </w:rPr>
        <w:t xml:space="preserve">utcomes reflected both societal anxieties and exclusionary norms rather than mere facts. </w:t>
      </w:r>
    </w:p>
    <w:p w14:paraId="276AA196" w14:textId="42622FE5" w:rsidR="00D8592C" w:rsidRPr="00A4647C" w:rsidRDefault="003651E8" w:rsidP="00A4647C">
      <w:pPr>
        <w:spacing w:line="360" w:lineRule="auto"/>
        <w:rPr>
          <w:color w:val="000000" w:themeColor="text1"/>
        </w:rPr>
      </w:pPr>
      <w:r w:rsidRPr="00A4647C">
        <w:rPr>
          <w:rFonts w:ascii="Calibri" w:hAnsi="Calibri" w:cs="Calibri"/>
          <w:color w:val="000000" w:themeColor="text1"/>
        </w:rPr>
        <w:t>Thornberry supports her argument with illustrative examples, including the case of Sam Mshiywa, a black dockworker executed for the rape of a white nurse and assault of a Xhosa woman, and the acquittal of Thomas Tipping in the assault of Clara Rustenberg, highlighting the ways respectability shaped judicial outcomes. She contrasts these with cases where black women, such as Lena July and Noyanti, succeeded by emphasi</w:t>
      </w:r>
      <w:r w:rsidR="002E14C7" w:rsidRPr="00A4647C">
        <w:rPr>
          <w:rFonts w:ascii="Calibri" w:hAnsi="Calibri" w:cs="Calibri"/>
          <w:color w:val="000000" w:themeColor="text1"/>
        </w:rPr>
        <w:t>s</w:t>
      </w:r>
      <w:r w:rsidRPr="00A4647C">
        <w:rPr>
          <w:rFonts w:ascii="Calibri" w:hAnsi="Calibri" w:cs="Calibri"/>
          <w:color w:val="000000" w:themeColor="text1"/>
        </w:rPr>
        <w:t xml:space="preserve">ing conformity to cultural norms, and poor white </w:t>
      </w:r>
      <w:r w:rsidR="002E14C7" w:rsidRPr="00A4647C">
        <w:rPr>
          <w:rFonts w:ascii="Calibri" w:hAnsi="Calibri" w:cs="Calibri"/>
          <w:color w:val="000000" w:themeColor="text1"/>
        </w:rPr>
        <w:t>teenagers</w:t>
      </w:r>
      <w:r w:rsidRPr="00A4647C">
        <w:rPr>
          <w:rFonts w:ascii="Calibri" w:hAnsi="Calibri" w:cs="Calibri"/>
          <w:color w:val="000000" w:themeColor="text1"/>
        </w:rPr>
        <w:t xml:space="preserve"> like Lydia Peinke, whose complaints resulted in minimal legal consequences</w:t>
      </w:r>
      <w:r w:rsidR="002E14C7" w:rsidRPr="00A4647C">
        <w:rPr>
          <w:rFonts w:ascii="Calibri" w:hAnsi="Calibri" w:cs="Calibri"/>
          <w:color w:val="000000" w:themeColor="text1"/>
        </w:rPr>
        <w:t>.</w:t>
      </w:r>
      <w:r w:rsidR="002B3BCF" w:rsidRPr="00A4647C">
        <w:rPr>
          <w:rFonts w:ascii="Calibri" w:hAnsi="Calibri" w:cs="Calibri"/>
          <w:color w:val="000000" w:themeColor="text1"/>
        </w:rPr>
        <w:t xml:space="preserve"> </w:t>
      </w:r>
      <w:r w:rsidR="002E14C7" w:rsidRPr="00A4647C">
        <w:rPr>
          <w:rFonts w:ascii="Calibri" w:hAnsi="Calibri" w:cs="Calibri"/>
          <w:color w:val="000000" w:themeColor="text1"/>
          <w:spacing w:val="-2"/>
          <w:shd w:val="clear" w:color="auto" w:fill="FFFFFF"/>
        </w:rPr>
        <w:t xml:space="preserve">Thornberry further demonstrates the complexity of courtroom outcomes by discussing the case of Jack Qwali, whose sexual assault of </w:t>
      </w:r>
      <w:proofErr w:type="spellStart"/>
      <w:r w:rsidR="002E14C7" w:rsidRPr="00A4647C">
        <w:rPr>
          <w:rFonts w:ascii="Calibri" w:hAnsi="Calibri" w:cs="Calibri"/>
          <w:color w:val="000000" w:themeColor="text1"/>
          <w:spacing w:val="-2"/>
          <w:shd w:val="clear" w:color="auto" w:fill="FFFFFF"/>
        </w:rPr>
        <w:t>Ruqule</w:t>
      </w:r>
      <w:proofErr w:type="spellEnd"/>
      <w:r w:rsidR="002E14C7" w:rsidRPr="00A4647C">
        <w:rPr>
          <w:rFonts w:ascii="Calibri" w:hAnsi="Calibri" w:cs="Calibri"/>
          <w:color w:val="000000" w:themeColor="text1"/>
          <w:spacing w:val="-2"/>
          <w:shd w:val="clear" w:color="auto" w:fill="FFFFFF"/>
        </w:rPr>
        <w:t xml:space="preserve">, a nine-year-old black girl, was downgraded from rape to common assault, highlighting how black girls’ experiences of harm were often minimised due to prevailing notions of respectability. Likewise, in the case of Maria King, a poor white woman, the racial dynamic meant that her accusation of attempted rape against a black man was still taken seriously in court, despite her poverty, showing that race could sometimes outweigh class in determining which cases were prosecuted </w:t>
      </w:r>
      <w:r w:rsidR="002B3BCF" w:rsidRPr="00A4647C">
        <w:rPr>
          <w:rFonts w:ascii="Calibri" w:hAnsi="Calibri" w:cs="Calibri"/>
          <w:color w:val="000000" w:themeColor="text1"/>
        </w:rPr>
        <w:t>(Thornberry, 2016, pp. 8</w:t>
      </w:r>
      <w:r w:rsidR="00254768" w:rsidRPr="00A4647C">
        <w:rPr>
          <w:rFonts w:ascii="Calibri" w:hAnsi="Calibri" w:cs="Calibri"/>
          <w:color w:val="000000" w:themeColor="text1"/>
        </w:rPr>
        <w:t>63</w:t>
      </w:r>
      <w:r w:rsidR="002B3BCF" w:rsidRPr="00A4647C">
        <w:rPr>
          <w:rFonts w:ascii="Calibri" w:hAnsi="Calibri" w:cs="Calibri"/>
          <w:color w:val="000000" w:themeColor="text1"/>
        </w:rPr>
        <w:t>-876)</w:t>
      </w:r>
      <w:r w:rsidR="00254768" w:rsidRPr="00A4647C">
        <w:rPr>
          <w:rFonts w:ascii="Calibri" w:hAnsi="Calibri" w:cs="Calibri"/>
          <w:color w:val="000000" w:themeColor="text1"/>
        </w:rPr>
        <w:t>.</w:t>
      </w:r>
      <w:r w:rsidR="002D4530" w:rsidRPr="00A4647C">
        <w:rPr>
          <w:rFonts w:ascii="Calibri" w:hAnsi="Calibri" w:cs="Calibri"/>
          <w:color w:val="000000" w:themeColor="text1"/>
        </w:rPr>
        <w:t xml:space="preserve"> </w:t>
      </w:r>
      <w:r w:rsidR="00D8592C" w:rsidRPr="00A4647C">
        <w:rPr>
          <w:rFonts w:ascii="Calibri" w:hAnsi="Calibri" w:cs="Calibri"/>
          <w:color w:val="000000" w:themeColor="text1"/>
        </w:rPr>
        <w:t>These examples show that courtroom credibility was not determined solely by race. Some black women gained legal recognition by conforming to ideals of respectability, while poor or non-English</w:t>
      </w:r>
      <w:r w:rsidR="00DB6D0E">
        <w:rPr>
          <w:rFonts w:ascii="Calibri" w:hAnsi="Calibri" w:cs="Calibri"/>
          <w:color w:val="000000" w:themeColor="text1"/>
        </w:rPr>
        <w:t>-</w:t>
      </w:r>
      <w:r w:rsidR="00D8592C" w:rsidRPr="00A4647C">
        <w:rPr>
          <w:rFonts w:ascii="Calibri" w:hAnsi="Calibri" w:cs="Calibri"/>
          <w:color w:val="000000" w:themeColor="text1"/>
        </w:rPr>
        <w:t>speaking white women were often dismissed. Collectively, these cases demonstrate how legal decisions reflected broader social anxieties and norms, underscoring the uneven access to justice for women in the colonial context.</w:t>
      </w:r>
    </w:p>
    <w:p w14:paraId="7B7D6008" w14:textId="77777777" w:rsidR="00D13B0B" w:rsidRPr="00A4647C" w:rsidRDefault="00D13B0B" w:rsidP="00A4647C">
      <w:pPr>
        <w:pStyle w:val="NormalWeb"/>
        <w:spacing w:before="0" w:beforeAutospacing="0" w:after="0" w:afterAutospacing="0" w:line="360" w:lineRule="auto"/>
        <w:rPr>
          <w:rStyle w:val="Strong"/>
          <w:rFonts w:ascii="Calibri" w:eastAsiaTheme="majorEastAsia" w:hAnsi="Calibri" w:cs="Calibri"/>
          <w:color w:val="000000" w:themeColor="text1"/>
        </w:rPr>
      </w:pPr>
    </w:p>
    <w:p w14:paraId="0FB3E225" w14:textId="06593CA5" w:rsidR="00D13B0B" w:rsidRPr="00A4647C" w:rsidRDefault="00B74A94" w:rsidP="00A4647C">
      <w:pPr>
        <w:pStyle w:val="NormalWeb"/>
        <w:spacing w:before="0" w:beforeAutospacing="0" w:after="0" w:afterAutospacing="0" w:line="360" w:lineRule="auto"/>
        <w:rPr>
          <w:rFonts w:ascii="Calibri" w:hAnsi="Calibri" w:cs="Calibri"/>
          <w:color w:val="000000" w:themeColor="text1"/>
          <w:spacing w:val="-2"/>
          <w:shd w:val="clear" w:color="auto" w:fill="FFFFFF"/>
        </w:rPr>
      </w:pPr>
      <w:r w:rsidRPr="00A4647C">
        <w:rPr>
          <w:rFonts w:ascii="Calibri" w:hAnsi="Calibri" w:cs="Calibri"/>
          <w:color w:val="000000" w:themeColor="text1"/>
        </w:rPr>
        <w:t xml:space="preserve">Thornberry’s methodology draws on a wide range of sources, including court records, government documents, newspapers, and archival materials from East London, to build a </w:t>
      </w:r>
      <w:r w:rsidR="00A4647C" w:rsidRPr="00A4647C">
        <w:rPr>
          <w:rFonts w:ascii="Calibri" w:hAnsi="Calibri" w:cs="Calibri"/>
          <w:color w:val="000000" w:themeColor="text1"/>
        </w:rPr>
        <w:t>micro historical</w:t>
      </w:r>
      <w:r w:rsidRPr="00A4647C">
        <w:rPr>
          <w:rFonts w:ascii="Calibri" w:hAnsi="Calibri" w:cs="Calibri"/>
          <w:color w:val="000000" w:themeColor="text1"/>
        </w:rPr>
        <w:t xml:space="preserve"> analysis of individual legal cases. This approach show</w:t>
      </w:r>
      <w:r w:rsidR="00DB6D0E">
        <w:rPr>
          <w:rFonts w:ascii="Calibri" w:hAnsi="Calibri" w:cs="Calibri"/>
          <w:color w:val="000000" w:themeColor="text1"/>
        </w:rPr>
        <w:t>s</w:t>
      </w:r>
      <w:r w:rsidRPr="00A4647C">
        <w:rPr>
          <w:rFonts w:ascii="Calibri" w:hAnsi="Calibri" w:cs="Calibri"/>
          <w:color w:val="000000" w:themeColor="text1"/>
        </w:rPr>
        <w:t xml:space="preserve"> how respectability, race, and gender shaped assessments of legal credibility and courtroom outcomes. A particular strength of her source base is its capacity to reveal both the formal, state-endorsed perspectives embedded in legal </w:t>
      </w:r>
      <w:proofErr w:type="gramStart"/>
      <w:r w:rsidRPr="00A4647C">
        <w:rPr>
          <w:rFonts w:ascii="Calibri" w:hAnsi="Calibri" w:cs="Calibri"/>
          <w:color w:val="000000" w:themeColor="text1"/>
        </w:rPr>
        <w:t>records</w:t>
      </w:r>
      <w:proofErr w:type="gramEnd"/>
      <w:r w:rsidRPr="00A4647C">
        <w:rPr>
          <w:rFonts w:ascii="Calibri" w:hAnsi="Calibri" w:cs="Calibri"/>
          <w:color w:val="000000" w:themeColor="text1"/>
        </w:rPr>
        <w:t xml:space="preserve"> and, at certain moments, the voices, </w:t>
      </w:r>
      <w:r w:rsidRPr="00A4647C">
        <w:rPr>
          <w:rFonts w:ascii="Calibri" w:hAnsi="Calibri" w:cs="Calibri"/>
          <w:color w:val="000000" w:themeColor="text1"/>
        </w:rPr>
        <w:lastRenderedPageBreak/>
        <w:t>strategies, and constraints experienced by marginalised women navigating the colonial legal system. Thornberry further situates these cases within broader public debates by examining the activism of prominent Black intellectuals such as Sol Plaatje, John Tengo Jabavu, and Walter Rubusana, who challenged dominant narratives and advocated for reforms</w:t>
      </w:r>
      <w:r w:rsidR="00A4647C">
        <w:rPr>
          <w:rFonts w:ascii="Calibri" w:hAnsi="Calibri" w:cs="Calibri"/>
          <w:color w:val="000000" w:themeColor="text1"/>
        </w:rPr>
        <w:t xml:space="preserve">, </w:t>
      </w:r>
      <w:r w:rsidRPr="00A4647C">
        <w:rPr>
          <w:rFonts w:ascii="Calibri" w:hAnsi="Calibri" w:cs="Calibri"/>
          <w:color w:val="000000" w:themeColor="text1"/>
        </w:rPr>
        <w:t>including a proposed ban on miscegenation</w:t>
      </w:r>
      <w:r w:rsidR="00A4647C">
        <w:rPr>
          <w:rFonts w:ascii="Calibri" w:hAnsi="Calibri" w:cs="Calibri"/>
          <w:color w:val="000000" w:themeColor="text1"/>
        </w:rPr>
        <w:t xml:space="preserve">, </w:t>
      </w:r>
      <w:r w:rsidRPr="00A4647C">
        <w:rPr>
          <w:rFonts w:ascii="Calibri" w:hAnsi="Calibri" w:cs="Calibri"/>
          <w:color w:val="000000" w:themeColor="text1"/>
        </w:rPr>
        <w:t>intended to protect Black women from sexual exploitation (Thornberry, 2016, pp. 871, 876).</w:t>
      </w:r>
      <w:r w:rsidRPr="00A4647C">
        <w:rPr>
          <w:rFonts w:ascii="Calibri" w:hAnsi="Calibri" w:cs="Calibri"/>
          <w:color w:val="000000" w:themeColor="text1"/>
          <w:spacing w:val="-2"/>
          <w:shd w:val="clear" w:color="auto" w:fill="FFFFFF"/>
        </w:rPr>
        <w:t xml:space="preserve"> </w:t>
      </w:r>
      <w:r w:rsidRPr="00A4647C">
        <w:rPr>
          <w:rFonts w:ascii="Calibri" w:hAnsi="Calibri" w:cs="Calibri"/>
          <w:color w:val="000000" w:themeColor="text1"/>
        </w:rPr>
        <w:t xml:space="preserve">However, her methodology also has </w:t>
      </w:r>
      <w:r w:rsidR="00CB497A" w:rsidRPr="00A4647C">
        <w:rPr>
          <w:rFonts w:ascii="Calibri" w:hAnsi="Calibri" w:cs="Calibri"/>
          <w:color w:val="000000" w:themeColor="text1"/>
        </w:rPr>
        <w:t>apparent</w:t>
      </w:r>
      <w:r w:rsidRPr="00A4647C">
        <w:rPr>
          <w:rFonts w:ascii="Calibri" w:hAnsi="Calibri" w:cs="Calibri"/>
          <w:color w:val="000000" w:themeColor="text1"/>
        </w:rPr>
        <w:t xml:space="preserve"> limitations. The reliance on court records and official documentation inevitably privileges the perspectives of the state and those whose experiences entered the legal archive. Women who did not report crimes, whose cases never reached court, or whose voices were filtered through police and judicial intermediaries remain largely absent. As a result, the most marginalised experiences risk being obscured or distorted. Thornberry acknowledges these constraints and reads her evidence critically, </w:t>
      </w:r>
      <w:r w:rsidR="00CB497A" w:rsidRPr="00A4647C">
        <w:rPr>
          <w:rFonts w:ascii="Calibri" w:hAnsi="Calibri" w:cs="Calibri"/>
          <w:color w:val="000000" w:themeColor="text1"/>
        </w:rPr>
        <w:t>ye</w:t>
      </w:r>
      <w:r w:rsidRPr="00A4647C">
        <w:rPr>
          <w:rFonts w:ascii="Calibri" w:hAnsi="Calibri" w:cs="Calibri"/>
          <w:color w:val="000000" w:themeColor="text1"/>
        </w:rPr>
        <w:t xml:space="preserve">t the available sources nonetheless shape and circumscribe the conclusions she </w:t>
      </w:r>
      <w:r w:rsidR="00CB497A" w:rsidRPr="00A4647C">
        <w:rPr>
          <w:rFonts w:ascii="Calibri" w:hAnsi="Calibri" w:cs="Calibri"/>
          <w:color w:val="000000" w:themeColor="text1"/>
        </w:rPr>
        <w:t>can</w:t>
      </w:r>
      <w:r w:rsidRPr="00A4647C">
        <w:rPr>
          <w:rFonts w:ascii="Calibri" w:hAnsi="Calibri" w:cs="Calibri"/>
          <w:color w:val="000000" w:themeColor="text1"/>
        </w:rPr>
        <w:t xml:space="preserve"> draw. Despite these limitations, her careful integration of legal records, public discourse, and Black intellectual activism provides a reconstruction of how race, gender, and respectability were contested within the colonial legal system.</w:t>
      </w:r>
    </w:p>
    <w:p w14:paraId="18004384" w14:textId="4C95FF3B" w:rsidR="00D13B0B" w:rsidRPr="00D13B0B" w:rsidRDefault="003651E8" w:rsidP="00A4647C">
      <w:pPr>
        <w:pStyle w:val="NormalWeb"/>
        <w:spacing w:before="0" w:beforeAutospacing="0" w:after="0" w:afterAutospacing="0" w:line="360" w:lineRule="auto"/>
        <w:rPr>
          <w:rFonts w:ascii="Calibri" w:hAnsi="Calibri" w:cs="Calibri"/>
          <w:color w:val="000000" w:themeColor="text1"/>
          <w:spacing w:val="-2"/>
          <w:shd w:val="clear" w:color="auto" w:fill="FFFFFF"/>
        </w:rPr>
      </w:pPr>
      <w:r w:rsidRPr="00A4647C">
        <w:rPr>
          <w:rFonts w:ascii="Calibri" w:hAnsi="Calibri" w:cs="Calibri"/>
          <w:color w:val="000000" w:themeColor="text1"/>
        </w:rPr>
        <w:br/>
      </w:r>
      <w:r w:rsidR="008346A8" w:rsidRPr="00A4647C">
        <w:rPr>
          <w:rFonts w:ascii="Calibri" w:hAnsi="Calibri" w:cs="Calibri"/>
          <w:color w:val="000000" w:themeColor="text1"/>
          <w:spacing w:val="-2"/>
          <w:shd w:val="clear" w:color="auto" w:fill="FFFFFF"/>
        </w:rPr>
        <w:t xml:space="preserve">Thornberry stands out by illuminating how respectability, race, and gender operated together in the prosecution of sexual violence in colonial East London, demonstrating with detailed case studies that marginalised women could sometimes strategically use respectability to gain credibility in court. This approach differs from Scully (1995), who analyses rural, post-emancipation South Africa and emphasises the structural exclusion of Black and working-class women, with respectability functioning chiefly as a barrier. Etherington (1988), meanwhile, interprets </w:t>
      </w:r>
      <w:r w:rsidR="00DB6D0E">
        <w:rPr>
          <w:rFonts w:ascii="Calibri" w:hAnsi="Calibri" w:cs="Calibri"/>
          <w:color w:val="000000" w:themeColor="text1"/>
          <w:spacing w:val="-2"/>
          <w:shd w:val="clear" w:color="auto" w:fill="FFFFFF"/>
        </w:rPr>
        <w:t>‘</w:t>
      </w:r>
      <w:r w:rsidR="008346A8" w:rsidRPr="00A4647C">
        <w:rPr>
          <w:rFonts w:ascii="Calibri" w:hAnsi="Calibri" w:cs="Calibri"/>
          <w:color w:val="000000" w:themeColor="text1"/>
          <w:spacing w:val="-2"/>
          <w:shd w:val="clear" w:color="auto" w:fill="FFFFFF"/>
        </w:rPr>
        <w:t>black peril</w:t>
      </w:r>
      <w:r w:rsidR="00DB6D0E">
        <w:rPr>
          <w:rFonts w:ascii="Calibri" w:hAnsi="Calibri" w:cs="Calibri"/>
          <w:color w:val="000000" w:themeColor="text1"/>
          <w:spacing w:val="-2"/>
          <w:shd w:val="clear" w:color="auto" w:fill="FFFFFF"/>
        </w:rPr>
        <w:t>’</w:t>
      </w:r>
      <w:r w:rsidR="008346A8" w:rsidRPr="00A4647C">
        <w:rPr>
          <w:rFonts w:ascii="Calibri" w:hAnsi="Calibri" w:cs="Calibri"/>
          <w:color w:val="000000" w:themeColor="text1"/>
          <w:spacing w:val="-2"/>
          <w:shd w:val="clear" w:color="auto" w:fill="FFFFFF"/>
        </w:rPr>
        <w:t xml:space="preserve"> panics as expressions of settler anxiety and the desire for social control, focusing less on legal process and more on the broader phenomenon of moral panic. Keegan (2001) explores how discourses of sexual danger shaped public and political </w:t>
      </w:r>
      <w:proofErr w:type="gramStart"/>
      <w:r w:rsidR="008346A8" w:rsidRPr="00A4647C">
        <w:rPr>
          <w:rFonts w:ascii="Calibri" w:hAnsi="Calibri" w:cs="Calibri"/>
          <w:color w:val="000000" w:themeColor="text1"/>
          <w:spacing w:val="-2"/>
          <w:shd w:val="clear" w:color="auto" w:fill="FFFFFF"/>
        </w:rPr>
        <w:t>boundaries, but</w:t>
      </w:r>
      <w:proofErr w:type="gramEnd"/>
      <w:r w:rsidR="008346A8" w:rsidRPr="00A4647C">
        <w:rPr>
          <w:rFonts w:ascii="Calibri" w:hAnsi="Calibri" w:cs="Calibri"/>
          <w:color w:val="000000" w:themeColor="text1"/>
          <w:spacing w:val="-2"/>
          <w:shd w:val="clear" w:color="auto" w:fill="FFFFFF"/>
        </w:rPr>
        <w:t xml:space="preserve"> remains largely at the level of societal narrative rather than legal practice. Thornberry’s focus on courtroom dynamics, agency, and the negotiation of respectability in an urban colonial context thus provides a uniquely granular and</w:t>
      </w:r>
      <w:r w:rsidR="008346A8" w:rsidRPr="00D13B0B">
        <w:rPr>
          <w:rFonts w:ascii="Calibri" w:hAnsi="Calibri" w:cs="Calibri"/>
          <w:color w:val="000000" w:themeColor="text1"/>
          <w:spacing w:val="-2"/>
          <w:shd w:val="clear" w:color="auto" w:fill="FFFFFF"/>
        </w:rPr>
        <w:t xml:space="preserve"> intersectional analysis, advancing the literature by revealing the complexity and variability of justice for women under colonial rule</w:t>
      </w:r>
      <w:r w:rsidR="002D4530" w:rsidRPr="00D13B0B">
        <w:rPr>
          <w:rFonts w:ascii="Calibri" w:hAnsi="Calibri" w:cs="Calibri"/>
          <w:color w:val="000000" w:themeColor="text1"/>
          <w:spacing w:val="-2"/>
          <w:shd w:val="clear" w:color="auto" w:fill="FFFFFF"/>
        </w:rPr>
        <w:t>.</w:t>
      </w:r>
    </w:p>
    <w:p w14:paraId="7D1CA4B9" w14:textId="161709CD" w:rsidR="003651E8" w:rsidRPr="00D13B0B" w:rsidRDefault="003651E8" w:rsidP="00A4647C">
      <w:pPr>
        <w:pStyle w:val="NormalWeb"/>
        <w:spacing w:before="0" w:beforeAutospacing="0" w:after="0" w:afterAutospacing="0" w:line="360" w:lineRule="auto"/>
        <w:rPr>
          <w:rFonts w:ascii="Calibri" w:hAnsi="Calibri" w:cs="Calibri"/>
          <w:color w:val="000000" w:themeColor="text1"/>
          <w:spacing w:val="-2"/>
          <w:shd w:val="clear" w:color="auto" w:fill="FFFFFF"/>
        </w:rPr>
      </w:pPr>
      <w:r w:rsidRPr="00D13B0B">
        <w:rPr>
          <w:rFonts w:ascii="Calibri" w:hAnsi="Calibri" w:cs="Calibri"/>
          <w:color w:val="000000" w:themeColor="text1"/>
        </w:rPr>
        <w:br/>
      </w:r>
      <w:r w:rsidR="008346A8" w:rsidRPr="00D13B0B">
        <w:rPr>
          <w:rFonts w:ascii="Calibri" w:hAnsi="Calibri" w:cs="Calibri"/>
          <w:color w:val="000000" w:themeColor="text1"/>
          <w:spacing w:val="-2"/>
          <w:shd w:val="clear" w:color="auto" w:fill="FFFFFF"/>
        </w:rPr>
        <w:t>Thornberry’s article offers a</w:t>
      </w:r>
      <w:r w:rsidR="00CB497A" w:rsidRPr="00D13B0B">
        <w:rPr>
          <w:rFonts w:ascii="Calibri" w:hAnsi="Calibri" w:cs="Calibri"/>
          <w:color w:val="000000" w:themeColor="text1"/>
          <w:spacing w:val="-2"/>
          <w:shd w:val="clear" w:color="auto" w:fill="FFFFFF"/>
        </w:rPr>
        <w:t xml:space="preserve">n </w:t>
      </w:r>
      <w:r w:rsidR="008346A8" w:rsidRPr="00D13B0B">
        <w:rPr>
          <w:rFonts w:ascii="Calibri" w:hAnsi="Calibri" w:cs="Calibri"/>
          <w:color w:val="000000" w:themeColor="text1"/>
          <w:spacing w:val="-2"/>
          <w:shd w:val="clear" w:color="auto" w:fill="FFFFFF"/>
        </w:rPr>
        <w:t xml:space="preserve">insightful analysis of how intersecting hierarchies shaped legal </w:t>
      </w:r>
      <w:r w:rsidR="008346A8" w:rsidRPr="00D13B0B">
        <w:rPr>
          <w:rFonts w:ascii="Calibri" w:hAnsi="Calibri" w:cs="Calibri"/>
          <w:color w:val="000000" w:themeColor="text1"/>
          <w:spacing w:val="-2"/>
          <w:shd w:val="clear" w:color="auto" w:fill="FFFFFF"/>
        </w:rPr>
        <w:lastRenderedPageBreak/>
        <w:t xml:space="preserve">outcomes for women in colonial South Africa, challenging simplistic interpretations of </w:t>
      </w:r>
      <w:r w:rsidR="00DB6D0E">
        <w:rPr>
          <w:rFonts w:ascii="Calibri" w:hAnsi="Calibri" w:cs="Calibri"/>
          <w:color w:val="000000" w:themeColor="text1"/>
          <w:spacing w:val="-2"/>
          <w:shd w:val="clear" w:color="auto" w:fill="FFFFFF"/>
        </w:rPr>
        <w:t>‘</w:t>
      </w:r>
      <w:r w:rsidR="008346A8" w:rsidRPr="00D13B0B">
        <w:rPr>
          <w:rFonts w:ascii="Calibri" w:hAnsi="Calibri" w:cs="Calibri"/>
          <w:color w:val="000000" w:themeColor="text1"/>
          <w:spacing w:val="-2"/>
          <w:shd w:val="clear" w:color="auto" w:fill="FFFFFF"/>
        </w:rPr>
        <w:t>black peril</w:t>
      </w:r>
      <w:r w:rsidR="00DB6D0E">
        <w:rPr>
          <w:rFonts w:ascii="Calibri" w:hAnsi="Calibri" w:cs="Calibri"/>
          <w:color w:val="000000" w:themeColor="text1"/>
          <w:spacing w:val="-2"/>
          <w:shd w:val="clear" w:color="auto" w:fill="FFFFFF"/>
        </w:rPr>
        <w:t>’</w:t>
      </w:r>
      <w:r w:rsidR="008346A8" w:rsidRPr="00D13B0B">
        <w:rPr>
          <w:rFonts w:ascii="Calibri" w:hAnsi="Calibri" w:cs="Calibri"/>
          <w:color w:val="000000" w:themeColor="text1"/>
          <w:spacing w:val="-2"/>
          <w:shd w:val="clear" w:color="auto" w:fill="FFFFFF"/>
        </w:rPr>
        <w:t xml:space="preserve"> and respectability. Her work is a valuable resource for scholars of gender, law, and colonialism, providing a model for understanding the complexities of justice in historical contexts.</w:t>
      </w:r>
    </w:p>
    <w:p w14:paraId="5E39D677" w14:textId="77777777" w:rsidR="009E2224" w:rsidRDefault="009E2224" w:rsidP="00A4647C">
      <w:pPr>
        <w:spacing w:line="360" w:lineRule="auto"/>
      </w:pPr>
    </w:p>
    <w:p w14:paraId="5D060CA8" w14:textId="77777777" w:rsidR="009E2224" w:rsidRDefault="009E2224" w:rsidP="00A4647C">
      <w:pPr>
        <w:spacing w:line="360" w:lineRule="auto"/>
      </w:pPr>
    </w:p>
    <w:p w14:paraId="12DC86E9" w14:textId="77777777" w:rsidR="009E2224" w:rsidRDefault="009E2224" w:rsidP="00A4647C">
      <w:pPr>
        <w:spacing w:line="360" w:lineRule="auto"/>
      </w:pPr>
    </w:p>
    <w:p w14:paraId="24389AB2" w14:textId="77777777" w:rsidR="009E2224" w:rsidRDefault="009E2224" w:rsidP="00A4647C">
      <w:pPr>
        <w:spacing w:line="360" w:lineRule="auto"/>
      </w:pPr>
    </w:p>
    <w:p w14:paraId="73412409" w14:textId="77777777" w:rsidR="009E2224" w:rsidRDefault="009E2224" w:rsidP="00A4647C">
      <w:pPr>
        <w:spacing w:line="360" w:lineRule="auto"/>
      </w:pPr>
    </w:p>
    <w:p w14:paraId="03138365" w14:textId="77777777" w:rsidR="009E2224" w:rsidRDefault="009E2224" w:rsidP="00A4647C">
      <w:pPr>
        <w:spacing w:line="360" w:lineRule="auto"/>
      </w:pPr>
    </w:p>
    <w:p w14:paraId="277DDF75" w14:textId="77777777" w:rsidR="009E2224" w:rsidRDefault="009E2224" w:rsidP="00A4647C">
      <w:pPr>
        <w:spacing w:line="360" w:lineRule="auto"/>
      </w:pPr>
    </w:p>
    <w:p w14:paraId="460A4AF4" w14:textId="77777777" w:rsidR="009E2224" w:rsidRDefault="009E2224" w:rsidP="003651E8"/>
    <w:p w14:paraId="1F931033" w14:textId="77777777" w:rsidR="009E2224" w:rsidRDefault="009E2224" w:rsidP="003651E8"/>
    <w:p w14:paraId="48E74510" w14:textId="77777777" w:rsidR="009E2224" w:rsidRDefault="009E2224" w:rsidP="003651E8"/>
    <w:p w14:paraId="2995A815" w14:textId="77777777" w:rsidR="009E2224" w:rsidRDefault="009E2224" w:rsidP="003651E8"/>
    <w:p w14:paraId="4A03E744" w14:textId="77777777" w:rsidR="009E2224" w:rsidRDefault="009E2224" w:rsidP="003651E8"/>
    <w:p w14:paraId="382CC96C" w14:textId="77777777" w:rsidR="009E2224" w:rsidRDefault="009E2224" w:rsidP="003651E8"/>
    <w:p w14:paraId="681EADF3" w14:textId="77777777" w:rsidR="009E2224" w:rsidRDefault="009E2224" w:rsidP="003651E8"/>
    <w:p w14:paraId="79C9E15D" w14:textId="77777777" w:rsidR="008346A8" w:rsidRDefault="008346A8" w:rsidP="003651E8"/>
    <w:p w14:paraId="7B39ECEB" w14:textId="77777777" w:rsidR="008346A8" w:rsidRDefault="008346A8" w:rsidP="003651E8"/>
    <w:p w14:paraId="39E09316" w14:textId="77777777" w:rsidR="008346A8" w:rsidRDefault="008346A8" w:rsidP="003651E8"/>
    <w:p w14:paraId="3F20A789" w14:textId="77777777" w:rsidR="008346A8" w:rsidRDefault="008346A8" w:rsidP="003651E8"/>
    <w:p w14:paraId="2FB54D0D" w14:textId="77777777" w:rsidR="008346A8" w:rsidRDefault="008346A8" w:rsidP="003651E8"/>
    <w:p w14:paraId="637E7CAC" w14:textId="77777777" w:rsidR="008346A8" w:rsidRDefault="008346A8" w:rsidP="003651E8"/>
    <w:p w14:paraId="3BD8CE7E" w14:textId="77777777" w:rsidR="008346A8" w:rsidRDefault="008346A8" w:rsidP="003651E8"/>
    <w:p w14:paraId="68DA1B6E" w14:textId="77777777" w:rsidR="008346A8" w:rsidRDefault="008346A8" w:rsidP="003651E8"/>
    <w:p w14:paraId="5393199A" w14:textId="77777777" w:rsidR="008346A8" w:rsidRDefault="008346A8" w:rsidP="003651E8"/>
    <w:p w14:paraId="2BAA2712" w14:textId="77777777" w:rsidR="008346A8" w:rsidRDefault="008346A8" w:rsidP="003651E8"/>
    <w:p w14:paraId="3ED01734" w14:textId="77777777" w:rsidR="008346A8" w:rsidRDefault="008346A8" w:rsidP="003651E8"/>
    <w:p w14:paraId="39B060AF" w14:textId="77777777" w:rsidR="00CB497A" w:rsidRDefault="00CB497A" w:rsidP="003651E8"/>
    <w:p w14:paraId="66B5A41A" w14:textId="77777777" w:rsidR="00CB497A" w:rsidRDefault="00CB497A" w:rsidP="003651E8"/>
    <w:p w14:paraId="09862EAF" w14:textId="77777777" w:rsidR="00CB497A" w:rsidRDefault="00CB497A" w:rsidP="003651E8"/>
    <w:p w14:paraId="1B801D98" w14:textId="77777777" w:rsidR="00CB497A" w:rsidRDefault="00CB497A" w:rsidP="003651E8"/>
    <w:p w14:paraId="0FD81F48" w14:textId="77777777" w:rsidR="00CB497A" w:rsidRDefault="00CB497A" w:rsidP="003651E8"/>
    <w:p w14:paraId="104D52D6" w14:textId="77777777" w:rsidR="00CB497A" w:rsidRDefault="00CB497A" w:rsidP="003651E8"/>
    <w:p w14:paraId="315757B0" w14:textId="77777777" w:rsidR="00CB497A" w:rsidRDefault="00CB497A" w:rsidP="003651E8"/>
    <w:p w14:paraId="6A58CE5D" w14:textId="77777777" w:rsidR="00CB497A" w:rsidRDefault="00CB497A" w:rsidP="003651E8"/>
    <w:p w14:paraId="2D1E6908" w14:textId="77777777" w:rsidR="00D13B0B" w:rsidRDefault="00D13B0B" w:rsidP="003651E8">
      <w:pPr>
        <w:pStyle w:val="p1"/>
        <w:rPr>
          <w:rFonts w:ascii="Calibri" w:hAnsi="Calibri" w:cs="Calibri"/>
          <w:b/>
          <w:bCs/>
          <w:color w:val="000000" w:themeColor="text1"/>
          <w:spacing w:val="-2"/>
          <w:sz w:val="24"/>
          <w:szCs w:val="24"/>
          <w:shd w:val="clear" w:color="auto" w:fill="FFFFFF"/>
        </w:rPr>
      </w:pPr>
    </w:p>
    <w:p w14:paraId="6A57A879" w14:textId="77777777" w:rsidR="00A4647C" w:rsidRDefault="00A4647C" w:rsidP="003651E8">
      <w:pPr>
        <w:pStyle w:val="p1"/>
        <w:rPr>
          <w:rFonts w:ascii="Calibri" w:hAnsi="Calibri" w:cs="Calibri"/>
          <w:b/>
          <w:bCs/>
          <w:color w:val="000000" w:themeColor="text1"/>
          <w:spacing w:val="-2"/>
          <w:sz w:val="24"/>
          <w:szCs w:val="24"/>
          <w:shd w:val="clear" w:color="auto" w:fill="FFFFFF"/>
        </w:rPr>
      </w:pPr>
    </w:p>
    <w:p w14:paraId="13277701" w14:textId="77777777" w:rsidR="00B66F92" w:rsidRDefault="00B66F92" w:rsidP="003651E8">
      <w:pPr>
        <w:pStyle w:val="p1"/>
        <w:rPr>
          <w:rFonts w:ascii="Calibri" w:hAnsi="Calibri" w:cs="Calibri"/>
          <w:b/>
          <w:bCs/>
          <w:color w:val="000000" w:themeColor="text1"/>
          <w:spacing w:val="-2"/>
          <w:sz w:val="24"/>
          <w:szCs w:val="24"/>
          <w:shd w:val="clear" w:color="auto" w:fill="FFFFFF"/>
        </w:rPr>
      </w:pPr>
    </w:p>
    <w:p w14:paraId="505AA5F2" w14:textId="77777777" w:rsidR="00B66F92" w:rsidRDefault="00B66F92" w:rsidP="003651E8">
      <w:pPr>
        <w:pStyle w:val="p1"/>
        <w:rPr>
          <w:rFonts w:ascii="Calibri" w:hAnsi="Calibri" w:cs="Calibri"/>
          <w:b/>
          <w:bCs/>
          <w:color w:val="000000" w:themeColor="text1"/>
          <w:spacing w:val="-2"/>
          <w:sz w:val="24"/>
          <w:szCs w:val="24"/>
          <w:shd w:val="clear" w:color="auto" w:fill="FFFFFF"/>
        </w:rPr>
      </w:pPr>
    </w:p>
    <w:p w14:paraId="63BC1A40" w14:textId="77777777" w:rsidR="00B66F92" w:rsidRDefault="00B66F92" w:rsidP="003651E8">
      <w:pPr>
        <w:pStyle w:val="p1"/>
        <w:rPr>
          <w:rFonts w:ascii="Calibri" w:hAnsi="Calibri" w:cs="Calibri"/>
          <w:b/>
          <w:bCs/>
          <w:color w:val="000000" w:themeColor="text1"/>
          <w:spacing w:val="-2"/>
          <w:sz w:val="24"/>
          <w:szCs w:val="24"/>
          <w:shd w:val="clear" w:color="auto" w:fill="FFFFFF"/>
        </w:rPr>
      </w:pPr>
    </w:p>
    <w:p w14:paraId="21C7DE63" w14:textId="77777777" w:rsidR="00A4647C" w:rsidRDefault="00A4647C" w:rsidP="003651E8">
      <w:pPr>
        <w:pStyle w:val="p1"/>
        <w:rPr>
          <w:rFonts w:ascii="Calibri" w:hAnsi="Calibri" w:cs="Calibri"/>
          <w:b/>
          <w:bCs/>
          <w:color w:val="000000" w:themeColor="text1"/>
          <w:spacing w:val="-2"/>
          <w:sz w:val="24"/>
          <w:szCs w:val="24"/>
          <w:shd w:val="clear" w:color="auto" w:fill="FFFFFF"/>
        </w:rPr>
      </w:pPr>
    </w:p>
    <w:p w14:paraId="4601FD47" w14:textId="77777777" w:rsidR="00A4647C" w:rsidRDefault="00A4647C" w:rsidP="003651E8">
      <w:pPr>
        <w:pStyle w:val="p1"/>
        <w:rPr>
          <w:rFonts w:ascii="Calibri" w:hAnsi="Calibri" w:cs="Calibri"/>
          <w:b/>
          <w:bCs/>
          <w:color w:val="000000" w:themeColor="text1"/>
          <w:spacing w:val="-2"/>
          <w:sz w:val="24"/>
          <w:szCs w:val="24"/>
          <w:shd w:val="clear" w:color="auto" w:fill="FFFFFF"/>
        </w:rPr>
      </w:pPr>
    </w:p>
    <w:p w14:paraId="140ACEF0" w14:textId="583582C3" w:rsidR="00A57602" w:rsidRPr="009C15D6" w:rsidRDefault="003651E8" w:rsidP="009C15D6">
      <w:pPr>
        <w:pStyle w:val="p1"/>
        <w:rPr>
          <w:rFonts w:ascii="Calibri" w:hAnsi="Calibri" w:cs="Calibri"/>
          <w:b/>
          <w:bCs/>
          <w:color w:val="000000" w:themeColor="text1"/>
          <w:spacing w:val="-2"/>
          <w:sz w:val="24"/>
          <w:szCs w:val="24"/>
          <w:shd w:val="clear" w:color="auto" w:fill="FFFFFF"/>
        </w:rPr>
      </w:pPr>
      <w:r w:rsidRPr="008A74D4">
        <w:rPr>
          <w:rFonts w:ascii="Calibri" w:hAnsi="Calibri" w:cs="Calibri"/>
          <w:b/>
          <w:bCs/>
          <w:color w:val="000000" w:themeColor="text1"/>
          <w:spacing w:val="-2"/>
          <w:sz w:val="24"/>
          <w:szCs w:val="24"/>
          <w:shd w:val="clear" w:color="auto" w:fill="FFFFFF"/>
        </w:rPr>
        <w:lastRenderedPageBreak/>
        <w:t>BIBLIOGRAPHY</w:t>
      </w:r>
    </w:p>
    <w:p w14:paraId="38095389" w14:textId="5C0520FA" w:rsidR="00B603AA" w:rsidRPr="00A4647C" w:rsidRDefault="00B603AA" w:rsidP="00A4647C">
      <w:pPr>
        <w:spacing w:line="276" w:lineRule="auto"/>
        <w:rPr>
          <w:rFonts w:ascii="Calibri" w:hAnsi="Calibri" w:cs="Calibri"/>
          <w:color w:val="000000" w:themeColor="text1"/>
        </w:rPr>
      </w:pPr>
      <w:r w:rsidRPr="00A4647C">
        <w:rPr>
          <w:rFonts w:ascii="Calibri" w:hAnsi="Calibri" w:cs="Calibri"/>
          <w:color w:val="000000" w:themeColor="text1"/>
          <w:shd w:val="clear" w:color="auto" w:fill="FFFFFF"/>
        </w:rPr>
        <w:t>Etherington, N. (1988) ‘Natal’s black rape scare of the 1870s’, </w:t>
      </w:r>
      <w:r w:rsidRPr="00A4647C">
        <w:rPr>
          <w:rFonts w:ascii="Calibri" w:hAnsi="Calibri" w:cs="Calibri"/>
          <w:i/>
          <w:iCs/>
          <w:color w:val="000000" w:themeColor="text1"/>
          <w:shd w:val="clear" w:color="auto" w:fill="FFFFFF"/>
        </w:rPr>
        <w:t xml:space="preserve">Journal of </w:t>
      </w:r>
      <w:r w:rsidR="00DB6D0E">
        <w:rPr>
          <w:rFonts w:ascii="Calibri" w:hAnsi="Calibri" w:cs="Calibri"/>
          <w:i/>
          <w:iCs/>
          <w:color w:val="000000" w:themeColor="text1"/>
          <w:shd w:val="clear" w:color="auto" w:fill="FFFFFF"/>
        </w:rPr>
        <w:t>S</w:t>
      </w:r>
      <w:r w:rsidRPr="00A4647C">
        <w:rPr>
          <w:rFonts w:ascii="Calibri" w:hAnsi="Calibri" w:cs="Calibri"/>
          <w:i/>
          <w:iCs/>
          <w:color w:val="000000" w:themeColor="text1"/>
          <w:shd w:val="clear" w:color="auto" w:fill="FFFFFF"/>
        </w:rPr>
        <w:t xml:space="preserve">outhern African </w:t>
      </w:r>
      <w:r w:rsidR="00DB6D0E">
        <w:rPr>
          <w:rFonts w:ascii="Calibri" w:hAnsi="Calibri" w:cs="Calibri"/>
          <w:i/>
          <w:iCs/>
          <w:color w:val="000000" w:themeColor="text1"/>
          <w:shd w:val="clear" w:color="auto" w:fill="FFFFFF"/>
        </w:rPr>
        <w:t>S</w:t>
      </w:r>
      <w:r w:rsidRPr="00A4647C">
        <w:rPr>
          <w:rFonts w:ascii="Calibri" w:hAnsi="Calibri" w:cs="Calibri"/>
          <w:i/>
          <w:iCs/>
          <w:color w:val="000000" w:themeColor="text1"/>
          <w:shd w:val="clear" w:color="auto" w:fill="FFFFFF"/>
        </w:rPr>
        <w:t>tudies</w:t>
      </w:r>
      <w:r w:rsidRPr="00A4647C">
        <w:rPr>
          <w:rFonts w:ascii="Calibri" w:hAnsi="Calibri" w:cs="Calibri"/>
          <w:color w:val="000000" w:themeColor="text1"/>
          <w:shd w:val="clear" w:color="auto" w:fill="FFFFFF"/>
        </w:rPr>
        <w:t xml:space="preserve">, 15(1), pp. 36–53. Available at: </w:t>
      </w:r>
      <w:hyperlink r:id="rId7" w:history="1">
        <w:r w:rsidRPr="00A4647C">
          <w:rPr>
            <w:rStyle w:val="Hyperlink"/>
            <w:rFonts w:ascii="Calibri" w:hAnsi="Calibri" w:cs="Calibri"/>
            <w:color w:val="000000" w:themeColor="text1"/>
            <w:shd w:val="clear" w:color="auto" w:fill="FFFFFF"/>
          </w:rPr>
          <w:t>https://doi.org/10.1080/03057078808708190</w:t>
        </w:r>
      </w:hyperlink>
    </w:p>
    <w:p w14:paraId="6C23E4B1" w14:textId="77777777" w:rsidR="00B603AA" w:rsidRPr="00A4647C" w:rsidRDefault="00B603AA" w:rsidP="00A4647C">
      <w:pPr>
        <w:spacing w:line="276" w:lineRule="auto"/>
        <w:rPr>
          <w:rFonts w:ascii="Calibri" w:hAnsi="Calibri" w:cs="Calibri"/>
        </w:rPr>
      </w:pPr>
    </w:p>
    <w:p w14:paraId="5D79D1D7" w14:textId="77777777" w:rsidR="00A57602" w:rsidRPr="00A4647C" w:rsidRDefault="00A57602" w:rsidP="00A4647C">
      <w:pPr>
        <w:pStyle w:val="p1"/>
        <w:spacing w:line="276" w:lineRule="auto"/>
        <w:rPr>
          <w:rFonts w:ascii="Calibri" w:hAnsi="Calibri" w:cs="Calibri"/>
          <w:color w:val="000000" w:themeColor="text1"/>
          <w:spacing w:val="-2"/>
          <w:sz w:val="24"/>
          <w:szCs w:val="24"/>
          <w:shd w:val="clear" w:color="auto" w:fill="FFFFFF"/>
        </w:rPr>
      </w:pPr>
      <w:r w:rsidRPr="00A4647C">
        <w:rPr>
          <w:rFonts w:ascii="Calibri" w:hAnsi="Calibri" w:cs="Calibri"/>
          <w:color w:val="000000" w:themeColor="text1"/>
          <w:spacing w:val="-2"/>
          <w:sz w:val="24"/>
          <w:szCs w:val="24"/>
          <w:shd w:val="clear" w:color="auto" w:fill="FFFFFF"/>
        </w:rPr>
        <w:t xml:space="preserve">Johns Hopkins University (2025) </w:t>
      </w:r>
      <w:r w:rsidRPr="00A4647C">
        <w:rPr>
          <w:rFonts w:ascii="Calibri" w:hAnsi="Calibri" w:cs="Calibri"/>
          <w:i/>
          <w:iCs/>
          <w:color w:val="000000" w:themeColor="text1"/>
          <w:spacing w:val="-2"/>
          <w:sz w:val="24"/>
          <w:szCs w:val="24"/>
          <w:shd w:val="clear" w:color="auto" w:fill="FFFFFF"/>
        </w:rPr>
        <w:t>Elizabeth Thornberry.</w:t>
      </w:r>
      <w:r w:rsidRPr="00A4647C">
        <w:rPr>
          <w:rFonts w:ascii="Calibri" w:hAnsi="Calibri" w:cs="Calibri"/>
          <w:color w:val="000000" w:themeColor="text1"/>
          <w:spacing w:val="-2"/>
          <w:sz w:val="24"/>
          <w:szCs w:val="24"/>
          <w:shd w:val="clear" w:color="auto" w:fill="FFFFFF"/>
        </w:rPr>
        <w:t xml:space="preserve"> Available at: </w:t>
      </w:r>
      <w:hyperlink r:id="rId8" w:history="1">
        <w:r w:rsidRPr="00A4647C">
          <w:rPr>
            <w:rStyle w:val="Hyperlink"/>
            <w:rFonts w:ascii="Calibri" w:hAnsi="Calibri" w:cs="Calibri"/>
            <w:color w:val="000000" w:themeColor="text1"/>
            <w:spacing w:val="-2"/>
            <w:sz w:val="24"/>
            <w:szCs w:val="24"/>
            <w:shd w:val="clear" w:color="auto" w:fill="FFFFFF"/>
          </w:rPr>
          <w:t>https://history.jhu.edu/directory/elizabeth-thornberry/</w:t>
        </w:r>
      </w:hyperlink>
      <w:r w:rsidRPr="00A4647C">
        <w:rPr>
          <w:rFonts w:ascii="Calibri" w:hAnsi="Calibri" w:cs="Calibri"/>
          <w:color w:val="000000" w:themeColor="text1"/>
          <w:spacing w:val="-2"/>
          <w:sz w:val="24"/>
          <w:szCs w:val="24"/>
          <w:shd w:val="clear" w:color="auto" w:fill="FFFFFF"/>
        </w:rPr>
        <w:t xml:space="preserve"> (Accessed: 8 November 2025).</w:t>
      </w:r>
    </w:p>
    <w:p w14:paraId="1F651721" w14:textId="77777777" w:rsidR="00A57602" w:rsidRPr="00A4647C" w:rsidRDefault="00A57602" w:rsidP="00A4647C">
      <w:pPr>
        <w:pStyle w:val="p1"/>
        <w:spacing w:line="276" w:lineRule="auto"/>
        <w:rPr>
          <w:rFonts w:ascii="Calibri" w:hAnsi="Calibri" w:cs="Calibri"/>
          <w:color w:val="000000" w:themeColor="text1"/>
          <w:spacing w:val="-2"/>
          <w:sz w:val="24"/>
          <w:szCs w:val="24"/>
          <w:shd w:val="clear" w:color="auto" w:fill="FFFFFF"/>
        </w:rPr>
      </w:pPr>
    </w:p>
    <w:p w14:paraId="75427683" w14:textId="4DC1E12F" w:rsidR="00116B16" w:rsidRPr="00A4647C" w:rsidRDefault="00116B16" w:rsidP="00A4647C">
      <w:pPr>
        <w:spacing w:line="276" w:lineRule="auto"/>
        <w:rPr>
          <w:rFonts w:ascii="Calibri" w:hAnsi="Calibri" w:cs="Calibri"/>
          <w:color w:val="000000" w:themeColor="text1"/>
          <w:shd w:val="clear" w:color="auto" w:fill="FFFFFF"/>
        </w:rPr>
      </w:pPr>
      <w:r w:rsidRPr="00A4647C">
        <w:rPr>
          <w:rFonts w:ascii="Calibri" w:hAnsi="Calibri" w:cs="Calibri"/>
          <w:color w:val="000000" w:themeColor="text1"/>
          <w:shd w:val="clear" w:color="auto" w:fill="FFFFFF"/>
        </w:rPr>
        <w:t>Keegan, T. (2001) ‘Gender, Degeneration and Sexual Danger: Imagining Race and Class in South Africa, ca.1912’, </w:t>
      </w:r>
      <w:r w:rsidRPr="00A4647C">
        <w:rPr>
          <w:rFonts w:ascii="Calibri" w:hAnsi="Calibri" w:cs="Calibri"/>
          <w:i/>
          <w:iCs/>
          <w:color w:val="000000" w:themeColor="text1"/>
          <w:shd w:val="clear" w:color="auto" w:fill="FFFFFF"/>
        </w:rPr>
        <w:t xml:space="preserve">Journal of </w:t>
      </w:r>
      <w:r w:rsidR="00A4647C">
        <w:rPr>
          <w:rFonts w:ascii="Calibri" w:hAnsi="Calibri" w:cs="Calibri"/>
          <w:i/>
          <w:iCs/>
          <w:color w:val="000000" w:themeColor="text1"/>
          <w:shd w:val="clear" w:color="auto" w:fill="FFFFFF"/>
        </w:rPr>
        <w:t>S</w:t>
      </w:r>
      <w:r w:rsidRPr="00A4647C">
        <w:rPr>
          <w:rFonts w:ascii="Calibri" w:hAnsi="Calibri" w:cs="Calibri"/>
          <w:i/>
          <w:iCs/>
          <w:color w:val="000000" w:themeColor="text1"/>
          <w:shd w:val="clear" w:color="auto" w:fill="FFFFFF"/>
        </w:rPr>
        <w:t xml:space="preserve">outhern African </w:t>
      </w:r>
      <w:r w:rsidR="00A4647C">
        <w:rPr>
          <w:rFonts w:ascii="Calibri" w:hAnsi="Calibri" w:cs="Calibri"/>
          <w:i/>
          <w:iCs/>
          <w:color w:val="000000" w:themeColor="text1"/>
          <w:shd w:val="clear" w:color="auto" w:fill="FFFFFF"/>
        </w:rPr>
        <w:t>S</w:t>
      </w:r>
      <w:r w:rsidRPr="00A4647C">
        <w:rPr>
          <w:rFonts w:ascii="Calibri" w:hAnsi="Calibri" w:cs="Calibri"/>
          <w:i/>
          <w:iCs/>
          <w:color w:val="000000" w:themeColor="text1"/>
          <w:shd w:val="clear" w:color="auto" w:fill="FFFFFF"/>
        </w:rPr>
        <w:t>tudies</w:t>
      </w:r>
      <w:r w:rsidRPr="00A4647C">
        <w:rPr>
          <w:rFonts w:ascii="Calibri" w:hAnsi="Calibri" w:cs="Calibri"/>
          <w:color w:val="000000" w:themeColor="text1"/>
          <w:shd w:val="clear" w:color="auto" w:fill="FFFFFF"/>
        </w:rPr>
        <w:t xml:space="preserve">, 27(3), pp. 459–477. Available at: </w:t>
      </w:r>
      <w:hyperlink r:id="rId9" w:history="1">
        <w:r w:rsidRPr="00A4647C">
          <w:rPr>
            <w:rStyle w:val="Hyperlink"/>
            <w:rFonts w:ascii="Calibri" w:hAnsi="Calibri" w:cs="Calibri"/>
            <w:color w:val="000000" w:themeColor="text1"/>
            <w:shd w:val="clear" w:color="auto" w:fill="FFFFFF"/>
          </w:rPr>
          <w:t>https://doi.org/10.1080/13632430120074545</w:t>
        </w:r>
      </w:hyperlink>
    </w:p>
    <w:p w14:paraId="01179EA1" w14:textId="77777777" w:rsidR="00A57602" w:rsidRPr="00A4647C" w:rsidRDefault="00A57602" w:rsidP="00A4647C">
      <w:pPr>
        <w:spacing w:line="276" w:lineRule="auto"/>
        <w:rPr>
          <w:rFonts w:ascii="Calibri" w:hAnsi="Calibri" w:cs="Calibri"/>
        </w:rPr>
      </w:pPr>
    </w:p>
    <w:p w14:paraId="2A3EB2A6" w14:textId="104D565F" w:rsidR="00DE4D3A" w:rsidRDefault="00116B16" w:rsidP="00A4647C">
      <w:pPr>
        <w:spacing w:line="276" w:lineRule="auto"/>
        <w:rPr>
          <w:rFonts w:ascii="Calibri" w:hAnsi="Calibri" w:cs="Calibri"/>
          <w:color w:val="000000" w:themeColor="text1"/>
          <w:shd w:val="clear" w:color="auto" w:fill="FFFFFF"/>
        </w:rPr>
      </w:pPr>
      <w:r w:rsidRPr="00A4647C">
        <w:rPr>
          <w:rFonts w:ascii="Calibri" w:hAnsi="Calibri" w:cs="Calibri"/>
          <w:color w:val="000000" w:themeColor="text1"/>
          <w:shd w:val="clear" w:color="auto" w:fill="FFFFFF"/>
        </w:rPr>
        <w:t>Scully, P. (1995) ‘Rape, Race, and Colonial Culture: The Sexual Politics of Identity in the Nineteenth-Century Cape Colony, South Africa’, </w:t>
      </w:r>
      <w:r w:rsidRPr="00A4647C">
        <w:rPr>
          <w:rFonts w:ascii="Calibri" w:hAnsi="Calibri" w:cs="Calibri"/>
          <w:i/>
          <w:iCs/>
          <w:color w:val="000000" w:themeColor="text1"/>
          <w:shd w:val="clear" w:color="auto" w:fill="FFFFFF"/>
        </w:rPr>
        <w:t xml:space="preserve">The American </w:t>
      </w:r>
      <w:r w:rsidR="00DB6D0E">
        <w:rPr>
          <w:rFonts w:ascii="Calibri" w:hAnsi="Calibri" w:cs="Calibri"/>
          <w:i/>
          <w:iCs/>
          <w:color w:val="000000" w:themeColor="text1"/>
          <w:shd w:val="clear" w:color="auto" w:fill="FFFFFF"/>
        </w:rPr>
        <w:t>H</w:t>
      </w:r>
      <w:r w:rsidRPr="00A4647C">
        <w:rPr>
          <w:rFonts w:ascii="Calibri" w:hAnsi="Calibri" w:cs="Calibri"/>
          <w:i/>
          <w:iCs/>
          <w:color w:val="000000" w:themeColor="text1"/>
          <w:shd w:val="clear" w:color="auto" w:fill="FFFFFF"/>
        </w:rPr>
        <w:t xml:space="preserve">istorical </w:t>
      </w:r>
      <w:r w:rsidR="00DB6D0E">
        <w:rPr>
          <w:rFonts w:ascii="Calibri" w:hAnsi="Calibri" w:cs="Calibri"/>
          <w:i/>
          <w:iCs/>
          <w:color w:val="000000" w:themeColor="text1"/>
          <w:shd w:val="clear" w:color="auto" w:fill="FFFFFF"/>
        </w:rPr>
        <w:t>R</w:t>
      </w:r>
      <w:r w:rsidRPr="00A4647C">
        <w:rPr>
          <w:rFonts w:ascii="Calibri" w:hAnsi="Calibri" w:cs="Calibri"/>
          <w:i/>
          <w:iCs/>
          <w:color w:val="000000" w:themeColor="text1"/>
          <w:shd w:val="clear" w:color="auto" w:fill="FFFFFF"/>
        </w:rPr>
        <w:t>eview</w:t>
      </w:r>
      <w:r w:rsidRPr="00A4647C">
        <w:rPr>
          <w:rFonts w:ascii="Calibri" w:hAnsi="Calibri" w:cs="Calibri"/>
          <w:color w:val="000000" w:themeColor="text1"/>
          <w:shd w:val="clear" w:color="auto" w:fill="FFFFFF"/>
        </w:rPr>
        <w:t xml:space="preserve">, 100(2), pp. 335–359. Available at: </w:t>
      </w:r>
      <w:hyperlink r:id="rId10" w:history="1">
        <w:r w:rsidR="00DE4D3A" w:rsidRPr="000A5ECE">
          <w:rPr>
            <w:rStyle w:val="Hyperlink"/>
            <w:rFonts w:ascii="Calibri" w:hAnsi="Calibri" w:cs="Calibri"/>
            <w:shd w:val="clear" w:color="auto" w:fill="FFFFFF"/>
          </w:rPr>
          <w:t>https://doi.org/10.1086/ahr/100.2.335</w:t>
        </w:r>
      </w:hyperlink>
    </w:p>
    <w:p w14:paraId="7B2EF626" w14:textId="60C420A3" w:rsidR="00116B16" w:rsidRPr="00DE4D3A" w:rsidRDefault="00116B16" w:rsidP="00A4647C">
      <w:pPr>
        <w:spacing w:line="276" w:lineRule="auto"/>
        <w:rPr>
          <w:rFonts w:ascii="Calibri" w:hAnsi="Calibri" w:cs="Calibri"/>
          <w:color w:val="000000" w:themeColor="text1"/>
          <w:spacing w:val="-2"/>
          <w:shd w:val="clear" w:color="auto" w:fill="FFFFFF"/>
        </w:rPr>
      </w:pPr>
      <w:r w:rsidRPr="00A4647C">
        <w:rPr>
          <w:rFonts w:ascii="Calibri" w:hAnsi="Calibri" w:cs="Calibri"/>
          <w:color w:val="000000" w:themeColor="text1"/>
          <w:spacing w:val="-2"/>
          <w:shd w:val="clear" w:color="auto" w:fill="FFFFFF"/>
        </w:rPr>
        <w:t xml:space="preserve"> </w:t>
      </w:r>
    </w:p>
    <w:p w14:paraId="6F7E0AC5" w14:textId="77777777" w:rsidR="00A57602" w:rsidRPr="00A4647C" w:rsidRDefault="00A57602" w:rsidP="00A4647C">
      <w:pPr>
        <w:spacing w:line="276" w:lineRule="auto"/>
        <w:rPr>
          <w:rFonts w:ascii="Calibri" w:hAnsi="Calibri" w:cs="Calibri"/>
        </w:rPr>
      </w:pPr>
      <w:r w:rsidRPr="00A4647C">
        <w:rPr>
          <w:rFonts w:ascii="Calibri" w:hAnsi="Calibri" w:cs="Calibri"/>
          <w:color w:val="000000" w:themeColor="text1"/>
          <w:shd w:val="clear" w:color="auto" w:fill="FFFFFF"/>
        </w:rPr>
        <w:t>Thornberry, E. (2016) ‘Rape, Race, and Respectability in a South African Port City: East London, 1870-1927’, </w:t>
      </w:r>
      <w:r w:rsidRPr="00A4647C">
        <w:rPr>
          <w:rFonts w:ascii="Calibri" w:hAnsi="Calibri" w:cs="Calibri"/>
          <w:i/>
          <w:iCs/>
          <w:color w:val="000000" w:themeColor="text1"/>
          <w:shd w:val="clear" w:color="auto" w:fill="FFFFFF"/>
        </w:rPr>
        <w:t>Journal of Urban History</w:t>
      </w:r>
      <w:r w:rsidRPr="00A4647C">
        <w:rPr>
          <w:rFonts w:ascii="Calibri" w:hAnsi="Calibri" w:cs="Calibri"/>
          <w:color w:val="000000" w:themeColor="text1"/>
          <w:shd w:val="clear" w:color="auto" w:fill="FFFFFF"/>
        </w:rPr>
        <w:t xml:space="preserve">, 42(5), pp. 863–880. Available at: </w:t>
      </w:r>
      <w:hyperlink r:id="rId11" w:history="1">
        <w:r w:rsidRPr="00A4647C">
          <w:rPr>
            <w:rStyle w:val="Hyperlink"/>
            <w:rFonts w:ascii="Calibri" w:hAnsi="Calibri" w:cs="Calibri"/>
            <w:color w:val="000000" w:themeColor="text1"/>
            <w:shd w:val="clear" w:color="auto" w:fill="FFFFFF"/>
          </w:rPr>
          <w:t>https://doi.org/10.1177/0096144216665307</w:t>
        </w:r>
      </w:hyperlink>
    </w:p>
    <w:p w14:paraId="0F4ACC55" w14:textId="77777777" w:rsidR="003B0E4F" w:rsidRPr="00A4647C" w:rsidRDefault="003B0E4F" w:rsidP="00A4647C">
      <w:pPr>
        <w:spacing w:line="276" w:lineRule="auto"/>
        <w:rPr>
          <w:rFonts w:ascii="Calibri" w:hAnsi="Calibri" w:cs="Calibri"/>
        </w:rPr>
      </w:pPr>
    </w:p>
    <w:p w14:paraId="265FE6FA" w14:textId="77777777" w:rsidR="003B0E4F" w:rsidRPr="00A4647C" w:rsidRDefault="003B0E4F" w:rsidP="00A4647C">
      <w:pPr>
        <w:spacing w:line="276" w:lineRule="auto"/>
        <w:rPr>
          <w:rFonts w:ascii="Calibri" w:hAnsi="Calibri" w:cs="Calibri"/>
        </w:rPr>
      </w:pPr>
    </w:p>
    <w:p w14:paraId="076EC0E3" w14:textId="77777777" w:rsidR="002F7A45" w:rsidRDefault="002F7A45" w:rsidP="003651E8">
      <w:pPr>
        <w:rPr>
          <w:rFonts w:ascii="Calibri" w:hAnsi="Calibri" w:cs="Calibri"/>
          <w:color w:val="000000" w:themeColor="text1"/>
          <w:shd w:val="clear" w:color="auto" w:fill="FFFFFF"/>
        </w:rPr>
      </w:pPr>
    </w:p>
    <w:p w14:paraId="44614637" w14:textId="77777777" w:rsidR="002F7A45" w:rsidRDefault="002F7A45" w:rsidP="003651E8">
      <w:pPr>
        <w:rPr>
          <w:rFonts w:ascii="Calibri" w:hAnsi="Calibri" w:cs="Calibri"/>
          <w:color w:val="000000" w:themeColor="text1"/>
          <w:shd w:val="clear" w:color="auto" w:fill="FFFFFF"/>
        </w:rPr>
      </w:pPr>
    </w:p>
    <w:p w14:paraId="773B1579" w14:textId="77777777" w:rsidR="00116B16" w:rsidRPr="00116B16" w:rsidRDefault="00116B16" w:rsidP="003651E8">
      <w:pPr>
        <w:rPr>
          <w:rFonts w:ascii="Source Sans Pro" w:hAnsi="Source Sans Pro"/>
          <w:color w:val="3A3A3A"/>
          <w:sz w:val="23"/>
          <w:szCs w:val="23"/>
          <w:shd w:val="clear" w:color="auto" w:fill="FFFFFF"/>
        </w:rPr>
      </w:pPr>
    </w:p>
    <w:p w14:paraId="0BF87646" w14:textId="4111029E" w:rsidR="00116B16" w:rsidRPr="00116B16" w:rsidRDefault="00116B16" w:rsidP="00116B16">
      <w:pPr>
        <w:pStyle w:val="NormalWeb"/>
        <w:rPr>
          <w:rFonts w:ascii="Calibri" w:hAnsi="Calibri" w:cs="Calibri"/>
          <w:color w:val="000000" w:themeColor="text1"/>
        </w:rPr>
      </w:pPr>
    </w:p>
    <w:sectPr w:rsidR="00116B16" w:rsidRPr="00116B16">
      <w:headerReference w:type="default" r:id="rId12"/>
      <w:footerReference w:type="even"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377574" w14:textId="77777777" w:rsidR="00D81F88" w:rsidRDefault="00D81F88" w:rsidP="00B46132">
      <w:r>
        <w:separator/>
      </w:r>
    </w:p>
  </w:endnote>
  <w:endnote w:type="continuationSeparator" w:id="0">
    <w:p w14:paraId="2734D6D9" w14:textId="77777777" w:rsidR="00D81F88" w:rsidRDefault="00D81F88" w:rsidP="00B461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 w:name="Source Sans Pro">
    <w:panose1 w:val="020B0503030403020204"/>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716817506"/>
      <w:docPartObj>
        <w:docPartGallery w:val="Page Numbers (Bottom of Page)"/>
        <w:docPartUnique/>
      </w:docPartObj>
    </w:sdtPr>
    <w:sdtContent>
      <w:p w14:paraId="58421A89" w14:textId="6D40D11F" w:rsidR="00B46132" w:rsidRDefault="00B46132" w:rsidP="009E29F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5011DC6D" w14:textId="77777777" w:rsidR="00B46132" w:rsidRDefault="00B4613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873498761"/>
      <w:docPartObj>
        <w:docPartGallery w:val="Page Numbers (Bottom of Page)"/>
        <w:docPartUnique/>
      </w:docPartObj>
    </w:sdtPr>
    <w:sdtEndPr>
      <w:rPr>
        <w:rStyle w:val="PageNumber"/>
        <w:rFonts w:ascii="Calibri" w:hAnsi="Calibri" w:cs="Calibri"/>
        <w:sz w:val="20"/>
        <w:szCs w:val="20"/>
      </w:rPr>
    </w:sdtEndPr>
    <w:sdtContent>
      <w:p w14:paraId="2B050A17" w14:textId="20F078D8" w:rsidR="00B46132" w:rsidRPr="00B46132" w:rsidRDefault="00B46132" w:rsidP="009E29F3">
        <w:pPr>
          <w:pStyle w:val="Footer"/>
          <w:framePr w:wrap="none" w:vAnchor="text" w:hAnchor="margin" w:xAlign="center" w:y="1"/>
          <w:rPr>
            <w:rStyle w:val="PageNumber"/>
            <w:rFonts w:ascii="Calibri" w:hAnsi="Calibri" w:cs="Calibri"/>
            <w:sz w:val="20"/>
            <w:szCs w:val="20"/>
          </w:rPr>
        </w:pPr>
        <w:r w:rsidRPr="00B46132">
          <w:rPr>
            <w:rStyle w:val="PageNumber"/>
            <w:rFonts w:ascii="Calibri" w:hAnsi="Calibri" w:cs="Calibri"/>
            <w:sz w:val="20"/>
            <w:szCs w:val="20"/>
          </w:rPr>
          <w:fldChar w:fldCharType="begin"/>
        </w:r>
        <w:r w:rsidRPr="00B46132">
          <w:rPr>
            <w:rStyle w:val="PageNumber"/>
            <w:rFonts w:ascii="Calibri" w:hAnsi="Calibri" w:cs="Calibri"/>
            <w:sz w:val="20"/>
            <w:szCs w:val="20"/>
          </w:rPr>
          <w:instrText xml:space="preserve"> PAGE </w:instrText>
        </w:r>
        <w:r w:rsidRPr="00B46132">
          <w:rPr>
            <w:rStyle w:val="PageNumber"/>
            <w:rFonts w:ascii="Calibri" w:hAnsi="Calibri" w:cs="Calibri"/>
            <w:sz w:val="20"/>
            <w:szCs w:val="20"/>
          </w:rPr>
          <w:fldChar w:fldCharType="separate"/>
        </w:r>
        <w:r w:rsidRPr="00B46132">
          <w:rPr>
            <w:rStyle w:val="PageNumber"/>
            <w:rFonts w:ascii="Calibri" w:hAnsi="Calibri" w:cs="Calibri"/>
            <w:noProof/>
            <w:sz w:val="20"/>
            <w:szCs w:val="20"/>
          </w:rPr>
          <w:t>1</w:t>
        </w:r>
        <w:r w:rsidRPr="00B46132">
          <w:rPr>
            <w:rStyle w:val="PageNumber"/>
            <w:rFonts w:ascii="Calibri" w:hAnsi="Calibri" w:cs="Calibri"/>
            <w:sz w:val="20"/>
            <w:szCs w:val="20"/>
          </w:rPr>
          <w:fldChar w:fldCharType="end"/>
        </w:r>
      </w:p>
    </w:sdtContent>
  </w:sdt>
  <w:p w14:paraId="2E5C6E6D" w14:textId="77777777" w:rsidR="00B46132" w:rsidRPr="00B46132" w:rsidRDefault="00B46132">
    <w:pPr>
      <w:pStyle w:val="Footer"/>
      <w:rPr>
        <w:rFonts w:ascii="Calibri" w:hAnsi="Calibri" w:cs="Calibri"/>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6DE231" w14:textId="77777777" w:rsidR="00D81F88" w:rsidRDefault="00D81F88" w:rsidP="00B46132">
      <w:r>
        <w:separator/>
      </w:r>
    </w:p>
  </w:footnote>
  <w:footnote w:type="continuationSeparator" w:id="0">
    <w:p w14:paraId="578525DB" w14:textId="77777777" w:rsidR="00D81F88" w:rsidRDefault="00D81F88" w:rsidP="00B461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7CA37E" w14:textId="09287864" w:rsidR="00B46132" w:rsidRPr="00B46132" w:rsidRDefault="00B46132">
    <w:pPr>
      <w:pStyle w:val="Header"/>
      <w:rPr>
        <w:rFonts w:ascii="Calibri" w:hAnsi="Calibri" w:cs="Calibri"/>
        <w:color w:val="000000" w:themeColor="text1"/>
        <w:sz w:val="20"/>
        <w:szCs w:val="20"/>
      </w:rPr>
    </w:pPr>
    <w:r w:rsidRPr="00151F2C">
      <w:rPr>
        <w:rFonts w:ascii="Calibri" w:hAnsi="Calibri" w:cs="Calibri"/>
        <w:color w:val="000000" w:themeColor="text1"/>
        <w:sz w:val="20"/>
        <w:szCs w:val="20"/>
      </w:rPr>
      <w:t xml:space="preserve">R. Bakewell (2204367)  </w:t>
    </w:r>
    <w:r>
      <w:rPr>
        <w:rFonts w:ascii="Calibri" w:hAnsi="Calibri" w:cs="Calibri"/>
        <w:color w:val="000000" w:themeColor="text1"/>
        <w:sz w:val="20"/>
        <w:szCs w:val="20"/>
      </w:rPr>
      <w:t xml:space="preserve">                                                                                                                         </w:t>
    </w:r>
    <w:r w:rsidRPr="00151F2C">
      <w:rPr>
        <w:rFonts w:ascii="Calibri" w:hAnsi="Calibri" w:cs="Calibri"/>
        <w:color w:val="000000" w:themeColor="text1"/>
        <w:sz w:val="20"/>
        <w:szCs w:val="20"/>
      </w:rPr>
      <w:t>Module: HPHI6036</w:t>
    </w:r>
  </w:p>
  <w:p w14:paraId="1C41E8C5" w14:textId="77777777" w:rsidR="00B46132" w:rsidRDefault="00B4613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51681F"/>
    <w:multiLevelType w:val="multilevel"/>
    <w:tmpl w:val="51F804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41E06A2"/>
    <w:multiLevelType w:val="multilevel"/>
    <w:tmpl w:val="26948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46239090">
    <w:abstractNumId w:val="0"/>
  </w:num>
  <w:num w:numId="2" w16cid:durableId="11521434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51E8"/>
    <w:rsid w:val="00055921"/>
    <w:rsid w:val="00074203"/>
    <w:rsid w:val="000B5B74"/>
    <w:rsid w:val="00115F1B"/>
    <w:rsid w:val="00116B16"/>
    <w:rsid w:val="00162BD9"/>
    <w:rsid w:val="00254768"/>
    <w:rsid w:val="00283338"/>
    <w:rsid w:val="002B3BCF"/>
    <w:rsid w:val="002D4530"/>
    <w:rsid w:val="002E14C7"/>
    <w:rsid w:val="002F7A45"/>
    <w:rsid w:val="003651E8"/>
    <w:rsid w:val="0037668F"/>
    <w:rsid w:val="00390372"/>
    <w:rsid w:val="003B0E4F"/>
    <w:rsid w:val="003D3AC5"/>
    <w:rsid w:val="0050550F"/>
    <w:rsid w:val="00531F9F"/>
    <w:rsid w:val="005D6B82"/>
    <w:rsid w:val="0062740E"/>
    <w:rsid w:val="00690765"/>
    <w:rsid w:val="006C5BDF"/>
    <w:rsid w:val="006F3B13"/>
    <w:rsid w:val="0072078D"/>
    <w:rsid w:val="0078596F"/>
    <w:rsid w:val="008346A8"/>
    <w:rsid w:val="00866D86"/>
    <w:rsid w:val="008969F4"/>
    <w:rsid w:val="008D4D27"/>
    <w:rsid w:val="00935D76"/>
    <w:rsid w:val="009C15D6"/>
    <w:rsid w:val="009C50B1"/>
    <w:rsid w:val="009E2224"/>
    <w:rsid w:val="00A16DF6"/>
    <w:rsid w:val="00A4647C"/>
    <w:rsid w:val="00A57602"/>
    <w:rsid w:val="00AA3CFC"/>
    <w:rsid w:val="00AD3FFA"/>
    <w:rsid w:val="00B10265"/>
    <w:rsid w:val="00B2194D"/>
    <w:rsid w:val="00B46132"/>
    <w:rsid w:val="00B537D8"/>
    <w:rsid w:val="00B603AA"/>
    <w:rsid w:val="00B66F92"/>
    <w:rsid w:val="00B74A94"/>
    <w:rsid w:val="00B96763"/>
    <w:rsid w:val="00C01697"/>
    <w:rsid w:val="00C26987"/>
    <w:rsid w:val="00C31E9B"/>
    <w:rsid w:val="00C659D0"/>
    <w:rsid w:val="00C84519"/>
    <w:rsid w:val="00CB497A"/>
    <w:rsid w:val="00D13B0B"/>
    <w:rsid w:val="00D36B03"/>
    <w:rsid w:val="00D6768C"/>
    <w:rsid w:val="00D81F88"/>
    <w:rsid w:val="00D8592C"/>
    <w:rsid w:val="00DB29B4"/>
    <w:rsid w:val="00DB6D0E"/>
    <w:rsid w:val="00DC475E"/>
    <w:rsid w:val="00DE4D3A"/>
    <w:rsid w:val="00E470B0"/>
    <w:rsid w:val="00F02FE3"/>
    <w:rsid w:val="00F069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5FB9462"/>
  <w15:chartTrackingRefBased/>
  <w15:docId w15:val="{00218D01-D8E1-BD4E-86BA-519222800B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51E8"/>
    <w:pPr>
      <w:spacing w:after="0" w:line="240" w:lineRule="auto"/>
    </w:pPr>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3651E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651E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651E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651E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651E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651E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651E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651E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651E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51E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651E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651E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651E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651E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651E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651E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651E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651E8"/>
    <w:rPr>
      <w:rFonts w:eastAsiaTheme="majorEastAsia" w:cstheme="majorBidi"/>
      <w:color w:val="272727" w:themeColor="text1" w:themeTint="D8"/>
    </w:rPr>
  </w:style>
  <w:style w:type="paragraph" w:styleId="Title">
    <w:name w:val="Title"/>
    <w:basedOn w:val="Normal"/>
    <w:next w:val="Normal"/>
    <w:link w:val="TitleChar"/>
    <w:uiPriority w:val="10"/>
    <w:qFormat/>
    <w:rsid w:val="003651E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651E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651E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651E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651E8"/>
    <w:pPr>
      <w:spacing w:before="160"/>
      <w:jc w:val="center"/>
    </w:pPr>
    <w:rPr>
      <w:i/>
      <w:iCs/>
      <w:color w:val="404040" w:themeColor="text1" w:themeTint="BF"/>
    </w:rPr>
  </w:style>
  <w:style w:type="character" w:customStyle="1" w:styleId="QuoteChar">
    <w:name w:val="Quote Char"/>
    <w:basedOn w:val="DefaultParagraphFont"/>
    <w:link w:val="Quote"/>
    <w:uiPriority w:val="29"/>
    <w:rsid w:val="003651E8"/>
    <w:rPr>
      <w:i/>
      <w:iCs/>
      <w:color w:val="404040" w:themeColor="text1" w:themeTint="BF"/>
    </w:rPr>
  </w:style>
  <w:style w:type="paragraph" w:styleId="ListParagraph">
    <w:name w:val="List Paragraph"/>
    <w:basedOn w:val="Normal"/>
    <w:uiPriority w:val="34"/>
    <w:qFormat/>
    <w:rsid w:val="003651E8"/>
    <w:pPr>
      <w:ind w:left="720"/>
      <w:contextualSpacing/>
    </w:pPr>
  </w:style>
  <w:style w:type="character" w:styleId="IntenseEmphasis">
    <w:name w:val="Intense Emphasis"/>
    <w:basedOn w:val="DefaultParagraphFont"/>
    <w:uiPriority w:val="21"/>
    <w:qFormat/>
    <w:rsid w:val="003651E8"/>
    <w:rPr>
      <w:i/>
      <w:iCs/>
      <w:color w:val="0F4761" w:themeColor="accent1" w:themeShade="BF"/>
    </w:rPr>
  </w:style>
  <w:style w:type="paragraph" w:styleId="IntenseQuote">
    <w:name w:val="Intense Quote"/>
    <w:basedOn w:val="Normal"/>
    <w:next w:val="Normal"/>
    <w:link w:val="IntenseQuoteChar"/>
    <w:uiPriority w:val="30"/>
    <w:qFormat/>
    <w:rsid w:val="003651E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651E8"/>
    <w:rPr>
      <w:i/>
      <w:iCs/>
      <w:color w:val="0F4761" w:themeColor="accent1" w:themeShade="BF"/>
    </w:rPr>
  </w:style>
  <w:style w:type="character" w:styleId="IntenseReference">
    <w:name w:val="Intense Reference"/>
    <w:basedOn w:val="DefaultParagraphFont"/>
    <w:uiPriority w:val="32"/>
    <w:qFormat/>
    <w:rsid w:val="003651E8"/>
    <w:rPr>
      <w:b/>
      <w:bCs/>
      <w:smallCaps/>
      <w:color w:val="0F4761" w:themeColor="accent1" w:themeShade="BF"/>
      <w:spacing w:val="5"/>
    </w:rPr>
  </w:style>
  <w:style w:type="character" w:styleId="Strong">
    <w:name w:val="Strong"/>
    <w:basedOn w:val="DefaultParagraphFont"/>
    <w:uiPriority w:val="22"/>
    <w:qFormat/>
    <w:rsid w:val="003651E8"/>
    <w:rPr>
      <w:b/>
      <w:bCs/>
    </w:rPr>
  </w:style>
  <w:style w:type="paragraph" w:styleId="NormalWeb">
    <w:name w:val="Normal (Web)"/>
    <w:basedOn w:val="Normal"/>
    <w:uiPriority w:val="99"/>
    <w:unhideWhenUsed/>
    <w:rsid w:val="003651E8"/>
    <w:pPr>
      <w:spacing w:before="100" w:beforeAutospacing="1" w:after="100" w:afterAutospacing="1"/>
    </w:pPr>
  </w:style>
  <w:style w:type="character" w:styleId="Emphasis">
    <w:name w:val="Emphasis"/>
    <w:basedOn w:val="DefaultParagraphFont"/>
    <w:uiPriority w:val="20"/>
    <w:qFormat/>
    <w:rsid w:val="003651E8"/>
    <w:rPr>
      <w:i/>
      <w:iCs/>
    </w:rPr>
  </w:style>
  <w:style w:type="paragraph" w:customStyle="1" w:styleId="p1">
    <w:name w:val="p1"/>
    <w:basedOn w:val="Normal"/>
    <w:rsid w:val="003651E8"/>
    <w:rPr>
      <w:color w:val="000000"/>
      <w:sz w:val="15"/>
      <w:szCs w:val="15"/>
    </w:rPr>
  </w:style>
  <w:style w:type="character" w:styleId="Hyperlink">
    <w:name w:val="Hyperlink"/>
    <w:basedOn w:val="DefaultParagraphFont"/>
    <w:uiPriority w:val="99"/>
    <w:unhideWhenUsed/>
    <w:rsid w:val="003651E8"/>
    <w:rPr>
      <w:color w:val="467886" w:themeColor="hyperlink"/>
      <w:u w:val="single"/>
    </w:rPr>
  </w:style>
  <w:style w:type="character" w:styleId="FollowedHyperlink">
    <w:name w:val="FollowedHyperlink"/>
    <w:basedOn w:val="DefaultParagraphFont"/>
    <w:uiPriority w:val="99"/>
    <w:semiHidden/>
    <w:unhideWhenUsed/>
    <w:rsid w:val="003651E8"/>
    <w:rPr>
      <w:color w:val="96607D" w:themeColor="followedHyperlink"/>
      <w:u w:val="single"/>
    </w:rPr>
  </w:style>
  <w:style w:type="paragraph" w:styleId="Header">
    <w:name w:val="header"/>
    <w:basedOn w:val="Normal"/>
    <w:link w:val="HeaderChar"/>
    <w:uiPriority w:val="99"/>
    <w:unhideWhenUsed/>
    <w:rsid w:val="00B46132"/>
    <w:pPr>
      <w:tabs>
        <w:tab w:val="center" w:pos="4513"/>
        <w:tab w:val="right" w:pos="9026"/>
      </w:tabs>
    </w:pPr>
  </w:style>
  <w:style w:type="character" w:customStyle="1" w:styleId="HeaderChar">
    <w:name w:val="Header Char"/>
    <w:basedOn w:val="DefaultParagraphFont"/>
    <w:link w:val="Header"/>
    <w:uiPriority w:val="99"/>
    <w:rsid w:val="00B46132"/>
    <w:rPr>
      <w:rFonts w:ascii="Times New Roman" w:eastAsia="Times New Roman" w:hAnsi="Times New Roman" w:cs="Times New Roman"/>
      <w:kern w:val="0"/>
      <w:lang w:eastAsia="en-GB"/>
      <w14:ligatures w14:val="none"/>
    </w:rPr>
  </w:style>
  <w:style w:type="paragraph" w:styleId="Footer">
    <w:name w:val="footer"/>
    <w:basedOn w:val="Normal"/>
    <w:link w:val="FooterChar"/>
    <w:uiPriority w:val="99"/>
    <w:unhideWhenUsed/>
    <w:rsid w:val="00B46132"/>
    <w:pPr>
      <w:tabs>
        <w:tab w:val="center" w:pos="4513"/>
        <w:tab w:val="right" w:pos="9026"/>
      </w:tabs>
    </w:pPr>
  </w:style>
  <w:style w:type="character" w:customStyle="1" w:styleId="FooterChar">
    <w:name w:val="Footer Char"/>
    <w:basedOn w:val="DefaultParagraphFont"/>
    <w:link w:val="Footer"/>
    <w:uiPriority w:val="99"/>
    <w:rsid w:val="00B46132"/>
    <w:rPr>
      <w:rFonts w:ascii="Times New Roman" w:eastAsia="Times New Roman" w:hAnsi="Times New Roman" w:cs="Times New Roman"/>
      <w:kern w:val="0"/>
      <w:lang w:eastAsia="en-GB"/>
      <w14:ligatures w14:val="none"/>
    </w:rPr>
  </w:style>
  <w:style w:type="character" w:styleId="PageNumber">
    <w:name w:val="page number"/>
    <w:basedOn w:val="DefaultParagraphFont"/>
    <w:uiPriority w:val="99"/>
    <w:semiHidden/>
    <w:unhideWhenUsed/>
    <w:rsid w:val="00B46132"/>
  </w:style>
  <w:style w:type="paragraph" w:customStyle="1" w:styleId="gds-typography">
    <w:name w:val="gds-typography"/>
    <w:basedOn w:val="Normal"/>
    <w:rsid w:val="003B0E4F"/>
    <w:pPr>
      <w:spacing w:before="100" w:beforeAutospacing="1" w:after="100" w:afterAutospacing="1"/>
    </w:pPr>
  </w:style>
  <w:style w:type="character" w:styleId="UnresolvedMention">
    <w:name w:val="Unresolved Mention"/>
    <w:basedOn w:val="DefaultParagraphFont"/>
    <w:uiPriority w:val="99"/>
    <w:semiHidden/>
    <w:unhideWhenUsed/>
    <w:rsid w:val="00116B1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istory.jhu.edu/directory/elizabeth-thornberry/"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doi.org/10.1080/03057078808708190" TargetMode="External"/><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177/0096144216665307"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doi.org/10.1086/ahr/100.2.335" TargetMode="External"/><Relationship Id="rId4" Type="http://schemas.openxmlformats.org/officeDocument/2006/relationships/webSettings" Target="webSettings.xml"/><Relationship Id="rId9" Type="http://schemas.openxmlformats.org/officeDocument/2006/relationships/hyperlink" Target="https://doi.org/10.1080/13632430120074545"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1386</Words>
  <Characters>7906</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Bakewell (2204367)</dc:creator>
  <cp:keywords/>
  <dc:description/>
  <cp:lastModifiedBy>Richard Bakewell (2204367)</cp:lastModifiedBy>
  <cp:revision>2</cp:revision>
  <dcterms:created xsi:type="dcterms:W3CDTF">2026-04-30T13:55:00Z</dcterms:created>
  <dcterms:modified xsi:type="dcterms:W3CDTF">2026-04-30T13:55:00Z</dcterms:modified>
</cp:coreProperties>
</file>