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2BCF2" w14:textId="7A012AC7" w:rsidR="00390BA7" w:rsidRPr="00A85BFE" w:rsidRDefault="00390BA7" w:rsidP="00390BA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3F11DC4" wp14:editId="140FD2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ascii="Arial" w:hAnsi="Arial" w:cs="Arial"/>
          <w:b/>
          <w:sz w:val="28"/>
          <w:szCs w:val="28"/>
        </w:rPr>
        <w:t xml:space="preserve">APPENDIX </w:t>
      </w:r>
      <w:r w:rsidRPr="00E61D43">
        <w:rPr>
          <w:rFonts w:ascii="Arial" w:hAnsi="Arial" w:cs="Arial"/>
          <w:b/>
          <w:sz w:val="28"/>
          <w:szCs w:val="28"/>
        </w:rPr>
        <w:t>GA36d</w:t>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450"/>
        <w:gridCol w:w="2111"/>
        <w:gridCol w:w="2268"/>
      </w:tblGrid>
      <w:tr w:rsidR="00390BA7" w:rsidRPr="00A406E5" w14:paraId="26543B3A" w14:textId="77777777" w:rsidTr="00390BA7">
        <w:tc>
          <w:tcPr>
            <w:tcW w:w="9922" w:type="dxa"/>
            <w:gridSpan w:val="4"/>
            <w:shd w:val="clear" w:color="auto" w:fill="C0C0C0"/>
          </w:tcPr>
          <w:p w14:paraId="75B470B1" w14:textId="77777777" w:rsidR="00390BA7" w:rsidRPr="00A406E5" w:rsidRDefault="00390BA7" w:rsidP="00D3501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r w:rsidR="00390BA7" w:rsidRPr="00A406E5" w14:paraId="3C886447" w14:textId="77777777" w:rsidTr="00390BA7">
        <w:tblPrEx>
          <w:shd w:val="clear" w:color="auto" w:fill="auto"/>
          <w:tblLook w:val="0000" w:firstRow="0" w:lastRow="0" w:firstColumn="0" w:lastColumn="0" w:noHBand="0" w:noVBand="0"/>
        </w:tblPrEx>
        <w:tc>
          <w:tcPr>
            <w:tcW w:w="2093" w:type="dxa"/>
            <w:shd w:val="pct15" w:color="auto" w:fill="auto"/>
          </w:tcPr>
          <w:p w14:paraId="6CC96402" w14:textId="77777777" w:rsidR="00390BA7" w:rsidRPr="00A406E5" w:rsidRDefault="00390BA7" w:rsidP="00D3501B">
            <w:pPr>
              <w:spacing w:before="120" w:after="120"/>
              <w:rPr>
                <w:rFonts w:ascii="Arial" w:hAnsi="Arial" w:cs="Arial"/>
                <w:b/>
                <w:sz w:val="22"/>
              </w:rPr>
            </w:pPr>
            <w:r w:rsidRPr="00A406E5">
              <w:rPr>
                <w:rFonts w:ascii="Arial" w:hAnsi="Arial" w:cs="Arial"/>
                <w:b/>
                <w:sz w:val="22"/>
              </w:rPr>
              <w:t>Student name:</w:t>
            </w:r>
          </w:p>
        </w:tc>
        <w:tc>
          <w:tcPr>
            <w:tcW w:w="3450" w:type="dxa"/>
          </w:tcPr>
          <w:p w14:paraId="653F94AE" w14:textId="11BB528F" w:rsidR="00001B11" w:rsidRPr="00001B11" w:rsidRDefault="00001B11" w:rsidP="00001B11">
            <w:pPr>
              <w:spacing w:before="120" w:after="120"/>
              <w:rPr>
                <w:rFonts w:ascii="Arial" w:hAnsi="Arial" w:cs="Arial"/>
                <w:b/>
                <w:sz w:val="22"/>
              </w:rPr>
            </w:pPr>
            <w:r w:rsidRPr="00001B11">
              <w:rPr>
                <w:rFonts w:ascii="Arial" w:hAnsi="Arial" w:cs="Arial"/>
                <w:b/>
                <w:sz w:val="22"/>
              </w:rPr>
              <w:t>Simran Jeet Singh</w:t>
            </w:r>
          </w:p>
          <w:p w14:paraId="050EA4AE" w14:textId="5337B70B" w:rsidR="00390BA7" w:rsidRPr="00A406E5" w:rsidRDefault="00390BA7" w:rsidP="00D3501B">
            <w:pPr>
              <w:spacing w:before="120" w:after="120"/>
              <w:rPr>
                <w:rFonts w:ascii="Arial" w:hAnsi="Arial" w:cs="Arial"/>
                <w:b/>
                <w:sz w:val="22"/>
              </w:rPr>
            </w:pPr>
          </w:p>
        </w:tc>
        <w:tc>
          <w:tcPr>
            <w:tcW w:w="2111" w:type="dxa"/>
            <w:shd w:val="clear" w:color="auto" w:fill="D9D9D9"/>
          </w:tcPr>
          <w:p w14:paraId="1DD055BE" w14:textId="77777777" w:rsidR="00390BA7" w:rsidRPr="00A406E5" w:rsidRDefault="00390BA7" w:rsidP="00D3501B">
            <w:pPr>
              <w:spacing w:before="120" w:after="120"/>
              <w:rPr>
                <w:rFonts w:ascii="Arial" w:hAnsi="Arial" w:cs="Arial"/>
                <w:b/>
                <w:sz w:val="22"/>
              </w:rPr>
            </w:pPr>
            <w:r w:rsidRPr="00A406E5">
              <w:rPr>
                <w:rFonts w:ascii="Arial" w:hAnsi="Arial" w:cs="Arial"/>
                <w:b/>
                <w:sz w:val="22"/>
              </w:rPr>
              <w:t>Student ID number:</w:t>
            </w:r>
          </w:p>
        </w:tc>
        <w:tc>
          <w:tcPr>
            <w:tcW w:w="2268" w:type="dxa"/>
          </w:tcPr>
          <w:p w14:paraId="5C762C25" w14:textId="6D90800F" w:rsidR="00390BA7" w:rsidRPr="00A406E5" w:rsidRDefault="00001B11" w:rsidP="00001B11">
            <w:pPr>
              <w:spacing w:before="120" w:after="120"/>
              <w:rPr>
                <w:rFonts w:ascii="Arial" w:hAnsi="Arial" w:cs="Arial"/>
                <w:b/>
                <w:sz w:val="22"/>
              </w:rPr>
            </w:pPr>
            <w:r w:rsidRPr="00001B11">
              <w:rPr>
                <w:rFonts w:ascii="Arial" w:hAnsi="Arial" w:cs="Arial"/>
                <w:b/>
                <w:sz w:val="22"/>
              </w:rPr>
              <w:t xml:space="preserve"> 2238940</w:t>
            </w:r>
          </w:p>
        </w:tc>
      </w:tr>
      <w:tr w:rsidR="00390BA7" w:rsidRPr="00A406E5" w14:paraId="231BEA1E" w14:textId="77777777" w:rsidTr="00390BA7">
        <w:tblPrEx>
          <w:shd w:val="clear" w:color="auto" w:fill="auto"/>
          <w:tblLook w:val="0000" w:firstRow="0" w:lastRow="0" w:firstColumn="0" w:lastColumn="0" w:noHBand="0" w:noVBand="0"/>
        </w:tblPrEx>
        <w:tc>
          <w:tcPr>
            <w:tcW w:w="2093" w:type="dxa"/>
            <w:shd w:val="pct15" w:color="auto" w:fill="auto"/>
          </w:tcPr>
          <w:p w14:paraId="577BD3A7" w14:textId="77777777" w:rsidR="00390BA7" w:rsidRPr="00A406E5" w:rsidRDefault="00390BA7" w:rsidP="00D3501B">
            <w:pPr>
              <w:spacing w:before="120" w:after="120"/>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829" w:type="dxa"/>
            <w:gridSpan w:val="3"/>
          </w:tcPr>
          <w:p w14:paraId="4473A208" w14:textId="77777777" w:rsidR="00390BA7" w:rsidRPr="00A406E5" w:rsidRDefault="00390BA7" w:rsidP="00D3501B">
            <w:pPr>
              <w:spacing w:before="120" w:after="120"/>
              <w:rPr>
                <w:rFonts w:ascii="Arial" w:hAnsi="Arial" w:cs="Arial"/>
                <w:b/>
                <w:sz w:val="22"/>
              </w:rPr>
            </w:pPr>
            <w:r>
              <w:rPr>
                <w:rFonts w:ascii="Arial" w:hAnsi="Arial" w:cs="Arial"/>
                <w:b/>
                <w:sz w:val="22"/>
              </w:rPr>
              <w:t>MASTER OF BUSINESS ADMINITRATION</w:t>
            </w:r>
          </w:p>
        </w:tc>
      </w:tr>
      <w:tr w:rsidR="00390BA7" w:rsidRPr="00A406E5" w14:paraId="09D50E76" w14:textId="77777777" w:rsidTr="00390BA7">
        <w:tblPrEx>
          <w:shd w:val="clear" w:color="auto" w:fill="auto"/>
          <w:tblLook w:val="0000" w:firstRow="0" w:lastRow="0" w:firstColumn="0" w:lastColumn="0" w:noHBand="0" w:noVBand="0"/>
        </w:tblPrEx>
        <w:trPr>
          <w:trHeight w:val="440"/>
        </w:trPr>
        <w:tc>
          <w:tcPr>
            <w:tcW w:w="2093" w:type="dxa"/>
            <w:shd w:val="pct15" w:color="auto" w:fill="auto"/>
          </w:tcPr>
          <w:p w14:paraId="00F1593E" w14:textId="77777777" w:rsidR="00390BA7" w:rsidRPr="00A406E5" w:rsidRDefault="00390BA7" w:rsidP="00D3501B">
            <w:pPr>
              <w:spacing w:before="120" w:after="120"/>
              <w:rPr>
                <w:rFonts w:ascii="Arial" w:hAnsi="Arial" w:cs="Arial"/>
                <w:b/>
                <w:sz w:val="22"/>
              </w:rPr>
            </w:pPr>
            <w:r w:rsidRPr="00A406E5">
              <w:rPr>
                <w:rFonts w:ascii="Arial" w:hAnsi="Arial" w:cs="Arial"/>
                <w:b/>
                <w:sz w:val="22"/>
              </w:rPr>
              <w:t>Module:</w:t>
            </w:r>
          </w:p>
        </w:tc>
        <w:tc>
          <w:tcPr>
            <w:tcW w:w="7829" w:type="dxa"/>
            <w:gridSpan w:val="3"/>
            <w:shd w:val="clear" w:color="auto" w:fill="auto"/>
          </w:tcPr>
          <w:p w14:paraId="45F958EB" w14:textId="77777777" w:rsidR="00390BA7" w:rsidRPr="00A406E5" w:rsidRDefault="00390BA7" w:rsidP="00D3501B">
            <w:pPr>
              <w:spacing w:before="120" w:after="120"/>
              <w:rPr>
                <w:rFonts w:ascii="Arial" w:hAnsi="Arial" w:cs="Arial"/>
                <w:b/>
                <w:sz w:val="22"/>
              </w:rPr>
            </w:pPr>
            <w:r>
              <w:rPr>
                <w:rFonts w:ascii="Arial" w:hAnsi="Arial" w:cs="Arial"/>
                <w:b/>
                <w:sz w:val="22"/>
              </w:rPr>
              <w:t>HUMAN RESOURCE MANAGEMENT</w:t>
            </w:r>
          </w:p>
        </w:tc>
      </w:tr>
      <w:tr w:rsidR="00390BA7" w:rsidRPr="00A406E5" w14:paraId="252706C7" w14:textId="77777777" w:rsidTr="00390BA7">
        <w:tblPrEx>
          <w:shd w:val="clear" w:color="auto" w:fill="auto"/>
          <w:tblLook w:val="0000" w:firstRow="0" w:lastRow="0" w:firstColumn="0" w:lastColumn="0" w:noHBand="0" w:noVBand="0"/>
        </w:tblPrEx>
        <w:tc>
          <w:tcPr>
            <w:tcW w:w="2093" w:type="dxa"/>
            <w:shd w:val="pct15" w:color="auto" w:fill="auto"/>
          </w:tcPr>
          <w:p w14:paraId="4D9870B3" w14:textId="77777777" w:rsidR="00390BA7" w:rsidRPr="00A406E5" w:rsidRDefault="00390BA7" w:rsidP="00D3501B">
            <w:pPr>
              <w:spacing w:before="120" w:after="120"/>
              <w:rPr>
                <w:rFonts w:ascii="Arial" w:hAnsi="Arial" w:cs="Arial"/>
                <w:b/>
                <w:sz w:val="22"/>
              </w:rPr>
            </w:pPr>
            <w:r w:rsidRPr="00A406E5">
              <w:rPr>
                <w:rFonts w:ascii="Arial" w:hAnsi="Arial" w:cs="Arial"/>
                <w:b/>
                <w:sz w:val="22"/>
              </w:rPr>
              <w:t>Module code:</w:t>
            </w:r>
          </w:p>
        </w:tc>
        <w:tc>
          <w:tcPr>
            <w:tcW w:w="3450" w:type="dxa"/>
          </w:tcPr>
          <w:p w14:paraId="6C2866D4" w14:textId="77777777" w:rsidR="00390BA7" w:rsidRPr="00A406E5" w:rsidRDefault="00390BA7" w:rsidP="00D3501B">
            <w:pPr>
              <w:spacing w:before="120" w:after="120"/>
              <w:rPr>
                <w:rFonts w:ascii="Arial" w:hAnsi="Arial" w:cs="Arial"/>
                <w:b/>
                <w:sz w:val="22"/>
              </w:rPr>
            </w:pPr>
            <w:r>
              <w:rPr>
                <w:rFonts w:ascii="Arial" w:hAnsi="Arial" w:cs="Arial"/>
                <w:b/>
                <w:sz w:val="22"/>
              </w:rPr>
              <w:t>LCMB7000</w:t>
            </w:r>
          </w:p>
        </w:tc>
        <w:tc>
          <w:tcPr>
            <w:tcW w:w="2111" w:type="dxa"/>
            <w:shd w:val="clear" w:color="auto" w:fill="D9D9D9"/>
          </w:tcPr>
          <w:p w14:paraId="64FDD11E" w14:textId="77777777" w:rsidR="00390BA7" w:rsidRPr="004D5E9B" w:rsidRDefault="00390BA7" w:rsidP="00D3501B">
            <w:pPr>
              <w:pStyle w:val="Heading2"/>
              <w:rPr>
                <w:rFonts w:ascii="Arial" w:hAnsi="Arial" w:cs="Arial"/>
                <w:sz w:val="22"/>
                <w:szCs w:val="22"/>
              </w:rPr>
            </w:pPr>
            <w:bookmarkStart w:id="0" w:name="_Toc138024999"/>
            <w:r w:rsidRPr="00A406E5">
              <w:rPr>
                <w:rFonts w:ascii="Arial" w:hAnsi="Arial" w:cs="Arial"/>
                <w:sz w:val="22"/>
                <w:szCs w:val="22"/>
              </w:rPr>
              <w:t>Contribution to Overall Module Assessment (%):</w:t>
            </w:r>
            <w:bookmarkEnd w:id="0"/>
          </w:p>
        </w:tc>
        <w:tc>
          <w:tcPr>
            <w:tcW w:w="2268" w:type="dxa"/>
          </w:tcPr>
          <w:p w14:paraId="784C60B5" w14:textId="77777777" w:rsidR="00390BA7" w:rsidRPr="00A406E5" w:rsidRDefault="00390BA7" w:rsidP="00D3501B">
            <w:pPr>
              <w:spacing w:before="120" w:after="120"/>
              <w:rPr>
                <w:rFonts w:ascii="Arial" w:hAnsi="Arial" w:cs="Arial"/>
                <w:b/>
                <w:sz w:val="22"/>
              </w:rPr>
            </w:pPr>
            <w:r>
              <w:rPr>
                <w:rFonts w:ascii="Arial" w:hAnsi="Arial" w:cs="Arial"/>
                <w:b/>
                <w:sz w:val="22"/>
              </w:rPr>
              <w:t>50%</w:t>
            </w:r>
          </w:p>
        </w:tc>
      </w:tr>
      <w:tr w:rsidR="00390BA7" w:rsidRPr="00A406E5" w14:paraId="5D904E0B" w14:textId="77777777" w:rsidTr="00390BA7">
        <w:tblPrEx>
          <w:shd w:val="clear" w:color="auto" w:fill="auto"/>
          <w:tblLook w:val="0000" w:firstRow="0" w:lastRow="0" w:firstColumn="0" w:lastColumn="0" w:noHBand="0" w:noVBand="0"/>
        </w:tblPrEx>
        <w:tc>
          <w:tcPr>
            <w:tcW w:w="2093" w:type="dxa"/>
            <w:shd w:val="pct15" w:color="auto" w:fill="auto"/>
          </w:tcPr>
          <w:p w14:paraId="653BC00E" w14:textId="77777777" w:rsidR="00390BA7" w:rsidRPr="00A406E5" w:rsidRDefault="00390BA7" w:rsidP="00D3501B">
            <w:pPr>
              <w:spacing w:before="120" w:after="120"/>
              <w:rPr>
                <w:rFonts w:ascii="Arial" w:hAnsi="Arial" w:cs="Arial"/>
                <w:b/>
                <w:sz w:val="22"/>
              </w:rPr>
            </w:pPr>
            <w:r w:rsidRPr="00A406E5">
              <w:rPr>
                <w:rFonts w:ascii="Arial" w:hAnsi="Arial" w:cs="Arial"/>
                <w:b/>
                <w:sz w:val="22"/>
              </w:rPr>
              <w:t>Lecturer:</w:t>
            </w:r>
          </w:p>
        </w:tc>
        <w:tc>
          <w:tcPr>
            <w:tcW w:w="3450" w:type="dxa"/>
          </w:tcPr>
          <w:p w14:paraId="4043C907" w14:textId="77777777" w:rsidR="00390BA7" w:rsidRPr="00A406E5" w:rsidRDefault="00390BA7" w:rsidP="00D3501B">
            <w:pPr>
              <w:spacing w:before="120" w:after="120"/>
              <w:rPr>
                <w:rFonts w:ascii="Arial" w:hAnsi="Arial" w:cs="Arial"/>
                <w:b/>
                <w:sz w:val="22"/>
              </w:rPr>
            </w:pPr>
            <w:r>
              <w:rPr>
                <w:rFonts w:ascii="Arial" w:hAnsi="Arial" w:cs="Arial"/>
                <w:b/>
                <w:sz w:val="22"/>
              </w:rPr>
              <w:t xml:space="preserve">Prof D G </w:t>
            </w:r>
            <w:proofErr w:type="spellStart"/>
            <w:r>
              <w:rPr>
                <w:rFonts w:ascii="Arial" w:hAnsi="Arial" w:cs="Arial"/>
                <w:b/>
                <w:sz w:val="22"/>
              </w:rPr>
              <w:t>Pepple</w:t>
            </w:r>
            <w:proofErr w:type="spellEnd"/>
          </w:p>
        </w:tc>
        <w:tc>
          <w:tcPr>
            <w:tcW w:w="2111" w:type="dxa"/>
            <w:shd w:val="clear" w:color="auto" w:fill="D9D9D9"/>
          </w:tcPr>
          <w:p w14:paraId="0383F99F" w14:textId="77777777" w:rsidR="00390BA7" w:rsidRPr="00A406E5" w:rsidRDefault="00390BA7" w:rsidP="00D3501B">
            <w:pPr>
              <w:spacing w:before="120" w:after="120"/>
              <w:rPr>
                <w:rFonts w:ascii="Arial" w:hAnsi="Arial" w:cs="Arial"/>
                <w:b/>
                <w:sz w:val="22"/>
              </w:rPr>
            </w:pPr>
            <w:r w:rsidRPr="00A406E5">
              <w:rPr>
                <w:rFonts w:ascii="Arial" w:hAnsi="Arial" w:cs="Arial"/>
                <w:b/>
                <w:sz w:val="22"/>
              </w:rPr>
              <w:t>Internal Verifier:</w:t>
            </w:r>
          </w:p>
        </w:tc>
        <w:tc>
          <w:tcPr>
            <w:tcW w:w="2268" w:type="dxa"/>
          </w:tcPr>
          <w:p w14:paraId="790C07B3" w14:textId="77777777" w:rsidR="00390BA7" w:rsidRPr="00A406E5" w:rsidRDefault="00390BA7" w:rsidP="00D3501B">
            <w:pPr>
              <w:spacing w:before="120" w:after="120"/>
              <w:rPr>
                <w:rFonts w:ascii="Arial" w:hAnsi="Arial" w:cs="Arial"/>
                <w:b/>
                <w:sz w:val="22"/>
              </w:rPr>
            </w:pPr>
            <w:r>
              <w:rPr>
                <w:rFonts w:ascii="Arial" w:hAnsi="Arial" w:cs="Arial"/>
                <w:b/>
                <w:sz w:val="22"/>
              </w:rPr>
              <w:t xml:space="preserve">Vasilios </w:t>
            </w:r>
            <w:proofErr w:type="spellStart"/>
            <w:r>
              <w:rPr>
                <w:rFonts w:ascii="Arial" w:hAnsi="Arial" w:cs="Arial"/>
                <w:b/>
                <w:sz w:val="22"/>
              </w:rPr>
              <w:t>Tavlaridis</w:t>
            </w:r>
            <w:proofErr w:type="spellEnd"/>
          </w:p>
        </w:tc>
      </w:tr>
      <w:tr w:rsidR="00390BA7" w:rsidRPr="00A406E5" w14:paraId="03074DA1" w14:textId="77777777" w:rsidTr="00390BA7">
        <w:tblPrEx>
          <w:shd w:val="clear" w:color="auto" w:fill="auto"/>
          <w:tblLook w:val="0000" w:firstRow="0" w:lastRow="0" w:firstColumn="0" w:lastColumn="0" w:noHBand="0" w:noVBand="0"/>
        </w:tblPrEx>
        <w:tc>
          <w:tcPr>
            <w:tcW w:w="2093" w:type="dxa"/>
            <w:shd w:val="pct15" w:color="auto" w:fill="auto"/>
          </w:tcPr>
          <w:p w14:paraId="040EEB1E" w14:textId="77777777" w:rsidR="00390BA7" w:rsidRPr="00A406E5" w:rsidRDefault="00390BA7" w:rsidP="00D3501B">
            <w:pPr>
              <w:spacing w:before="120" w:after="120"/>
              <w:rPr>
                <w:rFonts w:ascii="Arial" w:hAnsi="Arial" w:cs="Arial"/>
                <w:b/>
                <w:sz w:val="22"/>
              </w:rPr>
            </w:pPr>
            <w:r w:rsidRPr="00A406E5">
              <w:rPr>
                <w:rFonts w:ascii="Arial" w:hAnsi="Arial" w:cs="Arial"/>
                <w:b/>
                <w:sz w:val="22"/>
              </w:rPr>
              <w:t>Assignment Title:</w:t>
            </w:r>
          </w:p>
        </w:tc>
        <w:tc>
          <w:tcPr>
            <w:tcW w:w="3450" w:type="dxa"/>
          </w:tcPr>
          <w:p w14:paraId="4B5E9FAF" w14:textId="77777777" w:rsidR="00390BA7" w:rsidRPr="00FF5BC0" w:rsidRDefault="00390BA7" w:rsidP="00D3501B">
            <w:pPr>
              <w:spacing w:before="120" w:after="120"/>
              <w:rPr>
                <w:rFonts w:ascii="Arial" w:hAnsi="Arial" w:cs="Arial"/>
                <w:b/>
                <w:sz w:val="22"/>
              </w:rPr>
            </w:pPr>
            <w:r w:rsidRPr="00FF5BC0">
              <w:rPr>
                <w:rFonts w:ascii="Arial" w:hAnsi="Arial" w:cs="Arial"/>
                <w:b/>
                <w:sz w:val="22"/>
              </w:rPr>
              <w:t xml:space="preserve">Individual report </w:t>
            </w:r>
            <w:r>
              <w:rPr>
                <w:rFonts w:ascii="Arial" w:hAnsi="Arial" w:cs="Arial"/>
                <w:b/>
                <w:sz w:val="22"/>
              </w:rPr>
              <w:t>– CW1</w:t>
            </w:r>
          </w:p>
          <w:p w14:paraId="0820E8D9" w14:textId="77777777" w:rsidR="00390BA7" w:rsidRPr="00A406E5" w:rsidRDefault="00390BA7" w:rsidP="00D3501B">
            <w:pPr>
              <w:spacing w:before="120" w:after="120"/>
              <w:rPr>
                <w:rFonts w:ascii="Arial" w:hAnsi="Arial" w:cs="Arial"/>
                <w:b/>
                <w:sz w:val="22"/>
              </w:rPr>
            </w:pPr>
          </w:p>
        </w:tc>
        <w:tc>
          <w:tcPr>
            <w:tcW w:w="2111" w:type="dxa"/>
            <w:shd w:val="pct15" w:color="auto" w:fill="auto"/>
          </w:tcPr>
          <w:p w14:paraId="7191925D" w14:textId="77777777" w:rsidR="00390BA7" w:rsidRPr="00A406E5" w:rsidRDefault="00390BA7" w:rsidP="00D3501B">
            <w:pPr>
              <w:spacing w:before="120" w:after="120"/>
              <w:rPr>
                <w:rFonts w:ascii="Arial" w:hAnsi="Arial" w:cs="Arial"/>
                <w:b/>
                <w:sz w:val="22"/>
              </w:rPr>
            </w:pPr>
            <w:r>
              <w:rPr>
                <w:rFonts w:ascii="Arial" w:hAnsi="Arial" w:cs="Arial"/>
                <w:b/>
                <w:sz w:val="22"/>
              </w:rPr>
              <w:t>Word count (or equivalent):</w:t>
            </w:r>
          </w:p>
        </w:tc>
        <w:tc>
          <w:tcPr>
            <w:tcW w:w="2268" w:type="dxa"/>
          </w:tcPr>
          <w:p w14:paraId="78A8E933" w14:textId="77777777" w:rsidR="00390BA7" w:rsidRPr="00A406E5" w:rsidRDefault="00390BA7" w:rsidP="00D3501B">
            <w:pPr>
              <w:spacing w:before="120" w:after="120"/>
              <w:rPr>
                <w:rFonts w:ascii="Arial" w:hAnsi="Arial" w:cs="Arial"/>
                <w:b/>
                <w:sz w:val="22"/>
              </w:rPr>
            </w:pPr>
            <w:r>
              <w:rPr>
                <w:rFonts w:ascii="Arial" w:hAnsi="Arial" w:cs="Arial"/>
                <w:b/>
                <w:sz w:val="22"/>
              </w:rPr>
              <w:t>2500+10% WORDS</w:t>
            </w:r>
          </w:p>
        </w:tc>
      </w:tr>
      <w:tr w:rsidR="00390BA7" w:rsidRPr="00A406E5" w14:paraId="1731F611" w14:textId="77777777" w:rsidTr="00390BA7">
        <w:tblPrEx>
          <w:shd w:val="clear" w:color="auto" w:fill="auto"/>
          <w:tblLook w:val="0000" w:firstRow="0" w:lastRow="0" w:firstColumn="0" w:lastColumn="0" w:noHBand="0" w:noVBand="0"/>
        </w:tblPrEx>
        <w:tc>
          <w:tcPr>
            <w:tcW w:w="2093" w:type="dxa"/>
            <w:shd w:val="pct15" w:color="auto" w:fill="auto"/>
          </w:tcPr>
          <w:p w14:paraId="4A39D5F5" w14:textId="77777777" w:rsidR="00390BA7" w:rsidRPr="00A406E5" w:rsidRDefault="00390BA7" w:rsidP="00D3501B">
            <w:pPr>
              <w:spacing w:before="120" w:after="120"/>
              <w:rPr>
                <w:rFonts w:ascii="Arial" w:hAnsi="Arial" w:cs="Arial"/>
                <w:b/>
                <w:sz w:val="22"/>
              </w:rPr>
            </w:pPr>
            <w:r w:rsidRPr="00A406E5">
              <w:rPr>
                <w:rFonts w:ascii="Arial" w:hAnsi="Arial" w:cs="Arial"/>
                <w:b/>
                <w:sz w:val="22"/>
              </w:rPr>
              <w:t>Submission deadline:</w:t>
            </w:r>
          </w:p>
        </w:tc>
        <w:tc>
          <w:tcPr>
            <w:tcW w:w="3450" w:type="dxa"/>
            <w:shd w:val="clear" w:color="auto" w:fill="auto"/>
          </w:tcPr>
          <w:p w14:paraId="27D1E1E3" w14:textId="77777777" w:rsidR="00390BA7" w:rsidRPr="00A406E5" w:rsidRDefault="00390BA7" w:rsidP="00D3501B">
            <w:pPr>
              <w:spacing w:before="120" w:after="120"/>
              <w:rPr>
                <w:rFonts w:ascii="Arial" w:hAnsi="Arial" w:cs="Arial"/>
                <w:b/>
                <w:sz w:val="22"/>
              </w:rPr>
            </w:pPr>
            <w:r>
              <w:rPr>
                <w:rFonts w:ascii="Arial" w:hAnsi="Arial" w:cs="Arial"/>
                <w:b/>
                <w:sz w:val="22"/>
              </w:rPr>
              <w:t>23/06/23 – 3PM</w:t>
            </w:r>
          </w:p>
        </w:tc>
        <w:tc>
          <w:tcPr>
            <w:tcW w:w="2111" w:type="dxa"/>
            <w:shd w:val="pct15" w:color="auto" w:fill="auto"/>
          </w:tcPr>
          <w:p w14:paraId="39D38FB1" w14:textId="77777777" w:rsidR="00390BA7" w:rsidRPr="00A406E5" w:rsidRDefault="00390BA7" w:rsidP="00D3501B">
            <w:pPr>
              <w:spacing w:before="120" w:after="120"/>
              <w:rPr>
                <w:rFonts w:ascii="Arial" w:hAnsi="Arial" w:cs="Arial"/>
                <w:b/>
                <w:sz w:val="22"/>
              </w:rPr>
            </w:pPr>
            <w:r w:rsidRPr="00A406E5">
              <w:rPr>
                <w:rFonts w:ascii="Arial" w:hAnsi="Arial" w:cs="Arial"/>
                <w:b/>
                <w:sz w:val="22"/>
              </w:rPr>
              <w:t>Return date of provisional marks &amp; written feedback:</w:t>
            </w:r>
          </w:p>
        </w:tc>
        <w:tc>
          <w:tcPr>
            <w:tcW w:w="2268" w:type="dxa"/>
          </w:tcPr>
          <w:p w14:paraId="043C450F" w14:textId="77777777" w:rsidR="00390BA7" w:rsidRPr="00A406E5" w:rsidRDefault="00390BA7" w:rsidP="00D3501B">
            <w:pPr>
              <w:spacing w:before="120" w:after="120"/>
              <w:rPr>
                <w:rFonts w:ascii="Arial" w:hAnsi="Arial" w:cs="Arial"/>
                <w:b/>
                <w:sz w:val="22"/>
              </w:rPr>
            </w:pPr>
            <w:r>
              <w:rPr>
                <w:rFonts w:ascii="Arial" w:hAnsi="Arial" w:cs="Arial"/>
                <w:b/>
                <w:sz w:val="22"/>
              </w:rPr>
              <w:t>21/07/23</w:t>
            </w:r>
          </w:p>
        </w:tc>
      </w:tr>
    </w:tbl>
    <w:p w14:paraId="3F0D0399" w14:textId="615DABCC" w:rsidR="00390BA7" w:rsidRDefault="00390BA7" w:rsidP="00025EBC"/>
    <w:p w14:paraId="6194A279" w14:textId="77777777" w:rsidR="00390BA7" w:rsidRDefault="00390BA7">
      <w:pPr>
        <w:widowControl/>
        <w:autoSpaceDE/>
        <w:autoSpaceDN/>
        <w:spacing w:after="160" w:line="259" w:lineRule="auto"/>
        <w:jc w:val="left"/>
      </w:pPr>
      <w:r>
        <w:br w:type="page"/>
      </w:r>
    </w:p>
    <w:sdt>
      <w:sdtPr>
        <w:rPr>
          <w:rFonts w:ascii="Times New Roman" w:eastAsia="Tahoma" w:hAnsi="Times New Roman" w:cs="Tahoma"/>
          <w:color w:val="auto"/>
          <w:sz w:val="24"/>
          <w:szCs w:val="22"/>
          <w:lang w:val="en-GB"/>
        </w:rPr>
        <w:id w:val="-1904587465"/>
        <w:docPartObj>
          <w:docPartGallery w:val="Table of Contents"/>
          <w:docPartUnique/>
        </w:docPartObj>
      </w:sdtPr>
      <w:sdtEndPr>
        <w:rPr>
          <w:b/>
          <w:bCs/>
        </w:rPr>
      </w:sdtEndPr>
      <w:sdtContent>
        <w:p w14:paraId="0B7A2CC9" w14:textId="6DF7672B" w:rsidR="009423C1" w:rsidRDefault="009423C1">
          <w:pPr>
            <w:pStyle w:val="TOCHeading"/>
          </w:pPr>
          <w:r>
            <w:rPr>
              <w:lang w:val="en-GB"/>
            </w:rPr>
            <w:t>Contents</w:t>
          </w:r>
        </w:p>
        <w:p w14:paraId="5E36E944" w14:textId="42E5AF1E" w:rsidR="009423C1" w:rsidRDefault="009423C1" w:rsidP="009423C1">
          <w:pPr>
            <w:pStyle w:val="TOC2"/>
            <w:tabs>
              <w:tab w:val="right" w:leader="dot" w:pos="9350"/>
            </w:tabs>
            <w:rPr>
              <w:rFonts w:asciiTheme="minorHAnsi" w:eastAsiaTheme="minorEastAsia" w:hAnsiTheme="minorHAnsi" w:cstheme="minorBidi"/>
              <w:b w:val="0"/>
              <w:noProof/>
              <w:sz w:val="22"/>
            </w:rPr>
          </w:pPr>
          <w:r>
            <w:fldChar w:fldCharType="begin"/>
          </w:r>
          <w:r>
            <w:instrText xml:space="preserve"> TOC \o "1-3" \h \z \u </w:instrText>
          </w:r>
          <w:r>
            <w:fldChar w:fldCharType="separate"/>
          </w:r>
          <w:hyperlink w:anchor="_Toc138025000" w:history="1">
            <w:r w:rsidRPr="00DD6C5D">
              <w:rPr>
                <w:rStyle w:val="Hyperlink"/>
                <w:noProof/>
              </w:rPr>
              <w:t>Introduction</w:t>
            </w:r>
            <w:r>
              <w:rPr>
                <w:noProof/>
                <w:webHidden/>
              </w:rPr>
              <w:tab/>
            </w:r>
            <w:r>
              <w:rPr>
                <w:noProof/>
                <w:webHidden/>
              </w:rPr>
              <w:fldChar w:fldCharType="begin"/>
            </w:r>
            <w:r>
              <w:rPr>
                <w:noProof/>
                <w:webHidden/>
              </w:rPr>
              <w:instrText xml:space="preserve"> PAGEREF _Toc138025000 \h </w:instrText>
            </w:r>
            <w:r>
              <w:rPr>
                <w:noProof/>
                <w:webHidden/>
              </w:rPr>
            </w:r>
            <w:r>
              <w:rPr>
                <w:noProof/>
                <w:webHidden/>
              </w:rPr>
              <w:fldChar w:fldCharType="separate"/>
            </w:r>
            <w:r>
              <w:rPr>
                <w:noProof/>
                <w:webHidden/>
              </w:rPr>
              <w:t>2</w:t>
            </w:r>
            <w:r>
              <w:rPr>
                <w:noProof/>
                <w:webHidden/>
              </w:rPr>
              <w:fldChar w:fldCharType="end"/>
            </w:r>
          </w:hyperlink>
        </w:p>
        <w:p w14:paraId="7B9FCEDC" w14:textId="56FC20DD" w:rsidR="009423C1" w:rsidRDefault="00001B11">
          <w:pPr>
            <w:pStyle w:val="TOC1"/>
            <w:tabs>
              <w:tab w:val="right" w:leader="dot" w:pos="9350"/>
            </w:tabs>
            <w:rPr>
              <w:rFonts w:asciiTheme="minorHAnsi" w:eastAsiaTheme="minorEastAsia" w:hAnsiTheme="minorHAnsi" w:cstheme="minorBidi"/>
              <w:b w:val="0"/>
              <w:noProof/>
              <w:sz w:val="22"/>
              <w:u w:val="none"/>
            </w:rPr>
          </w:pPr>
          <w:hyperlink w:anchor="_Toc138025001" w:history="1">
            <w:r w:rsidR="009423C1" w:rsidRPr="00DD6C5D">
              <w:rPr>
                <w:rStyle w:val="Hyperlink"/>
                <w:noProof/>
              </w:rPr>
              <w:t>How does HR in the private sector differ from HR in the public sector?</w:t>
            </w:r>
            <w:r w:rsidR="009423C1">
              <w:rPr>
                <w:noProof/>
                <w:webHidden/>
              </w:rPr>
              <w:tab/>
            </w:r>
            <w:r w:rsidR="009423C1">
              <w:rPr>
                <w:noProof/>
                <w:webHidden/>
              </w:rPr>
              <w:fldChar w:fldCharType="begin"/>
            </w:r>
            <w:r w:rsidR="009423C1">
              <w:rPr>
                <w:noProof/>
                <w:webHidden/>
              </w:rPr>
              <w:instrText xml:space="preserve"> PAGEREF _Toc138025001 \h </w:instrText>
            </w:r>
            <w:r w:rsidR="009423C1">
              <w:rPr>
                <w:noProof/>
                <w:webHidden/>
              </w:rPr>
            </w:r>
            <w:r w:rsidR="009423C1">
              <w:rPr>
                <w:noProof/>
                <w:webHidden/>
              </w:rPr>
              <w:fldChar w:fldCharType="separate"/>
            </w:r>
            <w:r w:rsidR="009423C1">
              <w:rPr>
                <w:noProof/>
                <w:webHidden/>
              </w:rPr>
              <w:t>3</w:t>
            </w:r>
            <w:r w:rsidR="009423C1">
              <w:rPr>
                <w:noProof/>
                <w:webHidden/>
              </w:rPr>
              <w:fldChar w:fldCharType="end"/>
            </w:r>
          </w:hyperlink>
        </w:p>
        <w:p w14:paraId="3CCFC31C" w14:textId="5EFA78C1" w:rsidR="009423C1" w:rsidRDefault="00001B11">
          <w:pPr>
            <w:pStyle w:val="TOC1"/>
            <w:tabs>
              <w:tab w:val="right" w:leader="dot" w:pos="9350"/>
            </w:tabs>
            <w:rPr>
              <w:rFonts w:asciiTheme="minorHAnsi" w:eastAsiaTheme="minorEastAsia" w:hAnsiTheme="minorHAnsi" w:cstheme="minorBidi"/>
              <w:b w:val="0"/>
              <w:noProof/>
              <w:sz w:val="22"/>
              <w:u w:val="none"/>
            </w:rPr>
          </w:pPr>
          <w:hyperlink w:anchor="_Toc138025002" w:history="1">
            <w:r w:rsidR="009423C1" w:rsidRPr="00DD6C5D">
              <w:rPr>
                <w:rStyle w:val="Hyperlink"/>
                <w:noProof/>
              </w:rPr>
              <w:t>How does sector determine the effectiveness of HR strategy?</w:t>
            </w:r>
            <w:r w:rsidR="009423C1">
              <w:rPr>
                <w:noProof/>
                <w:webHidden/>
              </w:rPr>
              <w:tab/>
            </w:r>
            <w:r w:rsidR="009423C1">
              <w:rPr>
                <w:noProof/>
                <w:webHidden/>
              </w:rPr>
              <w:fldChar w:fldCharType="begin"/>
            </w:r>
            <w:r w:rsidR="009423C1">
              <w:rPr>
                <w:noProof/>
                <w:webHidden/>
              </w:rPr>
              <w:instrText xml:space="preserve"> PAGEREF _Toc138025002 \h </w:instrText>
            </w:r>
            <w:r w:rsidR="009423C1">
              <w:rPr>
                <w:noProof/>
                <w:webHidden/>
              </w:rPr>
            </w:r>
            <w:r w:rsidR="009423C1">
              <w:rPr>
                <w:noProof/>
                <w:webHidden/>
              </w:rPr>
              <w:fldChar w:fldCharType="separate"/>
            </w:r>
            <w:r w:rsidR="009423C1">
              <w:rPr>
                <w:noProof/>
                <w:webHidden/>
              </w:rPr>
              <w:t>4</w:t>
            </w:r>
            <w:r w:rsidR="009423C1">
              <w:rPr>
                <w:noProof/>
                <w:webHidden/>
              </w:rPr>
              <w:fldChar w:fldCharType="end"/>
            </w:r>
          </w:hyperlink>
        </w:p>
        <w:p w14:paraId="097CE650" w14:textId="282B8E1B" w:rsidR="009423C1" w:rsidRDefault="00001B11">
          <w:pPr>
            <w:pStyle w:val="TOC1"/>
            <w:tabs>
              <w:tab w:val="right" w:leader="dot" w:pos="9350"/>
            </w:tabs>
            <w:rPr>
              <w:rFonts w:asciiTheme="minorHAnsi" w:eastAsiaTheme="minorEastAsia" w:hAnsiTheme="minorHAnsi" w:cstheme="minorBidi"/>
              <w:b w:val="0"/>
              <w:noProof/>
              <w:sz w:val="22"/>
              <w:u w:val="none"/>
            </w:rPr>
          </w:pPr>
          <w:hyperlink w:anchor="_Toc138025003" w:history="1">
            <w:r w:rsidR="009423C1" w:rsidRPr="00DD6C5D">
              <w:rPr>
                <w:rStyle w:val="Hyperlink"/>
                <w:noProof/>
              </w:rPr>
              <w:t>How can HR develop employees to achieve strategy goals?</w:t>
            </w:r>
            <w:r w:rsidR="009423C1">
              <w:rPr>
                <w:noProof/>
                <w:webHidden/>
              </w:rPr>
              <w:tab/>
            </w:r>
            <w:r w:rsidR="009423C1">
              <w:rPr>
                <w:noProof/>
                <w:webHidden/>
              </w:rPr>
              <w:fldChar w:fldCharType="begin"/>
            </w:r>
            <w:r w:rsidR="009423C1">
              <w:rPr>
                <w:noProof/>
                <w:webHidden/>
              </w:rPr>
              <w:instrText xml:space="preserve"> PAGEREF _Toc138025003 \h </w:instrText>
            </w:r>
            <w:r w:rsidR="009423C1">
              <w:rPr>
                <w:noProof/>
                <w:webHidden/>
              </w:rPr>
            </w:r>
            <w:r w:rsidR="009423C1">
              <w:rPr>
                <w:noProof/>
                <w:webHidden/>
              </w:rPr>
              <w:fldChar w:fldCharType="separate"/>
            </w:r>
            <w:r w:rsidR="009423C1">
              <w:rPr>
                <w:noProof/>
                <w:webHidden/>
              </w:rPr>
              <w:t>7</w:t>
            </w:r>
            <w:r w:rsidR="009423C1">
              <w:rPr>
                <w:noProof/>
                <w:webHidden/>
              </w:rPr>
              <w:fldChar w:fldCharType="end"/>
            </w:r>
          </w:hyperlink>
        </w:p>
        <w:p w14:paraId="179C3613" w14:textId="553E8460" w:rsidR="009423C1" w:rsidRDefault="00001B11">
          <w:pPr>
            <w:pStyle w:val="TOC1"/>
            <w:tabs>
              <w:tab w:val="right" w:leader="dot" w:pos="9350"/>
            </w:tabs>
            <w:rPr>
              <w:rFonts w:asciiTheme="minorHAnsi" w:eastAsiaTheme="minorEastAsia" w:hAnsiTheme="minorHAnsi" w:cstheme="minorBidi"/>
              <w:b w:val="0"/>
              <w:noProof/>
              <w:sz w:val="22"/>
              <w:u w:val="none"/>
            </w:rPr>
          </w:pPr>
          <w:hyperlink w:anchor="_Toc138025004" w:history="1">
            <w:r w:rsidR="009423C1" w:rsidRPr="00DD6C5D">
              <w:rPr>
                <w:rStyle w:val="Hyperlink"/>
                <w:noProof/>
              </w:rPr>
              <w:t>What organizational climate factors affect the effectiveness of HR strategy?</w:t>
            </w:r>
            <w:r w:rsidR="009423C1">
              <w:rPr>
                <w:noProof/>
                <w:webHidden/>
              </w:rPr>
              <w:tab/>
            </w:r>
            <w:r w:rsidR="009423C1">
              <w:rPr>
                <w:noProof/>
                <w:webHidden/>
              </w:rPr>
              <w:fldChar w:fldCharType="begin"/>
            </w:r>
            <w:r w:rsidR="009423C1">
              <w:rPr>
                <w:noProof/>
                <w:webHidden/>
              </w:rPr>
              <w:instrText xml:space="preserve"> PAGEREF _Toc138025004 \h </w:instrText>
            </w:r>
            <w:r w:rsidR="009423C1">
              <w:rPr>
                <w:noProof/>
                <w:webHidden/>
              </w:rPr>
            </w:r>
            <w:r w:rsidR="009423C1">
              <w:rPr>
                <w:noProof/>
                <w:webHidden/>
              </w:rPr>
              <w:fldChar w:fldCharType="separate"/>
            </w:r>
            <w:r w:rsidR="009423C1">
              <w:rPr>
                <w:noProof/>
                <w:webHidden/>
              </w:rPr>
              <w:t>9</w:t>
            </w:r>
            <w:r w:rsidR="009423C1">
              <w:rPr>
                <w:noProof/>
                <w:webHidden/>
              </w:rPr>
              <w:fldChar w:fldCharType="end"/>
            </w:r>
          </w:hyperlink>
        </w:p>
        <w:p w14:paraId="5ED3346B" w14:textId="3B28E974" w:rsidR="009423C1" w:rsidRDefault="00001B11">
          <w:pPr>
            <w:pStyle w:val="TOC1"/>
            <w:tabs>
              <w:tab w:val="right" w:leader="dot" w:pos="9350"/>
            </w:tabs>
            <w:rPr>
              <w:rFonts w:asciiTheme="minorHAnsi" w:eastAsiaTheme="minorEastAsia" w:hAnsiTheme="minorHAnsi" w:cstheme="minorBidi"/>
              <w:b w:val="0"/>
              <w:noProof/>
              <w:sz w:val="22"/>
              <w:u w:val="none"/>
            </w:rPr>
          </w:pPr>
          <w:hyperlink w:anchor="_Toc138025005" w:history="1">
            <w:r w:rsidR="009423C1" w:rsidRPr="00DD6C5D">
              <w:rPr>
                <w:rStyle w:val="Hyperlink"/>
                <w:noProof/>
              </w:rPr>
              <w:t>Conclusion</w:t>
            </w:r>
            <w:r w:rsidR="009423C1">
              <w:rPr>
                <w:noProof/>
                <w:webHidden/>
              </w:rPr>
              <w:tab/>
            </w:r>
            <w:r w:rsidR="009423C1">
              <w:rPr>
                <w:noProof/>
                <w:webHidden/>
              </w:rPr>
              <w:fldChar w:fldCharType="begin"/>
            </w:r>
            <w:r w:rsidR="009423C1">
              <w:rPr>
                <w:noProof/>
                <w:webHidden/>
              </w:rPr>
              <w:instrText xml:space="preserve"> PAGEREF _Toc138025005 \h </w:instrText>
            </w:r>
            <w:r w:rsidR="009423C1">
              <w:rPr>
                <w:noProof/>
                <w:webHidden/>
              </w:rPr>
            </w:r>
            <w:r w:rsidR="009423C1">
              <w:rPr>
                <w:noProof/>
                <w:webHidden/>
              </w:rPr>
              <w:fldChar w:fldCharType="separate"/>
            </w:r>
            <w:r w:rsidR="009423C1">
              <w:rPr>
                <w:noProof/>
                <w:webHidden/>
              </w:rPr>
              <w:t>12</w:t>
            </w:r>
            <w:r w:rsidR="009423C1">
              <w:rPr>
                <w:noProof/>
                <w:webHidden/>
              </w:rPr>
              <w:fldChar w:fldCharType="end"/>
            </w:r>
          </w:hyperlink>
        </w:p>
        <w:p w14:paraId="6914DEE7" w14:textId="2B90D2E5" w:rsidR="009423C1" w:rsidRDefault="009423C1">
          <w:r>
            <w:rPr>
              <w:b/>
              <w:bCs/>
              <w:lang w:val="en-GB"/>
            </w:rPr>
            <w:fldChar w:fldCharType="end"/>
          </w:r>
        </w:p>
      </w:sdtContent>
    </w:sdt>
    <w:p w14:paraId="4D8B54A6" w14:textId="77777777" w:rsidR="00E3510D" w:rsidRDefault="00E3510D">
      <w:pPr>
        <w:widowControl/>
        <w:autoSpaceDE/>
        <w:autoSpaceDN/>
        <w:spacing w:after="160" w:line="259" w:lineRule="auto"/>
        <w:jc w:val="left"/>
        <w:rPr>
          <w:rFonts w:eastAsiaTheme="majorEastAsia" w:cstheme="majorBidi"/>
          <w:b/>
          <w:color w:val="000000" w:themeColor="text1"/>
          <w:sz w:val="28"/>
          <w:szCs w:val="32"/>
          <w:u w:val="single"/>
        </w:rPr>
      </w:pPr>
      <w:bookmarkStart w:id="1" w:name="_Toc138025000"/>
      <w:r>
        <w:br w:type="page"/>
      </w:r>
    </w:p>
    <w:p w14:paraId="575B2BCA" w14:textId="222A5854" w:rsidR="00FA45EA" w:rsidRDefault="00FA45EA" w:rsidP="00FA45EA">
      <w:pPr>
        <w:pStyle w:val="Heading1"/>
      </w:pPr>
      <w:r>
        <w:lastRenderedPageBreak/>
        <w:t>Introduction</w:t>
      </w:r>
      <w:bookmarkEnd w:id="1"/>
    </w:p>
    <w:p w14:paraId="6E0D4956" w14:textId="3CBBC287" w:rsidR="00BF4CD3" w:rsidRDefault="00BF4CD3" w:rsidP="00BF4CD3">
      <w:r>
        <w:t>Human resources (HR) and organizational development have emerged as key to the success of businesses and government agencies alike in recent years. An important problem in the public sector was identified by East Coast County (ECC), a notable organization that serves public sector clients: a lack of strategic HR partnership competence. This difficulty developed because senior HR positions were not being filled by people who have the requisite business partnership abilities. As a result, ECC felt forced to do something about it, so it developed a talent pipeline to help people move into key strategic HR roles. Human resources (HR) is crucial since it oversees an organization's most important asset, its employees. Human resource managers are accountable for coordinating the organization's people resources with its overarching goals, maximizing the efficiency of its employees, and creating a productive and supportive workplace culture. However, HR procedures and difficulties in the public and private sectors are quite different from one another </w:t>
      </w:r>
      <w:r w:rsidR="003E3C67" w:rsidRPr="003E3C67">
        <w:t>(</w:t>
      </w:r>
      <w:proofErr w:type="spellStart"/>
      <w:r w:rsidR="003E3C67" w:rsidRPr="003E3C67">
        <w:t>Brunetto</w:t>
      </w:r>
      <w:proofErr w:type="spellEnd"/>
      <w:r w:rsidR="003E3C67" w:rsidRPr="003E3C67">
        <w:t xml:space="preserve"> &amp; Beattie, 2020)</w:t>
      </w:r>
      <w:r w:rsidR="003E3C67">
        <w:t>.</w:t>
      </w:r>
    </w:p>
    <w:p w14:paraId="0EC3521F" w14:textId="1BB625F8" w:rsidR="00BF4CD3" w:rsidRDefault="00BF4CD3" w:rsidP="00BF4CD3">
      <w:r>
        <w:t>The purpose of this paper is to provide a critical analysis of the differences between human resources in the private and public sectors, investigate how the sector determines the effectiveness of HR strategies, discuss how HR can develop employees to achieve strategy goals, and analyze the organizational climate factors that affect the effectiveness of HR strategies</w:t>
      </w:r>
      <w:r w:rsidR="006D7497">
        <w:t xml:space="preserve"> </w:t>
      </w:r>
      <w:r w:rsidR="006D7497" w:rsidRPr="006D7497">
        <w:t>(Chams &amp; García-</w:t>
      </w:r>
      <w:proofErr w:type="spellStart"/>
      <w:r w:rsidR="006D7497" w:rsidRPr="006D7497">
        <w:t>Blandón</w:t>
      </w:r>
      <w:proofErr w:type="spellEnd"/>
      <w:r w:rsidR="006D7497" w:rsidRPr="006D7497">
        <w:t>, 2019)</w:t>
      </w:r>
      <w:r>
        <w:t>. By going further into these areas, we can better understand the differences between the public and private sectors from the perspective of HR experts, and help businesses create HR plans that are more suited to their requirements. Organizations may increase their chances of long-term success by using HR strategies that help employees feel invested in the company's mission, encourage new ideas and boost output</w:t>
      </w:r>
      <w:r w:rsidR="00CF61E4">
        <w:t xml:space="preserve"> </w:t>
      </w:r>
      <w:r w:rsidR="004C5F01" w:rsidRPr="004C5F01">
        <w:t>(Christensen et al., 2020)</w:t>
      </w:r>
      <w:r>
        <w:t>.</w:t>
      </w:r>
    </w:p>
    <w:p w14:paraId="1EA25879" w14:textId="77777777" w:rsidR="00FA45EA" w:rsidRDefault="00FA45EA" w:rsidP="00FA45EA"/>
    <w:p w14:paraId="5528D17A" w14:textId="46BD3D13" w:rsidR="00FA45EA" w:rsidRDefault="00FA45EA" w:rsidP="00FA45EA">
      <w:pPr>
        <w:pStyle w:val="Heading1"/>
      </w:pPr>
      <w:bookmarkStart w:id="2" w:name="_Toc138025001"/>
      <w:r>
        <w:lastRenderedPageBreak/>
        <w:t>How does HR in the private sector differ from HR in the public sector?</w:t>
      </w:r>
      <w:bookmarkEnd w:id="2"/>
    </w:p>
    <w:p w14:paraId="4710A260" w14:textId="6E3A34F9" w:rsidR="00A93801" w:rsidRDefault="00A93801" w:rsidP="00A93801">
      <w:r>
        <w:t>Human resources (HR) in the public and private sectors have different goals, structures, decision-making processes, employment legislation, and general foci. The private and governmental sectors are so different because they serve different goals. To begin, the private sector places a premium on profit maximization, shareholder value enhancement, and competitive advantage when it comes to human resource goals. Businesses in the private sector compete in a market designed to maximize profits by satisfying consumers with a variety of goods and services. Therefore, in the private sector, HR methods often focus on recruiting and keeping top people, encouraging innovation, and pushing employee performance to achieve company goals</w:t>
      </w:r>
      <w:r w:rsidR="00804462">
        <w:t xml:space="preserve"> </w:t>
      </w:r>
      <w:r w:rsidR="00804462" w:rsidRPr="00804462">
        <w:t xml:space="preserve">(Malik &amp; </w:t>
      </w:r>
      <w:proofErr w:type="spellStart"/>
      <w:r w:rsidR="00804462" w:rsidRPr="00804462">
        <w:t>Lenka</w:t>
      </w:r>
      <w:proofErr w:type="spellEnd"/>
      <w:r w:rsidR="00804462" w:rsidRPr="00804462">
        <w:t>, 2020)</w:t>
      </w:r>
      <w:r>
        <w:t>.</w:t>
      </w:r>
    </w:p>
    <w:p w14:paraId="64320973" w14:textId="77777777" w:rsidR="00A93801" w:rsidRDefault="00A93801" w:rsidP="00A93801"/>
    <w:p w14:paraId="6EA1730A" w14:textId="36D2C807" w:rsidR="00A93801" w:rsidRDefault="00A93801" w:rsidP="00A93801">
      <w:r>
        <w:t>Human resources in the public sector, on the other hand, are focused on serving the public interest by providing essential services to the public. The aims and difficulties of public sector organizations, such as government bureaus and nonprofits, are distinct from those of private ones. Human resources in the public sector place an emphasis on openness, candor, and accountability throughout the hiring, training, and evaluation processes</w:t>
      </w:r>
      <w:r w:rsidR="00A62E8F">
        <w:t xml:space="preserve"> </w:t>
      </w:r>
      <w:r w:rsidR="00A62E8F" w:rsidRPr="00A62E8F">
        <w:t>(</w:t>
      </w:r>
      <w:proofErr w:type="spellStart"/>
      <w:r w:rsidR="00A62E8F" w:rsidRPr="00A62E8F">
        <w:t>Davidescu</w:t>
      </w:r>
      <w:proofErr w:type="spellEnd"/>
      <w:r w:rsidR="00A62E8F" w:rsidRPr="00A62E8F">
        <w:t xml:space="preserve"> et al., 2020)</w:t>
      </w:r>
      <w:r>
        <w:t>. The goals are to ensure that public resources are used efficiently for the common good and to provide equal access to job opportunities. Human resource practices are affected by the contrasting organizational structures of the commercial and public sectors. When it comes to the private sector, you can usually expect to see a strict chain of command and a centralized power structure. In the commercial sector, human resources operations may be more centralized, with an HR division charged with rolling out policies and plans throughout the firm</w:t>
      </w:r>
      <w:r w:rsidR="007746D0">
        <w:t xml:space="preserve"> </w:t>
      </w:r>
      <w:r w:rsidR="007746D0" w:rsidRPr="007746D0">
        <w:t xml:space="preserve">(Malik &amp; </w:t>
      </w:r>
      <w:proofErr w:type="spellStart"/>
      <w:r w:rsidR="007746D0" w:rsidRPr="007746D0">
        <w:t>Lenka</w:t>
      </w:r>
      <w:proofErr w:type="spellEnd"/>
      <w:r w:rsidR="007746D0" w:rsidRPr="007746D0">
        <w:t>, 2020)</w:t>
      </w:r>
      <w:r>
        <w:t>.</w:t>
      </w:r>
    </w:p>
    <w:p w14:paraId="42C746E9" w14:textId="77777777" w:rsidR="00A93801" w:rsidRDefault="00A93801" w:rsidP="00A93801"/>
    <w:p w14:paraId="44991D3F" w14:textId="1ADA6EA6" w:rsidR="00FA45EA" w:rsidRDefault="00A93801" w:rsidP="00FA45EA">
      <w:r>
        <w:t xml:space="preserve">Organizational structures in the public sector might be more complex owing to the wide variety of </w:t>
      </w:r>
      <w:r>
        <w:lastRenderedPageBreak/>
        <w:t>services offered and the participation of several tiers of government. Human resources in the public sector may be decentralized, with different government entities taking on different HR duties. This decentralization is an attempt to meet the varying requirements of various public sector organizations while maintaining adherence to laws and policies. Furthermore, private and public sectors frequently have different employment policies and labor laws. Employment contracts, labor unions, and employee rights all form part of a shifting legal environment that businesses in the private sector must master. Human resources experts in the private sector need to keep up with ever-evolving rules so that they may adjust HR policies and procedures properly. Civil service systems and public sector collective bargaining agreements tend to standardize and simplify employment standards in the public sector</w:t>
      </w:r>
      <w:r w:rsidR="00E7004B">
        <w:t xml:space="preserve"> </w:t>
      </w:r>
      <w:r w:rsidR="00E7004B" w:rsidRPr="00E7004B">
        <w:t>(</w:t>
      </w:r>
      <w:proofErr w:type="spellStart"/>
      <w:r w:rsidR="00E7004B" w:rsidRPr="00E7004B">
        <w:t>Vrontis</w:t>
      </w:r>
      <w:proofErr w:type="spellEnd"/>
      <w:r w:rsidR="00E7004B" w:rsidRPr="00E7004B">
        <w:t xml:space="preserve"> et al., 2022)</w:t>
      </w:r>
      <w:r>
        <w:t>. These rules are meant to shield workers from political meddling and guarantee meritocratic hiring practices. Human resources workers in the public sector must comply with these detailed rules and act ethically at all times. Overall, HR in the public and private sectors have different goals, structures, decision-making processes, and regulatory frameworks for the workplace. HR professionals must be aware of these distinctions if they are to create policies and procedures that meet the specific demands of their industries</w:t>
      </w:r>
      <w:r w:rsidR="0039102E">
        <w:t xml:space="preserve"> </w:t>
      </w:r>
      <w:r w:rsidR="0039102E" w:rsidRPr="0039102E">
        <w:t xml:space="preserve">(Malik &amp; </w:t>
      </w:r>
      <w:proofErr w:type="spellStart"/>
      <w:r w:rsidR="0039102E" w:rsidRPr="0039102E">
        <w:t>Lenka</w:t>
      </w:r>
      <w:proofErr w:type="spellEnd"/>
      <w:r w:rsidR="0039102E" w:rsidRPr="0039102E">
        <w:t>, 2020)</w:t>
      </w:r>
      <w:r>
        <w:t>.</w:t>
      </w:r>
    </w:p>
    <w:p w14:paraId="4103C5B7" w14:textId="24D75BD3" w:rsidR="00FA45EA" w:rsidRDefault="00FA45EA" w:rsidP="00FA45EA">
      <w:pPr>
        <w:pStyle w:val="Heading1"/>
      </w:pPr>
      <w:bookmarkStart w:id="3" w:name="_Toc138025002"/>
      <w:r>
        <w:t>How does sector determine the effectiveness of HR strategy?</w:t>
      </w:r>
      <w:bookmarkEnd w:id="3"/>
    </w:p>
    <w:p w14:paraId="0DC92D46" w14:textId="12FDC6AA" w:rsidR="005A5614" w:rsidRDefault="005A5614" w:rsidP="005A5614">
      <w:r>
        <w:t xml:space="preserve">Various aspects within a given industry impact the efficacy of HR strategy. Goals and objectives, corporate culture, HR strategy alignment with business strategy, resource availability and utilization, and the monitoring of key performance indicators are all elements that play a role. To begin, it's important to consider the sector's objectives while evaluating HR strategy. The private and public sectors have contrasting goals and agendas. Profitability, market share, and shareholder value enhancement may be prioritized in the private sector. The public sector, on the other hand, </w:t>
      </w:r>
      <w:r>
        <w:lastRenderedPageBreak/>
        <w:t>may place a greater emphasis on serving the public interest, providing transparent service, and providing excellent care. The success of HR strategy in each industry is measured by how much of an impact it has on the achievement of these targets</w:t>
      </w:r>
      <w:r w:rsidR="000D6A2D">
        <w:t xml:space="preserve"> </w:t>
      </w:r>
      <w:r w:rsidR="000D6A2D" w:rsidRPr="000D6A2D">
        <w:t>(</w:t>
      </w:r>
      <w:proofErr w:type="spellStart"/>
      <w:r w:rsidR="000D6A2D" w:rsidRPr="000D6A2D">
        <w:t>Boselie</w:t>
      </w:r>
      <w:proofErr w:type="spellEnd"/>
      <w:r w:rsidR="000D6A2D" w:rsidRPr="000D6A2D">
        <w:t xml:space="preserve">, Van </w:t>
      </w:r>
      <w:proofErr w:type="spellStart"/>
      <w:r w:rsidR="000D6A2D" w:rsidRPr="000D6A2D">
        <w:t>Harten</w:t>
      </w:r>
      <w:proofErr w:type="spellEnd"/>
      <w:r w:rsidR="000D6A2D" w:rsidRPr="000D6A2D">
        <w:t xml:space="preserve"> &amp; Veld, 2021)</w:t>
      </w:r>
      <w:r>
        <w:t>.</w:t>
      </w:r>
    </w:p>
    <w:p w14:paraId="79DA8242" w14:textId="77777777" w:rsidR="005A5614" w:rsidRDefault="005A5614" w:rsidP="005A5614"/>
    <w:p w14:paraId="4EC42825" w14:textId="6E24048B" w:rsidR="005A5614" w:rsidRDefault="005A5614" w:rsidP="005A5614">
      <w:r>
        <w:t>The second major factor in the success of an HR strategy is the nature of the company's culture. By "organizational culture," we mean the established standards of conduct and thought that characterize a certain field or industry</w:t>
      </w:r>
      <w:r w:rsidR="00BE24D3">
        <w:t xml:space="preserve"> </w:t>
      </w:r>
      <w:r w:rsidR="00BE24D3" w:rsidRPr="00BE24D3">
        <w:t>(Mousa &amp; Othman, 2020)</w:t>
      </w:r>
      <w:r>
        <w:t>. The organization's HR practices should reflect and support its ideal culture. Human resource strategies should emphasize techniques like employee empowerment, cross-functional cooperation, and continual learning if the industry places a premium on innovation and collaboration. Consider how effectively the HR strategy supports the intended culture in the industry as a whole to evaluate its efficacy</w:t>
      </w:r>
      <w:r w:rsidR="00AD3C7E">
        <w:t xml:space="preserve"> </w:t>
      </w:r>
      <w:r w:rsidR="00AD3C7E" w:rsidRPr="00AD3C7E">
        <w:t>(</w:t>
      </w:r>
      <w:proofErr w:type="spellStart"/>
      <w:r w:rsidR="00AD3C7E" w:rsidRPr="00AD3C7E">
        <w:t>Boselie</w:t>
      </w:r>
      <w:proofErr w:type="spellEnd"/>
      <w:r w:rsidR="00AD3C7E" w:rsidRPr="00AD3C7E">
        <w:t xml:space="preserve">, Van </w:t>
      </w:r>
      <w:proofErr w:type="spellStart"/>
      <w:r w:rsidR="00AD3C7E" w:rsidRPr="00AD3C7E">
        <w:t>Harten</w:t>
      </w:r>
      <w:proofErr w:type="spellEnd"/>
      <w:r w:rsidR="00AD3C7E" w:rsidRPr="00AD3C7E">
        <w:t xml:space="preserve"> &amp; Veld, 2021)</w:t>
      </w:r>
      <w:r>
        <w:t>.</w:t>
      </w:r>
    </w:p>
    <w:p w14:paraId="5644EB2E" w14:textId="77777777" w:rsidR="005A5614" w:rsidRDefault="005A5614" w:rsidP="005A5614"/>
    <w:p w14:paraId="2CFF3873" w14:textId="5CA80C0F" w:rsidR="005A5614" w:rsidRDefault="005A5614" w:rsidP="005A5614">
      <w:r>
        <w:t>In addition, HR effectiveness is heavily dependent on how well HR strategy is aligned with the broader company strategy. To maximize the impact of human capital on organizational achievement, HR strategy should be aligned with the sector's overall strategic goals. Human resource strategy, for instance, should prioritize talent acquisition, development, and retention to back up growth efforts if a sector plans to increase its market share. HR effectiveness is determined by how well human capital practices are aligned with the business strategy of the sector, making it possible for strategic objectives to be met</w:t>
      </w:r>
      <w:r w:rsidR="009172E9">
        <w:t xml:space="preserve"> </w:t>
      </w:r>
      <w:r w:rsidR="009172E9" w:rsidRPr="009172E9">
        <w:t>(</w:t>
      </w:r>
      <w:proofErr w:type="spellStart"/>
      <w:r w:rsidR="009172E9" w:rsidRPr="009172E9">
        <w:t>Blom</w:t>
      </w:r>
      <w:proofErr w:type="spellEnd"/>
      <w:r w:rsidR="009172E9" w:rsidRPr="009172E9">
        <w:t xml:space="preserve"> et al., 2020)</w:t>
      </w:r>
      <w:r>
        <w:t>.</w:t>
      </w:r>
    </w:p>
    <w:p w14:paraId="56256D77" w14:textId="77777777" w:rsidR="005A5614" w:rsidRDefault="005A5614" w:rsidP="005A5614"/>
    <w:p w14:paraId="74E55853" w14:textId="29EFA9E9" w:rsidR="005A5614" w:rsidRDefault="005A5614" w:rsidP="005A5614">
      <w:r>
        <w:t xml:space="preserve">HR strategy's efficacy is also affected by resources' availability and use. Effective human resource practices can only be implemented and maintained with the help of sufficient resources, such as </w:t>
      </w:r>
      <w:r>
        <w:lastRenderedPageBreak/>
        <w:t>money, technology, and knowledgeable HR specialists. Human resources projects require backing from sector leaders who can provide the funding to see them through. It is also important to make good use of available resources. To get the most out of investments in people and HR programs, your HR strategy should prioritize resource optimization. Human resource strategy evaluation requires looking at how well allocated and used resources produce desired outcomes</w:t>
      </w:r>
      <w:r w:rsidR="00A443C1">
        <w:t xml:space="preserve"> </w:t>
      </w:r>
      <w:r w:rsidR="00A443C1" w:rsidRPr="00A443C1">
        <w:t>(</w:t>
      </w:r>
      <w:proofErr w:type="spellStart"/>
      <w:r w:rsidR="00A443C1" w:rsidRPr="00A443C1">
        <w:t>Blom</w:t>
      </w:r>
      <w:proofErr w:type="spellEnd"/>
      <w:r w:rsidR="00A443C1" w:rsidRPr="00A443C1">
        <w:t xml:space="preserve"> et al., 2020)</w:t>
      </w:r>
      <w:r>
        <w:t>.</w:t>
      </w:r>
    </w:p>
    <w:p w14:paraId="1D7A7026" w14:textId="77777777" w:rsidR="005A5614" w:rsidRDefault="005A5614" w:rsidP="005A5614"/>
    <w:p w14:paraId="7D2D2F5A" w14:textId="128D9155" w:rsidR="005A5614" w:rsidRDefault="005A5614" w:rsidP="005A5614">
      <w:r>
        <w:t>The success of an HR strategy may also be gauged by measuring and analyzing key performance indicators (KPIs). Key performance indicators (KPIs) are measurable measurements that show how effective HR efforts are. The goals and priorities of a sector should guide the selection of relevant KPIs. Key performance indicators in human resources may include things like departure rates, employee engagement ratings, training efficacy, vacancy fill rates, and diversity and inclusion measurements. The effectiveness of an organization's human resources strategy may be evaluated by tracking and evaluating key performance indicators (KPIs) in this area</w:t>
      </w:r>
      <w:r w:rsidR="00A443C1">
        <w:t xml:space="preserve"> </w:t>
      </w:r>
      <w:r w:rsidR="00A443C1" w:rsidRPr="00A443C1">
        <w:t>(</w:t>
      </w:r>
      <w:proofErr w:type="spellStart"/>
      <w:r w:rsidR="00A443C1" w:rsidRPr="00A443C1">
        <w:t>Qader</w:t>
      </w:r>
      <w:proofErr w:type="spellEnd"/>
      <w:r w:rsidR="00A443C1" w:rsidRPr="00A443C1">
        <w:t xml:space="preserve"> et al., 2021)</w:t>
      </w:r>
      <w:r>
        <w:t>.</w:t>
      </w:r>
    </w:p>
    <w:p w14:paraId="497E8FD3" w14:textId="77777777" w:rsidR="005A5614" w:rsidRDefault="005A5614" w:rsidP="005A5614"/>
    <w:p w14:paraId="17605C82" w14:textId="00483441" w:rsidR="005A5614" w:rsidRDefault="005A5614" w:rsidP="005A5614">
      <w:r>
        <w:t>How well an HR strategy works depends on a number of factors, including the sector's goals and objectives, the culture of the company, how well the HR strategy aligns with the business plan, the accessibility and usage of relevant resources, and the monitoring of key performance metrics. Leaders in the sector and HR experts alike should use these criteria to evaluate the effectiveness of HR programs. Organizations may improve their overall performance and achieve sustained success by constantly reviewing and adjusting HR practices to match the demands of various industries</w:t>
      </w:r>
      <w:r w:rsidR="00543C7C">
        <w:t xml:space="preserve"> </w:t>
      </w:r>
      <w:r w:rsidR="00543C7C" w:rsidRPr="00543C7C">
        <w:t>(</w:t>
      </w:r>
      <w:proofErr w:type="spellStart"/>
      <w:r w:rsidR="00543C7C" w:rsidRPr="00543C7C">
        <w:t>Kravariti</w:t>
      </w:r>
      <w:proofErr w:type="spellEnd"/>
      <w:r w:rsidR="00543C7C" w:rsidRPr="00543C7C">
        <w:t xml:space="preserve"> &amp; Johnston, 2020)</w:t>
      </w:r>
      <w:r>
        <w:t>.</w:t>
      </w:r>
    </w:p>
    <w:p w14:paraId="70B37886" w14:textId="3F200BC4" w:rsidR="00FA45EA" w:rsidRDefault="00FA45EA" w:rsidP="00844FA9">
      <w:pPr>
        <w:pStyle w:val="Heading1"/>
      </w:pPr>
      <w:bookmarkStart w:id="4" w:name="_Toc138025003"/>
      <w:r>
        <w:lastRenderedPageBreak/>
        <w:t>How can HR develop employees to achieve strategy goals?</w:t>
      </w:r>
      <w:bookmarkEnd w:id="4"/>
    </w:p>
    <w:p w14:paraId="6376577D" w14:textId="38DB391F" w:rsidR="00D34EC5" w:rsidRDefault="00D34EC5" w:rsidP="00D34EC5">
      <w:r>
        <w:t>Human resources plays a crucial part in developing successful strategies and efforts to develop personnel and allow them to reach strategy objectives. Here are some methods HR may use to help employees grow and improve their skills in ways that support the company's overall goals</w:t>
      </w:r>
      <w:r w:rsidR="006E2902">
        <w:t xml:space="preserve"> </w:t>
      </w:r>
      <w:r w:rsidR="006E2902" w:rsidRPr="006E2902">
        <w:t xml:space="preserve">(Carnevale &amp; </w:t>
      </w:r>
      <w:proofErr w:type="spellStart"/>
      <w:r w:rsidR="006E2902" w:rsidRPr="006E2902">
        <w:t>Hatak</w:t>
      </w:r>
      <w:proofErr w:type="spellEnd"/>
      <w:r w:rsidR="006E2902" w:rsidRPr="006E2902">
        <w:t>, 2020)</w:t>
      </w:r>
      <w:r>
        <w:t>.</w:t>
      </w:r>
      <w:r w:rsidR="006E2902">
        <w:t xml:space="preserve"> </w:t>
      </w:r>
      <w:r>
        <w:t>Human resources may help workers grow professionally by creating and delivering training and development programs that expand their knowledge, abilities, and experience. Mentoring and coaching activities are further examples of what may fall under this category. Human resources can assist workers gain the knowledge and abilities they'll need to implement the company's plan if they have a clear picture of what those talents and competences are</w:t>
      </w:r>
      <w:r w:rsidR="0032400F">
        <w:t xml:space="preserve"> </w:t>
      </w:r>
      <w:r w:rsidR="0032400F" w:rsidRPr="0032400F">
        <w:t xml:space="preserve">(Carnevale &amp; </w:t>
      </w:r>
      <w:proofErr w:type="spellStart"/>
      <w:r w:rsidR="0032400F" w:rsidRPr="0032400F">
        <w:t>Hatak</w:t>
      </w:r>
      <w:proofErr w:type="spellEnd"/>
      <w:r w:rsidR="0032400F" w:rsidRPr="0032400F">
        <w:t>, 2020)</w:t>
      </w:r>
      <w:r>
        <w:t>.</w:t>
      </w:r>
      <w:r w:rsidR="0032400F">
        <w:t xml:space="preserve"> </w:t>
      </w:r>
      <w:r>
        <w:t>Human resources should set up a reliable performance management system that regularly assesses employees and delivers constructive criticism. It's important to set high standards for performance and check in often to see how things are going. Human resources drives workers to match their efforts with strategic objectives by offering feedback and acknowledging their successes</w:t>
      </w:r>
      <w:r w:rsidR="00C345F2">
        <w:t xml:space="preserve"> </w:t>
      </w:r>
      <w:r w:rsidR="00C345F2" w:rsidRPr="00C345F2">
        <w:t>(</w:t>
      </w:r>
      <w:proofErr w:type="spellStart"/>
      <w:r w:rsidR="00C345F2" w:rsidRPr="00C345F2">
        <w:t>Kravariti</w:t>
      </w:r>
      <w:proofErr w:type="spellEnd"/>
      <w:r w:rsidR="00C345F2" w:rsidRPr="00C345F2">
        <w:t xml:space="preserve"> &amp; Johnston, 2020)</w:t>
      </w:r>
      <w:r>
        <w:t>.</w:t>
      </w:r>
    </w:p>
    <w:p w14:paraId="4E074FF1" w14:textId="77777777" w:rsidR="00D34EC5" w:rsidRDefault="00D34EC5" w:rsidP="00D34EC5"/>
    <w:p w14:paraId="0992C238" w14:textId="2A2C0597" w:rsidR="00D34EC5" w:rsidRDefault="00D34EC5" w:rsidP="00D34EC5">
      <w:r>
        <w:t>Human resources may use succession planning programs to find and prepare future leaders from within their ranks. Human resources can guarantee a steady supply of qualified candidates for top jobs by conducting in-depth evaluations of each worker and designing individualized programs for their professional growth. This method guarantees the long-term viability of the company by training workers to contribute to the present strategy's aims</w:t>
      </w:r>
      <w:r w:rsidR="00C345F2">
        <w:t xml:space="preserve"> </w:t>
      </w:r>
      <w:r w:rsidR="00C345F2" w:rsidRPr="00C345F2">
        <w:t>(</w:t>
      </w:r>
      <w:proofErr w:type="spellStart"/>
      <w:r w:rsidR="00C345F2" w:rsidRPr="00C345F2">
        <w:t>Kravariti</w:t>
      </w:r>
      <w:proofErr w:type="spellEnd"/>
      <w:r w:rsidR="00C345F2" w:rsidRPr="00C345F2">
        <w:t xml:space="preserve"> &amp; Johnston, 2020)</w:t>
      </w:r>
      <w:r>
        <w:t>.</w:t>
      </w:r>
    </w:p>
    <w:p w14:paraId="5E31A6DF" w14:textId="77777777" w:rsidR="00D34EC5" w:rsidRDefault="00D34EC5" w:rsidP="00D34EC5"/>
    <w:p w14:paraId="31DBB29F" w14:textId="6A50176B" w:rsidR="00D34EC5" w:rsidRDefault="00D34EC5" w:rsidP="00D34EC5">
      <w:r>
        <w:t xml:space="preserve">HR may create incentive and reward systems that are geared toward achieving strategic objectives. Human resources encourages workers to work hard and contribute to the company's success by </w:t>
      </w:r>
      <w:r>
        <w:lastRenderedPageBreak/>
        <w:t>associating benefits like bonuses, promotions, and recognition with reaching predetermined goals. For these initiatives to have the intended effect on participant behavior and results, they must be open, impartial, and uniformly administered</w:t>
      </w:r>
      <w:r w:rsidR="00C4251A">
        <w:t xml:space="preserve"> </w:t>
      </w:r>
      <w:r w:rsidR="00C4251A" w:rsidRPr="00C4251A">
        <w:t>(</w:t>
      </w:r>
      <w:proofErr w:type="spellStart"/>
      <w:r w:rsidR="00C4251A" w:rsidRPr="00C4251A">
        <w:t>Kravariti</w:t>
      </w:r>
      <w:proofErr w:type="spellEnd"/>
      <w:r w:rsidR="00C4251A" w:rsidRPr="00C4251A">
        <w:t xml:space="preserve"> &amp; Johnston, 2020)</w:t>
      </w:r>
      <w:r>
        <w:t>.</w:t>
      </w:r>
    </w:p>
    <w:p w14:paraId="54605008" w14:textId="77777777" w:rsidR="00D34EC5" w:rsidRDefault="00D34EC5" w:rsidP="00D34EC5"/>
    <w:p w14:paraId="0DEB2DAF" w14:textId="4D574137" w:rsidR="00D34EC5" w:rsidRDefault="00D34EC5" w:rsidP="00D34EC5">
      <w:r>
        <w:t>Human Resources has the ability to give workers with career development opportunities that are in line with the business's overall goals. Employees' knowledge and experience may be enriched via work rotations, cross-departmental efforts, and specialized tasks. HR ensures a diversified and qualified workforce to accomplish shifting business objectives by promoting internal career advancement and mobility</w:t>
      </w:r>
      <w:r w:rsidR="00F60AE3">
        <w:t xml:space="preserve"> </w:t>
      </w:r>
      <w:r w:rsidR="00F60AE3" w:rsidRPr="00F60AE3">
        <w:t>(</w:t>
      </w:r>
      <w:proofErr w:type="spellStart"/>
      <w:r w:rsidR="00F60AE3" w:rsidRPr="00F60AE3">
        <w:t>Brunetto</w:t>
      </w:r>
      <w:proofErr w:type="spellEnd"/>
      <w:r w:rsidR="00F60AE3" w:rsidRPr="00F60AE3">
        <w:t xml:space="preserve"> &amp; Beattie, 2020)</w:t>
      </w:r>
      <w:r>
        <w:t>.</w:t>
      </w:r>
    </w:p>
    <w:p w14:paraId="12443FD6" w14:textId="77777777" w:rsidR="00D34EC5" w:rsidRDefault="00D34EC5" w:rsidP="00D34EC5"/>
    <w:p w14:paraId="5F519D21" w14:textId="20FF6161" w:rsidR="00D34EC5" w:rsidRDefault="00D34EC5" w:rsidP="00D34EC5">
      <w:r>
        <w:t>By encouraging workers to explore professional development opportunities, attend industry conferences, and participate in collaborative learning projects, HR can foster a culture of continual learning and information sharing. Human resources helps workers to learn new skills in line with the company's goal via the provision of learning tools, the development of communities of practice, and the implementation of knowledge-sharing platforms</w:t>
      </w:r>
      <w:r w:rsidR="00C21D24">
        <w:t xml:space="preserve"> </w:t>
      </w:r>
      <w:r w:rsidR="00C21D24" w:rsidRPr="00C21D24">
        <w:t xml:space="preserve">(Malik &amp; </w:t>
      </w:r>
      <w:proofErr w:type="spellStart"/>
      <w:r w:rsidR="00C21D24" w:rsidRPr="00C21D24">
        <w:t>Lenka</w:t>
      </w:r>
      <w:proofErr w:type="spellEnd"/>
      <w:r w:rsidR="00C21D24" w:rsidRPr="00C21D24">
        <w:t>, 2020)</w:t>
      </w:r>
      <w:r>
        <w:t>.</w:t>
      </w:r>
    </w:p>
    <w:p w14:paraId="5905D128" w14:textId="77777777" w:rsidR="00D34EC5" w:rsidRDefault="00D34EC5" w:rsidP="00D34EC5"/>
    <w:p w14:paraId="4F35C106" w14:textId="592B7422" w:rsidR="00D34EC5" w:rsidRDefault="00D34EC5" w:rsidP="00D34EC5">
      <w:r>
        <w:t>Human resources plays a critical role in encouraging employee participation and easing cross-departmental communication. HR may learn how their staff members feel by conducting surveys, holding focus groups, or establishing other feedback channels. Employees who get this kind of input are more likely to feel appreciated, heard, and committed to the success of the company's overall plan</w:t>
      </w:r>
      <w:r w:rsidR="00B63514">
        <w:t xml:space="preserve"> </w:t>
      </w:r>
      <w:r w:rsidR="00B63514" w:rsidRPr="00B63514">
        <w:t xml:space="preserve">(Malik &amp; </w:t>
      </w:r>
      <w:proofErr w:type="spellStart"/>
      <w:r w:rsidR="00B63514" w:rsidRPr="00B63514">
        <w:t>Lenka</w:t>
      </w:r>
      <w:proofErr w:type="spellEnd"/>
      <w:r w:rsidR="00B63514" w:rsidRPr="00B63514">
        <w:t>, 2020)</w:t>
      </w:r>
      <w:r>
        <w:t>.</w:t>
      </w:r>
    </w:p>
    <w:p w14:paraId="5C3AE6AF" w14:textId="77777777" w:rsidR="00D34EC5" w:rsidRDefault="00D34EC5" w:rsidP="00D34EC5"/>
    <w:p w14:paraId="3092DEDB" w14:textId="42EB52DB" w:rsidR="00D34EC5" w:rsidRDefault="00D34EC5" w:rsidP="00D34EC5">
      <w:r>
        <w:t xml:space="preserve">Human resources should assist workers adapt to change by stocking them with materials, opening </w:t>
      </w:r>
      <w:r>
        <w:lastRenderedPageBreak/>
        <w:t>lines of communication, and giving relevant training. Human resources helps ensure that new ideas and initiatives are accepted and implemented successfully by cultivating a culture of flexibility and resiliency among workers</w:t>
      </w:r>
      <w:r w:rsidR="00512A45">
        <w:t xml:space="preserve"> </w:t>
      </w:r>
      <w:r w:rsidR="00512A45" w:rsidRPr="00512A45">
        <w:t>(</w:t>
      </w:r>
      <w:proofErr w:type="spellStart"/>
      <w:r w:rsidR="00512A45" w:rsidRPr="00512A45">
        <w:t>Asongu</w:t>
      </w:r>
      <w:proofErr w:type="spellEnd"/>
      <w:r w:rsidR="00512A45" w:rsidRPr="00512A45">
        <w:t xml:space="preserve"> &amp; Rahman, 2022)</w:t>
      </w:r>
      <w:r>
        <w:t>.</w:t>
      </w:r>
      <w:r w:rsidR="005C2603">
        <w:t xml:space="preserve"> </w:t>
      </w:r>
      <w:r>
        <w:t>Employees can be developed through HR initiatives such as training and development programs, performance management systems, succession planning, incentive and reward design, career advancement opportunities, fostering continuous learning, facilitating employee engagement and communication, and supporting change management initiatives. HR contributes to the organization's performance and produces a motivated, talented, and flexible staff by investing in employee development and matching employee skills with strategic goals</w:t>
      </w:r>
      <w:r w:rsidR="00F0275B">
        <w:t xml:space="preserve"> </w:t>
      </w:r>
      <w:r w:rsidR="00F0275B" w:rsidRPr="00F0275B">
        <w:t xml:space="preserve">(Malik &amp; </w:t>
      </w:r>
      <w:proofErr w:type="spellStart"/>
      <w:r w:rsidR="00F0275B" w:rsidRPr="00F0275B">
        <w:t>Lenka</w:t>
      </w:r>
      <w:proofErr w:type="spellEnd"/>
      <w:r w:rsidR="00F0275B" w:rsidRPr="00F0275B">
        <w:t>, 2020)</w:t>
      </w:r>
      <w:r>
        <w:t>.</w:t>
      </w:r>
    </w:p>
    <w:p w14:paraId="5C788662" w14:textId="4577B941" w:rsidR="00FA45EA" w:rsidRDefault="00FA45EA" w:rsidP="00754D4B">
      <w:pPr>
        <w:pStyle w:val="Heading1"/>
      </w:pPr>
      <w:bookmarkStart w:id="5" w:name="_Toc138025004"/>
      <w:r>
        <w:t>What organizational climate factors affect the effectiveness of HR strategy?</w:t>
      </w:r>
      <w:bookmarkEnd w:id="5"/>
    </w:p>
    <w:p w14:paraId="7A87E840" w14:textId="77777777" w:rsidR="005C3BB3" w:rsidRDefault="005C3BB3" w:rsidP="005C3BB3">
      <w:r>
        <w:t>Employees' actions and attitudes in the workplace are heavily influenced by the prevalent attitudes, behaviors, and values of the corporation as a whole. The success of an HR strategy may be affected by a number of variables related to the environment of the firm. Human resource professionals must recognize and solve these challenges if they are to develop and execute strategies that support organizational objectives and motivate employees. Some important aspects of the work environment that might make or break an HR strategy are as follows:</w:t>
      </w:r>
    </w:p>
    <w:p w14:paraId="70836DD5" w14:textId="05C8A4C8" w:rsidR="005C3BB3" w:rsidRDefault="005C3BB3" w:rsidP="005C3BB3">
      <w:r>
        <w:t>Organizational leaders' endorsement and agreement with the HR strategy is essential to the plan's success. Leaders create an environment that supports involvement and engagement among employees when they advocate for HR initiatives, give resources, and show commitment to the strategy's objectives. On the other side, HR methods may not be as successful in practice if they do not have the backing of upper management</w:t>
      </w:r>
      <w:r w:rsidR="00CE1FF2">
        <w:t xml:space="preserve"> </w:t>
      </w:r>
      <w:r w:rsidR="00CE1FF2" w:rsidRPr="00CE1FF2">
        <w:t>(</w:t>
      </w:r>
      <w:proofErr w:type="spellStart"/>
      <w:r w:rsidR="00CE1FF2" w:rsidRPr="00CE1FF2">
        <w:t>Boselie</w:t>
      </w:r>
      <w:proofErr w:type="spellEnd"/>
      <w:r w:rsidR="00CE1FF2" w:rsidRPr="00CE1FF2">
        <w:t xml:space="preserve">, Van </w:t>
      </w:r>
      <w:proofErr w:type="spellStart"/>
      <w:r w:rsidR="00CE1FF2" w:rsidRPr="00CE1FF2">
        <w:t>Harten</w:t>
      </w:r>
      <w:proofErr w:type="spellEnd"/>
      <w:r w:rsidR="00CE1FF2" w:rsidRPr="00CE1FF2">
        <w:t xml:space="preserve"> &amp; Veld, 2021)</w:t>
      </w:r>
      <w:r>
        <w:t>.</w:t>
      </w:r>
    </w:p>
    <w:p w14:paraId="7D19772A" w14:textId="77777777" w:rsidR="005C3BB3" w:rsidRDefault="005C3BB3" w:rsidP="005C3BB3"/>
    <w:p w14:paraId="54FD90F3" w14:textId="4C400EBE" w:rsidR="005C3BB3" w:rsidRDefault="005C3BB3" w:rsidP="005C3BB3">
      <w:r>
        <w:t xml:space="preserve">Successful HR strategy execution is facilitated by an environment that encourages open and </w:t>
      </w:r>
      <w:r>
        <w:lastRenderedPageBreak/>
        <w:t>effective communication. Trust and enthusiasm grow when workers are free to share their thoughts and opinions. To ensure that workers comprehend the reasoning behind HR efforts and feel valued as stakeholders, HR may set up communication channels that promote two-way interaction, openness, and information exchange</w:t>
      </w:r>
      <w:r w:rsidR="00C642C7">
        <w:t xml:space="preserve"> </w:t>
      </w:r>
      <w:r w:rsidR="00C642C7" w:rsidRPr="00C642C7">
        <w:t>(</w:t>
      </w:r>
      <w:proofErr w:type="spellStart"/>
      <w:r w:rsidR="00C642C7" w:rsidRPr="00C642C7">
        <w:t>Blom</w:t>
      </w:r>
      <w:proofErr w:type="spellEnd"/>
      <w:r w:rsidR="00C642C7" w:rsidRPr="00C642C7">
        <w:t xml:space="preserve"> et al., 2020)</w:t>
      </w:r>
      <w:r>
        <w:t>.</w:t>
      </w:r>
    </w:p>
    <w:p w14:paraId="1EAE9C83" w14:textId="77777777" w:rsidR="005C3BB3" w:rsidRDefault="005C3BB3" w:rsidP="005C3BB3"/>
    <w:p w14:paraId="2BB70616" w14:textId="3A2EC94D" w:rsidR="005C3BB3" w:rsidRDefault="005C3BB3" w:rsidP="005C3BB3">
      <w:r>
        <w:t>Employee Trust and Engagement: These two variables are crucial to the success of any HR strategy. Employees are more inclined to support HR efforts and the organization's objectives if they have faith in the HR department and think their best interests are being recognized. Human resources may earn workers' confidence by treating their information as secret, making decisions in a fair manner, and inviting staff input</w:t>
      </w:r>
      <w:r w:rsidR="00343ABE">
        <w:t xml:space="preserve"> </w:t>
      </w:r>
      <w:r w:rsidR="00343ABE" w:rsidRPr="00343ABE">
        <w:t>(</w:t>
      </w:r>
      <w:proofErr w:type="spellStart"/>
      <w:r w:rsidR="00343ABE" w:rsidRPr="00343ABE">
        <w:t>Blom</w:t>
      </w:r>
      <w:proofErr w:type="spellEnd"/>
      <w:r w:rsidR="00343ABE" w:rsidRPr="00343ABE">
        <w:t xml:space="preserve"> et al., 2020)</w:t>
      </w:r>
      <w:r>
        <w:t>.</w:t>
      </w:r>
    </w:p>
    <w:p w14:paraId="2771522F" w14:textId="77777777" w:rsidR="005C3BB3" w:rsidRDefault="005C3BB3" w:rsidP="005C3BB3"/>
    <w:p w14:paraId="416AA6E5" w14:textId="0CED39F3" w:rsidR="005C3BB3" w:rsidRDefault="005C3BB3" w:rsidP="005C3BB3">
      <w:r>
        <w:t>The culture and values of the company have a major impact on how successful the HR strategy is. Human resource efforts have a better chance of succeeding when the company culture encourages creativity, teamwork, and growth. Human resources should make sure HR practices encourage a healthy culture that helps employees develop and do their best work</w:t>
      </w:r>
      <w:r w:rsidR="00F30F59">
        <w:t xml:space="preserve"> </w:t>
      </w:r>
      <w:r w:rsidR="00F30F59" w:rsidRPr="00F30F59">
        <w:t>(</w:t>
      </w:r>
      <w:proofErr w:type="spellStart"/>
      <w:r w:rsidR="00F30F59" w:rsidRPr="00F30F59">
        <w:t>Blom</w:t>
      </w:r>
      <w:proofErr w:type="spellEnd"/>
      <w:r w:rsidR="00F30F59" w:rsidRPr="00F30F59">
        <w:t xml:space="preserve"> et al., 2020)</w:t>
      </w:r>
      <w:r>
        <w:t>.</w:t>
      </w:r>
    </w:p>
    <w:p w14:paraId="33918685" w14:textId="77777777" w:rsidR="005C3BB3" w:rsidRDefault="005C3BB3" w:rsidP="005C3BB3"/>
    <w:p w14:paraId="70E2624C" w14:textId="3508D7F2" w:rsidR="005C3BB3" w:rsidRDefault="005C3BB3" w:rsidP="005C3BB3">
      <w:r>
        <w:t>Recognizing and rewarding employees is a crucial part of creating a positive work environment, which in turn affects the success of HR initiatives. Employees are more likely to be motivated and involved in accomplishing strategy objectives when they believe their efforts are respected and appreciated. Human resources may develop reward and recognition schemes that are timely, equitable, and in line with the business's goals</w:t>
      </w:r>
      <w:r w:rsidR="0016689F">
        <w:t xml:space="preserve"> </w:t>
      </w:r>
      <w:r w:rsidR="0016689F" w:rsidRPr="0016689F">
        <w:t>(</w:t>
      </w:r>
      <w:proofErr w:type="spellStart"/>
      <w:r w:rsidR="0016689F" w:rsidRPr="0016689F">
        <w:t>Qader</w:t>
      </w:r>
      <w:proofErr w:type="spellEnd"/>
      <w:r w:rsidR="0016689F" w:rsidRPr="0016689F">
        <w:t xml:space="preserve"> et al., 2021)</w:t>
      </w:r>
      <w:r>
        <w:t>.</w:t>
      </w:r>
    </w:p>
    <w:p w14:paraId="37E1F07A" w14:textId="77777777" w:rsidR="005C3BB3" w:rsidRDefault="005C3BB3" w:rsidP="005C3BB3"/>
    <w:p w14:paraId="71D33D54" w14:textId="31B31A35" w:rsidR="005C3BB3" w:rsidRDefault="005C3BB3" w:rsidP="005C3BB3">
      <w:r>
        <w:t xml:space="preserve">Human resource strategies are more successful when they provide an environment that allows for </w:t>
      </w:r>
      <w:r>
        <w:lastRenderedPageBreak/>
        <w:t>employees to maintain a healthy work-life balance. Increased job satisfaction, productivity, and employee retention are the results of allowing workers to maintain a healthy work-life balance. Flexible work schedules, health programs, and assistance with personal needs and obligations are all examples of HR policies and programs that may help workers achieve a better work-life balance</w:t>
      </w:r>
      <w:r w:rsidR="00B52CBE">
        <w:t xml:space="preserve"> </w:t>
      </w:r>
      <w:r w:rsidR="00B52CBE" w:rsidRPr="00B52CBE">
        <w:t>(De Leon, 2020)</w:t>
      </w:r>
      <w:r>
        <w:t>.</w:t>
      </w:r>
    </w:p>
    <w:p w14:paraId="4FE4A485" w14:textId="77777777" w:rsidR="005C3BB3" w:rsidRDefault="005C3BB3" w:rsidP="005C3BB3"/>
    <w:p w14:paraId="11885677" w14:textId="06E7E1AC" w:rsidR="005C3BB3" w:rsidRDefault="005C3BB3" w:rsidP="005C3BB3">
      <w:r>
        <w:t>The success of an HR strategy is affected by the structure and decision-making processes inside a business. Human resources activities at different organizational levels may be supported by a decentralized structure that permits autonomy and empowerment. Including workers in HR strategy decision-making also increases their investment in the company's success</w:t>
      </w:r>
      <w:r w:rsidR="00C57E8D">
        <w:t xml:space="preserve"> </w:t>
      </w:r>
      <w:r w:rsidR="00C57E8D" w:rsidRPr="00C57E8D">
        <w:t>(</w:t>
      </w:r>
      <w:proofErr w:type="spellStart"/>
      <w:r w:rsidR="00C57E8D" w:rsidRPr="00C57E8D">
        <w:t>Onsardi</w:t>
      </w:r>
      <w:proofErr w:type="spellEnd"/>
      <w:r w:rsidR="00C57E8D" w:rsidRPr="00C57E8D">
        <w:t xml:space="preserve"> et al., 2021)</w:t>
      </w:r>
      <w:r>
        <w:t>.</w:t>
      </w:r>
    </w:p>
    <w:p w14:paraId="102678F9" w14:textId="547E14D9" w:rsidR="005C3BB3" w:rsidRDefault="005C3BB3" w:rsidP="005C3BB3">
      <w:r>
        <w:t>Organizational Readiness and Adaptability to Change: The success of HR strategy is affected by how well an organization is prepared for and able to respond to change. Human resource efforts are most successful in a company if the culture welcomes change, promotes innovation, and fosters employee growth. Human resources should evaluate the company's openness to change and devise plans to overcome objections and ensure a seamless transition</w:t>
      </w:r>
      <w:r w:rsidR="00EE2D55">
        <w:t xml:space="preserve"> </w:t>
      </w:r>
      <w:r w:rsidR="00EE2D55" w:rsidRPr="00EE2D55">
        <w:t>(</w:t>
      </w:r>
      <w:proofErr w:type="spellStart"/>
      <w:r w:rsidR="00EE2D55" w:rsidRPr="00EE2D55">
        <w:t>Onsardi</w:t>
      </w:r>
      <w:proofErr w:type="spellEnd"/>
      <w:r w:rsidR="00EE2D55" w:rsidRPr="00EE2D55">
        <w:t xml:space="preserve"> et al., 2021)</w:t>
      </w:r>
      <w:r>
        <w:t>.</w:t>
      </w:r>
      <w:r w:rsidR="00EE2D55">
        <w:t xml:space="preserve"> </w:t>
      </w:r>
      <w:r>
        <w:t>HR strategy's success is affected by the organization's environment in a number of ways. Critical factors that HR professionals need to consider when designing and implementing HR strategies include leadership support and alignment, honest communication, employee trust and engagement, organizational culture and values, employee recognition and rewards, flexibility and work-life balance, organizational structure and decision-making, and a willingness to and ability to adapt to change. Human resources may improve the performance of HR projects and the business as a whole by paying attention to these areas</w:t>
      </w:r>
      <w:r w:rsidR="009E4D6E">
        <w:t xml:space="preserve"> </w:t>
      </w:r>
      <w:r w:rsidR="009E4D6E" w:rsidRPr="009E4D6E">
        <w:t xml:space="preserve">(Al </w:t>
      </w:r>
      <w:proofErr w:type="spellStart"/>
      <w:r w:rsidR="009E4D6E" w:rsidRPr="009E4D6E">
        <w:t>Jawali</w:t>
      </w:r>
      <w:proofErr w:type="spellEnd"/>
      <w:r w:rsidR="009E4D6E" w:rsidRPr="009E4D6E">
        <w:t xml:space="preserve"> et al., 2022)</w:t>
      </w:r>
      <w:r>
        <w:t>.</w:t>
      </w:r>
    </w:p>
    <w:p w14:paraId="3FAD218A" w14:textId="74460326" w:rsidR="00FA45EA" w:rsidRDefault="00FA45EA" w:rsidP="00BF4804">
      <w:pPr>
        <w:pStyle w:val="Heading1"/>
      </w:pPr>
      <w:bookmarkStart w:id="6" w:name="_Toc138025005"/>
      <w:r>
        <w:lastRenderedPageBreak/>
        <w:t>Conclusion</w:t>
      </w:r>
      <w:bookmarkEnd w:id="6"/>
    </w:p>
    <w:p w14:paraId="1E5A6505" w14:textId="2D8C053A" w:rsidR="00C80F35" w:rsidRDefault="00C80F35" w:rsidP="00C80F35">
      <w:r>
        <w:t>In conclusion, a solid human resources strategy is fundamental to the development and expansion of businesses and government agencies alike. This article has discussed how human resources (HR) differs between the private and public sectors, how the sector affects the efficacy of HR strategy, how HR may help workers grow so that they can better carry out the plan, and how organizational climate elements can have an impact on the success of HR strategy. Human resources in the private sector often functions in a highly competitive market setting, with an emphasis on profit-driven objectives. In contrast, public sector HR is tasked with furthering the public good and meeting legal requirements. The objectives, difficulties, and approaches used by human resources experts in various industries vary because of these distinctions. Legal and regulatory restrictions, financial limitations, political and stakeholder expectations, and other sector-specific elements all influence the efficacy of HR strategy. Human resource professionals need an understanding of these aspects in order to craft strategies that cater to the specific requirements and goals of their industry</w:t>
      </w:r>
      <w:r w:rsidR="00807FB1">
        <w:t xml:space="preserve"> </w:t>
      </w:r>
      <w:r w:rsidR="00807FB1" w:rsidRPr="00807FB1">
        <w:t>(</w:t>
      </w:r>
      <w:proofErr w:type="spellStart"/>
      <w:r w:rsidR="00807FB1" w:rsidRPr="00807FB1">
        <w:t>Asongu</w:t>
      </w:r>
      <w:proofErr w:type="spellEnd"/>
      <w:r w:rsidR="00807FB1" w:rsidRPr="00807FB1">
        <w:t xml:space="preserve"> &amp; Rahman, 2022)</w:t>
      </w:r>
      <w:r>
        <w:t>.</w:t>
      </w:r>
    </w:p>
    <w:p w14:paraId="0CE22F9C" w14:textId="77777777" w:rsidR="00C80F35" w:rsidRDefault="00C80F35" w:rsidP="00C80F35"/>
    <w:p w14:paraId="22C6D7AF" w14:textId="578ABE64" w:rsidR="00C80F35" w:rsidRDefault="00C80F35" w:rsidP="00C80F35">
      <w:r>
        <w:t>Human resources is crucial in shaping workforce capabilities to realize organizational objectives. Human resources may increase growth, engagement, and performance by adopting strong talent management practices, offering training and development opportunities, fostering a culture of continuous learning, and helping employees better match their goals with those of the company as a whole. The HR strategy's success is also affected by the company's culture and environment. Organizational culture and values, employee recognition and incentives, work-life balance, organizational structure, and adaptability to change are all factors that contribute to the success of HR projects.</w:t>
      </w:r>
      <w:r w:rsidR="006A0747">
        <w:t xml:space="preserve"> </w:t>
      </w:r>
      <w:r>
        <w:t xml:space="preserve">Companies that want to get the most out of their HR strategies should foster an </w:t>
      </w:r>
      <w:r>
        <w:lastRenderedPageBreak/>
        <w:t>environment that respects its workers, promotes teamwork, welcomes novelty, and is in harmony with its fundamental principles. To ensure HR plans are properly executed and contribute to the success of the firm, HR professionals must proactively examine and manage these environment issues. In conclusion, HR experts need to regularly assess their methods and adjust them to the evolving demands of their businesses and industries. Human resources may help a firm succeed by adapting to sector specifics, investing in staff growth, and fostering a positive work environment.</w:t>
      </w:r>
    </w:p>
    <w:p w14:paraId="414D25B9" w14:textId="7BAD6745" w:rsidR="006639D6" w:rsidRDefault="006639D6">
      <w:pPr>
        <w:widowControl/>
        <w:autoSpaceDE/>
        <w:autoSpaceDN/>
        <w:spacing w:after="160" w:line="259" w:lineRule="auto"/>
        <w:jc w:val="left"/>
      </w:pPr>
      <w:r>
        <w:br w:type="page"/>
      </w:r>
    </w:p>
    <w:p w14:paraId="465FC8CA" w14:textId="1DB617D2" w:rsidR="00C80F35" w:rsidRDefault="00236F41" w:rsidP="00236F41">
      <w:pPr>
        <w:pStyle w:val="Heading1"/>
      </w:pPr>
      <w:r>
        <w:lastRenderedPageBreak/>
        <w:t>References</w:t>
      </w:r>
    </w:p>
    <w:p w14:paraId="119E9493" w14:textId="6114092C" w:rsidR="006D3A91" w:rsidRDefault="006D3A91" w:rsidP="00E57FB0">
      <w:pPr>
        <w:pStyle w:val="ListParagraph"/>
        <w:numPr>
          <w:ilvl w:val="0"/>
          <w:numId w:val="2"/>
        </w:numPr>
      </w:pPr>
      <w:r w:rsidRPr="006D3A91">
        <w:t>Asongu, S. and Rahman, M., 2022. A Review of Covid-19 and Employment Implications: Evidence from Human Resource Management. European Xtramile Centre of African Studies WP/22/058.</w:t>
      </w:r>
    </w:p>
    <w:p w14:paraId="58B0BD0B" w14:textId="3F69C099" w:rsidR="00DC40E5" w:rsidRDefault="00DC40E5" w:rsidP="00E57FB0">
      <w:pPr>
        <w:pStyle w:val="ListParagraph"/>
        <w:numPr>
          <w:ilvl w:val="0"/>
          <w:numId w:val="2"/>
        </w:numPr>
      </w:pPr>
      <w:r w:rsidRPr="00DC40E5">
        <w:t>Christensen, J., Aarøe, L., Baekgaard, M., Herd, P. and Moynihan, D.P., 2020. Human capital and administrative burden: The role of cognitive resources in citizen‐state interactions. Public Administration Review, 80(1), pp.127-136.</w:t>
      </w:r>
    </w:p>
    <w:p w14:paraId="6015A9D4" w14:textId="4D457153" w:rsidR="00D43668" w:rsidRDefault="009B1C08" w:rsidP="00E57FB0">
      <w:pPr>
        <w:pStyle w:val="ListParagraph"/>
        <w:numPr>
          <w:ilvl w:val="0"/>
          <w:numId w:val="2"/>
        </w:numPr>
      </w:pPr>
      <w:r w:rsidRPr="009B1C08">
        <w:t>Mousa, S.K. and Othman, M., 2020. The impact of green human resource management practices on sustainable performance in healthcare organisations: A conceptual framework. Journal of Cleaner Production, 243, p.118595.</w:t>
      </w:r>
    </w:p>
    <w:p w14:paraId="7C196A65" w14:textId="77381546" w:rsidR="009B1C08" w:rsidRDefault="004013BF" w:rsidP="00E57FB0">
      <w:pPr>
        <w:pStyle w:val="ListParagraph"/>
        <w:numPr>
          <w:ilvl w:val="0"/>
          <w:numId w:val="2"/>
        </w:numPr>
      </w:pPr>
      <w:r w:rsidRPr="004013BF">
        <w:t>Vrontis, D., Christofi, M., Pereira, V., Tarba, S., Makrides, A. and Trichina, E., 2022. Artificial intelligence, robotics, advanced technologies and human resource management: a systematic review. The International Journal of Human Resource Management, 33(6), pp.1237-1266.</w:t>
      </w:r>
    </w:p>
    <w:p w14:paraId="3D9528E6" w14:textId="57DBF754" w:rsidR="00BC5F6C" w:rsidRDefault="00BC5F6C" w:rsidP="00E57FB0">
      <w:pPr>
        <w:pStyle w:val="ListParagraph"/>
        <w:numPr>
          <w:ilvl w:val="0"/>
          <w:numId w:val="2"/>
        </w:numPr>
      </w:pPr>
      <w:r w:rsidRPr="00BC5F6C">
        <w:t>Davidescu, A.A., Apostu, S.A., Paul, A. and Casuneanu, I., 2020. Work flexibility, job satisfaction, and job performance among Romanian employees—Implications for sustainable human resource management. Sustainability, 12(15), p.6086.</w:t>
      </w:r>
    </w:p>
    <w:p w14:paraId="2CAC2570" w14:textId="30022E62" w:rsidR="00BC5F6C" w:rsidRDefault="00DD7391" w:rsidP="00E57FB0">
      <w:pPr>
        <w:pStyle w:val="ListParagraph"/>
        <w:numPr>
          <w:ilvl w:val="0"/>
          <w:numId w:val="2"/>
        </w:numPr>
      </w:pPr>
      <w:r w:rsidRPr="00DD7391">
        <w:t>Chams, N. and García-Blandón, J., 2019. On the importance of sustainable human resource management for the adoption of sustainable development goals. Resources, Conservation and Recycling, 141, pp.109-122.</w:t>
      </w:r>
    </w:p>
    <w:p w14:paraId="75082BF8" w14:textId="307D9E08" w:rsidR="001A6F86" w:rsidRDefault="00EE6ADB" w:rsidP="00236F41">
      <w:pPr>
        <w:pStyle w:val="ListParagraph"/>
        <w:numPr>
          <w:ilvl w:val="0"/>
          <w:numId w:val="2"/>
        </w:numPr>
      </w:pPr>
      <w:r w:rsidRPr="00EE6ADB">
        <w:t>Kravariti, F. and Johnston, K., 2020. Talent management: a critical literature review and research agenda for public sector human resource management. Public Management Review, 22(1), pp.75-95.</w:t>
      </w:r>
    </w:p>
    <w:p w14:paraId="5E2453B9" w14:textId="62B21B94" w:rsidR="00EE6ADB" w:rsidRDefault="00F3510B" w:rsidP="00236F41">
      <w:pPr>
        <w:pStyle w:val="ListParagraph"/>
        <w:numPr>
          <w:ilvl w:val="0"/>
          <w:numId w:val="2"/>
        </w:numPr>
      </w:pPr>
      <w:r w:rsidRPr="00F3510B">
        <w:lastRenderedPageBreak/>
        <w:t>Brunetto, Y. and Beattie, R., 2020. Changing role of HRM in the public sector. Public Management Review, 22(1), pp.1-5.</w:t>
      </w:r>
    </w:p>
    <w:p w14:paraId="65D8F613" w14:textId="06F40D18" w:rsidR="00F3510B" w:rsidRDefault="00F154AE" w:rsidP="00236F41">
      <w:pPr>
        <w:pStyle w:val="ListParagraph"/>
        <w:numPr>
          <w:ilvl w:val="0"/>
          <w:numId w:val="2"/>
        </w:numPr>
      </w:pPr>
      <w:r w:rsidRPr="00F154AE">
        <w:t>Malik, P. and Lenka, U., 2020. Identifying HRM practices for disabling destructive deviance among public sector employees using content analysis. International Journal of Organizational Analysis, 28(3), pp.719-744.</w:t>
      </w:r>
    </w:p>
    <w:p w14:paraId="5BA6F41C" w14:textId="1AE3D2B5" w:rsidR="00F154AE" w:rsidRDefault="00BD2EC6" w:rsidP="00236F41">
      <w:pPr>
        <w:pStyle w:val="ListParagraph"/>
        <w:numPr>
          <w:ilvl w:val="0"/>
          <w:numId w:val="2"/>
        </w:numPr>
      </w:pPr>
      <w:r w:rsidRPr="00BD2EC6">
        <w:t>Boselie, P., Van Harten, J. and Veld, M., 2021. A human resource management review on public management and public administration research: stop right there… before we go any further…. Public Management Review, 23(4), pp.483-500.</w:t>
      </w:r>
    </w:p>
    <w:p w14:paraId="311729D2" w14:textId="043AB5BA" w:rsidR="00BD2EC6" w:rsidRDefault="00972396" w:rsidP="00236F41">
      <w:pPr>
        <w:pStyle w:val="ListParagraph"/>
        <w:numPr>
          <w:ilvl w:val="0"/>
          <w:numId w:val="2"/>
        </w:numPr>
      </w:pPr>
      <w:r w:rsidRPr="00972396">
        <w:t>Blom, R., Kruyen, P.M., Van der Heijden, B.I. and Van Thiel, S., 2020. One HRM fits all? A meta-analysis of the effects of HRM practices in the public, semipublic, and private sector. Review of Public Personnel Administration, 40(1), pp.3-35.</w:t>
      </w:r>
    </w:p>
    <w:p w14:paraId="5B5A5A0A" w14:textId="339E4886" w:rsidR="00972396" w:rsidRDefault="001A14A8" w:rsidP="00236F41">
      <w:pPr>
        <w:pStyle w:val="ListParagraph"/>
        <w:numPr>
          <w:ilvl w:val="0"/>
          <w:numId w:val="2"/>
        </w:numPr>
      </w:pPr>
      <w:r w:rsidRPr="001A14A8">
        <w:t>Qader, K.S., Ismeal, B.A., Aziz, H.M., Hamza, P.A., Sorguli, S., Sabir, B.Y., Anwar, G. and Gardi, B., 2021. The effect of human resources management skills on accounting information quality in kurdistan public sector. International Journal of Humanities and Education Development (IJHED), 3(3), pp.131-143.</w:t>
      </w:r>
    </w:p>
    <w:p w14:paraId="5A511021" w14:textId="27E5D391" w:rsidR="001A14A8" w:rsidRDefault="00030996" w:rsidP="00236F41">
      <w:pPr>
        <w:pStyle w:val="ListParagraph"/>
        <w:numPr>
          <w:ilvl w:val="0"/>
          <w:numId w:val="2"/>
        </w:numPr>
      </w:pPr>
      <w:r w:rsidRPr="00030996">
        <w:t>Al Jawali, H., Darwish, T.K., Scullion, H. and Haak-Saheem, W., 2022. Talent management in the public sector: empirical evidence from the Emerging Economy of Dubai. The InTernaTIonal Journal of human resource managemenT, 33(11), pp.2256-2284.</w:t>
      </w:r>
    </w:p>
    <w:p w14:paraId="36F23A2B" w14:textId="269D5D98" w:rsidR="00030996" w:rsidRDefault="008B4004" w:rsidP="00236F41">
      <w:pPr>
        <w:pStyle w:val="ListParagraph"/>
        <w:numPr>
          <w:ilvl w:val="0"/>
          <w:numId w:val="2"/>
        </w:numPr>
      </w:pPr>
      <w:r w:rsidRPr="008B4004">
        <w:t>Onsardi, O., Finthariasari, M. and Hermawan, D.J., 2021. The Influence of Human Resource Management Practices on Employee Outcomes in Private and Public Banking in Indonesia. Review of International Geographical Education Online, 11(9).</w:t>
      </w:r>
    </w:p>
    <w:p w14:paraId="7E1C5659" w14:textId="3138DB93" w:rsidR="008B4004" w:rsidRPr="00236F41" w:rsidRDefault="00150E21" w:rsidP="00236F41">
      <w:pPr>
        <w:pStyle w:val="ListParagraph"/>
        <w:numPr>
          <w:ilvl w:val="0"/>
          <w:numId w:val="2"/>
        </w:numPr>
      </w:pPr>
      <w:r w:rsidRPr="00150E21">
        <w:lastRenderedPageBreak/>
        <w:t>De Leon, V., 2020. Human resource management during the Covid-19 pandemic (Doctoral dissertation, California State University, Northridge).</w:t>
      </w:r>
    </w:p>
    <w:p w14:paraId="47ACF92E" w14:textId="77777777" w:rsidR="00C80F35" w:rsidRDefault="00C80F35" w:rsidP="00C80F35"/>
    <w:p w14:paraId="51E044C8" w14:textId="77777777" w:rsidR="00C80F35" w:rsidRDefault="00C80F35" w:rsidP="00C80F35"/>
    <w:p w14:paraId="5FD87BC0" w14:textId="1C4CEF45" w:rsidR="00423780" w:rsidRDefault="00423780" w:rsidP="00FA45EA"/>
    <w:sectPr w:rsidR="00423780" w:rsidSect="00A51696">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C0D6A"/>
    <w:multiLevelType w:val="hybridMultilevel"/>
    <w:tmpl w:val="75EC5C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24078D"/>
    <w:multiLevelType w:val="hybridMultilevel"/>
    <w:tmpl w:val="979807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5EA"/>
    <w:rsid w:val="00001B11"/>
    <w:rsid w:val="00025EBC"/>
    <w:rsid w:val="00030996"/>
    <w:rsid w:val="000A2683"/>
    <w:rsid w:val="000D6A2D"/>
    <w:rsid w:val="00150E21"/>
    <w:rsid w:val="0016689F"/>
    <w:rsid w:val="001A14A8"/>
    <w:rsid w:val="001A6F86"/>
    <w:rsid w:val="00224262"/>
    <w:rsid w:val="00236F41"/>
    <w:rsid w:val="002C460C"/>
    <w:rsid w:val="0032400F"/>
    <w:rsid w:val="0033380C"/>
    <w:rsid w:val="00343ABE"/>
    <w:rsid w:val="00390BA7"/>
    <w:rsid w:val="0039102E"/>
    <w:rsid w:val="003E3C67"/>
    <w:rsid w:val="003E40D8"/>
    <w:rsid w:val="004013BF"/>
    <w:rsid w:val="00404CF1"/>
    <w:rsid w:val="00423780"/>
    <w:rsid w:val="0045647B"/>
    <w:rsid w:val="004768B2"/>
    <w:rsid w:val="004C5F01"/>
    <w:rsid w:val="004D0140"/>
    <w:rsid w:val="00512A45"/>
    <w:rsid w:val="00543C7C"/>
    <w:rsid w:val="00593D27"/>
    <w:rsid w:val="005A5614"/>
    <w:rsid w:val="005C2603"/>
    <w:rsid w:val="005C3BB3"/>
    <w:rsid w:val="00620571"/>
    <w:rsid w:val="00620611"/>
    <w:rsid w:val="006639D6"/>
    <w:rsid w:val="0067392D"/>
    <w:rsid w:val="006A0747"/>
    <w:rsid w:val="006D3A91"/>
    <w:rsid w:val="006D7497"/>
    <w:rsid w:val="006E2902"/>
    <w:rsid w:val="0074075E"/>
    <w:rsid w:val="007544B1"/>
    <w:rsid w:val="00754D4B"/>
    <w:rsid w:val="007746D0"/>
    <w:rsid w:val="00804462"/>
    <w:rsid w:val="00807FB1"/>
    <w:rsid w:val="00844FA9"/>
    <w:rsid w:val="008A2B83"/>
    <w:rsid w:val="008B3D54"/>
    <w:rsid w:val="008B4004"/>
    <w:rsid w:val="008B41EA"/>
    <w:rsid w:val="008C0BF1"/>
    <w:rsid w:val="008C7B01"/>
    <w:rsid w:val="008D253B"/>
    <w:rsid w:val="009172E9"/>
    <w:rsid w:val="00936F88"/>
    <w:rsid w:val="009423C1"/>
    <w:rsid w:val="009527B7"/>
    <w:rsid w:val="00954820"/>
    <w:rsid w:val="00972396"/>
    <w:rsid w:val="009A3806"/>
    <w:rsid w:val="009B11BD"/>
    <w:rsid w:val="009B1C08"/>
    <w:rsid w:val="009E4D6E"/>
    <w:rsid w:val="00A3583C"/>
    <w:rsid w:val="00A443C1"/>
    <w:rsid w:val="00A51696"/>
    <w:rsid w:val="00A62E8F"/>
    <w:rsid w:val="00A862D2"/>
    <w:rsid w:val="00A93801"/>
    <w:rsid w:val="00AD3C7E"/>
    <w:rsid w:val="00AF5400"/>
    <w:rsid w:val="00B275F9"/>
    <w:rsid w:val="00B52CBE"/>
    <w:rsid w:val="00B63514"/>
    <w:rsid w:val="00BC2ECD"/>
    <w:rsid w:val="00BC5F6C"/>
    <w:rsid w:val="00BD2EC6"/>
    <w:rsid w:val="00BE24D3"/>
    <w:rsid w:val="00BF4804"/>
    <w:rsid w:val="00BF4CD3"/>
    <w:rsid w:val="00C21D24"/>
    <w:rsid w:val="00C33557"/>
    <w:rsid w:val="00C345F2"/>
    <w:rsid w:val="00C4251A"/>
    <w:rsid w:val="00C57E8D"/>
    <w:rsid w:val="00C642C7"/>
    <w:rsid w:val="00C80F35"/>
    <w:rsid w:val="00C85B82"/>
    <w:rsid w:val="00CA4338"/>
    <w:rsid w:val="00CB7DD8"/>
    <w:rsid w:val="00CE1FF2"/>
    <w:rsid w:val="00CE4B11"/>
    <w:rsid w:val="00CF61E4"/>
    <w:rsid w:val="00D34EC5"/>
    <w:rsid w:val="00D37C9B"/>
    <w:rsid w:val="00D43668"/>
    <w:rsid w:val="00D50D08"/>
    <w:rsid w:val="00D54C3F"/>
    <w:rsid w:val="00DC40E5"/>
    <w:rsid w:val="00DD126C"/>
    <w:rsid w:val="00DD7391"/>
    <w:rsid w:val="00E2298C"/>
    <w:rsid w:val="00E3510D"/>
    <w:rsid w:val="00E4548B"/>
    <w:rsid w:val="00E57FB0"/>
    <w:rsid w:val="00E7004B"/>
    <w:rsid w:val="00EE2D55"/>
    <w:rsid w:val="00EE6ADB"/>
    <w:rsid w:val="00F0275B"/>
    <w:rsid w:val="00F154AE"/>
    <w:rsid w:val="00F30F59"/>
    <w:rsid w:val="00F3510B"/>
    <w:rsid w:val="00F52C56"/>
    <w:rsid w:val="00F60AE3"/>
    <w:rsid w:val="00FA45EA"/>
    <w:rsid w:val="00FF52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B58AE"/>
  <w15:chartTrackingRefBased/>
  <w15:docId w15:val="{96FC2263-34F9-49AC-90D6-7E5BB2EBB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ahom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75F9"/>
    <w:pPr>
      <w:widowControl w:val="0"/>
      <w:autoSpaceDE w:val="0"/>
      <w:autoSpaceDN w:val="0"/>
      <w:spacing w:after="0" w:line="480" w:lineRule="auto"/>
      <w:jc w:val="both"/>
    </w:pPr>
    <w:rPr>
      <w:rFonts w:ascii="Times New Roman" w:hAnsi="Times New Roman" w:cs="Tahoma"/>
      <w:sz w:val="24"/>
    </w:rPr>
  </w:style>
  <w:style w:type="paragraph" w:styleId="Heading1">
    <w:name w:val="heading 1"/>
    <w:basedOn w:val="Normal"/>
    <w:next w:val="Normal"/>
    <w:link w:val="Heading1Char"/>
    <w:autoRedefine/>
    <w:uiPriority w:val="9"/>
    <w:qFormat/>
    <w:rsid w:val="00CA4338"/>
    <w:pPr>
      <w:keepNext/>
      <w:keepLines/>
      <w:outlineLvl w:val="0"/>
    </w:pPr>
    <w:rPr>
      <w:rFonts w:eastAsiaTheme="majorEastAsia" w:cstheme="majorBidi"/>
      <w:b/>
      <w:color w:val="000000" w:themeColor="text1"/>
      <w:sz w:val="28"/>
      <w:szCs w:val="32"/>
      <w:u w:val="single"/>
    </w:rPr>
  </w:style>
  <w:style w:type="paragraph" w:styleId="Heading2">
    <w:name w:val="heading 2"/>
    <w:basedOn w:val="Normal"/>
    <w:next w:val="Normal"/>
    <w:link w:val="Heading2Char"/>
    <w:uiPriority w:val="9"/>
    <w:unhideWhenUsed/>
    <w:qFormat/>
    <w:rsid w:val="00CA4338"/>
    <w:pPr>
      <w:keepNext/>
      <w:keepLines/>
      <w:spacing w:before="40"/>
      <w:outlineLvl w:val="1"/>
    </w:pPr>
    <w:rPr>
      <w:rFonts w:eastAsiaTheme="majorEastAsia" w:cstheme="majorBidi"/>
      <w:b/>
      <w:i/>
      <w:color w:val="2F5496" w:themeColor="accent1" w:themeShade="BF"/>
      <w:sz w:val="26"/>
      <w:szCs w:val="26"/>
    </w:rPr>
  </w:style>
  <w:style w:type="paragraph" w:styleId="Heading4">
    <w:name w:val="heading 4"/>
    <w:basedOn w:val="Normal"/>
    <w:next w:val="Normal"/>
    <w:link w:val="Heading4Char"/>
    <w:uiPriority w:val="9"/>
    <w:semiHidden/>
    <w:unhideWhenUsed/>
    <w:qFormat/>
    <w:rsid w:val="00025EB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338"/>
    <w:rPr>
      <w:rFonts w:ascii="Times New Roman" w:eastAsiaTheme="majorEastAsia" w:hAnsi="Times New Roman" w:cstheme="majorBidi"/>
      <w:b/>
      <w:color w:val="000000" w:themeColor="text1"/>
      <w:sz w:val="28"/>
      <w:szCs w:val="32"/>
      <w:u w:val="single"/>
    </w:rPr>
  </w:style>
  <w:style w:type="character" w:customStyle="1" w:styleId="Heading2Char">
    <w:name w:val="Heading 2 Char"/>
    <w:basedOn w:val="DefaultParagraphFont"/>
    <w:link w:val="Heading2"/>
    <w:uiPriority w:val="9"/>
    <w:rsid w:val="00CA4338"/>
    <w:rPr>
      <w:rFonts w:ascii="Times New Roman" w:eastAsiaTheme="majorEastAsia" w:hAnsi="Times New Roman" w:cstheme="majorBidi"/>
      <w:b/>
      <w:i/>
      <w:color w:val="2F5496" w:themeColor="accent1" w:themeShade="BF"/>
      <w:sz w:val="26"/>
      <w:szCs w:val="26"/>
    </w:rPr>
  </w:style>
  <w:style w:type="paragraph" w:styleId="TOC1">
    <w:name w:val="toc 1"/>
    <w:basedOn w:val="Normal"/>
    <w:next w:val="Normal"/>
    <w:autoRedefine/>
    <w:uiPriority w:val="39"/>
    <w:unhideWhenUsed/>
    <w:rsid w:val="00404CF1"/>
    <w:pPr>
      <w:spacing w:after="100"/>
    </w:pPr>
    <w:rPr>
      <w:b/>
      <w:u w:val="single"/>
    </w:rPr>
  </w:style>
  <w:style w:type="paragraph" w:styleId="TOC2">
    <w:name w:val="toc 2"/>
    <w:basedOn w:val="Normal"/>
    <w:next w:val="Normal"/>
    <w:autoRedefine/>
    <w:uiPriority w:val="39"/>
    <w:unhideWhenUsed/>
    <w:rsid w:val="00404CF1"/>
    <w:pPr>
      <w:spacing w:after="100"/>
      <w:ind w:left="240"/>
    </w:pPr>
    <w:rPr>
      <w:b/>
      <w:i/>
    </w:rPr>
  </w:style>
  <w:style w:type="paragraph" w:styleId="ListParagraph">
    <w:name w:val="List Paragraph"/>
    <w:basedOn w:val="Normal"/>
    <w:uiPriority w:val="34"/>
    <w:qFormat/>
    <w:rsid w:val="008C7B01"/>
    <w:pPr>
      <w:widowControl/>
      <w:autoSpaceDE/>
      <w:autoSpaceDN/>
      <w:ind w:left="720"/>
      <w:contextualSpacing/>
    </w:pPr>
    <w:rPr>
      <w:rFonts w:eastAsiaTheme="minorEastAsia" w:cstheme="minorBidi"/>
      <w:noProof/>
      <w:szCs w:val="24"/>
      <w:lang w:val="en-GB"/>
    </w:rPr>
  </w:style>
  <w:style w:type="character" w:customStyle="1" w:styleId="Heading4Char">
    <w:name w:val="Heading 4 Char"/>
    <w:basedOn w:val="DefaultParagraphFont"/>
    <w:link w:val="Heading4"/>
    <w:uiPriority w:val="9"/>
    <w:semiHidden/>
    <w:rsid w:val="00025EBC"/>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rsid w:val="00390BA7"/>
    <w:pPr>
      <w:widowControl/>
      <w:tabs>
        <w:tab w:val="center" w:pos="4153"/>
        <w:tab w:val="right" w:pos="8306"/>
      </w:tabs>
      <w:autoSpaceDE/>
      <w:autoSpaceDN/>
      <w:spacing w:line="240" w:lineRule="auto"/>
      <w:jc w:val="left"/>
    </w:pPr>
    <w:rPr>
      <w:rFonts w:eastAsia="Times New Roman" w:cs="Times New Roman"/>
      <w:sz w:val="20"/>
      <w:szCs w:val="20"/>
      <w:lang w:val="en-GB" w:eastAsia="en-GB"/>
    </w:rPr>
  </w:style>
  <w:style w:type="character" w:customStyle="1" w:styleId="HeaderChar">
    <w:name w:val="Header Char"/>
    <w:basedOn w:val="DefaultParagraphFont"/>
    <w:link w:val="Header"/>
    <w:rsid w:val="00390BA7"/>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unhideWhenUsed/>
    <w:qFormat/>
    <w:rsid w:val="009423C1"/>
    <w:pPr>
      <w:widowControl/>
      <w:autoSpaceDE/>
      <w:autoSpaceDN/>
      <w:spacing w:before="240" w:line="259" w:lineRule="auto"/>
      <w:jc w:val="left"/>
      <w:outlineLvl w:val="9"/>
    </w:pPr>
    <w:rPr>
      <w:rFonts w:asciiTheme="majorHAnsi" w:hAnsiTheme="majorHAnsi"/>
      <w:b w:val="0"/>
      <w:color w:val="2F5496" w:themeColor="accent1" w:themeShade="BF"/>
      <w:sz w:val="32"/>
      <w:u w:val="none"/>
    </w:rPr>
  </w:style>
  <w:style w:type="character" w:styleId="Hyperlink">
    <w:name w:val="Hyperlink"/>
    <w:basedOn w:val="DefaultParagraphFont"/>
    <w:uiPriority w:val="99"/>
    <w:unhideWhenUsed/>
    <w:rsid w:val="009423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365691">
      <w:bodyDiv w:val="1"/>
      <w:marLeft w:val="0"/>
      <w:marRight w:val="0"/>
      <w:marTop w:val="0"/>
      <w:marBottom w:val="0"/>
      <w:divBdr>
        <w:top w:val="none" w:sz="0" w:space="0" w:color="auto"/>
        <w:left w:val="none" w:sz="0" w:space="0" w:color="auto"/>
        <w:bottom w:val="none" w:sz="0" w:space="0" w:color="auto"/>
        <w:right w:val="none" w:sz="0" w:space="0" w:color="auto"/>
      </w:divBdr>
      <w:divsChild>
        <w:div w:id="986283649">
          <w:marLeft w:val="0"/>
          <w:marRight w:val="0"/>
          <w:marTop w:val="0"/>
          <w:marBottom w:val="0"/>
          <w:divBdr>
            <w:top w:val="none" w:sz="0" w:space="0" w:color="auto"/>
            <w:left w:val="none" w:sz="0" w:space="0" w:color="auto"/>
            <w:bottom w:val="none" w:sz="0" w:space="0" w:color="auto"/>
            <w:right w:val="none" w:sz="0" w:space="0" w:color="auto"/>
          </w:divBdr>
        </w:div>
      </w:divsChild>
    </w:div>
    <w:div w:id="1219635095">
      <w:bodyDiv w:val="1"/>
      <w:marLeft w:val="0"/>
      <w:marRight w:val="0"/>
      <w:marTop w:val="0"/>
      <w:marBottom w:val="0"/>
      <w:divBdr>
        <w:top w:val="none" w:sz="0" w:space="0" w:color="auto"/>
        <w:left w:val="none" w:sz="0" w:space="0" w:color="auto"/>
        <w:bottom w:val="none" w:sz="0" w:space="0" w:color="auto"/>
        <w:right w:val="none" w:sz="0" w:space="0" w:color="auto"/>
      </w:divBdr>
      <w:divsChild>
        <w:div w:id="1618290926">
          <w:marLeft w:val="0"/>
          <w:marRight w:val="0"/>
          <w:marTop w:val="0"/>
          <w:marBottom w:val="0"/>
          <w:divBdr>
            <w:top w:val="none" w:sz="0" w:space="0" w:color="auto"/>
            <w:left w:val="none" w:sz="0" w:space="0" w:color="auto"/>
            <w:bottom w:val="none" w:sz="0" w:space="0" w:color="auto"/>
            <w:right w:val="none" w:sz="0" w:space="0" w:color="auto"/>
          </w:divBdr>
        </w:div>
      </w:divsChild>
    </w:div>
    <w:div w:id="2139953054">
      <w:bodyDiv w:val="1"/>
      <w:marLeft w:val="0"/>
      <w:marRight w:val="0"/>
      <w:marTop w:val="0"/>
      <w:marBottom w:val="0"/>
      <w:divBdr>
        <w:top w:val="none" w:sz="0" w:space="0" w:color="auto"/>
        <w:left w:val="none" w:sz="0" w:space="0" w:color="auto"/>
        <w:bottom w:val="none" w:sz="0" w:space="0" w:color="auto"/>
        <w:right w:val="none" w:sz="0" w:space="0" w:color="auto"/>
      </w:divBdr>
      <w:divsChild>
        <w:div w:id="16915652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B4A9A2-0C26-48E5-9E02-E7AC7DD93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17</Pages>
  <Words>3858</Words>
  <Characters>21991</Characters>
  <Application>Microsoft Office Word</Application>
  <DocSecurity>0</DocSecurity>
  <Lines>183</Lines>
  <Paragraphs>51</Paragraphs>
  <ScaleCrop>false</ScaleCrop>
  <Company/>
  <LinksUpToDate>false</LinksUpToDate>
  <CharactersWithSpaces>25798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dc:creator>
  <cp:keywords/>
  <dc:description/>
  <cp:lastModifiedBy>MK</cp:lastModifiedBy>
  <cp:revision>110</cp:revision>
  <dcterms:created xsi:type="dcterms:W3CDTF">2023-06-18T18:35:00Z</dcterms:created>
  <dcterms:modified xsi:type="dcterms:W3CDTF">2023-06-21T22:23:00Z</dcterms:modified>
</cp:coreProperties>
</file>