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559C" w:rsidRDefault="000B559C" w:rsidP="00956F3F">
      <w:pPr>
        <w:spacing w:line="360" w:lineRule="auto"/>
        <w:rPr>
          <w:rFonts w:ascii="Times New Roman" w:eastAsia="Times New Roman" w:hAnsi="Times New Roman" w:cs="Times New Roman"/>
          <w:b/>
          <w:sz w:val="32"/>
          <w:szCs w:val="32"/>
        </w:rPr>
      </w:pPr>
    </w:p>
    <w:p w:rsidR="000B559C" w:rsidRPr="00D14CCC" w:rsidRDefault="00956F3F" w:rsidP="00956F3F">
      <w:pPr>
        <w:spacing w:line="360" w:lineRule="auto"/>
        <w:rPr>
          <w:rFonts w:eastAsia="Times New Roman"/>
          <w:b/>
          <w:sz w:val="32"/>
          <w:szCs w:val="32"/>
        </w:rPr>
      </w:pPr>
      <w:r w:rsidRPr="00D14CCC">
        <w:rPr>
          <w:rFonts w:eastAsia="Times New Roman"/>
          <w:b/>
          <w:sz w:val="32"/>
          <w:szCs w:val="32"/>
        </w:rPr>
        <w:t>Student Name:Valentina Vasileva</w:t>
      </w:r>
    </w:p>
    <w:p w:rsidR="000B559C" w:rsidRPr="00D14CCC" w:rsidRDefault="00956F3F" w:rsidP="00956F3F">
      <w:pPr>
        <w:spacing w:line="360" w:lineRule="auto"/>
        <w:rPr>
          <w:rFonts w:eastAsia="Times New Roman"/>
          <w:b/>
          <w:sz w:val="32"/>
          <w:szCs w:val="32"/>
        </w:rPr>
      </w:pPr>
      <w:r w:rsidRPr="00D14CCC">
        <w:rPr>
          <w:rFonts w:eastAsia="Times New Roman"/>
          <w:b/>
          <w:sz w:val="32"/>
          <w:szCs w:val="32"/>
        </w:rPr>
        <w:t>Student Number :1909485</w:t>
      </w:r>
    </w:p>
    <w:p w:rsidR="00956F3F" w:rsidRPr="00D14CCC" w:rsidRDefault="00956F3F" w:rsidP="00956F3F">
      <w:pPr>
        <w:spacing w:line="360" w:lineRule="auto"/>
        <w:rPr>
          <w:rFonts w:eastAsia="Times New Roman"/>
          <w:b/>
          <w:sz w:val="32"/>
          <w:szCs w:val="32"/>
        </w:rPr>
      </w:pPr>
      <w:r w:rsidRPr="00D14CCC">
        <w:rPr>
          <w:rFonts w:eastAsia="Times New Roman"/>
          <w:b/>
          <w:sz w:val="32"/>
          <w:szCs w:val="32"/>
        </w:rPr>
        <w:t>Lecturer Name:Husam Helmi</w:t>
      </w:r>
    </w:p>
    <w:p w:rsidR="00956F3F" w:rsidRPr="00D14CCC" w:rsidRDefault="00956F3F" w:rsidP="00956F3F">
      <w:pPr>
        <w:spacing w:line="360" w:lineRule="auto"/>
        <w:rPr>
          <w:rFonts w:eastAsia="Times New Roman"/>
          <w:b/>
          <w:sz w:val="32"/>
          <w:szCs w:val="32"/>
        </w:rPr>
      </w:pPr>
      <w:r w:rsidRPr="00D14CCC">
        <w:rPr>
          <w:rFonts w:eastAsia="Times New Roman"/>
          <w:b/>
          <w:sz w:val="32"/>
          <w:szCs w:val="32"/>
        </w:rPr>
        <w:t>Module Name:International Business Communication</w:t>
      </w:r>
    </w:p>
    <w:p w:rsidR="00956F3F" w:rsidRPr="00D14CCC" w:rsidRDefault="00956F3F" w:rsidP="00956F3F">
      <w:pPr>
        <w:spacing w:line="360" w:lineRule="auto"/>
        <w:rPr>
          <w:rFonts w:eastAsia="Times New Roman"/>
          <w:b/>
          <w:sz w:val="32"/>
          <w:szCs w:val="32"/>
        </w:rPr>
      </w:pPr>
      <w:r w:rsidRPr="00D14CCC">
        <w:rPr>
          <w:rFonts w:eastAsia="Times New Roman"/>
          <w:b/>
          <w:sz w:val="32"/>
          <w:szCs w:val="32"/>
        </w:rPr>
        <w:t>LCBB:6001</w:t>
      </w:r>
    </w:p>
    <w:p w:rsidR="002C3079" w:rsidRPr="00D14CCC" w:rsidRDefault="002C3079" w:rsidP="00956F3F">
      <w:pPr>
        <w:spacing w:line="360" w:lineRule="auto"/>
        <w:rPr>
          <w:rFonts w:eastAsia="Times New Roman"/>
          <w:b/>
          <w:sz w:val="32"/>
          <w:szCs w:val="32"/>
        </w:rPr>
      </w:pPr>
      <w:r w:rsidRPr="00D14CCC">
        <w:rPr>
          <w:rFonts w:eastAsia="Times New Roman"/>
          <w:b/>
          <w:sz w:val="32"/>
          <w:szCs w:val="32"/>
        </w:rPr>
        <w:t>Assessment 1</w:t>
      </w:r>
    </w:p>
    <w:p w:rsidR="00956F3F" w:rsidRDefault="00956F3F" w:rsidP="00956F3F">
      <w:pPr>
        <w:spacing w:line="360" w:lineRule="auto"/>
        <w:rPr>
          <w:rFonts w:ascii="Times New Roman" w:eastAsia="Times New Roman" w:hAnsi="Times New Roman" w:cs="Times New Roman"/>
          <w:b/>
          <w:sz w:val="32"/>
          <w:szCs w:val="32"/>
        </w:rPr>
      </w:pPr>
    </w:p>
    <w:p w:rsidR="00D66B35" w:rsidRDefault="00D66B35"/>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sdt>
      <w:sdtPr>
        <w:rPr>
          <w:rFonts w:ascii="Times New Roman" w:eastAsia="Arial" w:hAnsi="Times New Roman" w:cs="Times New Roman"/>
          <w:b/>
          <w:bCs/>
          <w:color w:val="000000" w:themeColor="text1"/>
          <w:sz w:val="28"/>
          <w:szCs w:val="28"/>
          <w:lang w:val="en-GB" w:eastAsia="en-IN"/>
        </w:rPr>
        <w:id w:val="1778440692"/>
        <w:docPartObj>
          <w:docPartGallery w:val="Table of Contents"/>
          <w:docPartUnique/>
        </w:docPartObj>
      </w:sdtPr>
      <w:sdtEndPr>
        <w:rPr>
          <w:noProof/>
          <w:color w:val="auto"/>
          <w:sz w:val="24"/>
          <w:szCs w:val="24"/>
        </w:rPr>
      </w:sdtEndPr>
      <w:sdtContent>
        <w:p w:rsidR="000B559C" w:rsidRDefault="000B559C" w:rsidP="000B559C">
          <w:pPr>
            <w:pStyle w:val="TOCHeading"/>
            <w:spacing w:line="360" w:lineRule="auto"/>
            <w:jc w:val="center"/>
            <w:rPr>
              <w:rFonts w:ascii="Times New Roman" w:eastAsia="Arial" w:hAnsi="Times New Roman" w:cs="Times New Roman"/>
              <w:b/>
              <w:bCs/>
              <w:color w:val="000000" w:themeColor="text1"/>
              <w:sz w:val="28"/>
              <w:szCs w:val="28"/>
              <w:lang w:val="en-GB" w:eastAsia="en-IN"/>
            </w:rPr>
          </w:pPr>
        </w:p>
        <w:p w:rsidR="000B559C" w:rsidRPr="00466E4E" w:rsidRDefault="000B559C" w:rsidP="000B559C">
          <w:pPr>
            <w:pStyle w:val="TOCHeading"/>
            <w:spacing w:line="360" w:lineRule="auto"/>
            <w:jc w:val="center"/>
            <w:rPr>
              <w:rFonts w:ascii="Arial" w:hAnsi="Arial" w:cs="Arial"/>
              <w:b/>
              <w:bCs/>
              <w:color w:val="000000" w:themeColor="text1"/>
              <w:sz w:val="28"/>
              <w:szCs w:val="28"/>
              <w:lang w:val="en-GB"/>
            </w:rPr>
          </w:pPr>
          <w:r w:rsidRPr="00466E4E">
            <w:rPr>
              <w:rFonts w:ascii="Arial" w:hAnsi="Arial" w:cs="Arial"/>
              <w:b/>
              <w:bCs/>
              <w:color w:val="000000" w:themeColor="text1"/>
              <w:sz w:val="28"/>
              <w:szCs w:val="28"/>
              <w:lang w:val="en-GB"/>
            </w:rPr>
            <w:t>Table of Contents</w:t>
          </w:r>
        </w:p>
        <w:p w:rsidR="000B559C" w:rsidRPr="00466E4E" w:rsidRDefault="00783A6B" w:rsidP="000B559C">
          <w:pPr>
            <w:pStyle w:val="TOC1"/>
            <w:tabs>
              <w:tab w:val="right" w:leader="dot" w:pos="9019"/>
            </w:tabs>
            <w:spacing w:line="360" w:lineRule="auto"/>
            <w:rPr>
              <w:rFonts w:eastAsiaTheme="minorEastAsia"/>
              <w:noProof/>
              <w:sz w:val="24"/>
              <w:szCs w:val="24"/>
              <w:lang w:val="en-US" w:eastAsia="en-US"/>
            </w:rPr>
          </w:pPr>
          <w:r w:rsidRPr="00783A6B">
            <w:rPr>
              <w:rFonts w:ascii="Times New Roman" w:hAnsi="Times New Roman" w:cs="Times New Roman"/>
              <w:sz w:val="24"/>
              <w:szCs w:val="24"/>
            </w:rPr>
            <w:fldChar w:fldCharType="begin"/>
          </w:r>
          <w:r w:rsidR="000B559C" w:rsidRPr="0026772F">
            <w:rPr>
              <w:rFonts w:ascii="Times New Roman" w:hAnsi="Times New Roman" w:cs="Times New Roman"/>
              <w:sz w:val="24"/>
              <w:szCs w:val="24"/>
            </w:rPr>
            <w:instrText xml:space="preserve"> TOC \o "1-3" \h \z \u </w:instrText>
          </w:r>
          <w:r w:rsidRPr="00783A6B">
            <w:rPr>
              <w:rFonts w:ascii="Times New Roman" w:hAnsi="Times New Roman" w:cs="Times New Roman"/>
              <w:sz w:val="24"/>
              <w:szCs w:val="24"/>
            </w:rPr>
            <w:fldChar w:fldCharType="separate"/>
          </w:r>
          <w:hyperlink w:anchor="_Toc100805800" w:history="1">
            <w:r w:rsidR="000B559C" w:rsidRPr="00466E4E">
              <w:rPr>
                <w:rStyle w:val="Hyperlink"/>
                <w:noProof/>
                <w:sz w:val="24"/>
                <w:szCs w:val="24"/>
              </w:rPr>
              <w:t xml:space="preserve"> Introduction</w:t>
            </w:r>
            <w:r w:rsidR="000B559C" w:rsidRPr="00466E4E">
              <w:rPr>
                <w:noProof/>
                <w:webHidden/>
                <w:sz w:val="24"/>
                <w:szCs w:val="24"/>
              </w:rPr>
              <w:tab/>
            </w:r>
            <w:r w:rsidRPr="00466E4E">
              <w:rPr>
                <w:noProof/>
                <w:webHidden/>
                <w:sz w:val="24"/>
                <w:szCs w:val="24"/>
              </w:rPr>
              <w:fldChar w:fldCharType="begin"/>
            </w:r>
            <w:r w:rsidR="000B559C" w:rsidRPr="00466E4E">
              <w:rPr>
                <w:noProof/>
                <w:webHidden/>
                <w:sz w:val="24"/>
                <w:szCs w:val="24"/>
              </w:rPr>
              <w:instrText xml:space="preserve"> PAGEREF _Toc100805800 \h </w:instrText>
            </w:r>
            <w:r w:rsidRPr="00466E4E">
              <w:rPr>
                <w:noProof/>
                <w:webHidden/>
                <w:sz w:val="24"/>
                <w:szCs w:val="24"/>
              </w:rPr>
            </w:r>
            <w:r w:rsidRPr="00466E4E">
              <w:rPr>
                <w:noProof/>
                <w:webHidden/>
                <w:sz w:val="24"/>
                <w:szCs w:val="24"/>
              </w:rPr>
              <w:fldChar w:fldCharType="separate"/>
            </w:r>
            <w:r w:rsidR="000B559C" w:rsidRPr="00466E4E">
              <w:rPr>
                <w:noProof/>
                <w:webHidden/>
                <w:sz w:val="24"/>
                <w:szCs w:val="24"/>
              </w:rPr>
              <w:t>3</w:t>
            </w:r>
            <w:r w:rsidRPr="00466E4E">
              <w:rPr>
                <w:noProof/>
                <w:webHidden/>
                <w:sz w:val="24"/>
                <w:szCs w:val="24"/>
              </w:rPr>
              <w:fldChar w:fldCharType="end"/>
            </w:r>
          </w:hyperlink>
        </w:p>
        <w:p w:rsidR="000B559C" w:rsidRPr="00466E4E" w:rsidRDefault="00783A6B" w:rsidP="000B559C">
          <w:pPr>
            <w:pStyle w:val="TOC1"/>
            <w:tabs>
              <w:tab w:val="right" w:leader="dot" w:pos="9019"/>
            </w:tabs>
            <w:spacing w:line="360" w:lineRule="auto"/>
            <w:rPr>
              <w:rFonts w:eastAsiaTheme="minorEastAsia"/>
              <w:noProof/>
              <w:sz w:val="24"/>
              <w:szCs w:val="24"/>
              <w:lang w:val="en-US" w:eastAsia="en-US"/>
            </w:rPr>
          </w:pPr>
          <w:hyperlink w:anchor="_Toc100805801" w:history="1">
            <w:r w:rsidR="000B559C" w:rsidRPr="00466E4E">
              <w:rPr>
                <w:rStyle w:val="Hyperlink"/>
                <w:noProof/>
                <w:sz w:val="24"/>
                <w:szCs w:val="24"/>
              </w:rPr>
              <w:t xml:space="preserve"> Introduction to the country</w:t>
            </w:r>
            <w:r w:rsidR="000B559C" w:rsidRPr="00466E4E">
              <w:rPr>
                <w:noProof/>
                <w:webHidden/>
                <w:sz w:val="24"/>
                <w:szCs w:val="24"/>
              </w:rPr>
              <w:tab/>
            </w:r>
            <w:r w:rsidRPr="00466E4E">
              <w:rPr>
                <w:noProof/>
                <w:webHidden/>
                <w:sz w:val="24"/>
                <w:szCs w:val="24"/>
              </w:rPr>
              <w:fldChar w:fldCharType="begin"/>
            </w:r>
            <w:r w:rsidR="000B559C" w:rsidRPr="00466E4E">
              <w:rPr>
                <w:noProof/>
                <w:webHidden/>
                <w:sz w:val="24"/>
                <w:szCs w:val="24"/>
              </w:rPr>
              <w:instrText xml:space="preserve"> PAGEREF _Toc100805801 \h </w:instrText>
            </w:r>
            <w:r w:rsidRPr="00466E4E">
              <w:rPr>
                <w:noProof/>
                <w:webHidden/>
                <w:sz w:val="24"/>
                <w:szCs w:val="24"/>
              </w:rPr>
            </w:r>
            <w:r w:rsidRPr="00466E4E">
              <w:rPr>
                <w:noProof/>
                <w:webHidden/>
                <w:sz w:val="24"/>
                <w:szCs w:val="24"/>
              </w:rPr>
              <w:fldChar w:fldCharType="separate"/>
            </w:r>
            <w:r w:rsidR="000B559C" w:rsidRPr="00466E4E">
              <w:rPr>
                <w:noProof/>
                <w:webHidden/>
                <w:sz w:val="24"/>
                <w:szCs w:val="24"/>
              </w:rPr>
              <w:t>3</w:t>
            </w:r>
            <w:r w:rsidRPr="00466E4E">
              <w:rPr>
                <w:noProof/>
                <w:webHidden/>
                <w:sz w:val="24"/>
                <w:szCs w:val="24"/>
              </w:rPr>
              <w:fldChar w:fldCharType="end"/>
            </w:r>
          </w:hyperlink>
        </w:p>
        <w:p w:rsidR="000B559C" w:rsidRPr="00466E4E" w:rsidRDefault="00783A6B" w:rsidP="000B559C">
          <w:pPr>
            <w:pStyle w:val="TOC1"/>
            <w:tabs>
              <w:tab w:val="right" w:leader="dot" w:pos="9019"/>
            </w:tabs>
            <w:spacing w:line="360" w:lineRule="auto"/>
            <w:rPr>
              <w:rFonts w:eastAsiaTheme="minorEastAsia"/>
              <w:noProof/>
              <w:sz w:val="24"/>
              <w:szCs w:val="24"/>
              <w:lang w:val="en-US" w:eastAsia="en-US"/>
            </w:rPr>
          </w:pPr>
          <w:hyperlink w:anchor="_Toc100805802" w:history="1">
            <w:r w:rsidR="000B559C" w:rsidRPr="00466E4E">
              <w:rPr>
                <w:rStyle w:val="Hyperlink"/>
                <w:noProof/>
                <w:sz w:val="24"/>
                <w:szCs w:val="24"/>
              </w:rPr>
              <w:t xml:space="preserve"> Cultural differences</w:t>
            </w:r>
            <w:r w:rsidR="000B559C" w:rsidRPr="00466E4E">
              <w:rPr>
                <w:noProof/>
                <w:webHidden/>
                <w:sz w:val="24"/>
                <w:szCs w:val="24"/>
              </w:rPr>
              <w:tab/>
            </w:r>
            <w:r w:rsidRPr="00466E4E">
              <w:rPr>
                <w:noProof/>
                <w:webHidden/>
                <w:sz w:val="24"/>
                <w:szCs w:val="24"/>
              </w:rPr>
              <w:fldChar w:fldCharType="begin"/>
            </w:r>
            <w:r w:rsidR="000B559C" w:rsidRPr="00466E4E">
              <w:rPr>
                <w:noProof/>
                <w:webHidden/>
                <w:sz w:val="24"/>
                <w:szCs w:val="24"/>
              </w:rPr>
              <w:instrText xml:space="preserve"> PAGEREF _Toc100805802 \h </w:instrText>
            </w:r>
            <w:r w:rsidRPr="00466E4E">
              <w:rPr>
                <w:noProof/>
                <w:webHidden/>
                <w:sz w:val="24"/>
                <w:szCs w:val="24"/>
              </w:rPr>
            </w:r>
            <w:r w:rsidRPr="00466E4E">
              <w:rPr>
                <w:noProof/>
                <w:webHidden/>
                <w:sz w:val="24"/>
                <w:szCs w:val="24"/>
              </w:rPr>
              <w:fldChar w:fldCharType="separate"/>
            </w:r>
            <w:r w:rsidR="000B559C" w:rsidRPr="00466E4E">
              <w:rPr>
                <w:noProof/>
                <w:webHidden/>
                <w:sz w:val="24"/>
                <w:szCs w:val="24"/>
              </w:rPr>
              <w:t>5</w:t>
            </w:r>
            <w:r w:rsidRPr="00466E4E">
              <w:rPr>
                <w:noProof/>
                <w:webHidden/>
                <w:sz w:val="24"/>
                <w:szCs w:val="24"/>
              </w:rPr>
              <w:fldChar w:fldCharType="end"/>
            </w:r>
          </w:hyperlink>
        </w:p>
        <w:p w:rsidR="000B559C" w:rsidRPr="00466E4E" w:rsidRDefault="00783A6B" w:rsidP="000B559C">
          <w:pPr>
            <w:pStyle w:val="TOC1"/>
            <w:tabs>
              <w:tab w:val="right" w:leader="dot" w:pos="9019"/>
            </w:tabs>
            <w:spacing w:line="360" w:lineRule="auto"/>
            <w:rPr>
              <w:rFonts w:eastAsiaTheme="minorEastAsia"/>
              <w:noProof/>
              <w:sz w:val="24"/>
              <w:szCs w:val="24"/>
              <w:lang w:val="en-US" w:eastAsia="en-US"/>
            </w:rPr>
          </w:pPr>
          <w:hyperlink w:anchor="_Toc100805803" w:history="1">
            <w:r w:rsidR="000B559C" w:rsidRPr="00466E4E">
              <w:rPr>
                <w:rStyle w:val="Hyperlink"/>
                <w:noProof/>
                <w:sz w:val="24"/>
                <w:szCs w:val="24"/>
              </w:rPr>
              <w:t xml:space="preserve"> Cultural sensitivity</w:t>
            </w:r>
            <w:r w:rsidR="000B559C" w:rsidRPr="00466E4E">
              <w:rPr>
                <w:noProof/>
                <w:webHidden/>
                <w:sz w:val="24"/>
                <w:szCs w:val="24"/>
              </w:rPr>
              <w:tab/>
            </w:r>
            <w:r w:rsidRPr="00466E4E">
              <w:rPr>
                <w:noProof/>
                <w:webHidden/>
                <w:sz w:val="24"/>
                <w:szCs w:val="24"/>
              </w:rPr>
              <w:fldChar w:fldCharType="begin"/>
            </w:r>
            <w:r w:rsidR="000B559C" w:rsidRPr="00466E4E">
              <w:rPr>
                <w:noProof/>
                <w:webHidden/>
                <w:sz w:val="24"/>
                <w:szCs w:val="24"/>
              </w:rPr>
              <w:instrText xml:space="preserve"> PAGEREF _Toc100805803 \h </w:instrText>
            </w:r>
            <w:r w:rsidRPr="00466E4E">
              <w:rPr>
                <w:noProof/>
                <w:webHidden/>
                <w:sz w:val="24"/>
                <w:szCs w:val="24"/>
              </w:rPr>
            </w:r>
            <w:r w:rsidRPr="00466E4E">
              <w:rPr>
                <w:noProof/>
                <w:webHidden/>
                <w:sz w:val="24"/>
                <w:szCs w:val="24"/>
              </w:rPr>
              <w:fldChar w:fldCharType="separate"/>
            </w:r>
            <w:r w:rsidR="000B559C" w:rsidRPr="00466E4E">
              <w:rPr>
                <w:noProof/>
                <w:webHidden/>
                <w:sz w:val="24"/>
                <w:szCs w:val="24"/>
              </w:rPr>
              <w:t>6</w:t>
            </w:r>
            <w:r w:rsidRPr="00466E4E">
              <w:rPr>
                <w:noProof/>
                <w:webHidden/>
                <w:sz w:val="24"/>
                <w:szCs w:val="24"/>
              </w:rPr>
              <w:fldChar w:fldCharType="end"/>
            </w:r>
          </w:hyperlink>
        </w:p>
        <w:p w:rsidR="000B559C" w:rsidRPr="00466E4E" w:rsidRDefault="00783A6B" w:rsidP="000B559C">
          <w:pPr>
            <w:pStyle w:val="TOC1"/>
            <w:tabs>
              <w:tab w:val="right" w:leader="dot" w:pos="9019"/>
            </w:tabs>
            <w:spacing w:line="360" w:lineRule="auto"/>
            <w:rPr>
              <w:rFonts w:eastAsiaTheme="minorEastAsia"/>
              <w:noProof/>
              <w:sz w:val="24"/>
              <w:szCs w:val="24"/>
              <w:lang w:val="en-US" w:eastAsia="en-US"/>
            </w:rPr>
          </w:pPr>
          <w:hyperlink w:anchor="_Toc100805804" w:history="1">
            <w:r w:rsidR="000B559C" w:rsidRPr="00466E4E">
              <w:rPr>
                <w:rStyle w:val="Hyperlink"/>
                <w:noProof/>
                <w:sz w:val="24"/>
                <w:szCs w:val="24"/>
              </w:rPr>
              <w:t xml:space="preserve"> Challenges and communication barriers</w:t>
            </w:r>
            <w:r w:rsidR="000B559C" w:rsidRPr="00466E4E">
              <w:rPr>
                <w:noProof/>
                <w:webHidden/>
                <w:sz w:val="24"/>
                <w:szCs w:val="24"/>
              </w:rPr>
              <w:tab/>
            </w:r>
            <w:r w:rsidRPr="00466E4E">
              <w:rPr>
                <w:noProof/>
                <w:webHidden/>
                <w:sz w:val="24"/>
                <w:szCs w:val="24"/>
              </w:rPr>
              <w:fldChar w:fldCharType="begin"/>
            </w:r>
            <w:r w:rsidR="000B559C" w:rsidRPr="00466E4E">
              <w:rPr>
                <w:noProof/>
                <w:webHidden/>
                <w:sz w:val="24"/>
                <w:szCs w:val="24"/>
              </w:rPr>
              <w:instrText xml:space="preserve"> PAGEREF _Toc100805804 \h </w:instrText>
            </w:r>
            <w:r w:rsidRPr="00466E4E">
              <w:rPr>
                <w:noProof/>
                <w:webHidden/>
                <w:sz w:val="24"/>
                <w:szCs w:val="24"/>
              </w:rPr>
            </w:r>
            <w:r w:rsidRPr="00466E4E">
              <w:rPr>
                <w:noProof/>
                <w:webHidden/>
                <w:sz w:val="24"/>
                <w:szCs w:val="24"/>
              </w:rPr>
              <w:fldChar w:fldCharType="separate"/>
            </w:r>
            <w:r w:rsidR="000B559C" w:rsidRPr="00466E4E">
              <w:rPr>
                <w:noProof/>
                <w:webHidden/>
                <w:sz w:val="24"/>
                <w:szCs w:val="24"/>
              </w:rPr>
              <w:t>7</w:t>
            </w:r>
            <w:r w:rsidRPr="00466E4E">
              <w:rPr>
                <w:noProof/>
                <w:webHidden/>
                <w:sz w:val="24"/>
                <w:szCs w:val="24"/>
              </w:rPr>
              <w:fldChar w:fldCharType="end"/>
            </w:r>
          </w:hyperlink>
        </w:p>
        <w:p w:rsidR="000B559C" w:rsidRPr="00466E4E" w:rsidRDefault="00783A6B" w:rsidP="000B559C">
          <w:pPr>
            <w:pStyle w:val="TOC1"/>
            <w:tabs>
              <w:tab w:val="right" w:leader="dot" w:pos="9019"/>
            </w:tabs>
            <w:spacing w:line="360" w:lineRule="auto"/>
            <w:rPr>
              <w:rFonts w:eastAsiaTheme="minorEastAsia"/>
              <w:noProof/>
              <w:sz w:val="24"/>
              <w:szCs w:val="24"/>
              <w:lang w:val="en-US" w:eastAsia="en-US"/>
            </w:rPr>
          </w:pPr>
          <w:hyperlink w:anchor="_Toc100805805" w:history="1">
            <w:r w:rsidR="000B559C" w:rsidRPr="00466E4E">
              <w:rPr>
                <w:rStyle w:val="Hyperlink"/>
                <w:noProof/>
                <w:sz w:val="24"/>
                <w:szCs w:val="24"/>
              </w:rPr>
              <w:t xml:space="preserve"> Communication strategies and recommendation</w:t>
            </w:r>
            <w:r w:rsidR="000B559C" w:rsidRPr="00466E4E">
              <w:rPr>
                <w:noProof/>
                <w:webHidden/>
                <w:sz w:val="24"/>
                <w:szCs w:val="24"/>
              </w:rPr>
              <w:tab/>
            </w:r>
            <w:r w:rsidR="000978A2">
              <w:rPr>
                <w:noProof/>
                <w:webHidden/>
                <w:sz w:val="24"/>
                <w:szCs w:val="24"/>
              </w:rPr>
              <w:t>8</w:t>
            </w:r>
          </w:hyperlink>
        </w:p>
        <w:p w:rsidR="000B559C" w:rsidRPr="00466E4E" w:rsidRDefault="00783A6B" w:rsidP="000B559C">
          <w:pPr>
            <w:pStyle w:val="TOC1"/>
            <w:tabs>
              <w:tab w:val="right" w:leader="dot" w:pos="9019"/>
            </w:tabs>
            <w:spacing w:line="360" w:lineRule="auto"/>
            <w:rPr>
              <w:rFonts w:eastAsiaTheme="minorEastAsia"/>
              <w:noProof/>
              <w:sz w:val="24"/>
              <w:szCs w:val="24"/>
              <w:lang w:val="en-US" w:eastAsia="en-US"/>
            </w:rPr>
          </w:pPr>
          <w:hyperlink w:anchor="_Toc100805806" w:history="1">
            <w:r w:rsidR="000B559C" w:rsidRPr="00466E4E">
              <w:rPr>
                <w:rStyle w:val="Hyperlink"/>
                <w:noProof/>
                <w:sz w:val="24"/>
                <w:szCs w:val="24"/>
              </w:rPr>
              <w:t xml:space="preserve"> Conclusion</w:t>
            </w:r>
            <w:r w:rsidR="000B559C" w:rsidRPr="00466E4E">
              <w:rPr>
                <w:noProof/>
                <w:webHidden/>
                <w:sz w:val="24"/>
                <w:szCs w:val="24"/>
              </w:rPr>
              <w:tab/>
            </w:r>
            <w:r w:rsidR="000978A2">
              <w:rPr>
                <w:noProof/>
                <w:webHidden/>
                <w:sz w:val="24"/>
                <w:szCs w:val="24"/>
              </w:rPr>
              <w:t>9</w:t>
            </w:r>
          </w:hyperlink>
        </w:p>
        <w:p w:rsidR="000B559C" w:rsidRPr="0026772F" w:rsidRDefault="00D25DDF" w:rsidP="000B559C">
          <w:pPr>
            <w:pStyle w:val="TOC1"/>
            <w:tabs>
              <w:tab w:val="right" w:leader="dot" w:pos="9019"/>
            </w:tabs>
            <w:spacing w:line="360" w:lineRule="auto"/>
            <w:rPr>
              <w:rFonts w:ascii="Times New Roman" w:eastAsiaTheme="minorEastAsia" w:hAnsi="Times New Roman" w:cs="Times New Roman"/>
              <w:noProof/>
              <w:sz w:val="24"/>
              <w:szCs w:val="24"/>
              <w:lang w:val="en-US" w:eastAsia="en-US"/>
            </w:rPr>
          </w:pPr>
          <w:r>
            <w:t xml:space="preserve"> </w:t>
          </w:r>
          <w:hyperlink w:anchor="_Toc100805807" w:history="1">
            <w:r w:rsidR="000B559C" w:rsidRPr="00466E4E">
              <w:rPr>
                <w:rStyle w:val="Hyperlink"/>
                <w:noProof/>
                <w:sz w:val="24"/>
                <w:szCs w:val="24"/>
              </w:rPr>
              <w:t>Reference list</w:t>
            </w:r>
            <w:r w:rsidR="000B559C" w:rsidRPr="00466E4E">
              <w:rPr>
                <w:noProof/>
                <w:webHidden/>
                <w:sz w:val="24"/>
                <w:szCs w:val="24"/>
              </w:rPr>
              <w:tab/>
            </w:r>
            <w:r w:rsidR="00783A6B" w:rsidRPr="00466E4E">
              <w:rPr>
                <w:noProof/>
                <w:webHidden/>
                <w:sz w:val="24"/>
                <w:szCs w:val="24"/>
              </w:rPr>
              <w:fldChar w:fldCharType="begin"/>
            </w:r>
            <w:r w:rsidR="000B559C" w:rsidRPr="00466E4E">
              <w:rPr>
                <w:noProof/>
                <w:webHidden/>
                <w:sz w:val="24"/>
                <w:szCs w:val="24"/>
              </w:rPr>
              <w:instrText xml:space="preserve"> PAGEREF _Toc100805807 \h </w:instrText>
            </w:r>
            <w:r w:rsidR="00783A6B" w:rsidRPr="00466E4E">
              <w:rPr>
                <w:noProof/>
                <w:webHidden/>
                <w:sz w:val="24"/>
                <w:szCs w:val="24"/>
              </w:rPr>
            </w:r>
            <w:r w:rsidR="00783A6B" w:rsidRPr="00466E4E">
              <w:rPr>
                <w:noProof/>
                <w:webHidden/>
                <w:sz w:val="24"/>
                <w:szCs w:val="24"/>
              </w:rPr>
              <w:fldChar w:fldCharType="separate"/>
            </w:r>
            <w:r w:rsidR="000B559C" w:rsidRPr="00466E4E">
              <w:rPr>
                <w:noProof/>
                <w:webHidden/>
                <w:sz w:val="24"/>
                <w:szCs w:val="24"/>
              </w:rPr>
              <w:t>10</w:t>
            </w:r>
            <w:r w:rsidR="00783A6B" w:rsidRPr="00466E4E">
              <w:rPr>
                <w:noProof/>
                <w:webHidden/>
                <w:sz w:val="24"/>
                <w:szCs w:val="24"/>
              </w:rPr>
              <w:fldChar w:fldCharType="end"/>
            </w:r>
          </w:hyperlink>
        </w:p>
        <w:p w:rsidR="000B559C" w:rsidRDefault="00783A6B" w:rsidP="000B559C">
          <w:pPr>
            <w:spacing w:line="360" w:lineRule="auto"/>
            <w:jc w:val="center"/>
            <w:rPr>
              <w:rFonts w:ascii="Times New Roman" w:hAnsi="Times New Roman" w:cs="Times New Roman"/>
              <w:b/>
              <w:bCs/>
              <w:noProof/>
              <w:sz w:val="24"/>
              <w:szCs w:val="24"/>
            </w:rPr>
          </w:pPr>
          <w:r w:rsidRPr="0026772F">
            <w:rPr>
              <w:rFonts w:ascii="Times New Roman" w:hAnsi="Times New Roman" w:cs="Times New Roman"/>
              <w:b/>
              <w:bCs/>
              <w:noProof/>
              <w:sz w:val="24"/>
              <w:szCs w:val="24"/>
            </w:rPr>
            <w:fldChar w:fldCharType="end"/>
          </w:r>
        </w:p>
      </w:sdtContent>
    </w:sdt>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Default="000B559C"/>
    <w:p w:rsidR="000B559C" w:rsidRPr="00466E4E" w:rsidRDefault="000B559C" w:rsidP="000B559C">
      <w:pPr>
        <w:pStyle w:val="Heading1"/>
        <w:rPr>
          <w:rFonts w:ascii="Arial" w:hAnsi="Arial" w:cs="Arial"/>
          <w:color w:val="auto"/>
        </w:rPr>
      </w:pPr>
      <w:bookmarkStart w:id="0" w:name="_Toc100805800"/>
      <w:r w:rsidRPr="00466E4E">
        <w:rPr>
          <w:rFonts w:ascii="Arial" w:hAnsi="Arial" w:cs="Arial"/>
          <w:color w:val="auto"/>
        </w:rPr>
        <w:lastRenderedPageBreak/>
        <w:t xml:space="preserve"> Introduction</w:t>
      </w:r>
      <w:bookmarkEnd w:id="0"/>
    </w:p>
    <w:p w:rsidR="000B559C" w:rsidRPr="00466E4E" w:rsidRDefault="000B559C" w:rsidP="000B559C">
      <w:pPr>
        <w:spacing w:line="360" w:lineRule="auto"/>
        <w:jc w:val="both"/>
        <w:rPr>
          <w:rFonts w:eastAsia="Times New Roman"/>
          <w:sz w:val="24"/>
          <w:szCs w:val="24"/>
        </w:rPr>
      </w:pPr>
      <w:r w:rsidRPr="00466E4E">
        <w:rPr>
          <w:rFonts w:eastAsia="Times New Roman"/>
          <w:sz w:val="24"/>
          <w:szCs w:val="24"/>
        </w:rPr>
        <w:t>Communication always serves an important role in international business practices and sometimes an effective array of communication can differentiate the growth and fall of a new product. In general, the growth and fall of new products are always dependent on making a sense of communication regarding internal and external business practices. A wide range of views is available pertaining to communication which includes</w:t>
      </w:r>
      <w:r w:rsidRPr="00466E4E">
        <w:rPr>
          <w:rFonts w:eastAsia="Times New Roman"/>
          <w:b/>
          <w:i/>
          <w:sz w:val="24"/>
          <w:szCs w:val="24"/>
        </w:rPr>
        <w:t xml:space="preserve"> </w:t>
      </w:r>
      <w:r w:rsidRPr="00466E4E">
        <w:rPr>
          <w:rFonts w:eastAsia="Times New Roman"/>
          <w:sz w:val="24"/>
          <w:szCs w:val="24"/>
        </w:rPr>
        <w:t>interpersonal, group, public, interpersonal, and mass communication.</w:t>
      </w:r>
      <w:r w:rsidRPr="00466E4E">
        <w:rPr>
          <w:rFonts w:eastAsia="Times New Roman"/>
          <w:b/>
          <w:i/>
          <w:sz w:val="24"/>
          <w:szCs w:val="24"/>
        </w:rPr>
        <w:t xml:space="preserve"> </w:t>
      </w:r>
      <w:r w:rsidRPr="00466E4E">
        <w:rPr>
          <w:rFonts w:eastAsia="Times New Roman"/>
          <w:sz w:val="24"/>
          <w:szCs w:val="24"/>
        </w:rPr>
        <w:t>Apart from that, communication strategies include downward, upward, horizontal communication</w:t>
      </w:r>
      <w:r w:rsidRPr="00466E4E">
        <w:rPr>
          <w:rFonts w:eastAsia="Times New Roman"/>
          <w:b/>
          <w:i/>
          <w:sz w:val="24"/>
          <w:szCs w:val="24"/>
        </w:rPr>
        <w:t xml:space="preserve">, </w:t>
      </w:r>
      <w:r w:rsidRPr="00466E4E">
        <w:rPr>
          <w:rFonts w:eastAsia="Times New Roman"/>
          <w:sz w:val="24"/>
          <w:szCs w:val="24"/>
        </w:rPr>
        <w:t>and an array of nonverbal communication. Nonverbal communications are most common in international business communication. In the case of new startups</w:t>
      </w:r>
      <w:r w:rsidRPr="00466E4E">
        <w:rPr>
          <w:rFonts w:eastAsia="Times New Roman"/>
          <w:b/>
          <w:sz w:val="24"/>
          <w:szCs w:val="24"/>
        </w:rPr>
        <w:t xml:space="preserve">, </w:t>
      </w:r>
      <w:r w:rsidRPr="00466E4E">
        <w:rPr>
          <w:rFonts w:eastAsia="Times New Roman"/>
          <w:sz w:val="24"/>
          <w:szCs w:val="24"/>
        </w:rPr>
        <w:t>breaking down cultural barriers</w:t>
      </w:r>
      <w:r w:rsidRPr="00466E4E">
        <w:rPr>
          <w:rFonts w:eastAsia="Times New Roman"/>
          <w:b/>
          <w:i/>
          <w:sz w:val="24"/>
          <w:szCs w:val="24"/>
        </w:rPr>
        <w:t xml:space="preserve"> </w:t>
      </w:r>
      <w:r w:rsidRPr="00466E4E">
        <w:rPr>
          <w:rFonts w:eastAsia="Times New Roman"/>
          <w:sz w:val="24"/>
          <w:szCs w:val="24"/>
        </w:rPr>
        <w:t xml:space="preserve">and building awareness of cultural norms are the first and foremost crucial aspects. Enhancement of self-awareness and communication is also important for increasing the revenue in both national and international contexts. </w:t>
      </w:r>
    </w:p>
    <w:p w:rsidR="000B559C" w:rsidRPr="00466E4E" w:rsidRDefault="000B559C" w:rsidP="000B559C">
      <w:pPr>
        <w:spacing w:line="360" w:lineRule="auto"/>
        <w:jc w:val="both"/>
        <w:rPr>
          <w:rFonts w:eastAsia="Times New Roman"/>
          <w:sz w:val="24"/>
          <w:szCs w:val="24"/>
        </w:rPr>
      </w:pPr>
      <w:r w:rsidRPr="00466E4E">
        <w:rPr>
          <w:rFonts w:eastAsia="Times New Roman"/>
          <w:sz w:val="24"/>
          <w:szCs w:val="24"/>
        </w:rPr>
        <w:t>This report is about a critical evaluation of the cultural sensitivity in case of opening a production hub in a new country. A UK-based company has taken some initiative for moving their own production to Myanmar</w:t>
      </w:r>
      <w:r w:rsidRPr="00466E4E">
        <w:rPr>
          <w:rFonts w:eastAsia="Times New Roman"/>
          <w:b/>
          <w:i/>
          <w:sz w:val="24"/>
          <w:szCs w:val="24"/>
        </w:rPr>
        <w:t xml:space="preserve">. </w:t>
      </w:r>
      <w:r w:rsidRPr="00466E4E">
        <w:rPr>
          <w:rFonts w:eastAsia="Times New Roman"/>
          <w:sz w:val="24"/>
          <w:szCs w:val="24"/>
        </w:rPr>
        <w:t xml:space="preserve">As UK and Myanmar are completely two different countries in culture and sensitivity then analysis of the communication barrier is also important. This study is also going to talk about the culture of Myanmar and appropriate recommendations to mitigate communication barriers. In the case of least developed countries, local production sites offer less sustainability for both local society and multinational corporations. The corporation often hesitates regarding uncertain environmental influences that are present throughout the country. Hence, culture and communication barriers must need to be mitigated for enhancing the production rate. For example, routes of shortest transport, and logistics costs of customers are always dependent on a good communication system. Moreover, this study also focuses on understanding cultural sensitivity in terms of comparison between Myanmar and the UK. </w:t>
      </w:r>
    </w:p>
    <w:p w:rsidR="000B559C" w:rsidRPr="00166565" w:rsidRDefault="000B559C" w:rsidP="000B559C">
      <w:pPr>
        <w:pStyle w:val="Heading1"/>
        <w:rPr>
          <w:rFonts w:ascii="Arial" w:hAnsi="Arial" w:cs="Arial"/>
          <w:color w:val="auto"/>
        </w:rPr>
      </w:pPr>
      <w:bookmarkStart w:id="1" w:name="_db8ikvwi6l3t" w:colFirst="0" w:colLast="0"/>
      <w:bookmarkStart w:id="2" w:name="_Toc100805801"/>
      <w:bookmarkEnd w:id="1"/>
      <w:r w:rsidRPr="00166565">
        <w:rPr>
          <w:rFonts w:ascii="Arial" w:hAnsi="Arial" w:cs="Arial"/>
          <w:color w:val="auto"/>
        </w:rPr>
        <w:t xml:space="preserve"> Introduction to the country</w:t>
      </w:r>
      <w:bookmarkEnd w:id="2"/>
    </w:p>
    <w:p w:rsidR="000B559C" w:rsidRPr="00166565" w:rsidRDefault="000B559C" w:rsidP="009B6621">
      <w:pPr>
        <w:rPr>
          <w:rFonts w:eastAsia="Times New Roman"/>
          <w:sz w:val="24"/>
          <w:szCs w:val="24"/>
        </w:rPr>
      </w:pPr>
      <w:r w:rsidRPr="00166565">
        <w:rPr>
          <w:rFonts w:eastAsia="Times New Roman"/>
          <w:sz w:val="24"/>
          <w:szCs w:val="24"/>
        </w:rPr>
        <w:t>A developing country is always dependent on the population culture, economy, language, workforce, and technological advancements. All of the cultural aspects are dependent on the politics and policies pertaining to a country. In the case of Myanmar, a rocky transformation has been observed in their politics by a crashed</w:t>
      </w:r>
      <w:r w:rsidRPr="00166565">
        <w:rPr>
          <w:rFonts w:eastAsia="Times New Roman"/>
          <w:b/>
          <w:i/>
          <w:sz w:val="24"/>
          <w:szCs w:val="24"/>
        </w:rPr>
        <w:t xml:space="preserve"> </w:t>
      </w:r>
      <w:r w:rsidRPr="00166565">
        <w:rPr>
          <w:rFonts w:eastAsia="Times New Roman"/>
          <w:sz w:val="24"/>
          <w:szCs w:val="24"/>
        </w:rPr>
        <w:t>economy and violence</w:t>
      </w:r>
      <w:r w:rsidRPr="00166565">
        <w:rPr>
          <w:rFonts w:eastAsia="Times New Roman"/>
          <w:b/>
          <w:i/>
          <w:sz w:val="24"/>
          <w:szCs w:val="24"/>
        </w:rPr>
        <w:t xml:space="preserve">. </w:t>
      </w:r>
      <w:r w:rsidRPr="00166565">
        <w:rPr>
          <w:rFonts w:eastAsia="Times New Roman"/>
          <w:sz w:val="24"/>
          <w:szCs w:val="24"/>
        </w:rPr>
        <w:t xml:space="preserve">Violence in this country is at an all-time high. Conflict is a </w:t>
      </w:r>
      <w:r w:rsidRPr="00166565">
        <w:rPr>
          <w:rFonts w:eastAsia="Times New Roman"/>
          <w:sz w:val="24"/>
          <w:szCs w:val="24"/>
        </w:rPr>
        <w:lastRenderedPageBreak/>
        <w:t>very big reality in this country despite the intervention of the military (</w:t>
      </w:r>
      <w:r w:rsidRPr="00166565">
        <w:rPr>
          <w:rFonts w:eastAsia="Times New Roman"/>
          <w:color w:val="222222"/>
          <w:sz w:val="24"/>
          <w:szCs w:val="24"/>
          <w:highlight w:val="white"/>
        </w:rPr>
        <w:t>South, 2018</w:t>
      </w:r>
      <w:r w:rsidRPr="00166565">
        <w:rPr>
          <w:rFonts w:eastAsia="Times New Roman"/>
          <w:sz w:val="24"/>
          <w:szCs w:val="24"/>
        </w:rPr>
        <w:t>). Problems are present throughout the country</w:t>
      </w:r>
      <w:r w:rsidR="009B6621">
        <w:rPr>
          <w:rFonts w:eastAsia="Times New Roman"/>
          <w:sz w:val="24"/>
          <w:szCs w:val="24"/>
        </w:rPr>
        <w:t xml:space="preserve"> </w:t>
      </w:r>
      <w:r w:rsidRPr="00166565">
        <w:rPr>
          <w:rFonts w:eastAsia="Times New Roman"/>
          <w:sz w:val="24"/>
          <w:szCs w:val="24"/>
        </w:rPr>
        <w:t>regarding minorities. A huge corruption racket is present that has become fostered by transnational criminal groups</w:t>
      </w:r>
      <w:r w:rsidRPr="00166565">
        <w:rPr>
          <w:rFonts w:eastAsia="Times New Roman"/>
          <w:b/>
          <w:i/>
          <w:sz w:val="24"/>
          <w:szCs w:val="24"/>
        </w:rPr>
        <w:t xml:space="preserve">. </w:t>
      </w:r>
      <w:r w:rsidRPr="00166565">
        <w:rPr>
          <w:rFonts w:eastAsia="Times New Roman"/>
          <w:sz w:val="24"/>
          <w:szCs w:val="24"/>
        </w:rPr>
        <w:t>In the case of international relations, it can be seen that the Government of Myanmar has a huge responsibility to develop China, Myanmar's economic corridor</w:t>
      </w:r>
      <w:r w:rsidRPr="00166565">
        <w:rPr>
          <w:rFonts w:eastAsia="Times New Roman"/>
          <w:b/>
          <w:i/>
          <w:sz w:val="24"/>
          <w:szCs w:val="24"/>
        </w:rPr>
        <w:t xml:space="preserve"> </w:t>
      </w:r>
      <w:r w:rsidRPr="00166565">
        <w:rPr>
          <w:rFonts w:eastAsia="Times New Roman"/>
          <w:sz w:val="24"/>
          <w:szCs w:val="24"/>
        </w:rPr>
        <w:t xml:space="preserve">with success. </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The economy</w:t>
      </w:r>
      <w:r w:rsidRPr="00166565">
        <w:rPr>
          <w:rFonts w:eastAsia="Times New Roman"/>
          <w:b/>
          <w:i/>
          <w:sz w:val="24"/>
          <w:szCs w:val="24"/>
        </w:rPr>
        <w:t xml:space="preserve"> </w:t>
      </w:r>
      <w:r w:rsidRPr="00166565">
        <w:rPr>
          <w:rFonts w:eastAsia="Times New Roman"/>
          <w:sz w:val="24"/>
          <w:szCs w:val="24"/>
        </w:rPr>
        <w:t>of Myanmar is completely based on agro products. The country has a very weak economy in comparison to its neighbouring country. Some indirect channels are present throughout this country such as processing, and marketing</w:t>
      </w:r>
      <w:r w:rsidRPr="00166565">
        <w:rPr>
          <w:rFonts w:eastAsia="Times New Roman"/>
          <w:b/>
          <w:i/>
          <w:sz w:val="24"/>
          <w:szCs w:val="24"/>
        </w:rPr>
        <w:t xml:space="preserve"> </w:t>
      </w:r>
      <w:r w:rsidRPr="00166565">
        <w:rPr>
          <w:rFonts w:eastAsia="Times New Roman"/>
          <w:sz w:val="24"/>
          <w:szCs w:val="24"/>
        </w:rPr>
        <w:t>that is based on agriculture. Due to the enhancement of the covid 19, it has been observed that the GDP of the country has fallen down to 0.8%</w:t>
      </w:r>
      <w:r w:rsidRPr="00166565">
        <w:rPr>
          <w:rFonts w:eastAsia="Times New Roman"/>
          <w:b/>
          <w:i/>
          <w:sz w:val="24"/>
          <w:szCs w:val="24"/>
        </w:rPr>
        <w:t xml:space="preserve"> </w:t>
      </w:r>
      <w:r w:rsidRPr="00166565">
        <w:rPr>
          <w:rFonts w:eastAsia="Times New Roman"/>
          <w:sz w:val="24"/>
          <w:szCs w:val="24"/>
        </w:rPr>
        <w:t>in the year 2020 (Headey et al</w:t>
      </w:r>
      <w:r w:rsidRPr="00166565">
        <w:rPr>
          <w:rFonts w:eastAsia="Times New Roman"/>
          <w:i/>
          <w:sz w:val="24"/>
          <w:szCs w:val="24"/>
        </w:rPr>
        <w:t xml:space="preserve">. </w:t>
      </w:r>
      <w:r w:rsidRPr="00166565">
        <w:rPr>
          <w:rFonts w:eastAsia="Times New Roman"/>
          <w:sz w:val="24"/>
          <w:szCs w:val="24"/>
        </w:rPr>
        <w:t xml:space="preserve">2020). The country is also based on tourism which has been affected due to the outbreak of the virus. </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The people of Myanmar are very religious, which can be observed by their modest dress. Apart from that, the culture of Myanmar</w:t>
      </w:r>
      <w:r w:rsidRPr="00166565">
        <w:rPr>
          <w:rFonts w:eastAsia="Times New Roman"/>
          <w:b/>
          <w:i/>
          <w:sz w:val="24"/>
          <w:szCs w:val="24"/>
        </w:rPr>
        <w:t xml:space="preserve"> </w:t>
      </w:r>
      <w:r w:rsidRPr="00166565">
        <w:rPr>
          <w:rFonts w:eastAsia="Times New Roman"/>
          <w:sz w:val="24"/>
          <w:szCs w:val="24"/>
        </w:rPr>
        <w:t>has also been influenced by an excellent array of architecture. Their culture is completely based on theatrical</w:t>
      </w:r>
      <w:r w:rsidRPr="00166565">
        <w:rPr>
          <w:rFonts w:eastAsia="Times New Roman"/>
          <w:b/>
          <w:i/>
          <w:sz w:val="24"/>
          <w:szCs w:val="24"/>
        </w:rPr>
        <w:t xml:space="preserve"> </w:t>
      </w:r>
      <w:r w:rsidRPr="00166565">
        <w:rPr>
          <w:rFonts w:eastAsia="Times New Roman"/>
          <w:sz w:val="24"/>
          <w:szCs w:val="24"/>
        </w:rPr>
        <w:t>performances</w:t>
      </w:r>
      <w:r w:rsidRPr="00166565">
        <w:rPr>
          <w:rFonts w:eastAsia="Times New Roman"/>
          <w:b/>
          <w:i/>
          <w:sz w:val="24"/>
          <w:szCs w:val="24"/>
        </w:rPr>
        <w:t xml:space="preserve"> </w:t>
      </w:r>
      <w:r w:rsidRPr="00166565">
        <w:rPr>
          <w:rFonts w:eastAsia="Times New Roman"/>
          <w:sz w:val="24"/>
          <w:szCs w:val="24"/>
        </w:rPr>
        <w:t>and dancing.</w:t>
      </w:r>
      <w:r w:rsidRPr="00166565">
        <w:rPr>
          <w:rFonts w:eastAsia="Times New Roman"/>
          <w:b/>
          <w:i/>
          <w:sz w:val="24"/>
          <w:szCs w:val="24"/>
        </w:rPr>
        <w:t xml:space="preserve"> </w:t>
      </w:r>
      <w:r w:rsidRPr="00166565">
        <w:rPr>
          <w:rFonts w:eastAsia="Times New Roman"/>
          <w:sz w:val="24"/>
          <w:szCs w:val="24"/>
        </w:rPr>
        <w:t>Beautiful costumes and complex routines of dance are available in this scenario. Most of the pagodas</w:t>
      </w:r>
      <w:r w:rsidRPr="00166565">
        <w:rPr>
          <w:rFonts w:eastAsia="Times New Roman"/>
          <w:b/>
          <w:i/>
          <w:sz w:val="24"/>
          <w:szCs w:val="24"/>
        </w:rPr>
        <w:t xml:space="preserve"> </w:t>
      </w:r>
      <w:r w:rsidRPr="00166565">
        <w:rPr>
          <w:rFonts w:eastAsia="Times New Roman"/>
          <w:sz w:val="24"/>
          <w:szCs w:val="24"/>
        </w:rPr>
        <w:t xml:space="preserve">and religious sites are well decorated and maintained in prime condition. </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Technological factors</w:t>
      </w:r>
      <w:r w:rsidRPr="00166565">
        <w:rPr>
          <w:rFonts w:eastAsia="Times New Roman"/>
          <w:b/>
          <w:i/>
          <w:sz w:val="24"/>
          <w:szCs w:val="24"/>
        </w:rPr>
        <w:t xml:space="preserve"> </w:t>
      </w:r>
      <w:r w:rsidRPr="00166565">
        <w:rPr>
          <w:rFonts w:eastAsia="Times New Roman"/>
          <w:sz w:val="24"/>
          <w:szCs w:val="24"/>
        </w:rPr>
        <w:t>of Myanmar show that the majority of young people are technologically able. Traditional methods of e-commerce have been followed in this country with the aid of the 4G connection establishment</w:t>
      </w:r>
      <w:r w:rsidRPr="00166565">
        <w:rPr>
          <w:rFonts w:eastAsia="Times New Roman"/>
          <w:b/>
          <w:i/>
          <w:sz w:val="24"/>
          <w:szCs w:val="24"/>
        </w:rPr>
        <w:t xml:space="preserve"> </w:t>
      </w:r>
      <w:r w:rsidRPr="00166565">
        <w:rPr>
          <w:rFonts w:eastAsia="Times New Roman"/>
          <w:sz w:val="24"/>
          <w:szCs w:val="24"/>
        </w:rPr>
        <w:t>(Myint et al</w:t>
      </w:r>
      <w:r w:rsidRPr="00166565">
        <w:rPr>
          <w:rFonts w:eastAsia="Times New Roman"/>
          <w:i/>
          <w:sz w:val="24"/>
          <w:szCs w:val="24"/>
        </w:rPr>
        <w:t xml:space="preserve">. </w:t>
      </w:r>
      <w:r w:rsidRPr="00166565">
        <w:rPr>
          <w:rFonts w:eastAsia="Times New Roman"/>
          <w:sz w:val="24"/>
          <w:szCs w:val="24"/>
        </w:rPr>
        <w:t>2020)</w:t>
      </w:r>
      <w:r w:rsidRPr="00166565">
        <w:rPr>
          <w:rFonts w:eastAsia="Times New Roman"/>
          <w:b/>
          <w:i/>
          <w:sz w:val="24"/>
          <w:szCs w:val="24"/>
        </w:rPr>
        <w:t xml:space="preserve">. </w:t>
      </w:r>
      <w:r w:rsidRPr="00166565">
        <w:rPr>
          <w:rFonts w:eastAsia="Times New Roman"/>
          <w:sz w:val="24"/>
          <w:szCs w:val="24"/>
        </w:rPr>
        <w:t>Leveraging the internet and smartphones is also observed in this country in terms of spur innovation. Improvement of livelihood and digital technologies has also driven the economic growth of the country. Myanmar also has a wide range of technological markets with a very promising ICT sector. Cloud-based services</w:t>
      </w:r>
      <w:r w:rsidRPr="00166565">
        <w:rPr>
          <w:rFonts w:eastAsia="Times New Roman"/>
          <w:b/>
          <w:i/>
          <w:sz w:val="24"/>
          <w:szCs w:val="24"/>
        </w:rPr>
        <w:t xml:space="preserve"> </w:t>
      </w:r>
      <w:r w:rsidRPr="00166565">
        <w:rPr>
          <w:rFonts w:eastAsia="Times New Roman"/>
          <w:sz w:val="24"/>
          <w:szCs w:val="24"/>
        </w:rPr>
        <w:t>are considered to be developed in this country by changes in Government policies. Changes in government policies are based on encouraging people</w:t>
      </w:r>
      <w:r w:rsidRPr="00166565">
        <w:rPr>
          <w:rFonts w:eastAsia="Times New Roman"/>
          <w:b/>
          <w:i/>
          <w:sz w:val="24"/>
          <w:szCs w:val="24"/>
        </w:rPr>
        <w:t xml:space="preserve"> </w:t>
      </w:r>
      <w:r w:rsidRPr="00166565">
        <w:rPr>
          <w:rFonts w:eastAsia="Times New Roman"/>
          <w:sz w:val="24"/>
          <w:szCs w:val="24"/>
        </w:rPr>
        <w:t>to acquire digital skills. Technological development of Malaysia has succeeded also in the case of health and wellbeing (Dabak et al</w:t>
      </w:r>
      <w:r w:rsidRPr="00166565">
        <w:rPr>
          <w:rFonts w:eastAsia="Times New Roman"/>
          <w:i/>
          <w:sz w:val="24"/>
          <w:szCs w:val="24"/>
        </w:rPr>
        <w:t xml:space="preserve">. </w:t>
      </w:r>
      <w:r w:rsidRPr="00166565">
        <w:rPr>
          <w:rFonts w:eastAsia="Times New Roman"/>
          <w:sz w:val="24"/>
          <w:szCs w:val="24"/>
        </w:rPr>
        <w:t xml:space="preserve">2019). </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The government of this country has focused more on making laws that enable foreign investment in this country. New laws ensure the consistency of this country with the aid of reliability and accountability to the business policies. Business policies of this country have invested up to 35% equity</w:t>
      </w:r>
      <w:r w:rsidRPr="00166565">
        <w:rPr>
          <w:rFonts w:eastAsia="Times New Roman"/>
          <w:b/>
          <w:i/>
          <w:sz w:val="24"/>
          <w:szCs w:val="24"/>
        </w:rPr>
        <w:t xml:space="preserve"> </w:t>
      </w:r>
      <w:r w:rsidRPr="00166565">
        <w:rPr>
          <w:rFonts w:eastAsia="Times New Roman"/>
          <w:sz w:val="24"/>
          <w:szCs w:val="24"/>
        </w:rPr>
        <w:t xml:space="preserve">into a local company that might enable a partnership to emerge between local businesses people and foreign investors. Foreign investors are able to conduct wholesale retail businesses on their </w:t>
      </w:r>
      <w:r w:rsidRPr="00166565">
        <w:rPr>
          <w:rFonts w:eastAsia="Times New Roman"/>
          <w:sz w:val="24"/>
          <w:szCs w:val="24"/>
        </w:rPr>
        <w:lastRenderedPageBreak/>
        <w:t>own influence in Myanmar. In the case of employment, it has been observed that the employment rate was 99%</w:t>
      </w:r>
      <w:r w:rsidRPr="00166565">
        <w:rPr>
          <w:rFonts w:eastAsia="Times New Roman"/>
          <w:b/>
          <w:i/>
          <w:sz w:val="24"/>
          <w:szCs w:val="24"/>
        </w:rPr>
        <w:t xml:space="preserve"> </w:t>
      </w:r>
      <w:r w:rsidRPr="00166565">
        <w:rPr>
          <w:rFonts w:eastAsia="Times New Roman"/>
          <w:sz w:val="24"/>
          <w:szCs w:val="24"/>
        </w:rPr>
        <w:t>observed in between 2010-and 2018. The labour force of this country is observed to be 36.56 million</w:t>
      </w:r>
      <w:r w:rsidRPr="00166565">
        <w:rPr>
          <w:rFonts w:eastAsia="Times New Roman"/>
          <w:b/>
          <w:i/>
          <w:sz w:val="24"/>
          <w:szCs w:val="24"/>
        </w:rPr>
        <w:t xml:space="preserve"> </w:t>
      </w:r>
      <w:r w:rsidRPr="00166565">
        <w:rPr>
          <w:rFonts w:eastAsia="Times New Roman"/>
          <w:sz w:val="24"/>
          <w:szCs w:val="24"/>
        </w:rPr>
        <w:t>whereas the pp</w:t>
      </w:r>
      <w:r w:rsidRPr="00166565">
        <w:rPr>
          <w:rFonts w:eastAsia="Times New Roman"/>
          <w:b/>
          <w:i/>
          <w:sz w:val="24"/>
          <w:szCs w:val="24"/>
        </w:rPr>
        <w:t xml:space="preserve">. </w:t>
      </w:r>
      <w:r w:rsidRPr="00166565">
        <w:rPr>
          <w:rFonts w:eastAsia="Times New Roman"/>
          <w:sz w:val="24"/>
          <w:szCs w:val="24"/>
        </w:rPr>
        <w:t>The official language of this country is Burmese</w:t>
      </w:r>
      <w:r w:rsidRPr="00166565">
        <w:rPr>
          <w:rFonts w:eastAsia="Times New Roman"/>
          <w:b/>
          <w:i/>
          <w:sz w:val="24"/>
          <w:szCs w:val="24"/>
        </w:rPr>
        <w:t xml:space="preserve"> </w:t>
      </w:r>
      <w:r w:rsidRPr="00166565">
        <w:rPr>
          <w:rFonts w:eastAsia="Times New Roman"/>
          <w:sz w:val="24"/>
          <w:szCs w:val="24"/>
        </w:rPr>
        <w:t>but during the colonial period, the official language of this country became English</w:t>
      </w:r>
      <w:r w:rsidRPr="00166565">
        <w:rPr>
          <w:rFonts w:eastAsia="Times New Roman"/>
          <w:b/>
          <w:i/>
          <w:sz w:val="24"/>
          <w:szCs w:val="24"/>
        </w:rPr>
        <w:t xml:space="preserve">. </w:t>
      </w:r>
      <w:r w:rsidRPr="00166565">
        <w:rPr>
          <w:rFonts w:eastAsia="Times New Roman"/>
          <w:sz w:val="24"/>
          <w:szCs w:val="24"/>
        </w:rPr>
        <w:t xml:space="preserve">Apart from that, there are almost 100 languages present throughout this country. </w:t>
      </w:r>
    </w:p>
    <w:p w:rsidR="000B559C" w:rsidRPr="00166565" w:rsidRDefault="000B559C" w:rsidP="000B559C">
      <w:pPr>
        <w:pStyle w:val="Heading1"/>
        <w:rPr>
          <w:rFonts w:ascii="Arial" w:hAnsi="Arial" w:cs="Arial"/>
          <w:color w:val="auto"/>
        </w:rPr>
      </w:pPr>
      <w:bookmarkStart w:id="3" w:name="_jkx56o64kcc4" w:colFirst="0" w:colLast="0"/>
      <w:bookmarkStart w:id="4" w:name="_Toc100805802"/>
      <w:bookmarkEnd w:id="3"/>
      <w:r w:rsidRPr="00166565">
        <w:rPr>
          <w:rFonts w:ascii="Arial" w:hAnsi="Arial" w:cs="Arial"/>
          <w:color w:val="auto"/>
        </w:rPr>
        <w:t xml:space="preserve"> Cultural differences</w:t>
      </w:r>
      <w:bookmarkEnd w:id="4"/>
    </w:p>
    <w:p w:rsidR="000B559C" w:rsidRPr="00166565" w:rsidRDefault="000B559C" w:rsidP="000B559C">
      <w:pPr>
        <w:spacing w:line="360" w:lineRule="auto"/>
        <w:jc w:val="both"/>
        <w:rPr>
          <w:rFonts w:eastAsia="Times New Roman"/>
          <w:b/>
          <w:i/>
          <w:sz w:val="24"/>
          <w:szCs w:val="24"/>
        </w:rPr>
      </w:pPr>
      <w:r w:rsidRPr="00166565">
        <w:rPr>
          <w:rFonts w:eastAsia="Times New Roman"/>
          <w:sz w:val="24"/>
          <w:szCs w:val="24"/>
        </w:rPr>
        <w:t>International and intercultural differences are considered to be important in this regard for understanding the process of business development (Litvin, 2019). Hofstede's cultural theory is considered to be one of the most essential for perceiving the differences in the culture. There are five cultural dimensions recommended as per Hofstede</w:t>
      </w:r>
      <w:r w:rsidRPr="00166565">
        <w:rPr>
          <w:rFonts w:eastAsia="Times New Roman"/>
          <w:b/>
          <w:i/>
          <w:sz w:val="24"/>
          <w:szCs w:val="24"/>
        </w:rPr>
        <w:t xml:space="preserve">, </w:t>
      </w:r>
      <w:r w:rsidRPr="00166565">
        <w:rPr>
          <w:rFonts w:eastAsia="Times New Roman"/>
          <w:sz w:val="24"/>
          <w:szCs w:val="24"/>
        </w:rPr>
        <w:t>such as, power distance, uncertainty avoidance, masculinity, individualism and long-term orientation</w:t>
      </w:r>
      <w:r w:rsidRPr="00166565">
        <w:rPr>
          <w:rFonts w:eastAsia="Times New Roman"/>
          <w:b/>
          <w:i/>
          <w:sz w:val="24"/>
          <w:szCs w:val="24"/>
        </w:rPr>
        <w:t xml:space="preserve"> </w:t>
      </w:r>
      <w:r w:rsidRPr="00166565">
        <w:rPr>
          <w:rFonts w:eastAsia="Times New Roman"/>
          <w:sz w:val="24"/>
          <w:szCs w:val="24"/>
        </w:rPr>
        <w:t>(Beugelsdijk and Welzel, 2018)</w:t>
      </w:r>
      <w:r w:rsidRPr="00166565">
        <w:rPr>
          <w:rFonts w:eastAsia="Times New Roman"/>
          <w:b/>
          <w:i/>
          <w:sz w:val="24"/>
          <w:szCs w:val="24"/>
        </w:rPr>
        <w:t xml:space="preserve">. </w:t>
      </w:r>
    </w:p>
    <w:p w:rsidR="000B559C" w:rsidRPr="009B6621" w:rsidRDefault="000B559C" w:rsidP="000B559C">
      <w:pPr>
        <w:spacing w:line="360" w:lineRule="auto"/>
        <w:jc w:val="both"/>
        <w:rPr>
          <w:rFonts w:eastAsia="Times New Roman"/>
          <w:b/>
          <w:sz w:val="24"/>
          <w:szCs w:val="24"/>
        </w:rPr>
      </w:pPr>
      <w:r w:rsidRPr="009B6621">
        <w:rPr>
          <w:rFonts w:eastAsia="Times New Roman"/>
          <w:b/>
          <w:sz w:val="24"/>
          <w:szCs w:val="24"/>
        </w:rPr>
        <w:t>Power distance</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In the case of the UK, this dimension deals with being devoid of equalism in all societies. It showcases attitudes of the culture in the direction of inequalities among all. 35 Britain</w:t>
      </w:r>
      <w:r w:rsidRPr="00166565">
        <w:rPr>
          <w:rFonts w:eastAsia="Times New Roman"/>
          <w:b/>
          <w:i/>
          <w:sz w:val="24"/>
          <w:szCs w:val="24"/>
        </w:rPr>
        <w:t xml:space="preserve"> </w:t>
      </w:r>
      <w:r w:rsidRPr="00166565">
        <w:rPr>
          <w:rFonts w:eastAsia="Times New Roman"/>
          <w:sz w:val="24"/>
          <w:szCs w:val="24"/>
        </w:rPr>
        <w:t>sits in the low ranking of PDI, which means, inequalities in the people must need to be minimized. PD index</w:t>
      </w:r>
      <w:r w:rsidRPr="00166565">
        <w:rPr>
          <w:rFonts w:eastAsia="Times New Roman"/>
          <w:b/>
          <w:i/>
          <w:sz w:val="24"/>
          <w:szCs w:val="24"/>
        </w:rPr>
        <w:t xml:space="preserve"> </w:t>
      </w:r>
      <w:r w:rsidRPr="00166565">
        <w:rPr>
          <w:rFonts w:eastAsia="Times New Roman"/>
          <w:sz w:val="24"/>
          <w:szCs w:val="24"/>
        </w:rPr>
        <w:t>is lower in the case of the higher class of people in Britain than the working classes. A sense of Fairplay and high class of the British system</w:t>
      </w:r>
      <w:r w:rsidRPr="00166565">
        <w:rPr>
          <w:rFonts w:eastAsia="Times New Roman"/>
          <w:b/>
          <w:i/>
          <w:sz w:val="24"/>
          <w:szCs w:val="24"/>
        </w:rPr>
        <w:t xml:space="preserve"> </w:t>
      </w:r>
      <w:r w:rsidRPr="00166565">
        <w:rPr>
          <w:rFonts w:eastAsia="Times New Roman"/>
          <w:sz w:val="24"/>
          <w:szCs w:val="24"/>
        </w:rPr>
        <w:t>has been established in this regard. Conversely, in Myanmar, a low power distance is observed which is relatively high now (Sang and Fang, 2019). Due to the opening of borders, the invitation for foreign investments has become enhanced. The distance score of this country is 20-30.</w:t>
      </w:r>
      <w:r w:rsidRPr="00166565">
        <w:rPr>
          <w:rFonts w:eastAsia="Times New Roman"/>
          <w:b/>
          <w:i/>
          <w:sz w:val="24"/>
          <w:szCs w:val="24"/>
        </w:rPr>
        <w:t xml:space="preserve"> </w:t>
      </w:r>
    </w:p>
    <w:p w:rsidR="000B559C" w:rsidRPr="00166565" w:rsidRDefault="000B559C" w:rsidP="000B559C">
      <w:pPr>
        <w:spacing w:line="360" w:lineRule="auto"/>
        <w:jc w:val="both"/>
        <w:rPr>
          <w:rFonts w:eastAsia="Times New Roman"/>
          <w:b/>
          <w:sz w:val="24"/>
          <w:szCs w:val="24"/>
        </w:rPr>
      </w:pPr>
      <w:r w:rsidRPr="00166565">
        <w:rPr>
          <w:rFonts w:eastAsia="Times New Roman"/>
          <w:b/>
          <w:sz w:val="24"/>
          <w:szCs w:val="24"/>
        </w:rPr>
        <w:t>Collectivism or individualism</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The degree of interdependence in a society can be maintained in this regard. The collectivism score of the UK is 89</w:t>
      </w:r>
      <w:r w:rsidRPr="00166565">
        <w:rPr>
          <w:rFonts w:eastAsia="Times New Roman"/>
          <w:b/>
          <w:i/>
          <w:sz w:val="24"/>
          <w:szCs w:val="24"/>
        </w:rPr>
        <w:t xml:space="preserve"> </w:t>
      </w:r>
      <w:r w:rsidRPr="00166565">
        <w:rPr>
          <w:rFonts w:eastAsia="Times New Roman"/>
          <w:sz w:val="24"/>
          <w:szCs w:val="24"/>
        </w:rPr>
        <w:t xml:space="preserve">which is comparatively high. Children are trained from early life to have a different thinking perspective. Route of happiness is personal refreshment. Contrarily, in Myanmar, have a comparatively less collectivism score. A problem arises due to low collectivism in rural areas. No place for individual thinking is present in this regard. </w:t>
      </w:r>
    </w:p>
    <w:p w:rsidR="000B559C" w:rsidRPr="00166565" w:rsidRDefault="000B559C" w:rsidP="000B559C">
      <w:pPr>
        <w:spacing w:line="360" w:lineRule="auto"/>
        <w:jc w:val="both"/>
        <w:rPr>
          <w:rFonts w:eastAsia="Times New Roman"/>
          <w:b/>
          <w:sz w:val="24"/>
          <w:szCs w:val="24"/>
        </w:rPr>
      </w:pPr>
      <w:r w:rsidRPr="00166565">
        <w:rPr>
          <w:rFonts w:eastAsia="Times New Roman"/>
          <w:b/>
          <w:sz w:val="24"/>
          <w:szCs w:val="24"/>
        </w:rPr>
        <w:t>Masculine vs Feminine</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lastRenderedPageBreak/>
        <w:t>A high rate of masculinity has been observed in the UK. Competition, achievement and success are present throughout their life and they are considered to be winners in life (Kristjánsdóttir et al.</w:t>
      </w:r>
      <w:r w:rsidRPr="00166565">
        <w:rPr>
          <w:rFonts w:eastAsia="Times New Roman"/>
          <w:i/>
          <w:sz w:val="24"/>
          <w:szCs w:val="24"/>
        </w:rPr>
        <w:t xml:space="preserve"> </w:t>
      </w:r>
      <w:r w:rsidRPr="00166565">
        <w:rPr>
          <w:rFonts w:eastAsia="Times New Roman"/>
          <w:sz w:val="24"/>
          <w:szCs w:val="24"/>
        </w:rPr>
        <w:t>2020). Yet, they have a low score of femininity means there is a dominant value in society. Conversely, in Myanmar, the score is only 25 but it is higher than in others. The primary truth is dependent on Buddhism</w:t>
      </w:r>
      <w:r w:rsidR="009B6621">
        <w:rPr>
          <w:rFonts w:eastAsia="Times New Roman"/>
          <w:sz w:val="24"/>
          <w:szCs w:val="24"/>
        </w:rPr>
        <w:t xml:space="preserve"> </w:t>
      </w:r>
      <w:r w:rsidRPr="00166565">
        <w:rPr>
          <w:rFonts w:eastAsia="Times New Roman"/>
          <w:sz w:val="24"/>
          <w:szCs w:val="24"/>
        </w:rPr>
        <w:t xml:space="preserve">where a change of value is still uncertain. </w:t>
      </w:r>
    </w:p>
    <w:p w:rsidR="000B559C" w:rsidRPr="00166565" w:rsidRDefault="000B559C" w:rsidP="000B559C">
      <w:pPr>
        <w:spacing w:line="360" w:lineRule="auto"/>
        <w:jc w:val="both"/>
        <w:rPr>
          <w:rFonts w:eastAsia="Times New Roman"/>
          <w:b/>
          <w:sz w:val="24"/>
          <w:szCs w:val="24"/>
        </w:rPr>
      </w:pPr>
      <w:r w:rsidRPr="00166565">
        <w:rPr>
          <w:rFonts w:eastAsia="Times New Roman"/>
          <w:b/>
          <w:sz w:val="24"/>
          <w:szCs w:val="24"/>
        </w:rPr>
        <w:t>Uncertainty avoidance</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The risk-taking ability of the UK is high and British people are comfortable in ambiguous situations. English people have a high level of creativity with their heavy consumerism. Conversely, in the case of Myanmar, comparatively low risk-taking ability is observed (Phyu and Han, 2021). Power struggles are coupled with bribery of Government officials</w:t>
      </w:r>
      <w:r w:rsidRPr="00166565">
        <w:rPr>
          <w:rFonts w:eastAsia="Times New Roman"/>
          <w:b/>
          <w:i/>
          <w:sz w:val="24"/>
          <w:szCs w:val="24"/>
        </w:rPr>
        <w:t xml:space="preserve">. </w:t>
      </w:r>
      <w:r w:rsidRPr="00166565">
        <w:rPr>
          <w:rFonts w:eastAsia="Times New Roman"/>
          <w:sz w:val="24"/>
          <w:szCs w:val="24"/>
        </w:rPr>
        <w:t>A wide range of uncertainty is there due to the unstable condition of the government.</w:t>
      </w:r>
    </w:p>
    <w:p w:rsidR="000B559C" w:rsidRPr="00166565" w:rsidRDefault="000B559C" w:rsidP="000B559C">
      <w:pPr>
        <w:spacing w:line="360" w:lineRule="auto"/>
        <w:jc w:val="both"/>
        <w:rPr>
          <w:rFonts w:eastAsia="Times New Roman"/>
          <w:sz w:val="24"/>
          <w:szCs w:val="24"/>
        </w:rPr>
      </w:pPr>
      <w:r w:rsidRPr="00166565">
        <w:rPr>
          <w:rFonts w:eastAsia="Times New Roman"/>
          <w:b/>
          <w:sz w:val="24"/>
          <w:szCs w:val="24"/>
        </w:rPr>
        <w:t>Long term orientation</w:t>
      </w:r>
    </w:p>
    <w:p w:rsidR="00532F50" w:rsidRDefault="000B559C" w:rsidP="00532F50">
      <w:pPr>
        <w:spacing w:line="360" w:lineRule="auto"/>
        <w:jc w:val="both"/>
        <w:rPr>
          <w:rFonts w:eastAsia="Times New Roman"/>
          <w:sz w:val="24"/>
          <w:szCs w:val="24"/>
        </w:rPr>
      </w:pPr>
      <w:r w:rsidRPr="00166565">
        <w:rPr>
          <w:rFonts w:eastAsia="Times New Roman"/>
          <w:sz w:val="24"/>
          <w:szCs w:val="24"/>
        </w:rPr>
        <w:t xml:space="preserve">Normative society in the UK has a comparatively low long-term orientation whereas Myanmar follows a short-term orientation. 55 is the score of the long-term orientation of this country which shows Burmese people more belief in the future development than the people in the UK. </w:t>
      </w:r>
      <w:bookmarkStart w:id="5" w:name="_agxn1wd18u5s" w:colFirst="0" w:colLast="0"/>
      <w:bookmarkStart w:id="6" w:name="_Toc100805803"/>
      <w:bookmarkEnd w:id="5"/>
    </w:p>
    <w:p w:rsidR="00532F50" w:rsidRDefault="00532F50" w:rsidP="00532F50">
      <w:pPr>
        <w:spacing w:line="360" w:lineRule="auto"/>
        <w:jc w:val="both"/>
        <w:rPr>
          <w:rFonts w:eastAsia="Times New Roman"/>
          <w:sz w:val="24"/>
          <w:szCs w:val="24"/>
        </w:rPr>
      </w:pPr>
    </w:p>
    <w:p w:rsidR="000B559C" w:rsidRPr="00532F50" w:rsidRDefault="000B559C" w:rsidP="00532F50">
      <w:pPr>
        <w:spacing w:line="360" w:lineRule="auto"/>
        <w:jc w:val="both"/>
        <w:rPr>
          <w:rFonts w:eastAsia="Times New Roman"/>
          <w:b/>
          <w:sz w:val="24"/>
          <w:szCs w:val="24"/>
        </w:rPr>
      </w:pPr>
      <w:r w:rsidRPr="00532F50">
        <w:rPr>
          <w:b/>
          <w:sz w:val="28"/>
          <w:szCs w:val="28"/>
        </w:rPr>
        <w:t>Cultural sensitivity</w:t>
      </w:r>
      <w:bookmarkEnd w:id="6"/>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Myanmar welcomes foreign investment which is responsible in nature. Myanmar has an ethnic culture, language, and religion which respect others' traditions and behaviour. For example, in remote areas of Myanmar, the presence of ethnic minorities has become traditional. Cultural training programs are present throughout the country which might be more influenced by investment practices. The New Myanmar investment law in article 65a,</w:t>
      </w:r>
      <w:r w:rsidRPr="00166565">
        <w:rPr>
          <w:rFonts w:eastAsia="Times New Roman"/>
          <w:b/>
          <w:i/>
          <w:sz w:val="24"/>
          <w:szCs w:val="24"/>
        </w:rPr>
        <w:t xml:space="preserve"> </w:t>
      </w:r>
      <w:r w:rsidRPr="00166565">
        <w:rPr>
          <w:rFonts w:eastAsia="Times New Roman"/>
          <w:sz w:val="24"/>
          <w:szCs w:val="24"/>
        </w:rPr>
        <w:t>specifically says that investors need to respect and comply with the viewpoint of the customers. The cultural diversity of the country shows that greeting is important which can only proceed with holding two hands and palms</w:t>
      </w:r>
      <w:r w:rsidRPr="00166565">
        <w:rPr>
          <w:rFonts w:eastAsia="Times New Roman"/>
          <w:b/>
          <w:i/>
          <w:sz w:val="24"/>
          <w:szCs w:val="24"/>
        </w:rPr>
        <w:t xml:space="preserve"> </w:t>
      </w:r>
      <w:r w:rsidRPr="00166565">
        <w:rPr>
          <w:rFonts w:eastAsia="Times New Roman"/>
          <w:sz w:val="24"/>
          <w:szCs w:val="24"/>
        </w:rPr>
        <w:t>together in front of the chest. As per the views of Atsadonsak et al.</w:t>
      </w:r>
      <w:r w:rsidRPr="00166565">
        <w:rPr>
          <w:rFonts w:eastAsia="Times New Roman"/>
          <w:i/>
          <w:sz w:val="24"/>
          <w:szCs w:val="24"/>
        </w:rPr>
        <w:t xml:space="preserve"> </w:t>
      </w:r>
      <w:r w:rsidRPr="00166565">
        <w:rPr>
          <w:rFonts w:eastAsia="Times New Roman"/>
          <w:sz w:val="24"/>
          <w:szCs w:val="24"/>
        </w:rPr>
        <w:t xml:space="preserve">(2022), the greeting process in Myanmar is reserved for listening to monks. Therefore, great business contact with a handshake is preferable to hugs. Some women in this country might not prefer to shake hands. </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lastRenderedPageBreak/>
        <w:t>The dress code of this country is still conservative, particularly the length of skirts of women. Women employees should be informed in advance if there is no permission to wear a paste</w:t>
      </w:r>
      <w:r w:rsidRPr="00166565">
        <w:rPr>
          <w:rFonts w:eastAsia="Times New Roman"/>
          <w:b/>
          <w:i/>
          <w:sz w:val="24"/>
          <w:szCs w:val="24"/>
        </w:rPr>
        <w:t xml:space="preserve"> </w:t>
      </w:r>
      <w:r w:rsidR="002C3079" w:rsidRPr="00166565">
        <w:rPr>
          <w:rFonts w:eastAsia="Times New Roman"/>
          <w:sz w:val="24"/>
          <w:szCs w:val="24"/>
        </w:rPr>
        <w:t xml:space="preserve"> </w:t>
      </w:r>
      <w:r w:rsidRPr="00166565">
        <w:rPr>
          <w:rFonts w:eastAsia="Times New Roman"/>
          <w:sz w:val="24"/>
          <w:szCs w:val="24"/>
        </w:rPr>
        <w:t>on their cheeks. A risk of contaminating products is the cause of this abandonment. Apart from that, it has been observed that many people in this country do not drink or are involved in an organization where drinking is needed. Therefore, the company needs to take some initiatives to avoid organizing some work events which involve a lot of drinking. It is also possible that Myanmar people</w:t>
      </w:r>
      <w:r w:rsidRPr="00166565">
        <w:rPr>
          <w:rFonts w:eastAsia="Times New Roman"/>
          <w:b/>
          <w:i/>
          <w:sz w:val="24"/>
          <w:szCs w:val="24"/>
        </w:rPr>
        <w:t xml:space="preserve"> </w:t>
      </w:r>
      <w:r w:rsidRPr="00166565">
        <w:rPr>
          <w:rFonts w:eastAsia="Times New Roman"/>
          <w:sz w:val="24"/>
          <w:szCs w:val="24"/>
        </w:rPr>
        <w:t xml:space="preserve">might want to choose an auspicious day for opening business events in this regard. </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Social interaction and the culture in the workplace show that losing temper and scolding Burmese staff in front of others might be a disrespectful aspect. Losing hope in staff might be detrimental to losing workplace culture. In Myanmar, no legal requirements for annual bonuses are present. Some employers are observed to pay a 13-month salary</w:t>
      </w:r>
      <w:r w:rsidRPr="00166565">
        <w:rPr>
          <w:rFonts w:eastAsia="Times New Roman"/>
          <w:b/>
          <w:i/>
          <w:sz w:val="24"/>
          <w:szCs w:val="24"/>
        </w:rPr>
        <w:t xml:space="preserve"> </w:t>
      </w:r>
      <w:r w:rsidRPr="00166565">
        <w:rPr>
          <w:rFonts w:eastAsia="Times New Roman"/>
          <w:sz w:val="24"/>
          <w:szCs w:val="24"/>
        </w:rPr>
        <w:t>at Christmas or Thingyan (Yea, 2019). Therefore, companies from the UK need to take some initiatives to engage their employees more with motivational rewards. Cultural differences influence relational qualities through interpersonal and intrapersonal emotional competence. Going with a friendship-oriented network might be beneficial to solving complex problems in the business (Min and Takai, 2021). Buddhism and religious courtesy</w:t>
      </w:r>
      <w:r w:rsidRPr="00166565">
        <w:rPr>
          <w:rFonts w:eastAsia="Times New Roman"/>
          <w:b/>
          <w:i/>
          <w:sz w:val="24"/>
          <w:szCs w:val="24"/>
        </w:rPr>
        <w:t xml:space="preserve"> </w:t>
      </w:r>
      <w:r w:rsidRPr="00166565">
        <w:rPr>
          <w:rFonts w:eastAsia="Times New Roman"/>
          <w:sz w:val="24"/>
          <w:szCs w:val="24"/>
        </w:rPr>
        <w:t>need to be maintained properly by the company of the UK to cope more with the culture of this country. As the country still consists of a cash-based economy</w:t>
      </w:r>
      <w:r w:rsidRPr="00166565">
        <w:rPr>
          <w:rFonts w:eastAsia="Times New Roman"/>
          <w:b/>
          <w:i/>
          <w:sz w:val="24"/>
          <w:szCs w:val="24"/>
        </w:rPr>
        <w:t xml:space="preserve"> </w:t>
      </w:r>
      <w:r w:rsidRPr="00166565">
        <w:rPr>
          <w:rFonts w:eastAsia="Times New Roman"/>
          <w:sz w:val="24"/>
          <w:szCs w:val="24"/>
        </w:rPr>
        <w:t xml:space="preserve">then this problem must need to be solved by proceeding with technological advancement. Technological advancement might be an adjuvant for enhancing the culture of this country. </w:t>
      </w:r>
    </w:p>
    <w:p w:rsidR="000B559C" w:rsidRPr="00166565" w:rsidRDefault="000B559C" w:rsidP="000B559C">
      <w:pPr>
        <w:pStyle w:val="Heading1"/>
        <w:rPr>
          <w:rFonts w:ascii="Arial" w:hAnsi="Arial" w:cs="Arial"/>
          <w:color w:val="auto"/>
        </w:rPr>
      </w:pPr>
      <w:bookmarkStart w:id="7" w:name="_n3yf4hmt0j8v" w:colFirst="0" w:colLast="0"/>
      <w:bookmarkStart w:id="8" w:name="_Toc100805804"/>
      <w:bookmarkEnd w:id="7"/>
      <w:r w:rsidRPr="00166565">
        <w:rPr>
          <w:rFonts w:ascii="Arial" w:hAnsi="Arial" w:cs="Arial"/>
          <w:color w:val="auto"/>
        </w:rPr>
        <w:t xml:space="preserve"> Challenges and communication barriers</w:t>
      </w:r>
      <w:bookmarkEnd w:id="8"/>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Indirect communication is the most common barrier in Myanmar.  Burmese do not have any direct communication channels. Their different language is another problem in the business industry. The use of local languages is considered to be one of the main problems in this regard. Stereotyping and prejudice-related problems are considered to be the main in this scenario (Gilder et al.</w:t>
      </w:r>
      <w:r w:rsidRPr="00166565">
        <w:rPr>
          <w:rFonts w:eastAsia="Times New Roman"/>
          <w:i/>
          <w:sz w:val="24"/>
          <w:szCs w:val="24"/>
        </w:rPr>
        <w:t xml:space="preserve"> </w:t>
      </w:r>
      <w:r w:rsidR="003A337F">
        <w:rPr>
          <w:rFonts w:eastAsia="Times New Roman"/>
          <w:sz w:val="24"/>
          <w:szCs w:val="24"/>
        </w:rPr>
        <w:t>2019</w:t>
      </w:r>
      <w:r w:rsidRPr="00166565">
        <w:rPr>
          <w:rFonts w:eastAsia="Times New Roman"/>
          <w:sz w:val="24"/>
          <w:szCs w:val="24"/>
        </w:rPr>
        <w:t>). For example, the Rohinga conflict</w:t>
      </w:r>
      <w:r w:rsidRPr="00166565">
        <w:rPr>
          <w:rFonts w:eastAsia="Times New Roman"/>
          <w:b/>
          <w:i/>
          <w:sz w:val="24"/>
          <w:szCs w:val="24"/>
        </w:rPr>
        <w:t xml:space="preserve"> </w:t>
      </w:r>
      <w:r w:rsidRPr="00166565">
        <w:rPr>
          <w:rFonts w:eastAsia="Times New Roman"/>
          <w:sz w:val="24"/>
          <w:szCs w:val="24"/>
        </w:rPr>
        <w:t>is a conflict that has been ongoing in the northern part of the country (Bakali and Wasty, 2020). There are different levels of humanitarian organizations</w:t>
      </w:r>
      <w:r w:rsidRPr="00166565">
        <w:rPr>
          <w:rFonts w:eastAsia="Times New Roman"/>
          <w:b/>
          <w:i/>
          <w:sz w:val="24"/>
          <w:szCs w:val="24"/>
        </w:rPr>
        <w:t xml:space="preserve"> </w:t>
      </w:r>
      <w:r w:rsidRPr="00166565">
        <w:rPr>
          <w:rFonts w:eastAsia="Times New Roman"/>
          <w:sz w:val="24"/>
          <w:szCs w:val="24"/>
        </w:rPr>
        <w:t xml:space="preserve">in this country that are largely unaware of all of these dynamics. Effectiveness and </w:t>
      </w:r>
      <w:r w:rsidRPr="00166565">
        <w:rPr>
          <w:rFonts w:eastAsia="Times New Roman"/>
          <w:sz w:val="24"/>
          <w:szCs w:val="24"/>
        </w:rPr>
        <w:lastRenderedPageBreak/>
        <w:t>accountability regarding those programs completely disintegrate with the business practices.</w:t>
      </w:r>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Building language skills and cultural barriers need to be mitigated in this scenario. Apart from that, lack of transparency and trust is another problem that increases conflict in the workplace. The cultural aspects of this country are too formal and consist of prejudice. As per Hofstede’s cultural dimension, it has been observed that the country has a low power of distance (Yang et al</w:t>
      </w:r>
      <w:r w:rsidRPr="00166565">
        <w:rPr>
          <w:rFonts w:eastAsia="Times New Roman"/>
          <w:i/>
          <w:sz w:val="24"/>
          <w:szCs w:val="24"/>
        </w:rPr>
        <w:t xml:space="preserve">. </w:t>
      </w:r>
      <w:r w:rsidRPr="00166565">
        <w:rPr>
          <w:rFonts w:eastAsia="Times New Roman"/>
          <w:sz w:val="24"/>
          <w:szCs w:val="24"/>
        </w:rPr>
        <w:t xml:space="preserve">2021). Therefore, it is possible that the self-confidence of people in this country has become lower than usual. Lack of emotional intelligence is another problem that might decrease professionalism in the workplace. It is possible that, if the company is not aware of the rules and regulations of communication in this country then it is problematic for them to expand. </w:t>
      </w:r>
    </w:p>
    <w:p w:rsidR="000B559C" w:rsidRPr="00166565" w:rsidRDefault="000B559C" w:rsidP="000B559C">
      <w:pPr>
        <w:pStyle w:val="Heading1"/>
        <w:rPr>
          <w:rFonts w:ascii="Arial" w:hAnsi="Arial" w:cs="Arial"/>
          <w:color w:val="auto"/>
        </w:rPr>
      </w:pPr>
      <w:bookmarkStart w:id="9" w:name="_tjcojhrfz11f" w:colFirst="0" w:colLast="0"/>
      <w:bookmarkStart w:id="10" w:name="_Toc100805805"/>
      <w:bookmarkEnd w:id="9"/>
      <w:r w:rsidRPr="00166565">
        <w:rPr>
          <w:rFonts w:ascii="Arial" w:hAnsi="Arial" w:cs="Arial"/>
          <w:color w:val="auto"/>
        </w:rPr>
        <w:t xml:space="preserve"> Communication strategies and recommendation</w:t>
      </w:r>
      <w:bookmarkEnd w:id="10"/>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In Myanmar, appropriate communication strategies follow some rules and regulations that matched some common aspects of communication. For example, in national business practices, successful communication is dependent on building rapport with employees and suppliers. Apart from that, harmony and greater trust with other people in a business environment might be beneficial to increase the competitive advantages over others. Understanding the target audience and proceeding with a transparent production system are considered to be important for increasing the brand value of the company. As per the ideas of Riisgaard et al.</w:t>
      </w:r>
      <w:r w:rsidRPr="00166565">
        <w:rPr>
          <w:rFonts w:eastAsia="Times New Roman"/>
          <w:i/>
          <w:sz w:val="24"/>
          <w:szCs w:val="24"/>
        </w:rPr>
        <w:t xml:space="preserve"> </w:t>
      </w:r>
      <w:r w:rsidRPr="00166565">
        <w:rPr>
          <w:rFonts w:eastAsia="Times New Roman"/>
          <w:sz w:val="24"/>
          <w:szCs w:val="24"/>
        </w:rPr>
        <w:t xml:space="preserve">(2020), transparent production in any business is helpful to increase the brand value and trust that longs for many days. Conversely, Bünte (2018), shows that transparent production in business practices is closely dependent on the degree of communication. Therefore, it will be beneficial for the UK-based company to proceed with a press release to local media about new business objectives. Apart from that, Burmese people are believed in indirect communication, and generally, they do not want to hurt another person through communication (LRS, 2017). As it is observed that, people in the UK believed in the straightforward process of communication for mitigating issues in the workplace (Allen, 2018). Burmese people might give the answer to an individual that he wants to hear instead of an honest one. Therefore, an aspect of politeness is observed in the case of communication. The company also </w:t>
      </w:r>
      <w:r w:rsidRPr="00166565">
        <w:rPr>
          <w:rFonts w:eastAsia="Times New Roman"/>
          <w:sz w:val="24"/>
          <w:szCs w:val="24"/>
        </w:rPr>
        <w:lastRenderedPageBreak/>
        <w:t xml:space="preserve">needs to use a soft voice at the time of speaking. Speaking loudly is generally interpreted negatively in front of all employees. Prejudice or unconscious bias in the workplace need to be mitigated by written policies that define rules and procedure in the workplace. Conducting team-building activities is also essential for decreasing the communication barriers in the workplace. Making a record of offensive actions, and considering alternatives are needed for decreasing discrimination in the workplace. </w:t>
      </w:r>
    </w:p>
    <w:p w:rsidR="000B559C" w:rsidRPr="00166565" w:rsidRDefault="000B559C" w:rsidP="000B559C">
      <w:pPr>
        <w:pStyle w:val="Heading1"/>
        <w:rPr>
          <w:rFonts w:ascii="Arial" w:hAnsi="Arial" w:cs="Arial"/>
          <w:color w:val="auto"/>
        </w:rPr>
      </w:pPr>
      <w:bookmarkStart w:id="11" w:name="_8oghmkb9l8lc" w:colFirst="0" w:colLast="0"/>
      <w:bookmarkStart w:id="12" w:name="_Toc100805806"/>
      <w:bookmarkEnd w:id="11"/>
      <w:r w:rsidRPr="00166565">
        <w:rPr>
          <w:rFonts w:ascii="Arial" w:hAnsi="Arial" w:cs="Arial"/>
          <w:color w:val="auto"/>
        </w:rPr>
        <w:t xml:space="preserve"> Conclusion</w:t>
      </w:r>
      <w:bookmarkEnd w:id="12"/>
    </w:p>
    <w:p w:rsidR="000B559C" w:rsidRPr="00166565" w:rsidRDefault="000B559C" w:rsidP="000B559C">
      <w:pPr>
        <w:spacing w:line="360" w:lineRule="auto"/>
        <w:jc w:val="both"/>
        <w:rPr>
          <w:rFonts w:eastAsia="Times New Roman"/>
          <w:sz w:val="24"/>
          <w:szCs w:val="24"/>
        </w:rPr>
      </w:pPr>
      <w:r w:rsidRPr="00166565">
        <w:rPr>
          <w:rFonts w:eastAsia="Times New Roman"/>
          <w:sz w:val="24"/>
          <w:szCs w:val="24"/>
        </w:rPr>
        <w:t xml:space="preserve">Myanmar is still a developing country and it needs economic improvement that can be done by foreign investment. After the completion of these studies, it has been understood the country is a little bit superstitious and believes in long-term value rather than short-term value. Hence, the company from the UK needs to assume strategic objectives for increasing its production rate to a large array. In case of the communication, the company must need to rely on the indirect mode of communication than the direct mode of communication because it considerably increases competitive advantages in business practices. As the country can adjust with the English communication then there will be no lingual mismatch. Apart from that, the country is completely relying on the Buddhist culture, so there is a need to develop peace in the workplace. Social interaction is another crucial perspective that needs to proceed with mitigation of the conflict in the workplace. No intervention is needed in the case of their dressing in the workplace because they have faith in their sense of dressing. At last, it can be said that the UK based company can only succeed when they follow all rules and recommendations of this country. </w:t>
      </w:r>
    </w:p>
    <w:p w:rsidR="000B559C" w:rsidRPr="00166565" w:rsidRDefault="000B559C" w:rsidP="000B559C">
      <w:pPr>
        <w:spacing w:line="360" w:lineRule="auto"/>
        <w:jc w:val="both"/>
        <w:rPr>
          <w:rFonts w:eastAsia="Times New Roman"/>
          <w:sz w:val="24"/>
          <w:szCs w:val="24"/>
        </w:rPr>
      </w:pPr>
      <w:r w:rsidRPr="00166565">
        <w:br w:type="page"/>
      </w:r>
    </w:p>
    <w:p w:rsidR="000B559C" w:rsidRPr="00166565" w:rsidRDefault="000B559C" w:rsidP="000B559C">
      <w:pPr>
        <w:pStyle w:val="Heading1"/>
        <w:rPr>
          <w:rFonts w:ascii="Arial" w:hAnsi="Arial" w:cs="Arial"/>
          <w:color w:val="auto"/>
        </w:rPr>
      </w:pPr>
      <w:bookmarkStart w:id="13" w:name="_Toc100805807"/>
      <w:r w:rsidRPr="00166565">
        <w:rPr>
          <w:rFonts w:ascii="Arial" w:hAnsi="Arial" w:cs="Arial"/>
          <w:color w:val="auto"/>
        </w:rPr>
        <w:lastRenderedPageBreak/>
        <w:t>Reference list</w:t>
      </w:r>
      <w:bookmarkEnd w:id="13"/>
    </w:p>
    <w:p w:rsidR="00322F6D" w:rsidRPr="00466E4E" w:rsidRDefault="00322F6D" w:rsidP="00322F6D">
      <w:pPr>
        <w:rPr>
          <w:sz w:val="24"/>
          <w:szCs w:val="24"/>
        </w:rPr>
      </w:pP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 xml:space="preserve">Allen,W.L.,(2018). Visual brokerage: Communicating data and research through visualisation. </w:t>
      </w:r>
      <w:r w:rsidRPr="00166565">
        <w:rPr>
          <w:rFonts w:eastAsia="Times New Roman"/>
          <w:i/>
          <w:color w:val="222222"/>
          <w:sz w:val="24"/>
          <w:szCs w:val="24"/>
          <w:highlight w:val="white"/>
        </w:rPr>
        <w:t>Public Understanding of Science</w:t>
      </w:r>
      <w:r w:rsidRPr="00166565">
        <w:rPr>
          <w:rFonts w:eastAsia="Times New Roman"/>
          <w:color w:val="222222"/>
          <w:sz w:val="24"/>
          <w:szCs w:val="24"/>
          <w:highlight w:val="white"/>
        </w:rPr>
        <w:t>, 27(8), pp.906-922.</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 xml:space="preserve">Atsadonsak, N., Kittipanyo, P.S., Thirapanyo, P.K., Peuchthonglang, P. and Trakulhoon, T., (2022). PāḷiTipiṭaka AI Robotics for Reciting to Mankind Healing. </w:t>
      </w:r>
      <w:r w:rsidRPr="00166565">
        <w:rPr>
          <w:rFonts w:eastAsia="Times New Roman"/>
          <w:i/>
          <w:color w:val="222222"/>
          <w:sz w:val="24"/>
          <w:szCs w:val="24"/>
          <w:highlight w:val="white"/>
        </w:rPr>
        <w:t>Journal of Positive School Psychology,</w:t>
      </w:r>
      <w:r w:rsidRPr="00166565">
        <w:rPr>
          <w:rFonts w:eastAsia="Times New Roman"/>
          <w:color w:val="222222"/>
          <w:sz w:val="24"/>
          <w:szCs w:val="24"/>
          <w:highlight w:val="white"/>
        </w:rPr>
        <w:t xml:space="preserve"> 6(3), pp.2962-2974.</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Bakali, N. and Wasty, S.,(2020). Identity, social mobility, and trauma: post-conflict educational realities for survivors of the Rohingya genocide</w:t>
      </w:r>
      <w:r w:rsidRPr="00166565">
        <w:rPr>
          <w:rFonts w:eastAsia="Times New Roman"/>
          <w:i/>
          <w:color w:val="222222"/>
          <w:sz w:val="24"/>
          <w:szCs w:val="24"/>
          <w:highlight w:val="white"/>
        </w:rPr>
        <w:t>. Religions</w:t>
      </w:r>
      <w:r w:rsidRPr="00166565">
        <w:rPr>
          <w:rFonts w:eastAsia="Times New Roman"/>
          <w:color w:val="222222"/>
          <w:sz w:val="24"/>
          <w:szCs w:val="24"/>
          <w:highlight w:val="white"/>
        </w:rPr>
        <w:t>, 11(5), p.241.</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 xml:space="preserve">Beugelsdijk, S. and Welzel, C.,(2018). Dimensions and dynamics of national culture: Synthesizing Hofstede with Inglehart. </w:t>
      </w:r>
      <w:r w:rsidRPr="00166565">
        <w:rPr>
          <w:rFonts w:eastAsia="Times New Roman"/>
          <w:i/>
          <w:color w:val="222222"/>
          <w:sz w:val="24"/>
          <w:szCs w:val="24"/>
          <w:highlight w:val="white"/>
        </w:rPr>
        <w:t>Journal of cross-cultural psychology</w:t>
      </w:r>
      <w:r w:rsidRPr="00166565">
        <w:rPr>
          <w:rFonts w:eastAsia="Times New Roman"/>
          <w:color w:val="222222"/>
          <w:sz w:val="24"/>
          <w:szCs w:val="24"/>
          <w:highlight w:val="white"/>
        </w:rPr>
        <w:t>, 49(10), pp.1469-1505.</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Bünte, M.,(2018). Building governance from scratch: Myanmar and the extractive industry transparency initiative</w:t>
      </w:r>
      <w:r w:rsidRPr="00166565">
        <w:rPr>
          <w:rFonts w:eastAsia="Times New Roman"/>
          <w:i/>
          <w:color w:val="222222"/>
          <w:sz w:val="24"/>
          <w:szCs w:val="24"/>
          <w:highlight w:val="white"/>
        </w:rPr>
        <w:t>. Journal of Contemporary Asia</w:t>
      </w:r>
      <w:r w:rsidRPr="00166565">
        <w:rPr>
          <w:rFonts w:eastAsia="Times New Roman"/>
          <w:color w:val="222222"/>
          <w:sz w:val="24"/>
          <w:szCs w:val="24"/>
          <w:highlight w:val="white"/>
        </w:rPr>
        <w:t>, 48(2), pp.230-251.</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rPr>
        <w:t xml:space="preserve">Dabak, S.V., Teerawattananon, Y. and Win, T., (2019). From design to evaluation: </w:t>
      </w:r>
      <w:r w:rsidRPr="00166565">
        <w:rPr>
          <w:rFonts w:eastAsia="Times New Roman"/>
          <w:color w:val="222222"/>
          <w:sz w:val="24"/>
          <w:szCs w:val="24"/>
          <w:highlight w:val="white"/>
        </w:rPr>
        <w:t xml:space="preserve">applications of health technology assessment in Myanmar and lessons for low or lower middle-income countries. </w:t>
      </w:r>
      <w:r w:rsidRPr="00166565">
        <w:rPr>
          <w:rFonts w:eastAsia="Times New Roman"/>
          <w:i/>
          <w:color w:val="222222"/>
          <w:sz w:val="24"/>
          <w:szCs w:val="24"/>
          <w:highlight w:val="white"/>
        </w:rPr>
        <w:t>International Journal of Technology Assessment in Health Care</w:t>
      </w:r>
      <w:r w:rsidRPr="00166565">
        <w:rPr>
          <w:rFonts w:eastAsia="Times New Roman"/>
          <w:color w:val="222222"/>
          <w:sz w:val="24"/>
          <w:szCs w:val="24"/>
          <w:highlight w:val="white"/>
        </w:rPr>
        <w:t>, 35(6), pp.461-466.</w:t>
      </w:r>
    </w:p>
    <w:p w:rsidR="00945A2F" w:rsidRDefault="000B559C" w:rsidP="00945A2F">
      <w:pPr>
        <w:spacing w:line="360" w:lineRule="auto"/>
        <w:jc w:val="both"/>
        <w:rPr>
          <w:rFonts w:eastAsia="Times New Roman"/>
          <w:color w:val="222222"/>
          <w:sz w:val="24"/>
          <w:szCs w:val="24"/>
        </w:rPr>
      </w:pPr>
      <w:r w:rsidRPr="00166565">
        <w:rPr>
          <w:rFonts w:eastAsia="Times New Roman"/>
          <w:color w:val="222222"/>
          <w:sz w:val="24"/>
          <w:szCs w:val="24"/>
          <w:highlight w:val="white"/>
        </w:rPr>
        <w:t>Gilder, M.E., Moo, P., Hashmi, A., Praisaengdet, N., Wai, K., Pimanpanarak, M., Carrara, V.I., Angkurawaranon, C., Jiraporncharoen, W. and McGready, R.,(</w:t>
      </w:r>
      <w:r w:rsidRPr="00166565">
        <w:rPr>
          <w:rFonts w:eastAsia="Times New Roman"/>
          <w:color w:val="222222"/>
          <w:sz w:val="24"/>
          <w:szCs w:val="24"/>
        </w:rPr>
        <w:t xml:space="preserve"> 2019</w:t>
      </w:r>
      <w:r w:rsidRPr="00166565">
        <w:rPr>
          <w:rFonts w:eastAsia="Times New Roman"/>
          <w:color w:val="222222"/>
          <w:sz w:val="24"/>
          <w:szCs w:val="24"/>
          <w:highlight w:val="white"/>
        </w:rPr>
        <w:t xml:space="preserve">). “I can’t read and don’t understand”: Health literacy and health messaging about folic acid for neural tube defect prevention in a migrant population on the Myanmar-Thailand border. </w:t>
      </w:r>
      <w:r w:rsidRPr="00166565">
        <w:rPr>
          <w:rFonts w:eastAsia="Times New Roman"/>
          <w:i/>
          <w:color w:val="222222"/>
          <w:sz w:val="24"/>
          <w:szCs w:val="24"/>
          <w:highlight w:val="white"/>
        </w:rPr>
        <w:t>PloS one</w:t>
      </w:r>
      <w:r w:rsidRPr="00166565">
        <w:rPr>
          <w:rFonts w:eastAsia="Times New Roman"/>
          <w:color w:val="222222"/>
          <w:sz w:val="24"/>
          <w:szCs w:val="24"/>
          <w:highlight w:val="white"/>
        </w:rPr>
        <w:t>, 14(6), p.e0218138</w:t>
      </w:r>
    </w:p>
    <w:p w:rsidR="00945A2F" w:rsidRPr="00945A2F" w:rsidRDefault="00945A2F" w:rsidP="00945A2F">
      <w:pPr>
        <w:spacing w:line="360" w:lineRule="auto"/>
        <w:jc w:val="both"/>
        <w:rPr>
          <w:rFonts w:eastAsia="Times New Roman"/>
          <w:color w:val="222222"/>
          <w:sz w:val="24"/>
          <w:szCs w:val="24"/>
          <w:highlight w:val="white"/>
        </w:rPr>
      </w:pPr>
      <w:r w:rsidRPr="00945A2F">
        <w:rPr>
          <w:rFonts w:ascii="Times New Roman" w:eastAsia="Times New Roman" w:hAnsi="Times New Roman" w:cs="Times New Roman"/>
          <w:color w:val="222222"/>
          <w:sz w:val="24"/>
          <w:szCs w:val="24"/>
        </w:rPr>
        <w:t xml:space="preserve"> </w:t>
      </w:r>
      <w:r w:rsidRPr="00945A2F">
        <w:rPr>
          <w:rFonts w:eastAsia="Times New Roman"/>
          <w:color w:val="222222"/>
          <w:sz w:val="24"/>
          <w:szCs w:val="24"/>
        </w:rPr>
        <w:t xml:space="preserve">Headey, D.D., Goudet, S., Lambrecht, I., Oo, T.Z., Maffioli, E.M. and Toth, R.,(2020). Poverty and food insecurity during COVID-19: Telephone survey evidence from mothers in rural and urban Myanmar (Vol. 3). </w:t>
      </w:r>
      <w:r>
        <w:rPr>
          <w:rFonts w:eastAsia="Times New Roman"/>
          <w:i/>
          <w:color w:val="222222"/>
          <w:sz w:val="24"/>
          <w:szCs w:val="24"/>
        </w:rPr>
        <w:t>International</w:t>
      </w:r>
      <w:r w:rsidRPr="00945A2F">
        <w:rPr>
          <w:rFonts w:eastAsia="Times New Roman"/>
          <w:i/>
          <w:color w:val="222222"/>
          <w:sz w:val="24"/>
          <w:szCs w:val="24"/>
        </w:rPr>
        <w:t xml:space="preserve"> Food Policy Res</w:t>
      </w:r>
      <w:r>
        <w:rPr>
          <w:rFonts w:eastAsia="Times New Roman"/>
          <w:i/>
          <w:color w:val="222222"/>
          <w:sz w:val="24"/>
          <w:szCs w:val="24"/>
        </w:rPr>
        <w:t>earch</w:t>
      </w:r>
      <w:r w:rsidRPr="00945A2F">
        <w:rPr>
          <w:rFonts w:eastAsia="Times New Roman"/>
          <w:i/>
          <w:color w:val="222222"/>
          <w:sz w:val="24"/>
          <w:szCs w:val="24"/>
        </w:rPr>
        <w:t xml:space="preserve"> Inst</w:t>
      </w:r>
      <w:r>
        <w:rPr>
          <w:rFonts w:eastAsia="Times New Roman"/>
          <w:i/>
          <w:color w:val="222222"/>
          <w:sz w:val="24"/>
          <w:szCs w:val="24"/>
        </w:rPr>
        <w:t>itute</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 xml:space="preserve">Kristjánsdóttir, H., Guðlaugsson, Þ.Ö., Guðmundsdóttir, S. and Aðalsteinsson, G.D.,(2020). Cultural and geographical distance: Effects on UK exports. </w:t>
      </w:r>
      <w:r w:rsidRPr="00166565">
        <w:rPr>
          <w:rFonts w:eastAsia="Times New Roman"/>
          <w:i/>
          <w:color w:val="222222"/>
          <w:sz w:val="24"/>
          <w:szCs w:val="24"/>
          <w:highlight w:val="white"/>
        </w:rPr>
        <w:t>Applied Economics Letters,</w:t>
      </w:r>
      <w:r w:rsidRPr="00166565">
        <w:rPr>
          <w:rFonts w:eastAsia="Times New Roman"/>
          <w:color w:val="222222"/>
          <w:sz w:val="24"/>
          <w:szCs w:val="24"/>
          <w:highlight w:val="white"/>
        </w:rPr>
        <w:t xml:space="preserve"> 27(4), pp.275-279.</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 xml:space="preserve">Litvin, S.W.,(2019). Hofstede, cultural differences, and TripAdvisor hotel reviews. </w:t>
      </w:r>
      <w:r w:rsidRPr="00166565">
        <w:rPr>
          <w:rFonts w:eastAsia="Times New Roman"/>
          <w:i/>
          <w:color w:val="222222"/>
          <w:sz w:val="24"/>
          <w:szCs w:val="24"/>
          <w:highlight w:val="white"/>
        </w:rPr>
        <w:t>International Journal of Tourism Research</w:t>
      </w:r>
      <w:r w:rsidRPr="00166565">
        <w:rPr>
          <w:rFonts w:eastAsia="Times New Roman"/>
          <w:color w:val="222222"/>
          <w:sz w:val="24"/>
          <w:szCs w:val="24"/>
          <w:highlight w:val="white"/>
        </w:rPr>
        <w:t>, 21(5), pp.712-717.</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lastRenderedPageBreak/>
        <w:t xml:space="preserve">LRS,(2017). </w:t>
      </w:r>
      <w:r w:rsidRPr="00166565">
        <w:rPr>
          <w:rFonts w:eastAsia="Times New Roman"/>
          <w:i/>
          <w:color w:val="222222"/>
          <w:sz w:val="24"/>
          <w:szCs w:val="24"/>
          <w:highlight w:val="white"/>
        </w:rPr>
        <w:t xml:space="preserve">The Four Elements of Strategic Communication. </w:t>
      </w:r>
      <w:r w:rsidRPr="00166565">
        <w:rPr>
          <w:rFonts w:eastAsia="Times New Roman"/>
          <w:color w:val="222222"/>
          <w:sz w:val="24"/>
          <w:szCs w:val="24"/>
          <w:highlight w:val="white"/>
        </w:rPr>
        <w:t>[Online]Available at: https://letsreachsuccess.com/strategic-communication/ [Accessed on: 10th April, 2022]</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Min, M.C. and Takai, J.,(2021). The effect of emotional competence on relational quality: Comparing Japan and Myanmar</w:t>
      </w:r>
      <w:r w:rsidRPr="00166565">
        <w:rPr>
          <w:rFonts w:eastAsia="Times New Roman"/>
          <w:i/>
          <w:color w:val="222222"/>
          <w:sz w:val="24"/>
          <w:szCs w:val="24"/>
          <w:highlight w:val="white"/>
        </w:rPr>
        <w:t>. Current Psychology</w:t>
      </w:r>
      <w:r w:rsidRPr="00166565">
        <w:rPr>
          <w:rFonts w:eastAsia="Times New Roman"/>
          <w:color w:val="222222"/>
          <w:sz w:val="24"/>
          <w:szCs w:val="24"/>
          <w:highlight w:val="white"/>
        </w:rPr>
        <w:t>, 40(2), pp.782-792.</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 xml:space="preserve">Myint, D., Gilani, S.A., Kawase, M. and Watanabe, K.N.,(2020). Sustainable sesame (Sesamum indicum L.) production through improved technology: An overview of production, challenges, and opportunities in Myanmar. </w:t>
      </w:r>
      <w:r w:rsidRPr="00166565">
        <w:rPr>
          <w:rFonts w:eastAsia="Times New Roman"/>
          <w:i/>
          <w:color w:val="222222"/>
          <w:sz w:val="24"/>
          <w:szCs w:val="24"/>
          <w:highlight w:val="white"/>
        </w:rPr>
        <w:t xml:space="preserve">Sustainability, </w:t>
      </w:r>
      <w:r w:rsidRPr="00166565">
        <w:rPr>
          <w:rFonts w:eastAsia="Times New Roman"/>
          <w:color w:val="222222"/>
          <w:sz w:val="24"/>
          <w:szCs w:val="24"/>
          <w:highlight w:val="white"/>
        </w:rPr>
        <w:t>12(9), p.3515.</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 xml:space="preserve">Phyu, K.H. and Han, B., (2021). Strengthening the resilience of Myanmar children studying in monastic schools. </w:t>
      </w:r>
      <w:r w:rsidRPr="00166565">
        <w:rPr>
          <w:rFonts w:eastAsia="Times New Roman"/>
          <w:i/>
          <w:color w:val="222222"/>
          <w:sz w:val="24"/>
          <w:szCs w:val="24"/>
          <w:highlight w:val="white"/>
        </w:rPr>
        <w:t>Archive for the Psychology of Religion</w:t>
      </w:r>
      <w:r w:rsidRPr="00166565">
        <w:rPr>
          <w:rFonts w:eastAsia="Times New Roman"/>
          <w:color w:val="222222"/>
          <w:sz w:val="24"/>
          <w:szCs w:val="24"/>
          <w:highlight w:val="white"/>
        </w:rPr>
        <w:t>, 43(3), pp.269-296.</w:t>
      </w:r>
    </w:p>
    <w:p w:rsidR="000B559C" w:rsidRPr="00166565" w:rsidRDefault="000B559C" w:rsidP="000B559C">
      <w:pPr>
        <w:spacing w:line="360" w:lineRule="auto"/>
        <w:jc w:val="both"/>
        <w:rPr>
          <w:rFonts w:eastAsia="Times New Roman"/>
          <w:color w:val="222222"/>
          <w:sz w:val="24"/>
          <w:szCs w:val="24"/>
        </w:rPr>
      </w:pPr>
      <w:r w:rsidRPr="00166565">
        <w:rPr>
          <w:rFonts w:eastAsia="Times New Roman"/>
          <w:color w:val="222222"/>
          <w:sz w:val="24"/>
          <w:szCs w:val="24"/>
        </w:rPr>
        <w:t>Riisgaard, L.,</w:t>
      </w:r>
      <w:r w:rsidR="00F6387F">
        <w:rPr>
          <w:rFonts w:eastAsia="Times New Roman"/>
          <w:color w:val="222222"/>
          <w:sz w:val="24"/>
          <w:szCs w:val="24"/>
        </w:rPr>
        <w:t>Lund-Thomsen P.</w:t>
      </w:r>
      <w:r w:rsidRPr="00166565">
        <w:rPr>
          <w:rFonts w:eastAsia="Times New Roman"/>
          <w:color w:val="222222"/>
          <w:sz w:val="24"/>
          <w:szCs w:val="24"/>
        </w:rPr>
        <w:t xml:space="preserve"> and Coe, N.M.,(2020). Multistakeholder initiatives in global production networks: naturalizing specific understandings of sustainability through the Better Cotton Initiative. </w:t>
      </w:r>
      <w:r w:rsidRPr="00166565">
        <w:rPr>
          <w:rFonts w:eastAsia="Times New Roman"/>
          <w:i/>
          <w:color w:val="222222"/>
          <w:sz w:val="24"/>
          <w:szCs w:val="24"/>
        </w:rPr>
        <w:t>Global networks</w:t>
      </w:r>
      <w:r w:rsidRPr="00166565">
        <w:rPr>
          <w:rFonts w:eastAsia="Times New Roman"/>
          <w:color w:val="222222"/>
          <w:sz w:val="24"/>
          <w:szCs w:val="24"/>
        </w:rPr>
        <w:t>, 20(2), pp.211-236.</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Sang, L</w:t>
      </w:r>
      <w:r w:rsidR="006A506E">
        <w:rPr>
          <w:rFonts w:eastAsia="Times New Roman"/>
          <w:color w:val="222222"/>
          <w:sz w:val="24"/>
          <w:szCs w:val="24"/>
          <w:highlight w:val="white"/>
        </w:rPr>
        <w:t>.K. and Fang,</w:t>
      </w:r>
      <w:r w:rsidRPr="00166565">
        <w:rPr>
          <w:rFonts w:eastAsia="Times New Roman"/>
          <w:color w:val="222222"/>
          <w:sz w:val="24"/>
          <w:szCs w:val="24"/>
          <w:highlight w:val="white"/>
        </w:rPr>
        <w:t xml:space="preserve">J.,(2019). Leadership style of Myanmar hotel managers: culture as a hindrance in moving towards democratic/participatory style from autocratic style. </w:t>
      </w:r>
      <w:r w:rsidRPr="00166565">
        <w:rPr>
          <w:rFonts w:eastAsia="Times New Roman"/>
          <w:i/>
          <w:color w:val="222222"/>
          <w:sz w:val="24"/>
          <w:szCs w:val="24"/>
          <w:highlight w:val="white"/>
        </w:rPr>
        <w:t>International Journal of Knowledge Management in Tourism and Hospitality</w:t>
      </w:r>
      <w:r w:rsidRPr="00166565">
        <w:rPr>
          <w:rFonts w:eastAsia="Times New Roman"/>
          <w:color w:val="222222"/>
          <w:sz w:val="24"/>
          <w:szCs w:val="24"/>
          <w:highlight w:val="white"/>
        </w:rPr>
        <w:t>, 2(2), pp.180-202.</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 xml:space="preserve">South, A.,(2018). “Hybrid Governance” and the politics of legitimacy in the Myanmar peace process. </w:t>
      </w:r>
      <w:r w:rsidRPr="00166565">
        <w:rPr>
          <w:rFonts w:eastAsia="Times New Roman"/>
          <w:i/>
          <w:color w:val="222222"/>
          <w:sz w:val="24"/>
          <w:szCs w:val="24"/>
          <w:highlight w:val="white"/>
        </w:rPr>
        <w:t>Journal of Contemporary Asia</w:t>
      </w:r>
      <w:r w:rsidRPr="00166565">
        <w:rPr>
          <w:rFonts w:eastAsia="Times New Roman"/>
          <w:color w:val="222222"/>
          <w:sz w:val="24"/>
          <w:szCs w:val="24"/>
          <w:highlight w:val="white"/>
        </w:rPr>
        <w:t xml:space="preserve">, </w:t>
      </w:r>
      <w:r w:rsidRPr="006A506E">
        <w:rPr>
          <w:rFonts w:eastAsia="Times New Roman"/>
          <w:color w:val="222222"/>
          <w:sz w:val="24"/>
          <w:szCs w:val="24"/>
          <w:highlight w:val="white"/>
        </w:rPr>
        <w:t>48</w:t>
      </w:r>
      <w:r w:rsidRPr="00166565">
        <w:rPr>
          <w:rFonts w:eastAsia="Times New Roman"/>
          <w:color w:val="222222"/>
          <w:sz w:val="24"/>
          <w:szCs w:val="24"/>
          <w:highlight w:val="white"/>
        </w:rPr>
        <w:t>(1), pp.50-66.</w:t>
      </w:r>
    </w:p>
    <w:p w:rsidR="000B559C" w:rsidRPr="00166565" w:rsidRDefault="006A506E" w:rsidP="000B559C">
      <w:pPr>
        <w:spacing w:line="360" w:lineRule="auto"/>
        <w:jc w:val="both"/>
        <w:rPr>
          <w:rFonts w:eastAsia="Times New Roman"/>
          <w:color w:val="222222"/>
          <w:sz w:val="24"/>
          <w:szCs w:val="24"/>
          <w:highlight w:val="white"/>
        </w:rPr>
      </w:pPr>
      <w:r>
        <w:rPr>
          <w:rFonts w:eastAsia="Times New Roman"/>
          <w:color w:val="222222"/>
          <w:sz w:val="24"/>
          <w:szCs w:val="24"/>
          <w:highlight w:val="white"/>
        </w:rPr>
        <w:t>Yang, B.,Swe,T.,Chen,Y., Zeng,C., Shu,H., Li,</w:t>
      </w:r>
      <w:r w:rsidR="000B559C" w:rsidRPr="00166565">
        <w:rPr>
          <w:rFonts w:eastAsia="Times New Roman"/>
          <w:color w:val="222222"/>
          <w:sz w:val="24"/>
          <w:szCs w:val="24"/>
          <w:highlight w:val="white"/>
        </w:rPr>
        <w:t>X.,</w:t>
      </w:r>
      <w:r>
        <w:rPr>
          <w:rFonts w:eastAsia="Times New Roman"/>
          <w:color w:val="222222"/>
          <w:sz w:val="24"/>
          <w:szCs w:val="24"/>
          <w:highlight w:val="white"/>
        </w:rPr>
        <w:t xml:space="preserve"> Yu,T., Zhang,X. </w:t>
      </w:r>
      <w:r w:rsidR="000B559C" w:rsidRPr="00166565">
        <w:rPr>
          <w:rFonts w:eastAsia="Times New Roman"/>
          <w:color w:val="222222"/>
          <w:sz w:val="24"/>
          <w:szCs w:val="24"/>
          <w:highlight w:val="white"/>
        </w:rPr>
        <w:t xml:space="preserve">and Sun, L.,(2021). Energy cooperation between Myanmar and China under One Belt One Road: Current state, challenges and perspectives. </w:t>
      </w:r>
      <w:r w:rsidR="000B559C" w:rsidRPr="00166565">
        <w:rPr>
          <w:rFonts w:eastAsia="Times New Roman"/>
          <w:i/>
          <w:color w:val="222222"/>
          <w:sz w:val="24"/>
          <w:szCs w:val="24"/>
          <w:highlight w:val="white"/>
        </w:rPr>
        <w:t>Energy</w:t>
      </w:r>
      <w:r w:rsidR="000B559C" w:rsidRPr="00166565">
        <w:rPr>
          <w:rFonts w:eastAsia="Times New Roman"/>
          <w:color w:val="222222"/>
          <w:sz w:val="24"/>
          <w:szCs w:val="24"/>
          <w:highlight w:val="white"/>
        </w:rPr>
        <w:t>, 215, p.119130.</w:t>
      </w:r>
    </w:p>
    <w:p w:rsidR="000B559C" w:rsidRPr="00166565" w:rsidRDefault="000B559C" w:rsidP="000B559C">
      <w:pPr>
        <w:spacing w:line="360" w:lineRule="auto"/>
        <w:jc w:val="both"/>
        <w:rPr>
          <w:rFonts w:eastAsia="Times New Roman"/>
          <w:color w:val="222222"/>
          <w:sz w:val="24"/>
          <w:szCs w:val="24"/>
          <w:highlight w:val="white"/>
        </w:rPr>
      </w:pPr>
      <w:r w:rsidRPr="00166565">
        <w:rPr>
          <w:rFonts w:eastAsia="Times New Roman"/>
          <w:color w:val="222222"/>
          <w:sz w:val="24"/>
          <w:szCs w:val="24"/>
          <w:highlight w:val="white"/>
        </w:rPr>
        <w:t xml:space="preserve">Yea, S. (2019). Secondary precarity in Asia: family vulnerability in an age of unfree labour. </w:t>
      </w:r>
      <w:r w:rsidRPr="00166565">
        <w:rPr>
          <w:rFonts w:eastAsia="Times New Roman"/>
          <w:i/>
          <w:color w:val="222222"/>
          <w:sz w:val="24"/>
          <w:szCs w:val="24"/>
          <w:highlight w:val="white"/>
        </w:rPr>
        <w:t>Journal of Contemporary Asia</w:t>
      </w:r>
      <w:r w:rsidRPr="00166565">
        <w:rPr>
          <w:rFonts w:eastAsia="Times New Roman"/>
          <w:color w:val="222222"/>
          <w:sz w:val="24"/>
          <w:szCs w:val="24"/>
          <w:highlight w:val="white"/>
        </w:rPr>
        <w:t>, 49(4), 552-567.</w:t>
      </w:r>
    </w:p>
    <w:p w:rsidR="000B559C" w:rsidRPr="00E26304" w:rsidRDefault="000B559C" w:rsidP="000B559C">
      <w:pPr>
        <w:spacing w:line="360" w:lineRule="auto"/>
        <w:jc w:val="both"/>
        <w:rPr>
          <w:rFonts w:ascii="Times New Roman" w:eastAsia="Times New Roman" w:hAnsi="Times New Roman" w:cs="Times New Roman"/>
          <w:sz w:val="24"/>
          <w:szCs w:val="24"/>
        </w:rPr>
      </w:pPr>
    </w:p>
    <w:p w:rsidR="000B559C" w:rsidRDefault="000B559C" w:rsidP="000B559C"/>
    <w:sectPr w:rsidR="000B559C" w:rsidSect="00D66B35">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96067" w:rsidRDefault="00B96067" w:rsidP="00322F6D">
      <w:pPr>
        <w:spacing w:line="240" w:lineRule="auto"/>
      </w:pPr>
      <w:r>
        <w:separator/>
      </w:r>
    </w:p>
  </w:endnote>
  <w:endnote w:type="continuationSeparator" w:id="1">
    <w:p w:rsidR="00B96067" w:rsidRDefault="00B96067" w:rsidP="00322F6D">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0070128"/>
      <w:docPartObj>
        <w:docPartGallery w:val="Page Numbers (Bottom of Page)"/>
        <w:docPartUnique/>
      </w:docPartObj>
    </w:sdtPr>
    <w:sdtContent>
      <w:p w:rsidR="00322F6D" w:rsidRDefault="00783A6B">
        <w:pPr>
          <w:pStyle w:val="Footer"/>
          <w:jc w:val="right"/>
        </w:pPr>
        <w:fldSimple w:instr=" PAGE   \* MERGEFORMAT ">
          <w:r w:rsidR="000978A2">
            <w:rPr>
              <w:noProof/>
            </w:rPr>
            <w:t>2</w:t>
          </w:r>
        </w:fldSimple>
      </w:p>
    </w:sdtContent>
  </w:sdt>
  <w:p w:rsidR="00322F6D" w:rsidRDefault="00322F6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96067" w:rsidRDefault="00B96067" w:rsidP="00322F6D">
      <w:pPr>
        <w:spacing w:line="240" w:lineRule="auto"/>
      </w:pPr>
      <w:r>
        <w:separator/>
      </w:r>
    </w:p>
  </w:footnote>
  <w:footnote w:type="continuationSeparator" w:id="1">
    <w:p w:rsidR="00B96067" w:rsidRDefault="00B96067" w:rsidP="00322F6D">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hdrShapeDefaults>
    <o:shapedefaults v:ext="edit" spidmax="12290"/>
  </w:hdrShapeDefaults>
  <w:footnotePr>
    <w:footnote w:id="0"/>
    <w:footnote w:id="1"/>
  </w:footnotePr>
  <w:endnotePr>
    <w:endnote w:id="0"/>
    <w:endnote w:id="1"/>
  </w:endnotePr>
  <w:compat/>
  <w:rsids>
    <w:rsidRoot w:val="000B559C"/>
    <w:rsid w:val="000028CE"/>
    <w:rsid w:val="00035BEC"/>
    <w:rsid w:val="000978A2"/>
    <w:rsid w:val="000B559C"/>
    <w:rsid w:val="00166565"/>
    <w:rsid w:val="002C3079"/>
    <w:rsid w:val="00322F6D"/>
    <w:rsid w:val="003A337F"/>
    <w:rsid w:val="00466E4E"/>
    <w:rsid w:val="004E3376"/>
    <w:rsid w:val="00523AAB"/>
    <w:rsid w:val="00532F50"/>
    <w:rsid w:val="005E2D91"/>
    <w:rsid w:val="006A506E"/>
    <w:rsid w:val="006B0E0E"/>
    <w:rsid w:val="00783A6B"/>
    <w:rsid w:val="007E7920"/>
    <w:rsid w:val="00810D0B"/>
    <w:rsid w:val="00945A2F"/>
    <w:rsid w:val="00956F3F"/>
    <w:rsid w:val="009B6621"/>
    <w:rsid w:val="00A017F0"/>
    <w:rsid w:val="00B96067"/>
    <w:rsid w:val="00D14CCC"/>
    <w:rsid w:val="00D25DDF"/>
    <w:rsid w:val="00D66B35"/>
    <w:rsid w:val="00F6387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559C"/>
    <w:pPr>
      <w:spacing w:after="0" w:line="276" w:lineRule="auto"/>
    </w:pPr>
    <w:rPr>
      <w:rFonts w:ascii="Arial" w:eastAsia="Arial" w:hAnsi="Arial" w:cs="Arial"/>
      <w:lang w:eastAsia="en-IN"/>
    </w:rPr>
  </w:style>
  <w:style w:type="paragraph" w:styleId="Heading1">
    <w:name w:val="heading 1"/>
    <w:basedOn w:val="Normal"/>
    <w:next w:val="Normal"/>
    <w:link w:val="Heading1Char"/>
    <w:uiPriority w:val="9"/>
    <w:qFormat/>
    <w:rsid w:val="000B559C"/>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59C"/>
    <w:rPr>
      <w:rFonts w:asciiTheme="majorHAnsi" w:eastAsiaTheme="majorEastAsia" w:hAnsiTheme="majorHAnsi" w:cstheme="majorBidi"/>
      <w:b/>
      <w:bCs/>
      <w:color w:val="2F5496" w:themeColor="accent1" w:themeShade="BF"/>
      <w:sz w:val="28"/>
      <w:szCs w:val="28"/>
      <w:lang w:eastAsia="en-IN"/>
    </w:rPr>
  </w:style>
  <w:style w:type="paragraph" w:styleId="TOCHeading">
    <w:name w:val="TOC Heading"/>
    <w:basedOn w:val="Heading1"/>
    <w:next w:val="Normal"/>
    <w:uiPriority w:val="39"/>
    <w:unhideWhenUsed/>
    <w:qFormat/>
    <w:rsid w:val="000B559C"/>
    <w:pPr>
      <w:spacing w:before="240" w:line="259" w:lineRule="auto"/>
      <w:outlineLvl w:val="9"/>
    </w:pPr>
    <w:rPr>
      <w:b w:val="0"/>
      <w:bCs w:val="0"/>
      <w:sz w:val="32"/>
      <w:szCs w:val="32"/>
      <w:lang w:val="en-US" w:eastAsia="en-US"/>
    </w:rPr>
  </w:style>
  <w:style w:type="paragraph" w:styleId="TOC1">
    <w:name w:val="toc 1"/>
    <w:basedOn w:val="Normal"/>
    <w:next w:val="Normal"/>
    <w:autoRedefine/>
    <w:uiPriority w:val="39"/>
    <w:unhideWhenUsed/>
    <w:rsid w:val="000B559C"/>
    <w:pPr>
      <w:spacing w:after="100"/>
    </w:pPr>
  </w:style>
  <w:style w:type="character" w:styleId="Hyperlink">
    <w:name w:val="Hyperlink"/>
    <w:basedOn w:val="DefaultParagraphFont"/>
    <w:uiPriority w:val="99"/>
    <w:unhideWhenUsed/>
    <w:rsid w:val="000B559C"/>
    <w:rPr>
      <w:color w:val="0563C1" w:themeColor="hyperlink"/>
      <w:u w:val="single"/>
    </w:rPr>
  </w:style>
  <w:style w:type="paragraph" w:styleId="BalloonText">
    <w:name w:val="Balloon Text"/>
    <w:basedOn w:val="Normal"/>
    <w:link w:val="BalloonTextChar"/>
    <w:uiPriority w:val="99"/>
    <w:semiHidden/>
    <w:unhideWhenUsed/>
    <w:rsid w:val="000B55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59C"/>
    <w:rPr>
      <w:rFonts w:ascii="Tahoma" w:eastAsia="Arial" w:hAnsi="Tahoma" w:cs="Tahoma"/>
      <w:sz w:val="16"/>
      <w:szCs w:val="16"/>
      <w:lang w:eastAsia="en-IN"/>
    </w:rPr>
  </w:style>
  <w:style w:type="paragraph" w:styleId="Header">
    <w:name w:val="header"/>
    <w:basedOn w:val="Normal"/>
    <w:link w:val="HeaderChar"/>
    <w:uiPriority w:val="99"/>
    <w:semiHidden/>
    <w:unhideWhenUsed/>
    <w:rsid w:val="00322F6D"/>
    <w:pPr>
      <w:tabs>
        <w:tab w:val="center" w:pos="4536"/>
        <w:tab w:val="right" w:pos="9072"/>
      </w:tabs>
      <w:spacing w:line="240" w:lineRule="auto"/>
    </w:pPr>
  </w:style>
  <w:style w:type="character" w:customStyle="1" w:styleId="HeaderChar">
    <w:name w:val="Header Char"/>
    <w:basedOn w:val="DefaultParagraphFont"/>
    <w:link w:val="Header"/>
    <w:uiPriority w:val="99"/>
    <w:semiHidden/>
    <w:rsid w:val="00322F6D"/>
    <w:rPr>
      <w:rFonts w:ascii="Arial" w:eastAsia="Arial" w:hAnsi="Arial" w:cs="Arial"/>
      <w:lang w:eastAsia="en-IN"/>
    </w:rPr>
  </w:style>
  <w:style w:type="paragraph" w:styleId="Footer">
    <w:name w:val="footer"/>
    <w:basedOn w:val="Normal"/>
    <w:link w:val="FooterChar"/>
    <w:uiPriority w:val="99"/>
    <w:unhideWhenUsed/>
    <w:rsid w:val="00322F6D"/>
    <w:pPr>
      <w:tabs>
        <w:tab w:val="center" w:pos="4536"/>
        <w:tab w:val="right" w:pos="9072"/>
      </w:tabs>
      <w:spacing w:line="240" w:lineRule="auto"/>
    </w:pPr>
  </w:style>
  <w:style w:type="character" w:customStyle="1" w:styleId="FooterChar">
    <w:name w:val="Footer Char"/>
    <w:basedOn w:val="DefaultParagraphFont"/>
    <w:link w:val="Footer"/>
    <w:uiPriority w:val="99"/>
    <w:rsid w:val="00322F6D"/>
    <w:rPr>
      <w:rFonts w:ascii="Arial" w:eastAsia="Arial" w:hAnsi="Arial" w:cs="Arial"/>
      <w:lang w:eastAsia="en-IN"/>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TotalTime>
  <Pages>11</Pages>
  <Words>3142</Words>
  <Characters>17915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dc:creator>
  <cp:lastModifiedBy>vasil</cp:lastModifiedBy>
  <cp:revision>16</cp:revision>
  <dcterms:created xsi:type="dcterms:W3CDTF">2022-05-06T03:59:00Z</dcterms:created>
  <dcterms:modified xsi:type="dcterms:W3CDTF">2022-05-09T00:53:00Z</dcterms:modified>
</cp:coreProperties>
</file>