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FE794" w14:textId="50F1E4D7" w:rsidR="0020173F" w:rsidRPr="00D51CC6" w:rsidRDefault="00701F4A" w:rsidP="00D51CC6">
      <w:pPr>
        <w:spacing w:line="360" w:lineRule="auto"/>
        <w:contextualSpacing/>
        <w:jc w:val="center"/>
        <w:rPr>
          <w:rFonts w:ascii="Times New Roman" w:hAnsi="Times New Roman" w:cs="Times New Roman"/>
          <w:sz w:val="24"/>
          <w:szCs w:val="24"/>
        </w:rPr>
      </w:pP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Pr="00D51CC6">
        <w:rPr>
          <w:rFonts w:ascii="Times New Roman" w:hAnsi="Times New Roman" w:cs="Times New Roman"/>
          <w:sz w:val="24"/>
          <w:szCs w:val="24"/>
        </w:rPr>
        <w:br/>
      </w:r>
      <w:r w:rsidR="7E2BF59F" w:rsidRPr="00D51CC6">
        <w:rPr>
          <w:rFonts w:ascii="Times New Roman" w:hAnsi="Times New Roman" w:cs="Times New Roman"/>
          <w:sz w:val="24"/>
          <w:szCs w:val="24"/>
        </w:rPr>
        <w:t xml:space="preserve">International Hotel Management </w:t>
      </w:r>
    </w:p>
    <w:p w14:paraId="2CAEFB89" w14:textId="341714B2" w:rsidR="0020173F" w:rsidRDefault="7E2BF59F" w:rsidP="00D51CC6">
      <w:pPr>
        <w:spacing w:line="360" w:lineRule="auto"/>
        <w:contextualSpacing/>
        <w:jc w:val="center"/>
        <w:rPr>
          <w:rFonts w:ascii="Times New Roman" w:hAnsi="Times New Roman" w:cs="Times New Roman"/>
          <w:sz w:val="24"/>
          <w:szCs w:val="24"/>
        </w:rPr>
      </w:pPr>
      <w:r w:rsidRPr="00D51CC6">
        <w:rPr>
          <w:rFonts w:ascii="Times New Roman" w:hAnsi="Times New Roman" w:cs="Times New Roman"/>
          <w:sz w:val="24"/>
          <w:szCs w:val="24"/>
        </w:rPr>
        <w:t>Student number:</w:t>
      </w:r>
      <w:r w:rsidR="00CF7FC1">
        <w:rPr>
          <w:rFonts w:ascii="Times New Roman" w:hAnsi="Times New Roman" w:cs="Times New Roman"/>
          <w:sz w:val="24"/>
          <w:szCs w:val="24"/>
        </w:rPr>
        <w:t>2117504</w:t>
      </w:r>
      <w:r w:rsidR="00701F4A" w:rsidRPr="00D51CC6">
        <w:rPr>
          <w:rFonts w:ascii="Times New Roman" w:hAnsi="Times New Roman" w:cs="Times New Roman"/>
          <w:sz w:val="24"/>
          <w:szCs w:val="24"/>
        </w:rPr>
        <w:br/>
      </w:r>
      <w:r w:rsidRPr="00D51CC6">
        <w:rPr>
          <w:rFonts w:ascii="Times New Roman" w:hAnsi="Times New Roman" w:cs="Times New Roman"/>
          <w:sz w:val="24"/>
          <w:szCs w:val="24"/>
        </w:rPr>
        <w:t xml:space="preserve">Date: </w:t>
      </w:r>
      <w:r w:rsidR="00CF7FC1">
        <w:rPr>
          <w:rFonts w:ascii="Times New Roman" w:hAnsi="Times New Roman" w:cs="Times New Roman"/>
          <w:sz w:val="24"/>
          <w:szCs w:val="24"/>
        </w:rPr>
        <w:t>18/10/2023</w:t>
      </w:r>
    </w:p>
    <w:p w14:paraId="01F4190B" w14:textId="6C17104B" w:rsidR="00CF7FC1" w:rsidRDefault="00CF7FC1" w:rsidP="00D51CC6">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BMIH</w:t>
      </w:r>
      <w:proofErr w:type="gramStart"/>
      <w:r>
        <w:rPr>
          <w:rFonts w:ascii="Times New Roman" w:hAnsi="Times New Roman" w:cs="Times New Roman"/>
          <w:sz w:val="24"/>
          <w:szCs w:val="24"/>
        </w:rPr>
        <w:t>5006:Kathryn</w:t>
      </w:r>
      <w:proofErr w:type="gramEnd"/>
      <w:r>
        <w:rPr>
          <w:rFonts w:ascii="Times New Roman" w:hAnsi="Times New Roman" w:cs="Times New Roman"/>
          <w:sz w:val="24"/>
          <w:szCs w:val="24"/>
        </w:rPr>
        <w:t xml:space="preserve"> Roberts</w:t>
      </w:r>
    </w:p>
    <w:p w14:paraId="308D9C32" w14:textId="77777777" w:rsidR="00CF7FC1" w:rsidRPr="00D51CC6" w:rsidRDefault="00CF7FC1" w:rsidP="00D51CC6">
      <w:pPr>
        <w:spacing w:line="360" w:lineRule="auto"/>
        <w:contextualSpacing/>
        <w:jc w:val="center"/>
        <w:rPr>
          <w:rFonts w:ascii="Times New Roman" w:hAnsi="Times New Roman" w:cs="Times New Roman"/>
          <w:sz w:val="24"/>
          <w:szCs w:val="24"/>
        </w:rPr>
      </w:pPr>
    </w:p>
    <w:p w14:paraId="0F4AA77C" w14:textId="20043F1D" w:rsidR="0020173F" w:rsidRPr="00D51CC6" w:rsidRDefault="00701F4A" w:rsidP="00D51CC6">
      <w:pPr>
        <w:spacing w:line="360" w:lineRule="auto"/>
        <w:contextualSpacing/>
        <w:rPr>
          <w:rFonts w:ascii="Times New Roman" w:hAnsi="Times New Roman" w:cs="Times New Roman"/>
          <w:sz w:val="24"/>
          <w:szCs w:val="24"/>
        </w:rPr>
      </w:pPr>
      <w:r w:rsidRPr="00D51CC6">
        <w:rPr>
          <w:rFonts w:ascii="Times New Roman" w:hAnsi="Times New Roman" w:cs="Times New Roman"/>
          <w:sz w:val="24"/>
          <w:szCs w:val="24"/>
        </w:rPr>
        <w:br w:type="page"/>
      </w:r>
    </w:p>
    <w:p w14:paraId="727B10E7" w14:textId="5ED962AD" w:rsidR="0020173F" w:rsidRPr="00D51CC6" w:rsidRDefault="7E2BF59F" w:rsidP="00B1663C">
      <w:pPr>
        <w:pStyle w:val="Heading1"/>
        <w:spacing w:line="240" w:lineRule="auto"/>
        <w:contextualSpacing/>
        <w:rPr>
          <w:rFonts w:ascii="Times New Roman" w:hAnsi="Times New Roman" w:cs="Times New Roman"/>
          <w:b/>
          <w:color w:val="auto"/>
          <w:sz w:val="24"/>
          <w:szCs w:val="24"/>
        </w:rPr>
      </w:pPr>
      <w:r w:rsidRPr="00D51CC6">
        <w:rPr>
          <w:rFonts w:ascii="Times New Roman" w:hAnsi="Times New Roman" w:cs="Times New Roman"/>
          <w:b/>
          <w:color w:val="auto"/>
          <w:sz w:val="24"/>
          <w:szCs w:val="24"/>
        </w:rPr>
        <w:lastRenderedPageBreak/>
        <w:t>Sustainable Hospitality &amp; Tourism Management</w:t>
      </w:r>
    </w:p>
    <w:p w14:paraId="179ACCB0" w14:textId="743288AC" w:rsidR="0020173F" w:rsidRPr="00D51CC6" w:rsidRDefault="7E2BF59F" w:rsidP="00D51CC6">
      <w:pPr>
        <w:spacing w:line="360" w:lineRule="auto"/>
        <w:ind w:firstLine="720"/>
        <w:contextualSpacing/>
        <w:rPr>
          <w:rFonts w:ascii="Times New Roman" w:hAnsi="Times New Roman" w:cs="Times New Roman"/>
          <w:sz w:val="24"/>
          <w:szCs w:val="24"/>
        </w:rPr>
      </w:pPr>
      <w:r w:rsidRPr="00D51CC6">
        <w:rPr>
          <w:rFonts w:ascii="Times New Roman" w:hAnsi="Times New Roman" w:cs="Times New Roman"/>
          <w:sz w:val="24"/>
          <w:szCs w:val="24"/>
        </w:rPr>
        <w:t>The hotel sector is at a turning point in its history and has a significant environmental impact. This essay explores the landscape of corporate social responsibility (CSR) policies while concentrating on the paradigm change at Hilton, in the context of expanding global environmental concerns. We investigate the many factors driving the industry's commitment to sustainability through the lens of CSR, which is widely acknowledged as a crucial component of success in the twenty-first century. This paper highlights the crucial importance of CSR in the face of increased governmental constraints and competitive dynamics by tying it to the tenets of sustainability, the Triple Bottom Line, and the circular economy. Sustainability in the hotel business is not just a choice; it is a strategic requirement, according to Sloan et al., (2017). In the quest for a more sustainable future, this study aims to decipher the complex web of Hilton's CSR initiatives and shed light on the larger consequences for the hospitality industry.</w:t>
      </w:r>
    </w:p>
    <w:p w14:paraId="53806259" w14:textId="61DB85E6" w:rsidR="0020173F" w:rsidRPr="00D51CC6" w:rsidRDefault="7E2BF59F" w:rsidP="00D51CC6">
      <w:pPr>
        <w:spacing w:before="300" w:after="300" w:line="360" w:lineRule="auto"/>
        <w:ind w:firstLine="720"/>
        <w:contextualSpacing/>
        <w:rPr>
          <w:rFonts w:ascii="Times New Roman" w:hAnsi="Times New Roman" w:cs="Times New Roman"/>
          <w:sz w:val="24"/>
          <w:szCs w:val="24"/>
        </w:rPr>
      </w:pPr>
      <w:r w:rsidRPr="00D51CC6">
        <w:rPr>
          <w:rFonts w:ascii="Times New Roman" w:eastAsia="system-ui" w:hAnsi="Times New Roman" w:cs="Times New Roman"/>
          <w:sz w:val="24"/>
          <w:szCs w:val="24"/>
        </w:rPr>
        <w:t>Through its extensive Corporate Social Responsibility (CSR) strategy, Hilton, a significant participant in the hotel sector, has become a leader in corporate sustainability. The promise to lessen environmental effect while boosting social and economic benefits is the core of Hilton's CSR commitment. The continuous commitment of Hilton to sustainable energy consumption practices is a key component of its CSR strategy (Lee and Legendre, 2023). With an emphasis on integrating renewable energy sources and energy-efficient systems, the hotel chain has adopted cutting-edge technology and operational tactics to reduce energy use. These programs support the sector's overall transition to responsible energy management (Lee and Legendre, 2023). Water sustainability is given a priority in Hilton's CSR policy along with energy reduction. The hotel chain has put in place strict water management procedures because it understands the crucial role water plays in its operations (</w:t>
      </w:r>
      <w:proofErr w:type="spellStart"/>
      <w:r w:rsidRPr="00D51CC6">
        <w:rPr>
          <w:rFonts w:ascii="Times New Roman" w:eastAsia="system-ui" w:hAnsi="Times New Roman" w:cs="Times New Roman"/>
          <w:sz w:val="24"/>
          <w:szCs w:val="24"/>
        </w:rPr>
        <w:t>Ertuna</w:t>
      </w:r>
      <w:proofErr w:type="spellEnd"/>
      <w:r w:rsidRPr="00D51CC6">
        <w:rPr>
          <w:rFonts w:ascii="Times New Roman" w:eastAsia="system-ui" w:hAnsi="Times New Roman" w:cs="Times New Roman"/>
          <w:sz w:val="24"/>
          <w:szCs w:val="24"/>
        </w:rPr>
        <w:t xml:space="preserve">, Gu, and Yu, 2022). This includes financial commitments to wastewater treatment, visitor participation initiatives, and infrastructure improvements that conserve water. By tackling the problem of water scarcity, Hilton not only supports the aims of global sustainability but also reduces operational risks connected to water-intensive sectors. Hilton's dedication also encompasses the responsible management of consumables. Initiatives to reduce waste creation, encourage recycling, and source responsibly are outlined in the CSR policy (Guliani and Rizwan, 2016). Hilton aims to establish a closed-loop system that lessens the environmental effect of its supply chain by forming collaborations with vendors that are dedicated to moral and ethical business practices. </w:t>
      </w:r>
      <w:r w:rsidRPr="00D51CC6">
        <w:rPr>
          <w:rFonts w:ascii="Times New Roman" w:eastAsia="system-ui" w:hAnsi="Times New Roman" w:cs="Times New Roman"/>
          <w:sz w:val="24"/>
          <w:szCs w:val="24"/>
        </w:rPr>
        <w:lastRenderedPageBreak/>
        <w:t xml:space="preserve">With an emphasis on resource efficiency and waste reduction in the pursuit of sustainability, this strategy is consistent with the circular economy </w:t>
      </w:r>
      <w:r w:rsidR="00B1663C" w:rsidRPr="00D51CC6">
        <w:rPr>
          <w:rFonts w:ascii="Times New Roman" w:eastAsia="system-ui" w:hAnsi="Times New Roman" w:cs="Times New Roman"/>
          <w:sz w:val="24"/>
          <w:szCs w:val="24"/>
        </w:rPr>
        <w:t>notion</w:t>
      </w:r>
      <w:r w:rsidRPr="00D51CC6">
        <w:rPr>
          <w:rFonts w:ascii="Times New Roman" w:eastAsia="system-ui" w:hAnsi="Times New Roman" w:cs="Times New Roman"/>
          <w:sz w:val="24"/>
          <w:szCs w:val="24"/>
        </w:rPr>
        <w:t xml:space="preserve"> (Guliani and Rizwan, 2016). Hilton places itself at the forefront of sustainable hospitality practices by carefully addressing energy, water, and consumables, harmonizing with the sector's shifting landscape and universal sustainability imperatives.</w:t>
      </w:r>
    </w:p>
    <w:p w14:paraId="379EA8DD" w14:textId="1673CBF2" w:rsidR="0020173F" w:rsidRPr="00D51CC6" w:rsidRDefault="7E2BF59F" w:rsidP="00D51CC6">
      <w:pPr>
        <w:spacing w:before="300" w:after="300" w:line="360" w:lineRule="auto"/>
        <w:ind w:firstLine="720"/>
        <w:contextualSpacing/>
        <w:rPr>
          <w:rFonts w:ascii="Times New Roman" w:hAnsi="Times New Roman" w:cs="Times New Roman"/>
          <w:sz w:val="24"/>
          <w:szCs w:val="24"/>
        </w:rPr>
      </w:pPr>
      <w:r w:rsidRPr="00D51CC6">
        <w:rPr>
          <w:rFonts w:ascii="Times New Roman" w:eastAsia="system-ui" w:hAnsi="Times New Roman" w:cs="Times New Roman"/>
          <w:sz w:val="24"/>
          <w:szCs w:val="24"/>
        </w:rPr>
        <w:t xml:space="preserve">Hilton is a good example of how hoteliers are being forced to adopt sustainability </w:t>
      </w:r>
      <w:r w:rsidR="00B1663C" w:rsidRPr="00D51CC6">
        <w:rPr>
          <w:rFonts w:ascii="Times New Roman" w:eastAsia="system-ui" w:hAnsi="Times New Roman" w:cs="Times New Roman"/>
          <w:sz w:val="24"/>
          <w:szCs w:val="24"/>
        </w:rPr>
        <w:t>because of</w:t>
      </w:r>
      <w:r w:rsidRPr="00D51CC6">
        <w:rPr>
          <w:rFonts w:ascii="Times New Roman" w:eastAsia="system-ui" w:hAnsi="Times New Roman" w:cs="Times New Roman"/>
          <w:sz w:val="24"/>
          <w:szCs w:val="24"/>
        </w:rPr>
        <w:t xml:space="preserve"> a complex interplay of outside factors. Government laws, which have grown to be a powerful force in guiding the hotel sector toward sustainable practices, are a notable accelerator. Governments all around the world have put in place strict legislation that particularly </w:t>
      </w:r>
      <w:r w:rsidR="00B1663C" w:rsidRPr="00D51CC6">
        <w:rPr>
          <w:rFonts w:ascii="Times New Roman" w:eastAsia="system-ui" w:hAnsi="Times New Roman" w:cs="Times New Roman"/>
          <w:sz w:val="24"/>
          <w:szCs w:val="24"/>
        </w:rPr>
        <w:t>targets</w:t>
      </w:r>
      <w:r w:rsidRPr="00D51CC6">
        <w:rPr>
          <w:rFonts w:ascii="Times New Roman" w:eastAsia="system-ui" w:hAnsi="Times New Roman" w:cs="Times New Roman"/>
          <w:sz w:val="24"/>
          <w:szCs w:val="24"/>
        </w:rPr>
        <w:t xml:space="preserve"> issues like energy efficiency, waste management, and water conservation in response to the urgent need for environmental stewardship. A prime example is Hilton's constant dedication to sustainability, which adroitly complies with rules like the Green Deal of the European Union. This legal framework encourages hotels to reduce their carbon footprint and adopt environmentally friendly measures as a proactive reaction to changing environmental requirements (EU, 2019). Concurrently, a significant shift in consumer expectations has been sparked by the exponential growth in public knowledge of environmental issues. As more and more modern travelers want to stay at places that share their beliefs, hotels are being forced to incorporate sustainability into every aspect of their brand. Hilton has implemented guest engagement activities that deliberately promote eco-conscious behavior since it is aware of this paradigm change. This not only demonstrates Hilton's flexibility in responding to shifting consumer tastes, but it also fits with a Smith (2021) research that highlights the growing influence of consumer values on sustainability initiatives in the hotel industry. The hotel industry's requirement for sustainability is further strengthened by the competitive environment, placing it as a critical differentiation. Hotels engage in intense rivalry to set themselves apart by emphasizing their dedication to ethical business practices. Hilton's ambitious 2030 Goals show how it effectively navigates this cutthroat environment. These include specific goals for waste management, water conservation, and carbon reduction. Such dedications not only boost Hilton's brand recognition but also position the business as a pioneering industry leader, encouraging a culture of competition that drives continuous improvements in the industry (Hilton, 2023). A more sustainable future for the hotel industry is being pushed by a confluence of governmental, </w:t>
      </w:r>
      <w:r w:rsidRPr="00D51CC6">
        <w:rPr>
          <w:rFonts w:ascii="Times New Roman" w:eastAsia="system-ui" w:hAnsi="Times New Roman" w:cs="Times New Roman"/>
          <w:sz w:val="24"/>
          <w:szCs w:val="24"/>
        </w:rPr>
        <w:lastRenderedPageBreak/>
        <w:t>consumer-driven, and competitive factors, which highlights the complex reasons driving Hilton and its competitors in that direction.</w:t>
      </w:r>
    </w:p>
    <w:p w14:paraId="2EA9ED7C" w14:textId="55C5D011" w:rsidR="0020173F" w:rsidRPr="00D51CC6" w:rsidRDefault="7E2BF59F" w:rsidP="00D51CC6">
      <w:pPr>
        <w:spacing w:before="300" w:after="300" w:line="360" w:lineRule="auto"/>
        <w:ind w:firstLine="720"/>
        <w:contextualSpacing/>
        <w:rPr>
          <w:rFonts w:ascii="Times New Roman" w:hAnsi="Times New Roman" w:cs="Times New Roman"/>
          <w:sz w:val="24"/>
          <w:szCs w:val="24"/>
        </w:rPr>
      </w:pPr>
      <w:r w:rsidRPr="00D51CC6">
        <w:rPr>
          <w:rFonts w:ascii="Times New Roman" w:eastAsia="system-ui" w:hAnsi="Times New Roman" w:cs="Times New Roman"/>
          <w:sz w:val="24"/>
          <w:szCs w:val="24"/>
        </w:rPr>
        <w:t xml:space="preserve">In the hotel business, competitors' behaviors and market patterns show a collective reaction to the expanding sustainability concerns. The tactics employed by other hotels may be analyzed to provide important insights into how the sector is changing and responding to the requirement of environmental responsibility. For instance, with its Serve 360 effort, Marriott, a potent rival in the hotel industry, has embraced sustainability. The circular economy's guiding principles are reflected in this project, which emphasizes responsible sourcing, community involvement, and environmental care (Marriott, 2022). Another significant company, Accor, has positioned itself strategically by incorporating sustainability into its business strategy. The organization's "Planet 21" initiative establishes challenging goals for lowering environmental impact, promoting community involvement, and improving visitor experiences. The emphasis that Accor places on open reporting and stakeholder cooperation demonstrates its dedication to a complete sustainability program (Accor, 2021). IHG places a strong emphasis on energy efficiency and environmental practices throughout </w:t>
      </w:r>
      <w:proofErr w:type="gramStart"/>
      <w:r w:rsidRPr="00D51CC6">
        <w:rPr>
          <w:rFonts w:ascii="Times New Roman" w:eastAsia="system-ui" w:hAnsi="Times New Roman" w:cs="Times New Roman"/>
          <w:sz w:val="24"/>
          <w:szCs w:val="24"/>
        </w:rPr>
        <w:t>all of</w:t>
      </w:r>
      <w:proofErr w:type="gramEnd"/>
      <w:r w:rsidRPr="00D51CC6">
        <w:rPr>
          <w:rFonts w:ascii="Times New Roman" w:eastAsia="system-ui" w:hAnsi="Times New Roman" w:cs="Times New Roman"/>
          <w:sz w:val="24"/>
          <w:szCs w:val="24"/>
        </w:rPr>
        <w:t xml:space="preserve"> its properties worldwide through its IHG Green Engage system. The initiative enables lodging establishments to monitor, control, and lessen their environmental effect, demonstrating a dedication to ethical business conduct and patron happiness (IHG, 2021). With its "Travel with Purpose" program, Hilton distinguishes out in this field of developing environmental initiatives. This program presents a plan for carbon reduction, water stewardship, and waste management that is in accordance with Hilton's 2030 Goals. Setting ambitious, quantifiable goals is a trend in </w:t>
      </w:r>
      <w:r w:rsidR="00B1663C" w:rsidRPr="00D51CC6">
        <w:rPr>
          <w:rFonts w:ascii="Times New Roman" w:eastAsia="system-ui" w:hAnsi="Times New Roman" w:cs="Times New Roman"/>
          <w:sz w:val="24"/>
          <w:szCs w:val="24"/>
        </w:rPr>
        <w:t>business</w:t>
      </w:r>
      <w:r w:rsidRPr="00D51CC6">
        <w:rPr>
          <w:rFonts w:ascii="Times New Roman" w:eastAsia="system-ui" w:hAnsi="Times New Roman" w:cs="Times New Roman"/>
          <w:sz w:val="24"/>
          <w:szCs w:val="24"/>
        </w:rPr>
        <w:t xml:space="preserve">, and Hilton's strategy reflects a commitment that goes beyond empty words. Additionally, Hilton's focus on social impact and community involvement parallels industry-wide acknowledgment of the relationship between sustainability and overall societal well-being (Hilton, 2023). While the way the industry responds to sustainability issues shares certain similarities, there are disparities in the specifics of each hotel's strategy. The emphasis on circular economy concepts by Marriott, Accor's open reporting, IHG's empowerment of individual properties, and Hilton's community-focused approach are all threads in the dynamic sustainability web woven across the hospitality industry. The subtle differences show the variety of directions hotels may go while maintaining a shared commitment to ethical and sustainable business operations. With its "Travel with Purpose" program, Hilton distinguishes out in this field of developing environmental initiatives. This program presents a </w:t>
      </w:r>
      <w:r w:rsidRPr="00D51CC6">
        <w:rPr>
          <w:rFonts w:ascii="Times New Roman" w:eastAsia="system-ui" w:hAnsi="Times New Roman" w:cs="Times New Roman"/>
          <w:sz w:val="24"/>
          <w:szCs w:val="24"/>
        </w:rPr>
        <w:lastRenderedPageBreak/>
        <w:t xml:space="preserve">plan for carbon reduction, water stewardship, and waste management that is in accordance with Hilton's 2030 Goals. Setting ambitious, quantifiable goals is a trend in </w:t>
      </w:r>
      <w:proofErr w:type="gramStart"/>
      <w:r w:rsidRPr="00D51CC6">
        <w:rPr>
          <w:rFonts w:ascii="Times New Roman" w:eastAsia="system-ui" w:hAnsi="Times New Roman" w:cs="Times New Roman"/>
          <w:sz w:val="24"/>
          <w:szCs w:val="24"/>
        </w:rPr>
        <w:t>the business</w:t>
      </w:r>
      <w:proofErr w:type="gramEnd"/>
      <w:r w:rsidRPr="00D51CC6">
        <w:rPr>
          <w:rFonts w:ascii="Times New Roman" w:eastAsia="system-ui" w:hAnsi="Times New Roman" w:cs="Times New Roman"/>
          <w:sz w:val="24"/>
          <w:szCs w:val="24"/>
        </w:rPr>
        <w:t>, and Hilton's strategy reflects a commitment that goes beyond empty words. Additionally, Hilton's focus on social impact and community involvement parallels industry-wide acknowledgment of the relationship between sustainability and overall societal well-being (Hilton, 2023). While the way the industry responds to sustainability issues shares certain similarities, there are disparities in the specifics of each hotel's strategy.</w:t>
      </w:r>
    </w:p>
    <w:p w14:paraId="1BAF377E" w14:textId="65650755" w:rsidR="0020173F" w:rsidRPr="00D51CC6" w:rsidRDefault="7E2BF59F" w:rsidP="00D51CC6">
      <w:pPr>
        <w:spacing w:before="300" w:after="300" w:line="360" w:lineRule="auto"/>
        <w:ind w:firstLine="720"/>
        <w:contextualSpacing/>
        <w:rPr>
          <w:rFonts w:ascii="Times New Roman" w:hAnsi="Times New Roman" w:cs="Times New Roman"/>
          <w:sz w:val="24"/>
          <w:szCs w:val="24"/>
        </w:rPr>
      </w:pPr>
      <w:r w:rsidRPr="00D51CC6">
        <w:rPr>
          <w:rFonts w:ascii="Times New Roman" w:eastAsia="system-ui" w:hAnsi="Times New Roman" w:cs="Times New Roman"/>
          <w:sz w:val="24"/>
          <w:szCs w:val="24"/>
        </w:rPr>
        <w:t xml:space="preserve">For companies pursuing sustainable and ethical practices, corporate social responsibility (CSR) and the circular economy have become linked imperatives. The circular economy is focused on decreasing waste and maximizing resource use through techniques including recycling, reusing, and lowering environmental impact. The circular economy fits with larger sustainability objectives within the CSR framework, highlighting an organization's dedication to reducing its environmental impact and promoting ethical business practices </w:t>
      </w:r>
      <w:r w:rsidRPr="00D51CC6">
        <w:rPr>
          <w:rFonts w:ascii="Times New Roman" w:eastAsia="Roboto" w:hAnsi="Times New Roman" w:cs="Times New Roman"/>
          <w:sz w:val="24"/>
          <w:szCs w:val="24"/>
        </w:rPr>
        <w:t xml:space="preserve">(Wojnarowska, Marek </w:t>
      </w:r>
      <w:proofErr w:type="spellStart"/>
      <w:r w:rsidRPr="00D51CC6">
        <w:rPr>
          <w:rFonts w:ascii="Times New Roman" w:eastAsia="Roboto" w:hAnsi="Times New Roman" w:cs="Times New Roman"/>
          <w:sz w:val="24"/>
          <w:szCs w:val="24"/>
        </w:rPr>
        <w:t>Ćwiklicki</w:t>
      </w:r>
      <w:proofErr w:type="spellEnd"/>
      <w:r w:rsidRPr="00D51CC6">
        <w:rPr>
          <w:rFonts w:ascii="Times New Roman" w:eastAsia="Roboto" w:hAnsi="Times New Roman" w:cs="Times New Roman"/>
          <w:sz w:val="24"/>
          <w:szCs w:val="24"/>
        </w:rPr>
        <w:t xml:space="preserve"> and Ingrao, 2022)</w:t>
      </w:r>
      <w:r w:rsidRPr="00D51CC6">
        <w:rPr>
          <w:rFonts w:ascii="Times New Roman" w:eastAsia="system-ui" w:hAnsi="Times New Roman" w:cs="Times New Roman"/>
          <w:sz w:val="24"/>
          <w:szCs w:val="24"/>
        </w:rPr>
        <w:t xml:space="preserve">. In keeping with the circular economy idea, Hilton has put in place procedures that considerably aid in waste minimization. One noteworthy program is Hilton's pledge to send zero soap to landfills through their "Soap Recycling Program." Together with Clean the World, Hilton collects used soap and amenity bottles from hotel rooms and delivers them to underserved areas. This demonstrates the twin benefits of Hilton's circular economy approach by reducing trash and addressing hygiene inequities (Hilton, 2023). The circular economy's guiding principles emphasize recycling, and Hilton goes above and beyond soap recycling. The business actively participates in recycling programs, focusing on paper, plastic, and other items. By ensuring that materials are reused or repurposed rather than wasted, for example, Hilton's recycling program helps to promote the circular economy by diverting large volumes of garbage from landfills (Hilton, 2023). Another aspect of the circular economy that Hilton has included into its CSR approach is sustainable sourcing. Hilton promotes a circular supply chain by giving preference to vendors who follow morally and ecologically sound policies. This entails obtaining food that has been produced ethically, reducing the environmental effect of the materials used in hotel construction and operations, and cultivating relationships that adhere to the principles of the circular economy (Hilton, 2023). Waste reduction and recycling are only a small part of how circular economy ideas are incorporated into CSR (Wojnarowska, Marek </w:t>
      </w:r>
      <w:proofErr w:type="spellStart"/>
      <w:r w:rsidRPr="00D51CC6">
        <w:rPr>
          <w:rFonts w:ascii="Times New Roman" w:eastAsia="system-ui" w:hAnsi="Times New Roman" w:cs="Times New Roman"/>
          <w:sz w:val="24"/>
          <w:szCs w:val="24"/>
        </w:rPr>
        <w:t>wiklicki</w:t>
      </w:r>
      <w:proofErr w:type="spellEnd"/>
      <w:r w:rsidRPr="00D51CC6">
        <w:rPr>
          <w:rFonts w:ascii="Times New Roman" w:eastAsia="system-ui" w:hAnsi="Times New Roman" w:cs="Times New Roman"/>
          <w:sz w:val="24"/>
          <w:szCs w:val="24"/>
        </w:rPr>
        <w:t xml:space="preserve">, and Ingrao, 2022). The circular economy, which emphasizes responsible </w:t>
      </w:r>
      <w:r w:rsidRPr="00D51CC6">
        <w:rPr>
          <w:rFonts w:ascii="Times New Roman" w:eastAsia="system-ui" w:hAnsi="Times New Roman" w:cs="Times New Roman"/>
          <w:sz w:val="24"/>
          <w:szCs w:val="24"/>
        </w:rPr>
        <w:lastRenderedPageBreak/>
        <w:t>resource use, is consistent with Hilton's commitment to energy efficiency and renewable energy sources. In addition to lowering Hilton's carbon footprint, the use of energy-efficient technology and renewable energy sources demonstrates how circular economy ideas may be incorporated into larger sustainability programs (Hilton, 2023).</w:t>
      </w:r>
    </w:p>
    <w:p w14:paraId="552AC74E" w14:textId="18279939" w:rsidR="0020173F" w:rsidRPr="00D51CC6" w:rsidRDefault="7E2BF59F" w:rsidP="00D51CC6">
      <w:pPr>
        <w:spacing w:before="300" w:after="300" w:line="360" w:lineRule="auto"/>
        <w:ind w:firstLine="720"/>
        <w:contextualSpacing/>
        <w:rPr>
          <w:rFonts w:ascii="Times New Roman" w:hAnsi="Times New Roman" w:cs="Times New Roman"/>
          <w:sz w:val="24"/>
          <w:szCs w:val="24"/>
        </w:rPr>
      </w:pPr>
      <w:r w:rsidRPr="00D51CC6">
        <w:rPr>
          <w:rFonts w:ascii="Times New Roman" w:eastAsia="system-ui" w:hAnsi="Times New Roman" w:cs="Times New Roman"/>
          <w:sz w:val="24"/>
          <w:szCs w:val="24"/>
        </w:rPr>
        <w:t xml:space="preserve">The Triple Bottom Line approach is integrally aligned with Hilton's Corporate Social Responsibility (CSR) programs, which address the economic, social, and environmental aspects for long-term sustainability. Initiatives like the "2030 Goals," which set precise goals for waste management, water stewardship, and carbon reduction, provide as an economic example of Hilton's dedication to ethical business practices (Hilton, 2023). Through initiatives like the "Soap Recycling Program," which involves working with Clean the World to donate used soap and amenity bottles to impoverished communities, the hotel promotes community participation on a social level (Hilton, 2023). This demonstrates the societal effect of Hilton's CSR initiatives through reducing trash and addressing hygiene inequities. In terms of the environment, Hilton's emphasis on energy efficiency and sustainable sourcing helps to minimize its ecological imprint. This dedication is demonstrated by the cooperation with the World Wildlife Fund (WWF), which aims to reduce Hilton's environmental footprint by half and increase its social </w:t>
      </w:r>
      <w:proofErr w:type="gramStart"/>
      <w:r w:rsidRPr="00D51CC6">
        <w:rPr>
          <w:rFonts w:ascii="Times New Roman" w:eastAsia="system-ui" w:hAnsi="Times New Roman" w:cs="Times New Roman"/>
          <w:sz w:val="24"/>
          <w:szCs w:val="24"/>
        </w:rPr>
        <w:t>effect by</w:t>
      </w:r>
      <w:proofErr w:type="gramEnd"/>
      <w:r w:rsidRPr="00D51CC6">
        <w:rPr>
          <w:rFonts w:ascii="Times New Roman" w:eastAsia="system-ui" w:hAnsi="Times New Roman" w:cs="Times New Roman"/>
          <w:sz w:val="24"/>
          <w:szCs w:val="24"/>
        </w:rPr>
        <w:t xml:space="preserve"> twofold by 2030 (Hilton, 2020). Through these initiatives, Hilton exemplifies a comprehensive approach to CSR, balancing the three pillars of the Triple Bottom Line to promote long-term sustainability (Elkington, 2018).</w:t>
      </w:r>
    </w:p>
    <w:p w14:paraId="63C8102C" w14:textId="26110529" w:rsidR="0020173F" w:rsidRPr="00D51CC6" w:rsidRDefault="7E2BF59F" w:rsidP="00D51CC6">
      <w:pPr>
        <w:spacing w:line="360" w:lineRule="auto"/>
        <w:ind w:firstLine="720"/>
        <w:contextualSpacing/>
        <w:rPr>
          <w:rFonts w:ascii="Times New Roman" w:hAnsi="Times New Roman" w:cs="Times New Roman"/>
          <w:sz w:val="24"/>
          <w:szCs w:val="24"/>
        </w:rPr>
      </w:pPr>
      <w:r w:rsidRPr="00D51CC6">
        <w:rPr>
          <w:rFonts w:ascii="Times New Roman" w:hAnsi="Times New Roman" w:cs="Times New Roman"/>
          <w:sz w:val="24"/>
          <w:szCs w:val="24"/>
        </w:rPr>
        <w:t xml:space="preserve">The analysis of Hilton's CSR programs highlights the revolutionary potential of sustainability in the hospitality sector. Economic, social, and environmental analysis of the Triple Bottom Line demonstrates Hilton's deft balancing act, demonstrated in programs like the "2030 Goals" and partnerships with Clean the World and WWF. These initiatives not only lessen their negative effects on the environment, but they also encourage civic participation and ethical corporate conduct. As Hilton serves as an example, the advantages of sustainability in the hotel sector go beyond merely complying; they also improve brand reputation, stakeholder trust, and long-term profitability. </w:t>
      </w:r>
      <w:proofErr w:type="gramStart"/>
      <w:r w:rsidRPr="00D51CC6">
        <w:rPr>
          <w:rFonts w:ascii="Times New Roman" w:hAnsi="Times New Roman" w:cs="Times New Roman"/>
          <w:sz w:val="24"/>
          <w:szCs w:val="24"/>
        </w:rPr>
        <w:t>In light of</w:t>
      </w:r>
      <w:proofErr w:type="gramEnd"/>
      <w:r w:rsidRPr="00D51CC6">
        <w:rPr>
          <w:rFonts w:ascii="Times New Roman" w:hAnsi="Times New Roman" w:cs="Times New Roman"/>
          <w:sz w:val="24"/>
          <w:szCs w:val="24"/>
        </w:rPr>
        <w:t xml:space="preserve"> legislative demands, customer expectations, and competitive dynamics, Hilton's path highlights sustainability as a strategic priority for contemporary enterprises. The research provided demonstrates that responsible corporate practices are essential to both industry resilience and global well-being, confirming that CSR is not merely a checkbox but a cornerstone for success in the 21st century.</w:t>
      </w:r>
    </w:p>
    <w:p w14:paraId="65575E3D" w14:textId="23257895" w:rsidR="00B1663C" w:rsidRPr="00B1663C" w:rsidRDefault="7E2BF59F" w:rsidP="00B1663C">
      <w:pPr>
        <w:pStyle w:val="Heading1"/>
        <w:spacing w:line="240" w:lineRule="auto"/>
        <w:contextualSpacing/>
        <w:rPr>
          <w:rFonts w:ascii="Times New Roman" w:hAnsi="Times New Roman" w:cs="Times New Roman"/>
          <w:b/>
          <w:color w:val="auto"/>
          <w:sz w:val="24"/>
          <w:szCs w:val="24"/>
        </w:rPr>
      </w:pPr>
      <w:r w:rsidRPr="00D51CC6">
        <w:rPr>
          <w:rFonts w:ascii="Times New Roman" w:hAnsi="Times New Roman" w:cs="Times New Roman"/>
          <w:b/>
          <w:color w:val="auto"/>
          <w:sz w:val="24"/>
          <w:szCs w:val="24"/>
        </w:rPr>
        <w:lastRenderedPageBreak/>
        <w:t xml:space="preserve">References </w:t>
      </w:r>
    </w:p>
    <w:p w14:paraId="63C7457E"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Elkington, J. (2018). The triple bottom line: How today's best-run companies are achieving economic, social, and environmental success—and how you can too. John Wiley &amp; Sons.</w:t>
      </w:r>
    </w:p>
    <w:p w14:paraId="6EC1CBDC"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proofErr w:type="spellStart"/>
      <w:r w:rsidRPr="00B1663C">
        <w:rPr>
          <w:rFonts w:ascii="Times New Roman" w:hAnsi="Times New Roman" w:cs="Times New Roman"/>
          <w:sz w:val="24"/>
          <w:szCs w:val="24"/>
        </w:rPr>
        <w:t>Ertuna</w:t>
      </w:r>
      <w:proofErr w:type="spellEnd"/>
      <w:r w:rsidRPr="00B1663C">
        <w:rPr>
          <w:rFonts w:ascii="Times New Roman" w:hAnsi="Times New Roman" w:cs="Times New Roman"/>
          <w:sz w:val="24"/>
          <w:szCs w:val="24"/>
        </w:rPr>
        <w:t>, B. D., Gu, Q., &amp; Yu, L. (2022). An analysis of hotel sustainability and environmental practices: Evidence from China. International Journal of Hospitality Management, 97, 102935.</w:t>
      </w:r>
    </w:p>
    <w:p w14:paraId="1BB6B601"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 xml:space="preserve">EU. (2019). European Green Deal. Retrieved from </w:t>
      </w:r>
      <w:hyperlink r:id="rId7">
        <w:r w:rsidRPr="00B1663C">
          <w:rPr>
            <w:rStyle w:val="Hyperlink"/>
            <w:rFonts w:ascii="Times New Roman" w:eastAsia="system-ui" w:hAnsi="Times New Roman" w:cs="Times New Roman"/>
            <w:color w:val="auto"/>
            <w:sz w:val="24"/>
            <w:szCs w:val="24"/>
          </w:rPr>
          <w:t>https://ec.europa.eu/info/strategy/priorities-2019-2024/european-green-deal_en</w:t>
        </w:r>
      </w:hyperlink>
    </w:p>
    <w:p w14:paraId="4B70FA3D"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Guliani, M. R., &amp; Rizwan, M. (2016). A review of circular economy practices in the hospitality industry. In The Asian Conference on Sustainability, Energy &amp; the Environment Official Conference Proceedings (pp. 133-146).</w:t>
      </w:r>
    </w:p>
    <w:p w14:paraId="483CC0A4"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proofErr w:type="spellStart"/>
      <w:r w:rsidRPr="00B1663C">
        <w:rPr>
          <w:rFonts w:ascii="Times New Roman" w:hAnsi="Times New Roman" w:cs="Times New Roman"/>
          <w:sz w:val="24"/>
          <w:szCs w:val="24"/>
        </w:rPr>
        <w:t>Haski</w:t>
      </w:r>
      <w:proofErr w:type="spellEnd"/>
      <w:r w:rsidRPr="00B1663C">
        <w:rPr>
          <w:rFonts w:ascii="Times New Roman" w:hAnsi="Times New Roman" w:cs="Times New Roman"/>
          <w:sz w:val="24"/>
          <w:szCs w:val="24"/>
        </w:rPr>
        <w:t>-Leventhal, D. (2018). Strategic corporate social responsibility: Tools &amp; theories for responsible management. London: SAGE.</w:t>
      </w:r>
    </w:p>
    <w:p w14:paraId="5DB71C2F"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 xml:space="preserve">Hilton. (2023). 2030 Goals. Retrieved from </w:t>
      </w:r>
      <w:hyperlink r:id="rId8">
        <w:r w:rsidRPr="00B1663C">
          <w:rPr>
            <w:rStyle w:val="Hyperlink"/>
            <w:rFonts w:ascii="Times New Roman" w:eastAsia="system-ui" w:hAnsi="Times New Roman" w:cs="Times New Roman"/>
            <w:color w:val="auto"/>
            <w:sz w:val="24"/>
            <w:szCs w:val="24"/>
          </w:rPr>
          <w:t>https://newsroom.hilton.com/corporate/news/hilton-announces-2030-goals</w:t>
        </w:r>
      </w:hyperlink>
    </w:p>
    <w:p w14:paraId="54C11149"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Lee, C., &amp; Legendre, A. (2023). The Role of Corporate Social Responsibility in Sustainable Hotel Operations. In Environmental Management for Sustainable Development (pp. 29-50). IGI Global.</w:t>
      </w:r>
    </w:p>
    <w:p w14:paraId="0DC11209"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 xml:space="preserve">Sloan, P., Legrand, W., &amp; Chen, J. S. (2017). Sustainability in the hospitality industry: Principles of sustainable operations. 3rd </w:t>
      </w:r>
      <w:proofErr w:type="spellStart"/>
      <w:r w:rsidRPr="00B1663C">
        <w:rPr>
          <w:rFonts w:ascii="Times New Roman" w:hAnsi="Times New Roman" w:cs="Times New Roman"/>
          <w:sz w:val="24"/>
          <w:szCs w:val="24"/>
        </w:rPr>
        <w:t>edn</w:t>
      </w:r>
      <w:proofErr w:type="spellEnd"/>
      <w:r w:rsidRPr="00B1663C">
        <w:rPr>
          <w:rFonts w:ascii="Times New Roman" w:hAnsi="Times New Roman" w:cs="Times New Roman"/>
          <w:sz w:val="24"/>
          <w:szCs w:val="24"/>
        </w:rPr>
        <w:t>. London: Butterworth-Heinemann.</w:t>
      </w:r>
    </w:p>
    <w:p w14:paraId="42DDA80E"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Smith, A. N. (2021). Sustainability in the hospitality industry: A content analysis of hotel websites. Journal of Sustainable Tourism, 29(4), 491-509.</w:t>
      </w:r>
    </w:p>
    <w:p w14:paraId="4C84F12F" w14:textId="77777777" w:rsidR="00B1663C" w:rsidRPr="00B1663C" w:rsidRDefault="00B1663C" w:rsidP="00B1663C">
      <w:pPr>
        <w:pStyle w:val="NoSpacing"/>
        <w:spacing w:line="360" w:lineRule="auto"/>
        <w:ind w:left="720" w:hanging="720"/>
        <w:rPr>
          <w:rFonts w:ascii="Times New Roman" w:hAnsi="Times New Roman" w:cs="Times New Roman"/>
          <w:sz w:val="24"/>
          <w:szCs w:val="24"/>
        </w:rPr>
      </w:pPr>
      <w:r w:rsidRPr="00B1663C">
        <w:rPr>
          <w:rFonts w:ascii="Times New Roman" w:hAnsi="Times New Roman" w:cs="Times New Roman"/>
          <w:sz w:val="24"/>
          <w:szCs w:val="24"/>
        </w:rPr>
        <w:t xml:space="preserve">Wojnarowska, M., Marek </w:t>
      </w:r>
      <w:proofErr w:type="spellStart"/>
      <w:r w:rsidRPr="00B1663C">
        <w:rPr>
          <w:rFonts w:ascii="Times New Roman" w:hAnsi="Times New Roman" w:cs="Times New Roman"/>
          <w:sz w:val="24"/>
          <w:szCs w:val="24"/>
        </w:rPr>
        <w:t>Ćwiklicki</w:t>
      </w:r>
      <w:proofErr w:type="spellEnd"/>
      <w:r w:rsidRPr="00B1663C">
        <w:rPr>
          <w:rFonts w:ascii="Times New Roman" w:hAnsi="Times New Roman" w:cs="Times New Roman"/>
          <w:sz w:val="24"/>
          <w:szCs w:val="24"/>
        </w:rPr>
        <w:t xml:space="preserve">, M., &amp; Ingrao, C. (2022). Circular economy business models in hospitality. A systematic literature </w:t>
      </w:r>
      <w:proofErr w:type="gramStart"/>
      <w:r w:rsidRPr="00B1663C">
        <w:rPr>
          <w:rFonts w:ascii="Times New Roman" w:hAnsi="Times New Roman" w:cs="Times New Roman"/>
          <w:sz w:val="24"/>
          <w:szCs w:val="24"/>
        </w:rPr>
        <w:t>review</w:t>
      </w:r>
      <w:proofErr w:type="gramEnd"/>
      <w:r w:rsidRPr="00B1663C">
        <w:rPr>
          <w:rFonts w:ascii="Times New Roman" w:hAnsi="Times New Roman" w:cs="Times New Roman"/>
          <w:sz w:val="24"/>
          <w:szCs w:val="24"/>
        </w:rPr>
        <w:t>. Sustainability, 14(1), 80.</w:t>
      </w:r>
    </w:p>
    <w:sectPr w:rsidR="00B1663C" w:rsidRPr="00B1663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03296" w14:textId="77777777" w:rsidR="004F413E" w:rsidRDefault="004F413E" w:rsidP="00D51CC6">
      <w:pPr>
        <w:spacing w:after="0" w:line="240" w:lineRule="auto"/>
      </w:pPr>
      <w:r>
        <w:separator/>
      </w:r>
    </w:p>
  </w:endnote>
  <w:endnote w:type="continuationSeparator" w:id="0">
    <w:p w14:paraId="53E4BC3D" w14:textId="77777777" w:rsidR="004F413E" w:rsidRDefault="004F413E" w:rsidP="00D51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stem-ui">
    <w:altName w:val="Times New Roman"/>
    <w:panose1 w:val="00000000000000000000"/>
    <w:charset w:val="00"/>
    <w:family w:val="roman"/>
    <w:notTrueType/>
    <w:pitch w:val="default"/>
  </w:font>
  <w:font w:name="Roboto">
    <w:altName w:val="Times New Roman"/>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705178"/>
      <w:docPartObj>
        <w:docPartGallery w:val="Page Numbers (Bottom of Page)"/>
        <w:docPartUnique/>
      </w:docPartObj>
    </w:sdtPr>
    <w:sdtEndPr>
      <w:rPr>
        <w:rFonts w:ascii="Times New Roman" w:hAnsi="Times New Roman" w:cs="Times New Roman"/>
        <w:noProof/>
        <w:sz w:val="24"/>
        <w:szCs w:val="24"/>
      </w:rPr>
    </w:sdtEndPr>
    <w:sdtContent>
      <w:p w14:paraId="125CD270" w14:textId="256BE758" w:rsidR="00D51CC6" w:rsidRPr="00B1663C" w:rsidRDefault="00D51CC6">
        <w:pPr>
          <w:pStyle w:val="Footer"/>
          <w:jc w:val="center"/>
          <w:rPr>
            <w:rFonts w:ascii="Times New Roman" w:hAnsi="Times New Roman" w:cs="Times New Roman"/>
            <w:sz w:val="24"/>
            <w:szCs w:val="24"/>
          </w:rPr>
        </w:pPr>
        <w:r w:rsidRPr="00B1663C">
          <w:rPr>
            <w:rFonts w:ascii="Times New Roman" w:hAnsi="Times New Roman" w:cs="Times New Roman"/>
            <w:sz w:val="24"/>
            <w:szCs w:val="24"/>
          </w:rPr>
          <w:fldChar w:fldCharType="begin"/>
        </w:r>
        <w:r w:rsidRPr="00B1663C">
          <w:rPr>
            <w:rFonts w:ascii="Times New Roman" w:hAnsi="Times New Roman" w:cs="Times New Roman"/>
            <w:sz w:val="24"/>
            <w:szCs w:val="24"/>
          </w:rPr>
          <w:instrText xml:space="preserve"> PAGE   \* MERGEFORMAT </w:instrText>
        </w:r>
        <w:r w:rsidRPr="00B1663C">
          <w:rPr>
            <w:rFonts w:ascii="Times New Roman" w:hAnsi="Times New Roman" w:cs="Times New Roman"/>
            <w:sz w:val="24"/>
            <w:szCs w:val="24"/>
          </w:rPr>
          <w:fldChar w:fldCharType="separate"/>
        </w:r>
        <w:r w:rsidRPr="00B1663C">
          <w:rPr>
            <w:rFonts w:ascii="Times New Roman" w:hAnsi="Times New Roman" w:cs="Times New Roman"/>
            <w:noProof/>
            <w:sz w:val="24"/>
            <w:szCs w:val="24"/>
          </w:rPr>
          <w:t>1</w:t>
        </w:r>
        <w:r w:rsidRPr="00B1663C">
          <w:rPr>
            <w:rFonts w:ascii="Times New Roman" w:hAnsi="Times New Roman" w:cs="Times New Roman"/>
            <w:noProof/>
            <w:sz w:val="24"/>
            <w:szCs w:val="24"/>
          </w:rPr>
          <w:fldChar w:fldCharType="end"/>
        </w:r>
      </w:p>
    </w:sdtContent>
  </w:sdt>
  <w:p w14:paraId="6D8C264D" w14:textId="77777777" w:rsidR="00D51CC6" w:rsidRDefault="00D51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F3DDC" w14:textId="77777777" w:rsidR="004F413E" w:rsidRDefault="004F413E" w:rsidP="00D51CC6">
      <w:pPr>
        <w:spacing w:after="0" w:line="240" w:lineRule="auto"/>
      </w:pPr>
      <w:r>
        <w:separator/>
      </w:r>
    </w:p>
  </w:footnote>
  <w:footnote w:type="continuationSeparator" w:id="0">
    <w:p w14:paraId="2ECC8985" w14:textId="77777777" w:rsidR="004F413E" w:rsidRDefault="004F413E" w:rsidP="00D51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97F0A"/>
    <w:multiLevelType w:val="hybridMultilevel"/>
    <w:tmpl w:val="28640610"/>
    <w:lvl w:ilvl="0" w:tplc="CE182406">
      <w:start w:val="1"/>
      <w:numFmt w:val="bullet"/>
      <w:lvlText w:val=""/>
      <w:lvlJc w:val="left"/>
      <w:pPr>
        <w:ind w:left="720" w:hanging="360"/>
      </w:pPr>
      <w:rPr>
        <w:rFonts w:ascii="Symbol" w:hAnsi="Symbol" w:hint="default"/>
      </w:rPr>
    </w:lvl>
    <w:lvl w:ilvl="1" w:tplc="544076C6">
      <w:start w:val="1"/>
      <w:numFmt w:val="bullet"/>
      <w:lvlText w:val="o"/>
      <w:lvlJc w:val="left"/>
      <w:pPr>
        <w:ind w:left="1440" w:hanging="360"/>
      </w:pPr>
      <w:rPr>
        <w:rFonts w:ascii="Courier New" w:hAnsi="Courier New" w:hint="default"/>
      </w:rPr>
    </w:lvl>
    <w:lvl w:ilvl="2" w:tplc="FC8418B6">
      <w:start w:val="1"/>
      <w:numFmt w:val="bullet"/>
      <w:lvlText w:val=""/>
      <w:lvlJc w:val="left"/>
      <w:pPr>
        <w:ind w:left="2160" w:hanging="360"/>
      </w:pPr>
      <w:rPr>
        <w:rFonts w:ascii="Wingdings" w:hAnsi="Wingdings" w:hint="default"/>
      </w:rPr>
    </w:lvl>
    <w:lvl w:ilvl="3" w:tplc="80C6B5BC">
      <w:start w:val="1"/>
      <w:numFmt w:val="bullet"/>
      <w:lvlText w:val=""/>
      <w:lvlJc w:val="left"/>
      <w:pPr>
        <w:ind w:left="2880" w:hanging="360"/>
      </w:pPr>
      <w:rPr>
        <w:rFonts w:ascii="Symbol" w:hAnsi="Symbol" w:hint="default"/>
      </w:rPr>
    </w:lvl>
    <w:lvl w:ilvl="4" w:tplc="A5F2B6C0">
      <w:start w:val="1"/>
      <w:numFmt w:val="bullet"/>
      <w:lvlText w:val="o"/>
      <w:lvlJc w:val="left"/>
      <w:pPr>
        <w:ind w:left="3600" w:hanging="360"/>
      </w:pPr>
      <w:rPr>
        <w:rFonts w:ascii="Courier New" w:hAnsi="Courier New" w:hint="default"/>
      </w:rPr>
    </w:lvl>
    <w:lvl w:ilvl="5" w:tplc="7BD88F1E">
      <w:start w:val="1"/>
      <w:numFmt w:val="bullet"/>
      <w:lvlText w:val=""/>
      <w:lvlJc w:val="left"/>
      <w:pPr>
        <w:ind w:left="4320" w:hanging="360"/>
      </w:pPr>
      <w:rPr>
        <w:rFonts w:ascii="Wingdings" w:hAnsi="Wingdings" w:hint="default"/>
      </w:rPr>
    </w:lvl>
    <w:lvl w:ilvl="6" w:tplc="083644F8">
      <w:start w:val="1"/>
      <w:numFmt w:val="bullet"/>
      <w:lvlText w:val=""/>
      <w:lvlJc w:val="left"/>
      <w:pPr>
        <w:ind w:left="5040" w:hanging="360"/>
      </w:pPr>
      <w:rPr>
        <w:rFonts w:ascii="Symbol" w:hAnsi="Symbol" w:hint="default"/>
      </w:rPr>
    </w:lvl>
    <w:lvl w:ilvl="7" w:tplc="5846E9EE">
      <w:start w:val="1"/>
      <w:numFmt w:val="bullet"/>
      <w:lvlText w:val="o"/>
      <w:lvlJc w:val="left"/>
      <w:pPr>
        <w:ind w:left="5760" w:hanging="360"/>
      </w:pPr>
      <w:rPr>
        <w:rFonts w:ascii="Courier New" w:hAnsi="Courier New" w:hint="default"/>
      </w:rPr>
    </w:lvl>
    <w:lvl w:ilvl="8" w:tplc="163EA1CE">
      <w:start w:val="1"/>
      <w:numFmt w:val="bullet"/>
      <w:lvlText w:val=""/>
      <w:lvlJc w:val="left"/>
      <w:pPr>
        <w:ind w:left="6480" w:hanging="360"/>
      </w:pPr>
      <w:rPr>
        <w:rFonts w:ascii="Wingdings" w:hAnsi="Wingdings" w:hint="default"/>
      </w:rPr>
    </w:lvl>
  </w:abstractNum>
  <w:num w:numId="1" w16cid:durableId="1689326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549D1A"/>
    <w:rsid w:val="0020173F"/>
    <w:rsid w:val="002A20C7"/>
    <w:rsid w:val="004F413E"/>
    <w:rsid w:val="00701F4A"/>
    <w:rsid w:val="00B1663C"/>
    <w:rsid w:val="00CF7FC1"/>
    <w:rsid w:val="00D51CC6"/>
    <w:rsid w:val="6F549D1A"/>
    <w:rsid w:val="7E2BF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49D1A"/>
  <w15:chartTrackingRefBased/>
  <w15:docId w15:val="{77ED9456-F745-4E1E-AFA0-6F9081D68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D51C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1CC6"/>
  </w:style>
  <w:style w:type="paragraph" w:styleId="Footer">
    <w:name w:val="footer"/>
    <w:basedOn w:val="Normal"/>
    <w:link w:val="FooterChar"/>
    <w:uiPriority w:val="99"/>
    <w:unhideWhenUsed/>
    <w:rsid w:val="00D51C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1CC6"/>
  </w:style>
  <w:style w:type="paragraph" w:styleId="NoSpacing">
    <w:name w:val="No Spacing"/>
    <w:uiPriority w:val="1"/>
    <w:qFormat/>
    <w:rsid w:val="00B1663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room.hilton.com/corporate/news/hilton-announces-2030-goals" TargetMode="External"/><Relationship Id="rId3" Type="http://schemas.openxmlformats.org/officeDocument/2006/relationships/settings" Target="settings.xml"/><Relationship Id="rId7" Type="http://schemas.openxmlformats.org/officeDocument/2006/relationships/hyperlink" Target="https://ec.europa.eu/info/strategy/priorities-2019-2024/european-green-deal_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2382</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4</dc:creator>
  <cp:keywords/>
  <dc:description/>
  <cp:lastModifiedBy>vasile balan</cp:lastModifiedBy>
  <cp:revision>5</cp:revision>
  <dcterms:created xsi:type="dcterms:W3CDTF">2023-10-05T21:06:00Z</dcterms:created>
  <dcterms:modified xsi:type="dcterms:W3CDTF">2023-10-17T19:56:00Z</dcterms:modified>
</cp:coreProperties>
</file>