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720" w:firstLineChars="300"/>
        <w:textAlignment w:val="auto"/>
        <w:rPr>
          <w:rFonts w:hint="default" w:ascii="Times New Roman" w:hAnsi="Times New Roman" w:eastAsia="微软雅黑" w:cs="Times New Roman"/>
          <w:b/>
          <w:bCs/>
          <w:i w:val="0"/>
          <w:caps w:val="0"/>
          <w:color w:val="000000"/>
          <w:spacing w:val="0"/>
          <w:sz w:val="24"/>
          <w:szCs w:val="24"/>
          <w:shd w:val="clear" w:fill="FFFFFF"/>
        </w:rPr>
      </w:pPr>
      <w:r>
        <w:rPr>
          <w:rFonts w:hint="default" w:ascii="Times New Roman" w:hAnsi="Times New Roman" w:eastAsia="微软雅黑" w:cs="Times New Roman"/>
          <w:b/>
          <w:bCs/>
          <w:i w:val="0"/>
          <w:caps w:val="0"/>
          <w:color w:val="000000"/>
          <w:spacing w:val="0"/>
          <w:sz w:val="24"/>
          <w:szCs w:val="24"/>
          <w:shd w:val="clear" w:fill="FFFFFF"/>
        </w:rPr>
        <w:t>Research on Meituan how to deal with Corporate Social responsibility</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720" w:firstLineChars="300"/>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720" w:firstLineChars="300"/>
        <w:textAlignment w:val="auto"/>
        <w:rPr>
          <w:rFonts w:hint="default" w:ascii="Times New Roman" w:hAnsi="Times New Roman" w:eastAsia="微软雅黑" w:cs="Times New Roman"/>
          <w:b/>
          <w:bCs/>
          <w:i w:val="0"/>
          <w:caps w:val="0"/>
          <w:color w:val="000000"/>
          <w:spacing w:val="0"/>
          <w:sz w:val="24"/>
          <w:szCs w:val="24"/>
          <w:shd w:val="clear" w:fill="FFFFFF"/>
        </w:rPr>
      </w:pPr>
      <w:bookmarkStart w:id="13" w:name="_GoBack"/>
      <w:bookmarkEnd w:id="13"/>
    </w:p>
    <w:sdt>
      <w:sdtPr>
        <w:rPr>
          <w:rFonts w:ascii="宋体" w:hAnsi="宋体" w:eastAsia="宋体" w:cstheme="minorBidi"/>
          <w:kern w:val="2"/>
          <w:sz w:val="21"/>
          <w:szCs w:val="24"/>
          <w:lang w:val="en-US" w:eastAsia="zh-CN" w:bidi="ar-SA"/>
        </w:rPr>
        <w:id w:val="147460489"/>
        <w15:color w:val="DBDBDB"/>
        <w:docPartObj>
          <w:docPartGallery w:val="Table of Contents"/>
          <w:docPartUnique/>
        </w:docPartObj>
      </w:sdtPr>
      <w:sdtEndPr>
        <w:rPr>
          <w:rFonts w:hint="default" w:ascii="Times New Roman" w:hAnsi="Times New Roman" w:eastAsia="微软雅黑" w:cs="Times New Roman"/>
          <w:b/>
          <w:bCs/>
          <w:i w:val="0"/>
          <w:caps w:val="0"/>
          <w:color w:val="000000"/>
          <w:spacing w:val="0"/>
          <w:kern w:val="2"/>
          <w:sz w:val="24"/>
          <w:szCs w:val="24"/>
          <w:shd w:val="clear" w:fill="FFFFFF"/>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table of content</w:t>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color w:val="000000"/>
              <w:spacing w:val="0"/>
              <w:sz w:val="24"/>
              <w:szCs w:val="24"/>
              <w:shd w:val="clear" w:fill="FFFFFF"/>
            </w:rPr>
            <w:instrText xml:space="preserve">TOC \o "1-2" \h \u </w:instrText>
          </w:r>
          <w:r>
            <w:rPr>
              <w:rFonts w:hint="default" w:ascii="Times New Roman" w:hAnsi="Times New Roman" w:eastAsia="微软雅黑" w:cs="Times New Roman"/>
              <w:b/>
              <w:bCs/>
              <w:i w:val="0"/>
              <w:caps w:val="0"/>
              <w:color w:val="000000"/>
              <w:spacing w:val="0"/>
              <w:sz w:val="24"/>
              <w:szCs w:val="24"/>
              <w:shd w:val="clear" w:fill="FFFFFF"/>
            </w:rPr>
            <w:fldChar w:fldCharType="separate"/>
          </w: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_Toc10524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val="en-US" w:eastAsia="zh-CN"/>
            </w:rPr>
            <w:t>1. Introduction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_Toc10524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_Toc15772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eastAsia="zh-CN"/>
            </w:rPr>
            <w:t xml:space="preserve">1.1 </w:t>
          </w:r>
          <w:r>
            <w:rPr>
              <w:rFonts w:hint="default" w:ascii="Times New Roman" w:hAnsi="Times New Roman" w:cs="Times New Roman"/>
              <w:b/>
              <w:bCs/>
              <w:sz w:val="24"/>
              <w:szCs w:val="24"/>
            </w:rPr>
            <w:t>Research rationale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_Toc15772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_Toc23487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rPr>
            <w:t>1.2 Background and Literature Review</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_Toc23487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_Toc22303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val="en-US" w:eastAsia="zh-CN"/>
            </w:rPr>
            <w:t xml:space="preserve">1.3 </w:t>
          </w:r>
          <w:r>
            <w:rPr>
              <w:rFonts w:hint="default" w:ascii="Times New Roman" w:hAnsi="Times New Roman" w:cs="Times New Roman"/>
              <w:b/>
              <w:bCs/>
              <w:sz w:val="24"/>
              <w:szCs w:val="24"/>
            </w:rPr>
            <w:t>The Aim and Objective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_Toc22303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3</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_Toc27030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rPr>
            <w:t>2. Research Methodology</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_Toc27030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3</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_Toc21152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rPr>
            <w:t>2.1 Research Design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_Toc21152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_Toc27557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val="en-US" w:eastAsia="zh-CN"/>
            </w:rPr>
            <w:t xml:space="preserve">2.2 </w:t>
          </w:r>
          <w:r>
            <w:rPr>
              <w:rFonts w:hint="default" w:ascii="Times New Roman" w:hAnsi="Times New Roman" w:cs="Times New Roman"/>
              <w:b/>
              <w:bCs/>
              <w:sz w:val="24"/>
              <w:szCs w:val="24"/>
            </w:rPr>
            <w:t>Data Analysis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_Toc27557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_Toc17370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val="en-US" w:eastAsia="zh-CN"/>
            </w:rPr>
            <w:t xml:space="preserve">2.3 </w:t>
          </w:r>
          <w:r>
            <w:rPr>
              <w:rFonts w:hint="default" w:ascii="Times New Roman" w:hAnsi="Times New Roman" w:cs="Times New Roman"/>
              <w:b/>
              <w:bCs/>
              <w:sz w:val="24"/>
              <w:szCs w:val="24"/>
            </w:rPr>
            <w:t>Limitations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_Toc17370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_Toc12895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rPr>
            <w:t>3. Resources and Planning</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_Toc12895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_Toc7824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rPr>
            <w:t>3.1 Resources and Planning process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_Toc7824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_Toc6959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val="en-US" w:eastAsia="zh-CN"/>
            </w:rPr>
            <w:t xml:space="preserve">3.2 </w:t>
          </w:r>
          <w:r>
            <w:rPr>
              <w:rFonts w:hint="default" w:ascii="Times New Roman" w:hAnsi="Times New Roman" w:cs="Times New Roman"/>
              <w:b/>
              <w:bCs/>
              <w:sz w:val="24"/>
              <w:szCs w:val="24"/>
            </w:rPr>
            <w:t>Gantt chart</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_Toc6959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eastAsia="微软雅黑" w:cs="Times New Roman"/>
              <w:b/>
              <w:bCs/>
              <w:i w:val="0"/>
              <w:caps w:val="0"/>
              <w:color w:val="000000"/>
              <w:spacing w:val="0"/>
              <w:sz w:val="24"/>
              <w:szCs w:val="24"/>
              <w:shd w:val="clear" w:fill="FFFFFF"/>
            </w:rPr>
            <w:fldChar w:fldCharType="begin"/>
          </w:r>
          <w:r>
            <w:rPr>
              <w:rFonts w:hint="default" w:ascii="Times New Roman" w:hAnsi="Times New Roman" w:eastAsia="微软雅黑" w:cs="Times New Roman"/>
              <w:b/>
              <w:bCs/>
              <w:i w:val="0"/>
              <w:caps w:val="0"/>
              <w:spacing w:val="0"/>
              <w:sz w:val="24"/>
              <w:szCs w:val="24"/>
              <w:shd w:val="clear" w:fill="FFFFFF"/>
            </w:rPr>
            <w:instrText xml:space="preserve"> HYPERLINK \l _Toc26732 </w:instrText>
          </w:r>
          <w:r>
            <w:rPr>
              <w:rFonts w:hint="default" w:ascii="Times New Roman" w:hAnsi="Times New Roman" w:eastAsia="微软雅黑" w:cs="Times New Roman"/>
              <w:b/>
              <w:bCs/>
              <w:i w:val="0"/>
              <w:caps w:val="0"/>
              <w:spacing w:val="0"/>
              <w:sz w:val="24"/>
              <w:szCs w:val="24"/>
              <w:shd w:val="clear" w:fill="FFFFFF"/>
            </w:rPr>
            <w:fldChar w:fldCharType="separate"/>
          </w:r>
          <w:r>
            <w:rPr>
              <w:rFonts w:hint="default" w:ascii="Times New Roman" w:hAnsi="Times New Roman" w:cs="Times New Roman"/>
              <w:b/>
              <w:bCs/>
              <w:sz w:val="24"/>
              <w:szCs w:val="24"/>
              <w:lang w:val="en-US" w:eastAsia="zh-CN"/>
            </w:rPr>
            <w:t>4. Reference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_Toc26732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8</w:t>
          </w:r>
          <w:r>
            <w:rPr>
              <w:rFonts w:hint="default" w:ascii="Times New Roman" w:hAnsi="Times New Roman" w:cs="Times New Roman"/>
              <w:b/>
              <w:bCs/>
              <w:sz w:val="24"/>
              <w:szCs w:val="24"/>
            </w:rPr>
            <w:fldChar w:fldCharType="end"/>
          </w:r>
          <w:r>
            <w:rPr>
              <w:rFonts w:hint="default" w:ascii="Times New Roman" w:hAnsi="Times New Roman" w:eastAsia="微软雅黑" w:cs="Times New Roman"/>
              <w:b/>
              <w:bCs/>
              <w:i w:val="0"/>
              <w:caps w:val="0"/>
              <w:color w:val="000000"/>
              <w:spacing w:val="0"/>
              <w:sz w:val="24"/>
              <w:szCs w:val="24"/>
              <w:shd w:val="clear" w:fill="FFFFFF"/>
            </w:rPr>
            <w:fldChar w:fldCharType="end"/>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r>
            <w:rPr>
              <w:rFonts w:hint="default" w:ascii="Times New Roman" w:hAnsi="Times New Roman" w:eastAsia="微软雅黑" w:cs="Times New Roman"/>
              <w:b/>
              <w:bCs/>
              <w:i w:val="0"/>
              <w:caps w:val="0"/>
              <w:color w:val="000000"/>
              <w:spacing w:val="0"/>
              <w:sz w:val="24"/>
              <w:szCs w:val="24"/>
              <w:shd w:val="clear" w:fill="FFFFFF"/>
            </w:rPr>
            <w:fldChar w:fldCharType="end"/>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b/>
              <w:bCs/>
              <w:i w:val="0"/>
              <w:caps w:val="0"/>
              <w:color w:val="000000"/>
              <w:spacing w:val="0"/>
              <w:sz w:val="24"/>
              <w:szCs w:val="24"/>
              <w:shd w:val="clear" w:fill="FFFFFF"/>
            </w:rPr>
          </w:pPr>
        </w:p>
      </w:sdtContent>
    </w:sdt>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i w:val="0"/>
          <w:caps w:val="0"/>
          <w:color w:val="000000"/>
          <w:spacing w:val="0"/>
          <w:sz w:val="24"/>
          <w:szCs w:val="24"/>
          <w:shd w:val="clear" w:fill="FFFFFF"/>
        </w:rPr>
      </w:pPr>
    </w:p>
    <w:p>
      <w:pPr>
        <w:pStyle w:val="2"/>
        <w:numPr>
          <w:ilvl w:val="0"/>
          <w:numId w:val="1"/>
        </w:numPr>
        <w:bidi w:val="0"/>
        <w:rPr>
          <w:rFonts w:hint="default"/>
          <w:lang w:val="en-US" w:eastAsia="zh-CN"/>
        </w:rPr>
      </w:pPr>
      <w:bookmarkStart w:id="0" w:name="_Toc10524"/>
      <w:r>
        <w:rPr>
          <w:rFonts w:hint="default"/>
          <w:lang w:val="en-US" w:eastAsia="zh-CN"/>
        </w:rPr>
        <w:t>Introduction</w:t>
      </w:r>
      <w:bookmarkEnd w:id="0"/>
    </w:p>
    <w:p>
      <w:pPr>
        <w:pStyle w:val="3"/>
        <w:numPr>
          <w:ilvl w:val="1"/>
          <w:numId w:val="1"/>
        </w:numPr>
        <w:bidi w:val="0"/>
        <w:rPr>
          <w:rFonts w:hint="default"/>
          <w:lang w:eastAsia="zh-CN"/>
        </w:rPr>
      </w:pPr>
      <w:bookmarkStart w:id="1" w:name="_Toc15772"/>
      <w:r>
        <w:rPr>
          <w:rFonts w:hint="default"/>
        </w:rPr>
        <w:t>Research rationale</w:t>
      </w:r>
      <w:bookmarkEnd w:id="1"/>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cs="Times New Roman"/>
          <w:sz w:val="24"/>
          <w:szCs w:val="24"/>
        </w:rPr>
        <w:t>The aim of this dissertation is</w:t>
      </w:r>
      <w:r>
        <w:rPr>
          <w:rFonts w:hint="default" w:ascii="Times New Roman" w:hAnsi="Times New Roman" w:cs="Times New Roman"/>
          <w:sz w:val="24"/>
          <w:szCs w:val="24"/>
          <w:lang w:val="en-US" w:eastAsia="zh-CN"/>
        </w:rPr>
        <w:t xml:space="preserve"> to</w:t>
      </w:r>
      <w:r>
        <w:rPr>
          <w:rFonts w:hint="default" w:ascii="Times New Roman" w:hAnsi="Times New Roman" w:cs="Times New Roman"/>
          <w:sz w:val="24"/>
          <w:szCs w:val="24"/>
        </w:rPr>
        <w:t xml:space="preserve"> analyze the impact of corporate social responsibility on </w:t>
      </w:r>
      <w:r>
        <w:rPr>
          <w:rFonts w:hint="default" w:ascii="Times New Roman" w:hAnsi="Times New Roman" w:eastAsia="微软雅黑" w:cs="Times New Roman"/>
          <w:i w:val="0"/>
          <w:caps w:val="0"/>
          <w:color w:val="000000"/>
          <w:spacing w:val="0"/>
          <w:sz w:val="24"/>
          <w:szCs w:val="24"/>
          <w:shd w:val="clear" w:fill="FFFFFF"/>
        </w:rPr>
        <w:t>Meituan's Sustainable Development</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This dissertation will analyse the perceptions of Meituan delivery staff and customers on the three-party platform Meituan. The author will also comprehensively examine what advantages Meituan has over its competitors. </w:t>
      </w:r>
      <w:r>
        <w:rPr>
          <w:rFonts w:hint="default" w:ascii="Times New Roman" w:hAnsi="Times New Roman" w:cs="Times New Roman"/>
          <w:sz w:val="24"/>
          <w:szCs w:val="24"/>
          <w:lang w:val="en-US" w:eastAsia="zh-CN"/>
        </w:rPr>
        <w:t xml:space="preserve">Recent research </w:t>
      </w:r>
      <w:r>
        <w:rPr>
          <w:rFonts w:hint="default" w:ascii="Times New Roman" w:hAnsi="Times New Roman" w:cs="Times New Roman"/>
          <w:sz w:val="24"/>
          <w:szCs w:val="24"/>
          <w:lang w:eastAsia="zh-CN"/>
        </w:rPr>
        <w:fldChar w:fldCharType="begin"/>
      </w:r>
      <w:r>
        <w:rPr>
          <w:rFonts w:hint="default" w:ascii="Times New Roman" w:hAnsi="Times New Roman" w:cs="Times New Roman"/>
          <w:sz w:val="24"/>
          <w:szCs w:val="24"/>
          <w:lang w:eastAsia="zh-CN"/>
        </w:rPr>
        <w:instrText xml:space="preserve"> ADDIN  EN.CITE &lt;EndNote&gt;&lt;Cite&gt;&lt;Author&gt;Yan&lt;/Author&gt;&lt;Year&gt;2019&lt;/Year&gt;&lt;RecNum&gt;14&lt;/RecNum&gt;&lt;DisplayText&gt;(Yan and Liu, 2019)&lt;/DisplayText&gt;&lt;record&gt;&lt;rec-number&gt;14&lt;/rec-number&gt;&lt;foreign-keys&gt;&lt;key app="EN" db-id="x2r2xv596ardaveps2d5av2tfvpdrafzrxfx" timestamp="1606669290" guid="90616824-d692-43c6-8400-3d555a4b9518"&gt;14&lt;/key&gt;&lt;/foreign-keys&gt;&lt;ref-type name="Conference Proceedings"&gt;10&lt;/ref-type&gt;&lt;contributors&gt;&lt;authors&gt;&lt;author&gt;Yan, Huimin&lt;/author&gt;&lt;author&gt;Liu, Jie&lt;/author&gt;&lt;/authors&gt;&lt;/contributors&gt;&lt;titles&gt;&lt;title&gt;An empirical study on the behavioral intention to use mobile group purchase apps: Taking Meituan app as an example&lt;/title&gt;&lt;secondary-title&gt;2019 16th International Conference on Service Systems and Service Management (ICSSSM)&lt;/secondary-title&gt;&lt;/titles&gt;&lt;pages&gt;1-6&lt;/pages&gt;&lt;dates&gt;&lt;year&gt;2019&lt;/year&gt;&lt;/dates&gt;&lt;publisher&gt;IEEE&lt;/publisher&gt;&lt;isbn&gt;1728119413&lt;/isbn&gt;&lt;urls&gt;&lt;/urls&gt;&lt;/record&gt;&lt;/Cite&gt;&lt;/EndNote&gt;</w:instrText>
      </w:r>
      <w:r>
        <w:rPr>
          <w:rFonts w:hint="default" w:ascii="Times New Roman" w:hAnsi="Times New Roman" w:cs="Times New Roman"/>
          <w:sz w:val="24"/>
          <w:szCs w:val="24"/>
          <w:lang w:eastAsia="zh-CN"/>
        </w:rPr>
        <w:fldChar w:fldCharType="separate"/>
      </w:r>
      <w:r>
        <w:rPr>
          <w:rFonts w:hint="default" w:ascii="Times New Roman" w:hAnsi="Times New Roman" w:cs="Times New Roman"/>
          <w:sz w:val="24"/>
          <w:szCs w:val="24"/>
          <w:lang w:val="en-US" w:eastAsia="zh-CN"/>
        </w:rPr>
        <w:t>(Yan and Liu, 2019)</w:t>
      </w:r>
      <w:r>
        <w:rPr>
          <w:rFonts w:hint="default" w:ascii="Times New Roman" w:hAnsi="Times New Roman" w:cs="Times New Roman"/>
          <w:sz w:val="24"/>
          <w:szCs w:val="24"/>
          <w:lang w:eastAsia="zh-CN"/>
        </w:rPr>
        <w:fldChar w:fldCharType="end"/>
      </w:r>
      <w:r>
        <w:rPr>
          <w:rFonts w:hint="default" w:ascii="Times New Roman" w:hAnsi="Times New Roman" w:cs="Times New Roman"/>
          <w:sz w:val="24"/>
          <w:szCs w:val="24"/>
          <w:lang w:val="en-US" w:eastAsia="zh-CN"/>
        </w:rPr>
        <w:t xml:space="preserve"> have shown with the popularity of the Internet and the continuous development of mobile communications, new consumption patterns have attracted a large number of consumers.</w:t>
      </w:r>
      <w:r>
        <w:rPr>
          <w:rFonts w:hint="default" w:ascii="Times New Roman" w:hAnsi="Times New Roman" w:cs="Times New Roman"/>
          <w:sz w:val="24"/>
          <w:szCs w:val="24"/>
          <w:lang w:val="en-US" w:eastAsia="zh-CN"/>
        </w:rPr>
        <w:t>It is already a new era of network development, consumption is more diversified, and network marketing has become the primary profit model.</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According to the researchers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&lt;EndNote&gt;&lt;Cite&gt;&lt;Author&gt;Zhang&lt;/Author&gt;&lt;Year&gt;2020&lt;/Year&gt;&lt;RecNum&gt;15&lt;/RecNum&gt;&lt;DisplayText&gt;(Zhang and Jung, 2020)&lt;/DisplayText&gt;&lt;record&gt;&lt;rec-number&gt;15&lt;/rec-number&gt;&lt;foreign-keys&gt;&lt;key app="EN" db-id="x2r2xv596ardaveps2d5av2tfvpdrafzrxfx" timestamp="1606669721" guid="8d1b2249-a5c7-4149-8f87-0b4c62614969"&gt;15&lt;/key&gt;&lt;/foreign-keys&gt;&lt;ref-type name="Journal Article"&gt;17&lt;/ref-type&gt;&lt;contributors&gt;&lt;authors&gt;&lt;author&gt;Zhang, Feifei&lt;/author&gt;&lt;author&gt;Jung, Jin-young&lt;/author&gt;&lt;/authors&gt;&lt;/contributors&gt;&lt;titles&gt;&lt;title&gt;Changes in the Influence of Social Responsibility Activities on Corporate Value over 10 Years in China&lt;/title&gt;&lt;secondary-title&gt;Sustainability&lt;/secondary-title&gt;&lt;/titles&gt;&lt;periodical&gt;&lt;full-title&gt;Sustainability&lt;/full-title&gt;&lt;/periodical&gt;&lt;pages&gt;9506&lt;/pages&gt;&lt;volume&gt;12&lt;/volume&gt;&lt;number&gt;22&lt;/number&gt;&lt;dates&gt;&lt;year&gt;2020&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(Zhang and Jung, 2020)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statement</w:t>
      </w:r>
      <w:r>
        <w:rPr>
          <w:rFonts w:hint="default" w:ascii="Times New Roman" w:hAnsi="Times New Roman" w:cs="Times New Roman"/>
          <w:sz w:val="24"/>
          <w:szCs w:val="24"/>
          <w:lang w:val="en-US" w:eastAsia="zh-CN"/>
        </w:rPr>
        <w:t xml:space="preserve"> that</w:t>
      </w:r>
      <w:r>
        <w:rPr>
          <w:rFonts w:hint="default" w:ascii="Times New Roman" w:hAnsi="Times New Roman" w:cs="Times New Roman"/>
          <w:sz w:val="24"/>
          <w:szCs w:val="24"/>
          <w:lang w:val="en-US" w:eastAsia="zh-CN"/>
        </w:rPr>
        <w:t xml:space="preserve"> Meituan led 19.6 million jobs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So Meituan will also face greater challenges, and its importance is self-evident. This dissertation analyses the events and gives some ways in which Meituan's sales management system can make them more efficient in dealing with CSR.</w:t>
      </w:r>
      <w:r>
        <w:rPr>
          <w:rFonts w:hint="default" w:ascii="Times New Roman" w:hAnsi="Times New Roman" w:cs="Times New Roman"/>
          <w:sz w:val="24"/>
          <w:szCs w:val="24"/>
          <w:lang w:val="en-US" w:eastAsia="zh-CN"/>
        </w:rPr>
        <w:t xml:space="preserve"> </w:t>
      </w: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In fact, Meituan as the leader of the takeout platform and Internet growth enterprises, it has a high degree of enterprise relevance.</w:t>
      </w: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 It is of far-reaching significance to study Meituan's better sustainable development can continue to benefit the society.</w:t>
      </w: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lang w:val="en-US" w:eastAsia="zh-CN"/>
        </w:rPr>
        <w:t xml:space="preserve"> This will be to put forward suggestions for the better development of enterprises, in order to improve the common problems of Meituan at the grass-roots level at present, and have better prospects for sustainable development.</w:t>
      </w:r>
    </w:p>
    <w:p>
      <w:pPr>
        <w:keepNext w:val="0"/>
        <w:keepLines w:val="0"/>
        <w:pageBreakBefore w:val="0"/>
        <w:numPr>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lang w:val="en-US" w:eastAsia="zh-CN"/>
        </w:rPr>
      </w:pPr>
    </w:p>
    <w:p>
      <w:pPr>
        <w:pStyle w:val="3"/>
        <w:numPr>
          <w:ilvl w:val="1"/>
          <w:numId w:val="1"/>
        </w:numPr>
        <w:bidi w:val="0"/>
        <w:rPr>
          <w:rFonts w:hint="default"/>
        </w:rPr>
      </w:pPr>
      <w:bookmarkStart w:id="2" w:name="_Toc23487"/>
      <w:r>
        <w:rPr>
          <w:rFonts w:hint="default"/>
        </w:rPr>
        <w:t>Background and Literature Review</w:t>
      </w:r>
      <w:bookmarkEnd w:id="2"/>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Recent research Jonathan （2020） have shown that the company, backed by Mainland-based delivery giant Meituan Dianping, is targeting up to $950m in proceeds, which would make it the largest Chinese IPO.</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Meituan Takeout is an online O2O food ordering platform that specialises in providing takeaway services.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take-out app is quite popular in mainland area now and experienced a quick development over past several years under the Internet era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&lt;EndNote&gt;&lt;Cite&gt;&lt;Author&gt;Shen&lt;/Author&gt;&lt;Year&gt;2018&lt;/Year&gt;&lt;RecNum&gt;16&lt;/RecNum&gt;&lt;DisplayText&gt;(Shen, 2018)&lt;/DisplayText&gt;&lt;record&gt;&lt;rec-number&gt;16&lt;/rec-number&gt;&lt;foreign-keys&gt;&lt;key app="EN" db-id="x2r2xv596ardaveps2d5av2tfvpdrafzrxfx" timestamp="1606670849" guid="94f0fe79-b827-48f5-8018-8d1ab07fcd30"&gt;16&lt;/key&gt;&lt;/foreign-keys&gt;&lt;ref-type name="Journal Article"&gt;17&lt;/ref-type&gt;&lt;contributors&gt;&lt;authors&gt;&lt;author&gt;Shen, Li&lt;/author&gt;&lt;/authors&gt;&lt;/contributors&gt;&lt;titles&gt;&lt;title&gt;The Potential Opportunity of Promoting Meituan Take-out App to Hong Kong–A Case Study&lt;/title&gt;&lt;secondary-title&gt;International Journal of Economic Behavior and Organization&lt;/secondary-title&gt;&lt;/titles&gt;&lt;periodical&gt;&lt;full-title&gt;International Journal of Economic Behavior and Organization&lt;/full-title&gt;&lt;/periodical&gt;&lt;pages&gt;53&lt;/pages&gt;&lt;volume&gt;6&lt;/volume&gt;&lt;number&gt;2&lt;/number&gt;&lt;dates&gt;&lt;year&gt;2018&lt;/year&gt;&lt;/dates&gt;&lt;isbn&gt;2328-7616&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(Shen, 2018)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rPr>
        <w:t xml:space="preserve"> There are many high quality takeaway merchants that provide customers with gourmet food, fresh fruit, desserts and drinks, supermarket convenience and many more. So for customers, Meituan offers a great convenience to customers. There is a huge consumer demand in the takeaway service industry.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Since the listing of Meituan, many customers have found Meituan delivery to be particularly slow, as the Meituan platform continues to suppress merchants, raise extraction points, and squeeze riders for delivery fees.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eastAsia="宋体" w:cs="Times New Roman"/>
          <w:sz w:val="24"/>
          <w:szCs w:val="24"/>
        </w:rPr>
        <w:t>With the rise of Meituan catering industry, Meituan takeout develops rapidly and occupies a large number of market shares.</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Corporate social responsibility encompasses the economic, legal, ethical, and discretionary expectations that society has of organizations at a given point in time” (Carroll</w:t>
      </w:r>
      <w:r>
        <w:rPr>
          <w:rFonts w:hint="default" w:ascii="Times New Roman" w:hAnsi="Times New Roman" w:eastAsia="宋体" w:cs="Times New Roman"/>
          <w:sz w:val="24"/>
          <w:szCs w:val="24"/>
          <w:lang w:val="en-US" w:eastAsia="zh-CN"/>
        </w:rPr>
        <w:t xml:space="preserve"> 1979, 1991</w:t>
      </w:r>
      <w:r>
        <w:rPr>
          <w:rFonts w:hint="default" w:ascii="Times New Roman" w:hAnsi="Times New Roman" w:eastAsia="宋体" w:cs="Times New Roman"/>
          <w:sz w:val="24"/>
          <w:szCs w:val="24"/>
        </w:rPr>
        <w:t>).</w:t>
      </w:r>
      <w:r>
        <w:rPr>
          <w:rFonts w:hint="default" w:ascii="Times New Roman" w:hAnsi="Times New Roman" w:eastAsia="宋体" w:cs="Times New Roman"/>
          <w:sz w:val="24"/>
          <w:szCs w:val="24"/>
          <w:lang w:val="en-US" w:eastAsia="zh-CN"/>
        </w:rPr>
        <w:t xml:space="preserve"> In the past, Meituan has pursued a coordinated development of its operating model.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Meituan combines responsibility with its corporate strategy and business development to develop new infrastructure advantages and promote the development and progress of all participants</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w:t>
      </w:r>
      <w:r>
        <w:rPr>
          <w:rFonts w:hint="default" w:ascii="Times New Roman" w:hAnsi="Times New Roman" w:eastAsia="Helvetica" w:cs="Times New Roman"/>
          <w:i w:val="0"/>
          <w:caps w:val="0"/>
          <w:color w:val="3A3A3A"/>
          <w:spacing w:val="0"/>
          <w:sz w:val="24"/>
          <w:szCs w:val="24"/>
          <w:shd w:val="clear" w:fill="FFFFFF"/>
        </w:rPr>
        <w:t>Anon, 2019</w:t>
      </w:r>
      <w:r>
        <w:rPr>
          <w:rFonts w:hint="default" w:ascii="Times New Roman" w:hAnsi="Times New Roman" w:eastAsia="宋体" w:cs="Times New Roman"/>
          <w:sz w:val="24"/>
          <w:szCs w:val="24"/>
          <w:lang w:val="en-US" w:eastAsia="zh-CN"/>
        </w:rPr>
        <w:t xml:space="preserve">). The author is sure that Meituan has a bright future, but there will still be negative news affecting its image.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Meituan was exposed by a recruitment discrimination scandal. The survey results show the negative impact of negative publicity on employment intention, organizational attractiveness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&lt;EndNote&gt;&lt;Cite&gt;&lt;Author&gt;Ouyang&lt;/Author&gt;&lt;Year&gt;2020&lt;/Year&gt;&lt;RecNum&gt;20&lt;/RecNum&gt;&lt;DisplayText&gt;(Ouyang et al., 2020)&lt;/DisplayText&gt;&lt;record&gt;&lt;rec-number&gt;20&lt;/rec-number&gt;&lt;foreign-keys&gt;&lt;key app="EN" db-id="x2r2xv596ardaveps2d5av2tfvpdrafzrxfx" timestamp="1606678676"&gt;20&lt;/key&gt;&lt;/foreign-keys&gt;&lt;ref-type name="Journal Article"&gt;17&lt;/ref-type&gt;&lt;contributors&gt;&lt;authors&gt;&lt;author&gt;Ouyang, Zhe&lt;/author&gt;&lt;author&gt;Zhang, Yuanyuan&lt;/author&gt;&lt;author&gt;Hu, Xi&lt;/author&gt;&lt;/authors&gt;&lt;/contributors&gt;&lt;titles&gt;&lt;title&gt;Negative publicity and potential applicants&amp;apos; intention to apply amid a discrimination scandal: a moderated mediation model&lt;/title&gt;&lt;secondary-title&gt;Personnel Review&lt;/secondary-title&gt;&lt;/titles&gt;&lt;periodical&gt;&lt;full-title&gt;Personnel Review&lt;/full-title&gt;&lt;/periodical&gt;&lt;dates&gt;&lt;year&gt;2020&lt;/year&gt;&lt;/dates&gt;&lt;isbn&gt;0048-3486&lt;/isbn&gt;&lt;urls&gt;&lt;/urls&gt;&lt;/record&gt;&lt;/Cite&gt;&lt;/EndNote&gt;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(Ouyang et al., 2020)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The Meituan platform has continued to suppress businesses for profit, squeezing riders for delivery fees, and even knife incidents have been revealed. The author believes that Meituan can still continue to expand its market share, and would like to give some ways in which Meitu can be sustainable through this research.</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i w:val="0"/>
          <w:caps w:val="0"/>
          <w:color w:val="000000"/>
          <w:spacing w:val="0"/>
          <w:sz w:val="24"/>
          <w:szCs w:val="24"/>
          <w:shd w:val="clear" w:fill="FFFFFF"/>
        </w:rPr>
      </w:pPr>
    </w:p>
    <w:p>
      <w:pPr>
        <w:pStyle w:val="3"/>
        <w:numPr>
          <w:ilvl w:val="1"/>
          <w:numId w:val="1"/>
        </w:numPr>
        <w:bidi w:val="0"/>
        <w:rPr>
          <w:rFonts w:hint="default"/>
          <w:lang w:val="en-US" w:eastAsia="zh-CN"/>
        </w:rPr>
      </w:pPr>
      <w:bookmarkStart w:id="3" w:name="_Toc22303"/>
      <w:r>
        <w:rPr>
          <w:rFonts w:hint="default"/>
        </w:rPr>
        <w:t>The Aim and Objective</w:t>
      </w:r>
      <w:bookmarkEnd w:id="3"/>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aim of this dissertation is critically analyze the impact of corporate social responsibility on </w:t>
      </w:r>
      <w:r>
        <w:rPr>
          <w:rFonts w:hint="default" w:ascii="Times New Roman" w:hAnsi="Times New Roman" w:eastAsia="微软雅黑" w:cs="Times New Roman"/>
          <w:i w:val="0"/>
          <w:caps w:val="0"/>
          <w:color w:val="000000"/>
          <w:spacing w:val="0"/>
          <w:sz w:val="24"/>
          <w:szCs w:val="24"/>
          <w:shd w:val="clear" w:fill="FFFFFF"/>
        </w:rPr>
        <w:t>Meituan's Sustainable Development</w:t>
      </w:r>
      <w:r>
        <w:rPr>
          <w:rFonts w:hint="default" w:ascii="Times New Roman" w:hAnsi="Times New Roman" w:cs="Times New Roman"/>
          <w:sz w:val="24"/>
          <w:szCs w:val="24"/>
        </w:rPr>
        <w:t>.</w:t>
      </w:r>
      <w:r>
        <w:rPr>
          <w:rFonts w:hint="default" w:ascii="Times New Roman" w:hAnsi="Times New Roman" w:cs="Times New Roman"/>
          <w:sz w:val="24"/>
          <w:szCs w:val="24"/>
        </w:rPr>
        <w:t> </w:t>
      </w:r>
      <w:r>
        <w:rPr>
          <w:rFonts w:hint="default" w:ascii="Times New Roman" w:hAnsi="Times New Roman" w:cs="Times New Roman"/>
          <w:sz w:val="24"/>
          <w:szCs w:val="24"/>
        </w:rPr>
        <w:t>In order to more comprehensively withdraw the advantages and disadvantages of Meituan platform, researchers hope to get a direct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feedbac</w:t>
      </w:r>
      <w:r>
        <w:rPr>
          <w:rFonts w:hint="default" w:ascii="Times New Roman" w:hAnsi="Times New Roman" w:cs="Times New Roman"/>
          <w:sz w:val="24"/>
          <w:szCs w:val="24"/>
          <w:lang w:val="en-US" w:eastAsia="zh-CN"/>
        </w:rPr>
        <w:t xml:space="preserve">k </w:t>
      </w:r>
      <w:r>
        <w:rPr>
          <w:rFonts w:hint="default" w:ascii="Times New Roman" w:hAnsi="Times New Roman" w:cs="Times New Roman"/>
          <w:sz w:val="24"/>
          <w:szCs w:val="24"/>
        </w:rPr>
        <w:t>and real reality.</w:t>
      </w:r>
      <w:r>
        <w:rPr>
          <w:rFonts w:hint="default" w:ascii="Times New Roman" w:hAnsi="Times New Roman" w:cs="Times New Roman"/>
          <w:sz w:val="24"/>
          <w:szCs w:val="24"/>
        </w:rPr>
        <w:t> As a result, the researchers set up the following three study objective.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Objective </w:t>
      </w:r>
      <w:r>
        <w:rPr>
          <w:rFonts w:hint="default" w:ascii="Times New Roman" w:hAnsi="Times New Roman" w:cs="Times New Roman"/>
          <w:sz w:val="24"/>
          <w:szCs w:val="24"/>
          <w:lang w:val="en-US" w:eastAsia="zh-CN"/>
        </w:rPr>
        <w:t xml:space="preserve">1 </w:t>
      </w:r>
      <w:r>
        <w:rPr>
          <w:rFonts w:hint="default" w:ascii="Times New Roman" w:hAnsi="Times New Roman" w:cs="Times New Roman"/>
          <w:sz w:val="24"/>
          <w:szCs w:val="24"/>
        </w:rPr>
        <w:t>Investigate how Meituan delivery staff and customers perceive Meituan</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Objective </w:t>
      </w:r>
      <w:r>
        <w:rPr>
          <w:rFonts w:hint="default" w:ascii="Times New Roman" w:hAnsi="Times New Roman" w:cs="Times New Roman"/>
          <w:sz w:val="24"/>
          <w:szCs w:val="24"/>
          <w:lang w:val="en-US" w:eastAsia="zh-CN"/>
        </w:rPr>
        <w:t>2 Compared with competitors，what are the achievements and advantages of Meituan</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Objective</w:t>
      </w:r>
      <w:r>
        <w:rPr>
          <w:rFonts w:hint="default" w:ascii="Times New Roman" w:hAnsi="Times New Roman" w:cs="Times New Roman"/>
          <w:sz w:val="24"/>
          <w:szCs w:val="24"/>
          <w:lang w:val="en-US" w:eastAsia="zh-CN"/>
        </w:rPr>
        <w:t xml:space="preserve">3 </w:t>
      </w:r>
      <w:r>
        <w:rPr>
          <w:rFonts w:hint="default" w:ascii="Times New Roman" w:hAnsi="Times New Roman" w:cs="Times New Roman"/>
          <w:sz w:val="24"/>
          <w:szCs w:val="24"/>
        </w:rPr>
        <w:t>How to treat the knife-holding incident of Meituan takeout staff</w:t>
      </w:r>
    </w:p>
    <w:p>
      <w:pPr>
        <w:pStyle w:val="2"/>
        <w:numPr>
          <w:ilvl w:val="0"/>
          <w:numId w:val="1"/>
        </w:numPr>
        <w:bidi w:val="0"/>
        <w:rPr>
          <w:rFonts w:hint="default"/>
        </w:rPr>
      </w:pPr>
      <w:bookmarkStart w:id="4" w:name="_Toc27030"/>
      <w:r>
        <w:rPr>
          <w:rFonts w:hint="default"/>
        </w:rPr>
        <w:t>Research Methodology</w:t>
      </w:r>
      <w:bookmarkEnd w:id="4"/>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Recent researchers </w:t>
      </w:r>
      <w:bookmarkStart w:id="5" w:name="OLE_LINK5"/>
      <w:sdt>
        <w:sdtPr>
          <w:rPr>
            <w:rFonts w:hint="default" w:ascii="Times New Roman" w:hAnsi="Times New Roman" w:cs="Times New Roman"/>
            <w:sz w:val="24"/>
            <w:szCs w:val="24"/>
          </w:rPr>
          <w:id w:val="574401072"/>
        </w:sdtPr>
        <w:sdtEndPr>
          <w:rPr>
            <w:rFonts w:hint="default" w:ascii="Times New Roman" w:hAnsi="Times New Roman" w:cs="Times New Roman"/>
            <w:sz w:val="24"/>
            <w:szCs w:val="24"/>
          </w:rPr>
        </w:sdtEndPr>
        <w:sdtContent>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CITATION Sau09 \l 2057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(Saunders, Lewis, &amp; Thornhill, 2009)</w:t>
          </w:r>
          <w:r>
            <w:rPr>
              <w:rFonts w:hint="default" w:ascii="Times New Roman" w:hAnsi="Times New Roman" w:cs="Times New Roman"/>
              <w:sz w:val="24"/>
              <w:szCs w:val="24"/>
            </w:rPr>
            <w:fldChar w:fldCharType="end"/>
          </w:r>
        </w:sdtContent>
      </w:sdt>
      <w:r>
        <w:rPr>
          <w:rFonts w:hint="default" w:ascii="Times New Roman" w:hAnsi="Times New Roman" w:cs="Times New Roman"/>
          <w:sz w:val="24"/>
          <w:szCs w:val="24"/>
        </w:rPr>
        <w:t xml:space="preserve"> </w:t>
      </w:r>
      <w:bookmarkEnd w:id="5"/>
      <w:r>
        <w:rPr>
          <w:rFonts w:hint="default" w:ascii="Times New Roman" w:hAnsi="Times New Roman" w:cs="Times New Roman"/>
          <w:sz w:val="24"/>
          <w:szCs w:val="24"/>
        </w:rPr>
        <w:t>are convinced that the research process of young researchers is the same as peeling onions, starting step by step from the outer layer to the inner layer.</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764736" behindDoc="0" locked="0" layoutInCell="1" allowOverlap="1">
                <wp:simplePos x="0" y="0"/>
                <wp:positionH relativeFrom="column">
                  <wp:posOffset>643255</wp:posOffset>
                </wp:positionH>
                <wp:positionV relativeFrom="paragraph">
                  <wp:posOffset>1528445</wp:posOffset>
                </wp:positionV>
                <wp:extent cx="623570" cy="397510"/>
                <wp:effectExtent l="6350" t="6350" r="10160" b="7620"/>
                <wp:wrapNone/>
                <wp:docPr id="11" name="Frame 13"/>
                <wp:cNvGraphicFramePr/>
                <a:graphic xmlns:a="http://schemas.openxmlformats.org/drawingml/2006/main">
                  <a:graphicData uri="http://schemas.microsoft.com/office/word/2010/wordprocessingShape">
                    <wps:wsp>
                      <wps:cNvSpPr/>
                      <wps:spPr>
                        <a:xfrm>
                          <a:off x="0" y="0"/>
                          <a:ext cx="623570" cy="39751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50.65pt;margin-top:120.35pt;height:31.3pt;width:49.1pt;z-index:251764736;v-text-anchor:middle;mso-width-relative:page;mso-height-relative:page;" fillcolor="#5B9BD5 [3204]" filled="t" stroked="t" coordsize="623570,397510" o:gfxdata="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fbdP2AAAAAsBAAAPAAAAAAAAAAEAIAAA&#10;ACIAAABkcnMvZG93bnJldi54bWxQSwECFAAUAAAACACHTuJABITSDH4CAAAhBQAADgAAAAAAAAAB&#10;ACAAAAAnAQAAZHJzL2Uyb0RvYy54bWxQSwUGAAAAAAYABgBZAQAAFwYAAAAA&#10;" path="m0,0l623570,0,623570,397510,0,397510xm49688,49688l49688,347821,573881,347821,573881,49688xe">
                <v:path textboxrect="0,0,623570,397510" o:connectlocs="311785,0;0,198755;311785,397510;623570,19875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749376" behindDoc="0" locked="0" layoutInCell="1" allowOverlap="1">
                <wp:simplePos x="0" y="0"/>
                <wp:positionH relativeFrom="column">
                  <wp:posOffset>1779905</wp:posOffset>
                </wp:positionH>
                <wp:positionV relativeFrom="paragraph">
                  <wp:posOffset>1541780</wp:posOffset>
                </wp:positionV>
                <wp:extent cx="568325" cy="252730"/>
                <wp:effectExtent l="6350" t="6350" r="19685" b="15240"/>
                <wp:wrapNone/>
                <wp:docPr id="10"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40.15pt;margin-top:121.4pt;height:19.9pt;width:44.75pt;z-index:251749376;v-text-anchor:middle;mso-width-relative:page;mso-height-relative:page;" fillcolor="#5B9BD5 [3204]" filled="t" stroked="t" coordsize="568325,252730" o:gfxdata="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Ca39Qu1wAAAAsBAAAPAAAAAAAAAAEAIAAA&#10;ACIAAABkcnMvZG93bnJldi54bWxQSwECFAAUAAAACACHTuJAFE+rvn8CAAAhBQAADgAAAAAAAAAB&#10;ACAAAAAmAQAAZHJzL2Uyb0RvYy54bWxQSwUGAAAAAAYABgBZAQAAFwY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734016" behindDoc="0" locked="0" layoutInCell="1" allowOverlap="1">
                <wp:simplePos x="0" y="0"/>
                <wp:positionH relativeFrom="column">
                  <wp:posOffset>1641475</wp:posOffset>
                </wp:positionH>
                <wp:positionV relativeFrom="paragraph">
                  <wp:posOffset>2747010</wp:posOffset>
                </wp:positionV>
                <wp:extent cx="568325" cy="287020"/>
                <wp:effectExtent l="6350" t="6350" r="19685" b="11430"/>
                <wp:wrapNone/>
                <wp:docPr id="9" name="Frame 13"/>
                <wp:cNvGraphicFramePr/>
                <a:graphic xmlns:a="http://schemas.openxmlformats.org/drawingml/2006/main">
                  <a:graphicData uri="http://schemas.microsoft.com/office/word/2010/wordprocessingShape">
                    <wps:wsp>
                      <wps:cNvSpPr/>
                      <wps:spPr>
                        <a:xfrm>
                          <a:off x="0" y="0"/>
                          <a:ext cx="568325" cy="2870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29.25pt;margin-top:216.3pt;height:22.6pt;width:44.75pt;z-index:251734016;v-text-anchor:middle;mso-width-relative:page;mso-height-relative:page;" fillcolor="#5B9BD5 [3204]" filled="t" stroked="t" coordsize="568325,287020" o:gfxdata="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lNKRVtsAAAALAQAADwAAAAAAAAAB&#10;ACAAAAAiAAAAZHJzL2Rvd25yZXYueG1sUEsBAhQAFAAAAAgAh07iQFxJvFl/AgAAIAUAAA4AAAAA&#10;AAAAAQAgAAAAKgEAAGRycy9lMm9Eb2MueG1sUEsFBgAAAAAGAAYAWQEAABsGAAAAAA==&#10;" path="m0,0l568325,0,568325,287020,0,287020xm35877,35877l35877,251142,532447,251142,532447,35877xe">
                <v:path textboxrect="0,0,568325,287020" o:connectlocs="284162,0;0,143510;284162,287020;568325,143510"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718656" behindDoc="0" locked="0" layoutInCell="1" allowOverlap="1">
                <wp:simplePos x="0" y="0"/>
                <wp:positionH relativeFrom="column">
                  <wp:posOffset>2098040</wp:posOffset>
                </wp:positionH>
                <wp:positionV relativeFrom="paragraph">
                  <wp:posOffset>1209675</wp:posOffset>
                </wp:positionV>
                <wp:extent cx="568325" cy="252730"/>
                <wp:effectExtent l="6350" t="6350" r="19685" b="15240"/>
                <wp:wrapNone/>
                <wp:docPr id="8"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65.2pt;margin-top:95.25pt;height:19.9pt;width:44.75pt;z-index:251718656;v-text-anchor:middle;mso-width-relative:page;mso-height-relative:page;" fillcolor="#5B9BD5 [3204]" filled="t" stroked="t" coordsize="568325,252730" o:gfxdata="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UQr7LdgAAAALAQAADwAAAAAAAAABACAA&#10;AAAiAAAAZHJzL2Rvd25yZXYueG1sUEsBAhQAFAAAAAgAh07iQLoOiGR/AgAAIAUAAA4AAAAAAAAA&#10;AQAgAAAAJwEAAGRycy9lMm9Eb2MueG1sUEsFBgAAAAAGAAYAWQEAABgGA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87936" behindDoc="0" locked="0" layoutInCell="1" allowOverlap="1">
                <wp:simplePos x="0" y="0"/>
                <wp:positionH relativeFrom="column">
                  <wp:posOffset>1911350</wp:posOffset>
                </wp:positionH>
                <wp:positionV relativeFrom="paragraph">
                  <wp:posOffset>848995</wp:posOffset>
                </wp:positionV>
                <wp:extent cx="568325" cy="252730"/>
                <wp:effectExtent l="6350" t="6350" r="19685" b="15240"/>
                <wp:wrapNone/>
                <wp:docPr id="6"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50.5pt;margin-top:66.85pt;height:19.9pt;width:44.75pt;z-index:251687936;v-text-anchor:middle;mso-width-relative:page;mso-height-relative:page;" fillcolor="#5B9BD5 [3204]" filled="t" stroked="t" coordsize="568325,252730" o:gfxdata="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kl8h+tgAAAALAQAADwAAAAAAAAABACAA&#10;AAAiAAAAZHJzL2Rvd25yZXYueG1sUEsBAhQAFAAAAAgAh07iQJBOBb1/AgAAIAUAAA4AAAAAAAAA&#10;AQAgAAAAJwEAAGRycy9lMm9Eb2MueG1sUEsFBgAAAAAGAAYAWQEAABgGA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703296" behindDoc="0" locked="0" layoutInCell="1" allowOverlap="1">
                <wp:simplePos x="0" y="0"/>
                <wp:positionH relativeFrom="column">
                  <wp:posOffset>1100455</wp:posOffset>
                </wp:positionH>
                <wp:positionV relativeFrom="paragraph">
                  <wp:posOffset>1229995</wp:posOffset>
                </wp:positionV>
                <wp:extent cx="568325" cy="252730"/>
                <wp:effectExtent l="6350" t="6350" r="19685" b="15240"/>
                <wp:wrapNone/>
                <wp:docPr id="7"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86.65pt;margin-top:96.85pt;height:19.9pt;width:44.75pt;z-index:251703296;v-text-anchor:middle;mso-width-relative:page;mso-height-relative:page;" fillcolor="#5B9BD5 [3204]" filled="t" stroked="t" coordsize="568325,252730" o:gfxdata="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Cd3mQ91wAAAAsBAAAPAAAAAAAAAAEAIAAA&#10;ACIAAABkcnMvZG93bnJldi54bWxQSwECFAAUAAAACACHTuJAl64pqX8CAAAgBQAADgAAAAAAAAAB&#10;ACAAAAAmAQAAZHJzL2Uyb0RvYy54bWxQSwUGAAAAAAYABgBZAQAAFwY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b/>
          <w:sz w:val="24"/>
          <w:szCs w:val="24"/>
          <w:u w:val="single"/>
          <w:lang w:eastAsia="en-GB"/>
        </w:rPr>
        <mc:AlternateContent>
          <mc:Choice Requires="wps">
            <w:drawing>
              <wp:anchor distT="0" distB="0" distL="114300" distR="114300" simplePos="0" relativeHeight="251672576" behindDoc="0" locked="0" layoutInCell="1" allowOverlap="1">
                <wp:simplePos x="0" y="0"/>
                <wp:positionH relativeFrom="column">
                  <wp:posOffset>1883410</wp:posOffset>
                </wp:positionH>
                <wp:positionV relativeFrom="paragraph">
                  <wp:posOffset>114935</wp:posOffset>
                </wp:positionV>
                <wp:extent cx="568325" cy="252730"/>
                <wp:effectExtent l="6350" t="6350" r="19685" b="15240"/>
                <wp:wrapNone/>
                <wp:docPr id="13" name="Frame 13"/>
                <wp:cNvGraphicFramePr/>
                <a:graphic xmlns:a="http://schemas.openxmlformats.org/drawingml/2006/main">
                  <a:graphicData uri="http://schemas.microsoft.com/office/word/2010/wordprocessingShape">
                    <wps:wsp>
                      <wps:cNvSpPr/>
                      <wps:spPr>
                        <a:xfrm>
                          <a:off x="0" y="0"/>
                          <a:ext cx="568325" cy="25273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rame 13" o:spid="_x0000_s1026" style="position:absolute;left:0pt;margin-left:148.3pt;margin-top:9.05pt;height:19.9pt;width:44.75pt;z-index:251672576;v-text-anchor:middle;mso-width-relative:page;mso-height-relative:page;" fillcolor="#5B9BD5 [3204]" filled="t" stroked="t" coordsize="568325,252730" o:gfxdata="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KyAG5fWAAAACQEAAA8AAAAAAAAAAQAgAAAA&#10;IgAAAGRycy9kb3ducmV2LnhtbFBLAQIUABQAAAAIAIdO4kAdb96CfwIAACEFAAAOAAAAAAAAAAEA&#10;IAAAACUBAABkcnMvZTJvRG9jLnhtbFBLBQYAAAAABgAGAFkBAAAWBgAAAAA=&#10;" path="m0,0l568325,0,568325,252730,0,252730xm31591,31591l31591,221138,536733,221138,536733,31591xe">
                <v:path textboxrect="0,0,568325,252730" o:connectlocs="284162,0;0,126365;284162,252730;568325,126365" o:connectangles="247,164,82,0"/>
                <v:fill on="t" focussize="0,0"/>
                <v:stroke weight="1pt" color="#41719C [3204]"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w:drawing>
          <wp:inline distT="0" distB="0" distL="114300" distR="114300">
            <wp:extent cx="4518660" cy="3253740"/>
            <wp:effectExtent l="0" t="0" r="762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4518660" cy="3253740"/>
                    </a:xfrm>
                    <a:prstGeom prst="rect">
                      <a:avLst/>
                    </a:prstGeom>
                    <a:noFill/>
                    <a:ln>
                      <a:noFill/>
                    </a:ln>
                  </pic:spPr>
                </pic:pic>
              </a:graphicData>
            </a:graphic>
          </wp:inline>
        </w:drawing>
      </w:r>
    </w:p>
    <w:p>
      <w:pPr>
        <w:bidi w:val="0"/>
        <w:rPr>
          <w:rFonts w:hint="default" w:ascii="Times New Roman" w:hAnsi="Times New Roman" w:cs="Times New Roman"/>
          <w:sz w:val="24"/>
          <w:szCs w:val="24"/>
        </w:rPr>
      </w:pPr>
      <w:r>
        <w:t xml:space="preserve">Figure </w:t>
      </w:r>
      <w:r>
        <w:rPr>
          <w:rFonts w:hint="eastAsia"/>
          <w:lang w:val="en-US" w:eastAsia="zh-CN"/>
        </w:rPr>
        <w:t>1</w:t>
      </w:r>
      <w:r>
        <w:rPr>
          <w:rFonts w:hint="eastAsia"/>
          <w:lang w:eastAsia="zh-CN"/>
        </w:rPr>
        <w:t xml:space="preserve"> </w:t>
      </w:r>
      <w:r>
        <w:rPr>
          <w:rFonts w:hint="default"/>
          <w:lang w:eastAsia="zh-CN"/>
        </w:rPr>
        <w:t>research onion</w:t>
      </w:r>
      <w:r>
        <w:rPr>
          <w:rFonts w:hint="eastAsia"/>
          <w:lang w:eastAsia="zh-CN"/>
        </w:rPr>
        <w:t xml:space="preserve"> (Saunders, Lewis, &amp; Thornhill, 2009)</w:t>
      </w:r>
    </w:p>
    <w:p>
      <w:pPr>
        <w:pStyle w:val="3"/>
        <w:numPr>
          <w:ilvl w:val="1"/>
          <w:numId w:val="1"/>
        </w:numPr>
        <w:bidi w:val="0"/>
        <w:rPr>
          <w:rFonts w:hint="default"/>
        </w:rPr>
      </w:pPr>
      <w:bookmarkStart w:id="6" w:name="_Toc21152"/>
      <w:r>
        <w:rPr>
          <w:rFonts w:hint="default"/>
        </w:rPr>
        <w:t>Research Design</w:t>
      </w:r>
      <w:bookmarkEnd w:id="6"/>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The core of research design is described as a </w:t>
      </w:r>
      <w:r>
        <w:rPr>
          <w:rFonts w:hint="default" w:ascii="Times New Roman" w:hAnsi="Times New Roman" w:cs="Times New Roman"/>
          <w:sz w:val="24"/>
          <w:szCs w:val="24"/>
          <w:lang w:eastAsia="zh-CN"/>
        </w:rPr>
        <w:t>formalism</w:t>
      </w:r>
      <w:r>
        <w:rPr>
          <w:rFonts w:hint="default" w:ascii="Times New Roman" w:hAnsi="Times New Roman" w:cs="Times New Roman"/>
          <w:sz w:val="24"/>
          <w:szCs w:val="24"/>
        </w:rPr>
        <w:t xml:space="preserve"> approach to solving problems, thinking and acquiring knowledge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lang w:eastAsia="zh-CN"/>
        </w:rPr>
        <w:instrText xml:space="preserve"> ADDIN  EN.CITE &lt;EndNote&gt;&lt;Cite&gt;&lt;Author&gt;Salkind&lt;/Author&gt;&lt;Year&gt;2010&lt;/Year&gt;&lt;RecNum&gt;18&lt;/RecNum&gt;&lt;DisplayText&gt;(Salkind, 2010)&lt;/DisplayText&gt;&lt;record&gt;&lt;rec-number&gt;18&lt;/rec-number&gt;&lt;foreign-keys&gt;&lt;key app="EN" db-id="x2r2xv596ardaveps2d5av2tfvpdrafzrxfx" timestamp="1606675067" guid="42f408c5-45fd-4557-a07d-7c2d08510931"&gt;18&lt;/key&gt;&lt;/foreign-keys&gt;&lt;ref-type name="Book"&gt;6&lt;/ref-type&gt;&lt;contributors&gt;&lt;authors&gt;&lt;author&gt;Salkind, Neil J&lt;/author&gt;&lt;/authors&gt;&lt;/contributors&gt;&lt;titles&gt;&lt;title&gt;Encyclopedia of research design&lt;/title&gt;&lt;/titles&gt;&lt;volume&gt;1&lt;/volume&gt;&lt;dates&gt;&lt;year&gt;2010&lt;/year&gt;&lt;/dates&gt;&lt;publisher&gt;Sage&lt;/publisher&gt;&lt;isbn&gt;1412961270&lt;/isbn&gt;&lt;urls&gt;&lt;/urls&gt;&lt;/record&gt;&lt;/Cite&gt;&lt;/EndNote&gt;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eastAsiaTheme="minorEastAsia"/>
          <w:kern w:val="2"/>
          <w:sz w:val="24"/>
          <w:szCs w:val="24"/>
          <w:lang w:val="en-US" w:eastAsia="zh-CN" w:bidi="ar-SA"/>
        </w:rPr>
        <w:t>(Salkind, 2010)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dissertation will use the method of positivism, a series of practical investigations and data analysis to reach a conclusion. Firstly, the researcher administers questionnaires to certain groups of people, while at the same time interviewing them from a different perspective. The researchers will collect statistics from the questionnaires and integrate and classify the interview records.</w:t>
      </w:r>
      <w:r>
        <w:rPr>
          <w:rFonts w:hint="default" w:ascii="Times New Roman" w:hAnsi="Times New Roman" w:cs="Times New Roman"/>
          <w:sz w:val="24"/>
          <w:szCs w:val="24"/>
          <w:lang w:val="en-US" w:eastAsia="zh-CN"/>
        </w:rPr>
        <w:t xml:space="preserve"> The researchers also investigated the history of knife cases collected on the Internet. And compare it with the data collected by previous research, and then conduct a case study.</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author </w:t>
      </w:r>
      <w:r>
        <w:rPr>
          <w:rFonts w:hint="default" w:ascii="Times New Roman" w:hAnsi="Times New Roman" w:cs="Times New Roman"/>
          <w:sz w:val="24"/>
          <w:szCs w:val="24"/>
          <w:lang w:val="en-US" w:eastAsia="zh-CN"/>
        </w:rPr>
        <w:t xml:space="preserve">try to from </w:t>
      </w:r>
      <w:r>
        <w:rPr>
          <w:rFonts w:hint="default" w:ascii="Times New Roman" w:hAnsi="Times New Roman" w:cs="Times New Roman"/>
          <w:sz w:val="24"/>
          <w:szCs w:val="24"/>
        </w:rPr>
        <w:t>cross-section</w:t>
      </w:r>
      <w:r>
        <w:rPr>
          <w:rFonts w:hint="default" w:ascii="Times New Roman" w:hAnsi="Times New Roman" w:cs="Times New Roman"/>
          <w:sz w:val="24"/>
          <w:szCs w:val="24"/>
          <w:lang w:val="en-US" w:eastAsia="zh-CN"/>
        </w:rPr>
        <w:t>al</w:t>
      </w:r>
      <w:r>
        <w:rPr>
          <w:rFonts w:hint="default" w:ascii="Times New Roman" w:hAnsi="Times New Roman" w:cs="Times New Roman"/>
          <w:sz w:val="24"/>
          <w:szCs w:val="24"/>
        </w:rPr>
        <w:t xml:space="preserve"> of the population, collating and collecting data for </w:t>
      </w:r>
      <w:r>
        <w:rPr>
          <w:rFonts w:hint="default" w:ascii="Times New Roman" w:hAnsi="Times New Roman" w:cs="Times New Roman"/>
          <w:sz w:val="24"/>
          <w:szCs w:val="24"/>
          <w:lang w:val="en-US" w:eastAsia="zh-CN"/>
        </w:rPr>
        <w:t>inductive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“The inductive definition usually gives some rules for generating the collection elements, and then the object will appear in the collection only when the object is generated according to the rules”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&lt;EndNote&gt;&lt;Cite&gt;&lt;Author&gt;Aczel&lt;/Author&gt;&lt;Year&gt;1977&lt;/Year&gt;&lt;RecNum&gt;19&lt;/RecNum&gt;&lt;DisplayText&gt;(Aczel, 1977)&lt;/DisplayText&gt;&lt;record&gt;&lt;rec-number&gt;19&lt;/rec-number&gt;&lt;foreign-keys&gt;&lt;key app="EN" db-id="x2r2xv596ardaveps2d5av2tfvpdrafzrxfx" timestamp="1606677271" guid="85dd5064-d42e-4f24-81f3-a49ec1e76fb7"&gt;19&lt;/key&gt;&lt;/foreign-keys&gt;&lt;ref-type name="Book Section"&gt;5&lt;/ref-type&gt;&lt;contributors&gt;&lt;authors&gt;&lt;author&gt;Aczel, Peter&lt;/author&gt;&lt;/authors&gt;&lt;/contributors&gt;&lt;titles&gt;&lt;title&gt;An introduction to inductive definitions&lt;/title&gt;&lt;secondary-title&gt;Studies in Logic and the Foundations of Mathematics&lt;/secondary-title&gt;&lt;/titles&gt;&lt;pages&gt;739-782&lt;/pages&gt;&lt;volume&gt;90&lt;/volume&gt;&lt;dates&gt;&lt;year&gt;1977&lt;/year&gt;&lt;/dates&gt;&lt;publisher&gt;Elsevier&lt;/publisher&gt;&lt;isbn&gt;0049-237X&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kern w:val="2"/>
          <w:sz w:val="24"/>
          <w:szCs w:val="24"/>
          <w:lang w:val="en-US" w:eastAsia="zh-CN" w:bidi="ar-SA"/>
        </w:rPr>
        <w:t>(Aczel, 1977)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In the next step, the researchers will make a qualitative and quantitative analysis of the data, and draw a conclusion through the characteristic relationship, development trend, nature and characteristics.</w:t>
      </w:r>
    </w:p>
    <w:p>
      <w:pPr>
        <w:pStyle w:val="3"/>
        <w:numPr>
          <w:ilvl w:val="1"/>
          <w:numId w:val="1"/>
        </w:numPr>
        <w:bidi w:val="0"/>
        <w:rPr>
          <w:rFonts w:hint="default" w:ascii="Times New Roman" w:hAnsi="Times New Roman" w:cs="Times New Roman"/>
          <w:sz w:val="24"/>
          <w:szCs w:val="24"/>
          <w:lang w:val="en-US" w:eastAsia="zh-CN"/>
        </w:rPr>
      </w:pPr>
      <w:bookmarkStart w:id="7" w:name="_Toc27557"/>
      <w:r>
        <w:rPr>
          <w:rFonts w:hint="default"/>
        </w:rPr>
        <w:t>Data Analysis</w:t>
      </w:r>
      <w:bookmarkEnd w:id="7"/>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Data analysis is a recognized statistical tradition, which is supplemented by data analysis to promote the development and improvement of hypothetical concepts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ADDIN  EN.CITE &lt;EndNote&gt;&lt;Cite&gt;&lt;Author&gt;Salkind&lt;/Author&gt;&lt;Year&gt;2010&lt;/Year&gt;&lt;RecNum&gt;18&lt;/RecNum&gt;&lt;DisplayText&gt;(Salkind, 2010)&lt;/DisplayText&gt;&lt;record&gt;&lt;rec-number&gt;18&lt;/rec-number&gt;&lt;foreign-keys&gt;&lt;key app="EN" db-id="x2r2xv596ardaveps2d5av2tfvpdrafzrxfx" timestamp="1606675067" guid="42f408c5-45fd-4557-a07d-7c2d08510931"&gt;18&lt;/key&gt;&lt;/foreign-keys&gt;&lt;ref-type name="Book"&gt;6&lt;/ref-type&gt;&lt;contributors&gt;&lt;authors&gt;&lt;author&gt;Salkind, Neil J&lt;/author&gt;&lt;/authors&gt;&lt;/contributors&gt;&lt;titles&gt;&lt;title&gt;Encyclopedia of research design&lt;/title&gt;&lt;/titles&gt;&lt;volume&gt;1&lt;/volume&gt;&lt;dates&gt;&lt;year&gt;2010&lt;/year&gt;&lt;/dates&gt;&lt;publisher&gt;Sage&lt;/publisher&gt;&lt;isbn&gt;1412961270&lt;/isbn&gt;&lt;urls&gt;&lt;/urls&gt;&lt;/record&gt;&lt;/Cite&gt;&lt;/EndNote&gt;</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(Salkind, 2010)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The author handed out a questionnaire, and the study participants used analysis tools such as excel to analyze the goals, and finally got a certain proportion to draw the data table. </w:t>
      </w: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 </w:t>
      </w: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It is obvious whether takeout workers are satisfied with their jobs, consumer satisfaction, and with enough data to support them, their expectations can be inferred. It will also be easier to get their overall evaluation of Meituan. </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rPr>
      </w:pP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interviews of the study participants to ensure the validity of the truth were also recorded, and the resulting data could be compared with the results of the questionnaire and discussed in the final quantitative and qualitative analysis. The author can also analyze horizontally and study the trend of the platform of the catering industry to make a comparison.</w:t>
      </w:r>
    </w:p>
    <w:p>
      <w:pPr>
        <w:pStyle w:val="3"/>
        <w:bidi w:val="0"/>
        <w:rPr>
          <w:rFonts w:hint="default"/>
        </w:rPr>
      </w:pPr>
      <w:bookmarkStart w:id="8" w:name="_Toc17370"/>
      <w:r>
        <w:rPr>
          <w:rFonts w:hint="default"/>
          <w:lang w:val="en-US" w:eastAsia="zh-CN"/>
        </w:rPr>
        <w:t xml:space="preserve">2.3 </w:t>
      </w:r>
      <w:r>
        <w:rPr>
          <w:rFonts w:hint="default"/>
        </w:rPr>
        <w:t>Limitations</w:t>
      </w:r>
      <w:bookmarkEnd w:id="8"/>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the process of completing the whole dissertation, the researcher will encounter some thorny problems. The researchers will form a series of problems and solve them step by step.</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First of all, the investigators will face a huge question. Due to the particularity of Meituan's takeout work, they are </w:t>
      </w:r>
      <w:r>
        <w:rPr>
          <w:rFonts w:hint="default" w:ascii="Times New Roman" w:hAnsi="Times New Roman" w:cs="Times New Roman"/>
          <w:sz w:val="24"/>
          <w:szCs w:val="24"/>
          <w:lang w:val="en-US" w:eastAsia="zh-CN"/>
        </w:rPr>
        <w:t>always</w:t>
      </w:r>
      <w:r>
        <w:rPr>
          <w:rFonts w:hint="default" w:ascii="Times New Roman" w:hAnsi="Times New Roman" w:cs="Times New Roman"/>
          <w:sz w:val="24"/>
          <w:szCs w:val="24"/>
        </w:rPr>
        <w:t xml:space="preserve"> busy and not be convenient to answer the researcher's questions, so the investigators will most likely be rejected.</w:t>
      </w:r>
      <w:r>
        <w:rPr>
          <w:rFonts w:hint="default" w:ascii="Times New Roman" w:hAnsi="Times New Roman" w:cs="Times New Roman"/>
          <w:sz w:val="24"/>
          <w:szCs w:val="24"/>
        </w:rPr>
        <w:t>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Secondly, the recovery rate and effective rate of the questionnaire will be low. Because the respondents do not have any constraints, the recovery rate is often not high, then often can not receive back the questionnaire. </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pP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Due to the influence of supervisory factors, it is difficult for the interviewees to establish contact between the two sides.</w:t>
      </w: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 And will also refuse to answer because of personal privacy. </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pP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pPr>
      <w:r>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t>Finally, it will be difficult for researchers to keep records, which requires researchers to invest time and energy, and this will leave out a lot of important information. </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微软雅黑" w:cs="Times New Roman"/>
          <w:i w:val="0"/>
          <w:caps w:val="0"/>
          <w:color w:val="000000"/>
          <w:spacing w:val="0"/>
          <w:sz w:val="24"/>
          <w:szCs w:val="24"/>
          <w:bdr w:val="none" w:color="auto" w:sz="0" w:space="0"/>
          <w:shd w:val="clear" w:fill="FFFFFF"/>
          <w:vertAlign w:val="baseline"/>
        </w:rPr>
      </w:pPr>
    </w:p>
    <w:p>
      <w:pPr>
        <w:pStyle w:val="2"/>
        <w:numPr>
          <w:ilvl w:val="0"/>
          <w:numId w:val="1"/>
        </w:numPr>
        <w:bidi w:val="0"/>
        <w:rPr>
          <w:rFonts w:hint="default"/>
        </w:rPr>
      </w:pPr>
      <w:bookmarkStart w:id="9" w:name="_Toc12895"/>
      <w:r>
        <w:rPr>
          <w:rFonts w:hint="default"/>
        </w:rPr>
        <w:t>Resources and Planning</w:t>
      </w:r>
      <w:bookmarkEnd w:id="9"/>
    </w:p>
    <w:p>
      <w:pPr>
        <w:pStyle w:val="3"/>
        <w:numPr>
          <w:ilvl w:val="1"/>
          <w:numId w:val="1"/>
        </w:numPr>
        <w:bidi w:val="0"/>
        <w:rPr>
          <w:rFonts w:hint="default"/>
        </w:rPr>
      </w:pPr>
      <w:bookmarkStart w:id="10" w:name="_Toc7824"/>
      <w:r>
        <w:rPr>
          <w:rFonts w:hint="default"/>
        </w:rPr>
        <w:t>Resources and Planning process</w:t>
      </w:r>
      <w:bookmarkEnd w:id="10"/>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Primary data obtained by the author through interviews, questionnaires to obtain.</w:t>
      </w:r>
      <w:r>
        <w:rPr>
          <w:rFonts w:hint="default" w:ascii="Times New Roman" w:hAnsi="Times New Roman" w:cs="Times New Roman"/>
          <w:sz w:val="24"/>
          <w:szCs w:val="24"/>
        </w:rPr>
        <w:t> Secondary data, such as journals, articles, books, and websites, help regulate the presentation of questions, indicate survey methods, and provide other data needed to solve the problem. Help the author understand how to approach the topic, understand the location of the topic, and use it as a basis for comparison with other data. </w:t>
      </w:r>
    </w:p>
    <w:p>
      <w:pPr>
        <w:pStyle w:val="7"/>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sz w:val="24"/>
          <w:szCs w:val="24"/>
        </w:rPr>
      </w:pPr>
    </w:p>
    <w:p>
      <w:pPr>
        <w:pStyle w:val="3"/>
        <w:bidi w:val="0"/>
        <w:rPr>
          <w:rFonts w:hint="default"/>
        </w:rPr>
      </w:pPr>
      <w:bookmarkStart w:id="11" w:name="_Toc6959"/>
      <w:r>
        <w:rPr>
          <w:rFonts w:hint="default"/>
          <w:lang w:val="en-US" w:eastAsia="zh-CN"/>
        </w:rPr>
        <w:t xml:space="preserve">3.2 </w:t>
      </w:r>
      <w:r>
        <w:rPr>
          <w:rFonts w:hint="default"/>
        </w:rPr>
        <w:t>Gantt chart</w:t>
      </w:r>
      <w:bookmarkEnd w:id="11"/>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following figure is a Gantt chart with lists and timescales that vividly show the sequence and duration of activities for any particular project.</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7178675" cy="4380230"/>
            <wp:effectExtent l="0" t="0" r="8890"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rot="5400000">
                      <a:off x="0" y="0"/>
                      <a:ext cx="7178675" cy="4380230"/>
                    </a:xfrm>
                    <a:prstGeom prst="rect">
                      <a:avLst/>
                    </a:prstGeom>
                    <a:noFill/>
                    <a:ln>
                      <a:noFill/>
                    </a:ln>
                  </pic:spPr>
                </pic:pic>
              </a:graphicData>
            </a:graphic>
          </wp:inline>
        </w:drawing>
      </w:r>
    </w:p>
    <w:p>
      <w:pPr>
        <w:pStyle w:val="4"/>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幼圆" w:cs="Times New Roman"/>
          <w:sz w:val="24"/>
          <w:szCs w:val="24"/>
          <w:lang w:eastAsia="zh-CN"/>
        </w:rPr>
      </w:pPr>
      <w:r>
        <w:rPr>
          <w:rFonts w:hint="default" w:ascii="Times New Roman" w:hAnsi="Times New Roman" w:eastAsia="幼圆" w:cs="Times New Roman"/>
          <w:sz w:val="24"/>
          <w:szCs w:val="24"/>
        </w:rPr>
        <w:t xml:space="preserve">Figure </w:t>
      </w:r>
      <w:r>
        <w:rPr>
          <w:rFonts w:hint="default" w:ascii="Times New Roman" w:hAnsi="Times New Roman" w:eastAsia="幼圆" w:cs="Times New Roman"/>
          <w:sz w:val="24"/>
          <w:szCs w:val="24"/>
        </w:rPr>
        <w:fldChar w:fldCharType="begin"/>
      </w:r>
      <w:r>
        <w:rPr>
          <w:rFonts w:hint="default" w:ascii="Times New Roman" w:hAnsi="Times New Roman" w:eastAsia="幼圆" w:cs="Times New Roman"/>
          <w:sz w:val="24"/>
          <w:szCs w:val="24"/>
        </w:rPr>
        <w:instrText xml:space="preserve"> SEQ Figure \* ARABIC </w:instrText>
      </w:r>
      <w:r>
        <w:rPr>
          <w:rFonts w:hint="default" w:ascii="Times New Roman" w:hAnsi="Times New Roman" w:eastAsia="幼圆" w:cs="Times New Roman"/>
          <w:sz w:val="24"/>
          <w:szCs w:val="24"/>
        </w:rPr>
        <w:fldChar w:fldCharType="separate"/>
      </w:r>
      <w:r>
        <w:rPr>
          <w:rFonts w:hint="default" w:ascii="Times New Roman" w:hAnsi="Times New Roman" w:eastAsia="幼圆" w:cs="Times New Roman"/>
          <w:sz w:val="24"/>
          <w:szCs w:val="24"/>
        </w:rPr>
        <w:t>2</w:t>
      </w:r>
      <w:r>
        <w:rPr>
          <w:rFonts w:hint="default" w:ascii="Times New Roman" w:hAnsi="Times New Roman" w:eastAsia="幼圆" w:cs="Times New Roman"/>
          <w:sz w:val="24"/>
          <w:szCs w:val="24"/>
        </w:rPr>
        <w:fldChar w:fldCharType="end"/>
      </w:r>
      <w:r>
        <w:rPr>
          <w:rFonts w:hint="default" w:ascii="Times New Roman" w:hAnsi="Times New Roman" w:eastAsia="幼圆" w:cs="Times New Roman"/>
          <w:sz w:val="24"/>
          <w:szCs w:val="24"/>
          <w:lang w:eastAsia="zh-CN"/>
        </w:rPr>
        <w:t xml:space="preserve">  Gantt Chart</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4"/>
          <w:szCs w:val="24"/>
        </w:rPr>
      </w:pPr>
    </w:p>
    <w:p>
      <w:pPr>
        <w:pStyle w:val="2"/>
        <w:numPr>
          <w:ilvl w:val="0"/>
          <w:numId w:val="1"/>
        </w:numPr>
        <w:bidi w:val="0"/>
        <w:rPr>
          <w:rFonts w:hint="default"/>
          <w:lang w:val="en-US" w:eastAsia="zh-CN"/>
        </w:rPr>
      </w:pPr>
      <w:bookmarkStart w:id="12" w:name="_Toc26732"/>
      <w:r>
        <w:rPr>
          <w:rFonts w:hint="default"/>
          <w:lang w:val="en-US" w:eastAsia="zh-CN"/>
        </w:rPr>
        <w:t>Reference</w:t>
      </w:r>
      <w:bookmarkEnd w:id="12"/>
    </w:p>
    <w:p>
      <w:pPr>
        <w:keepNext w:val="0"/>
        <w:keepLines w:val="0"/>
        <w:pageBreakBefore w:val="0"/>
        <w:numPr>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Helvetica" w:cs="Times New Roman"/>
          <w:i w:val="0"/>
          <w:caps w:val="0"/>
          <w:color w:val="3A3A3A"/>
          <w:spacing w:val="0"/>
          <w:sz w:val="24"/>
          <w:szCs w:val="24"/>
          <w:shd w:val="clear" w:fill="FFFFFF"/>
        </w:rPr>
      </w:pPr>
      <w:r>
        <w:rPr>
          <w:rFonts w:hint="default" w:ascii="Times New Roman" w:hAnsi="Times New Roman" w:eastAsia="Helvetica" w:cs="Times New Roman"/>
          <w:i w:val="0"/>
          <w:caps w:val="0"/>
          <w:color w:val="3A3A3A"/>
          <w:spacing w:val="0"/>
          <w:sz w:val="24"/>
          <w:szCs w:val="24"/>
          <w:shd w:val="clear" w:fill="FFFFFF"/>
        </w:rPr>
        <w:t>Anon, 2019. Meituan Demonstrates Social Contribution through Its First Corporate Social Responsibility Report.</w:t>
      </w:r>
      <w:r>
        <w:rPr>
          <w:rFonts w:hint="default" w:ascii="Times New Roman" w:hAnsi="Times New Roman" w:eastAsia="Helvetica" w:cs="Times New Roman"/>
          <w:i w:val="0"/>
          <w:caps w:val="0"/>
          <w:color w:val="3A3A3A"/>
          <w:spacing w:val="0"/>
          <w:sz w:val="24"/>
          <w:szCs w:val="24"/>
          <w:shd w:val="clear" w:fill="FFFFFF"/>
        </w:rPr>
        <w:t> </w:t>
      </w:r>
      <w:r>
        <w:rPr>
          <w:rFonts w:hint="default" w:ascii="Times New Roman" w:hAnsi="Times New Roman" w:eastAsia="Helvetica" w:cs="Times New Roman"/>
          <w:i/>
          <w:caps w:val="0"/>
          <w:color w:val="3A3A3A"/>
          <w:spacing w:val="0"/>
          <w:sz w:val="24"/>
          <w:szCs w:val="24"/>
          <w:shd w:val="clear" w:fill="FFFFFF"/>
        </w:rPr>
        <w:t>PR newswire</w:t>
      </w:r>
      <w:r>
        <w:rPr>
          <w:rFonts w:hint="default" w:ascii="Times New Roman" w:hAnsi="Times New Roman" w:eastAsia="Helvetica" w:cs="Times New Roman"/>
          <w:i w:val="0"/>
          <w:caps w:val="0"/>
          <w:color w:val="3A3A3A"/>
          <w:spacing w:val="0"/>
          <w:sz w:val="24"/>
          <w:szCs w:val="24"/>
          <w:shd w:val="clear" w:fill="FFFFFF"/>
        </w:rPr>
        <w:t>, pp.PR newswire, 2019–05-17.</w:t>
      </w:r>
    </w:p>
    <w:p>
      <w:pPr>
        <w:keepNext w:val="0"/>
        <w:keepLines w:val="0"/>
        <w:pageBreakBefore w:val="0"/>
        <w:numPr>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Helvetica" w:cs="Times New Roman"/>
          <w:i w:val="0"/>
          <w:caps w:val="0"/>
          <w:color w:val="3A3A3A"/>
          <w:spacing w:val="0"/>
          <w:sz w:val="24"/>
          <w:szCs w:val="24"/>
          <w:shd w:val="clear" w:fill="FFFFFF"/>
          <w:lang w:val="en-US" w:eastAsia="zh-CN"/>
        </w:rPr>
      </w:pP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jc w:val="left"/>
        <w:textAlignment w:val="auto"/>
        <w:rPr>
          <w:rFonts w:hint="default" w:ascii="Times New Roman" w:hAnsi="Times New Roman" w:eastAsia="Helvetica" w:cs="Times New Roman"/>
          <w:i w:val="0"/>
          <w:caps w:val="0"/>
          <w:color w:val="3A3A3A"/>
          <w:spacing w:val="0"/>
          <w:sz w:val="24"/>
          <w:szCs w:val="24"/>
          <w:shd w:val="clear" w:fill="FFFFFF"/>
        </w:rPr>
      </w:pPr>
      <w:r>
        <w:rPr>
          <w:rFonts w:hint="default" w:ascii="Times New Roman" w:hAnsi="Times New Roman" w:eastAsia="Helvetica" w:cs="Times New Roman"/>
          <w:i w:val="0"/>
          <w:caps w:val="0"/>
          <w:color w:val="3A3A3A"/>
          <w:spacing w:val="0"/>
          <w:sz w:val="24"/>
          <w:szCs w:val="24"/>
          <w:shd w:val="clear" w:fill="FFFFFF"/>
        </w:rPr>
        <w:t>Breen, J., 2020. Meituan-backed Li Auto launches $950m US IPO.</w:t>
      </w:r>
      <w:r>
        <w:rPr>
          <w:rFonts w:hint="default" w:ascii="Times New Roman" w:hAnsi="Times New Roman" w:eastAsia="Helvetica" w:cs="Times New Roman"/>
          <w:i w:val="0"/>
          <w:caps w:val="0"/>
          <w:color w:val="3A3A3A"/>
          <w:spacing w:val="0"/>
          <w:sz w:val="24"/>
          <w:szCs w:val="24"/>
          <w:shd w:val="clear" w:fill="FFFFFF"/>
        </w:rPr>
        <w:t> </w:t>
      </w:r>
      <w:r>
        <w:rPr>
          <w:rFonts w:hint="default" w:ascii="Times New Roman" w:hAnsi="Times New Roman" w:eastAsia="Helvetica" w:cs="Times New Roman"/>
          <w:i/>
          <w:caps w:val="0"/>
          <w:color w:val="3A3A3A"/>
          <w:spacing w:val="0"/>
          <w:sz w:val="24"/>
          <w:szCs w:val="24"/>
          <w:shd w:val="clear" w:fill="FFFFFF"/>
        </w:rPr>
        <w:t>Global Capital</w:t>
      </w:r>
      <w:r>
        <w:rPr>
          <w:rFonts w:hint="default" w:ascii="Times New Roman" w:hAnsi="Times New Roman" w:eastAsia="Helvetica" w:cs="Times New Roman"/>
          <w:i w:val="0"/>
          <w:caps w:val="0"/>
          <w:color w:val="3A3A3A"/>
          <w:spacing w:val="0"/>
          <w:sz w:val="24"/>
          <w:szCs w:val="24"/>
          <w:shd w:val="clear" w:fill="FFFFFF"/>
        </w:rPr>
        <w:t>, pp.Global Capital, 2020–07-27.</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jc w:val="left"/>
        <w:textAlignment w:val="auto"/>
        <w:rPr>
          <w:rFonts w:hint="default" w:ascii="Times New Roman" w:hAnsi="Times New Roman" w:eastAsia="Helvetica" w:cs="Times New Roman"/>
          <w:i w:val="0"/>
          <w:caps w:val="0"/>
          <w:color w:val="3A3A3A"/>
          <w:spacing w:val="0"/>
          <w:sz w:val="24"/>
          <w:szCs w:val="24"/>
          <w:shd w:val="clear" w:fill="FFFFFF"/>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Segoe UI" w:cs="Times New Roman"/>
          <w:b w:val="0"/>
          <w:bCs w:val="0"/>
          <w:i w:val="0"/>
          <w:caps w:val="0"/>
          <w:color w:val="333333"/>
          <w:spacing w:val="0"/>
          <w:sz w:val="24"/>
          <w:szCs w:val="24"/>
          <w:shd w:val="clear" w:fill="FCFCFC"/>
        </w:rPr>
      </w:pPr>
      <w:r>
        <w:rPr>
          <w:rFonts w:hint="default" w:ascii="Times New Roman" w:hAnsi="Times New Roman" w:eastAsia="宋体" w:cs="Times New Roman"/>
          <w:b w:val="0"/>
          <w:bCs w:val="0"/>
          <w:sz w:val="24"/>
          <w:szCs w:val="24"/>
        </w:rPr>
        <w:t>Carroll, A. B. (1979). A three-dimensional conceptual model of corporate social performance. </w:t>
      </w:r>
      <w:r>
        <w:rPr>
          <w:rFonts w:hint="default" w:ascii="Times New Roman" w:hAnsi="Times New Roman" w:eastAsia="Segoe UI" w:cs="Times New Roman"/>
          <w:b w:val="0"/>
          <w:bCs w:val="0"/>
          <w:i/>
          <w:caps w:val="0"/>
          <w:color w:val="333333"/>
          <w:spacing w:val="0"/>
          <w:sz w:val="24"/>
          <w:szCs w:val="24"/>
          <w:shd w:val="clear" w:fill="FCFCFC"/>
        </w:rPr>
        <w:t>Academy of Management Review, 4</w:t>
      </w:r>
      <w:r>
        <w:rPr>
          <w:rFonts w:hint="default" w:ascii="Times New Roman" w:hAnsi="Times New Roman" w:eastAsia="Segoe UI" w:cs="Times New Roman"/>
          <w:b w:val="0"/>
          <w:bCs w:val="0"/>
          <w:i w:val="0"/>
          <w:caps w:val="0"/>
          <w:color w:val="333333"/>
          <w:spacing w:val="0"/>
          <w:sz w:val="24"/>
          <w:szCs w:val="24"/>
          <w:shd w:val="clear" w:fill="FCFCFC"/>
        </w:rPr>
        <w:t>, 497–505.</w:t>
      </w: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Segoe UI" w:cs="Times New Roman"/>
          <w:b w:val="0"/>
          <w:bCs w:val="0"/>
          <w:i w:val="0"/>
          <w:caps w:val="0"/>
          <w:color w:val="333333"/>
          <w:spacing w:val="0"/>
          <w:sz w:val="24"/>
          <w:szCs w:val="24"/>
          <w:shd w:val="clear" w:fill="FCFCFC"/>
        </w:rPr>
      </w:pPr>
    </w:p>
    <w:p>
      <w:pPr>
        <w:keepNext w:val="0"/>
        <w:keepLines w:val="0"/>
        <w:pageBreakBefore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eastAsia="Segoe UI" w:cs="Times New Roman"/>
          <w:b w:val="0"/>
          <w:bCs w:val="0"/>
          <w:i w:val="0"/>
          <w:caps w:val="0"/>
          <w:color w:val="333333"/>
          <w:spacing w:val="0"/>
          <w:sz w:val="24"/>
          <w:szCs w:val="24"/>
          <w:shd w:val="clear" w:fill="FCFCFC"/>
        </w:rPr>
      </w:pPr>
      <w:r>
        <w:rPr>
          <w:rFonts w:hint="default" w:ascii="Times New Roman" w:hAnsi="Times New Roman" w:eastAsia="宋体" w:cs="Times New Roman"/>
          <w:b w:val="0"/>
          <w:bCs w:val="0"/>
          <w:sz w:val="24"/>
          <w:szCs w:val="24"/>
        </w:rPr>
        <w:t>Carroll, A. B. (1991). The pyramid of corporate social responsibility: toward the moral management of organizational stakeholders. </w:t>
      </w:r>
      <w:r>
        <w:rPr>
          <w:rFonts w:hint="default" w:ascii="Times New Roman" w:hAnsi="Times New Roman" w:eastAsia="Segoe UI" w:cs="Times New Roman"/>
          <w:b w:val="0"/>
          <w:bCs w:val="0"/>
          <w:i/>
          <w:caps w:val="0"/>
          <w:color w:val="333333"/>
          <w:spacing w:val="0"/>
          <w:sz w:val="24"/>
          <w:szCs w:val="24"/>
          <w:shd w:val="clear" w:fill="FCFCFC"/>
        </w:rPr>
        <w:t>Business Horizons, 34</w:t>
      </w:r>
      <w:r>
        <w:rPr>
          <w:rFonts w:hint="default" w:ascii="Times New Roman" w:hAnsi="Times New Roman" w:eastAsia="Segoe UI" w:cs="Times New Roman"/>
          <w:b w:val="0"/>
          <w:bCs w:val="0"/>
          <w:i w:val="0"/>
          <w:caps w:val="0"/>
          <w:color w:val="333333"/>
          <w:spacing w:val="0"/>
          <w:sz w:val="24"/>
          <w:szCs w:val="24"/>
          <w:shd w:val="clear" w:fill="FCFCFC"/>
        </w:rPr>
        <w:t>(4), 39–48.</w:t>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Chars="0"/>
        <w:jc w:val="left"/>
        <w:textAlignment w:val="auto"/>
        <w:rPr>
          <w:rFonts w:hint="default" w:ascii="Times New Roman" w:hAnsi="Times New Roman" w:eastAsia="Helvetica" w:cs="Times New Roman"/>
          <w:i w:val="0"/>
          <w:caps w:val="0"/>
          <w:color w:val="3A3A3A"/>
          <w:spacing w:val="0"/>
          <w:sz w:val="24"/>
          <w:szCs w:val="24"/>
          <w:shd w:val="clear" w:fill="FFFFFF"/>
        </w:rPr>
      </w:pPr>
    </w:p>
    <w:p>
      <w:pPr>
        <w:pStyle w:val="8"/>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Saunders, M., Lewis, P., &amp; Thornhill, A. (2009). Chapter 4: Understanding research philosophies and approaches. In M. Saunders, P. Lewis, &amp; A. Thornhill, </w:t>
      </w:r>
      <w:r>
        <w:rPr>
          <w:rFonts w:hint="default" w:ascii="Times New Roman" w:hAnsi="Times New Roman" w:cs="Times New Roman"/>
          <w:i/>
          <w:iCs/>
          <w:sz w:val="24"/>
          <w:szCs w:val="24"/>
        </w:rPr>
        <w:t>Research methods for business students</w:t>
      </w:r>
      <w:r>
        <w:rPr>
          <w:rFonts w:hint="default" w:ascii="Times New Roman" w:hAnsi="Times New Roman" w:cs="Times New Roman"/>
          <w:sz w:val="24"/>
          <w:szCs w:val="24"/>
        </w:rPr>
        <w:t xml:space="preserve"> (pp. 106-135). England: Pearson Education Limited.</w:t>
      </w:r>
    </w:p>
    <w:p>
      <w:pPr>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eastAsia="宋体" w:cs="Times New Roman"/>
          <w:sz w:val="24"/>
          <w:szCs w:val="24"/>
          <w:lang w:eastAsia="zh-CN"/>
        </w:rPr>
      </w:pP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eastAsia="宋体" w:cs="Times New Roman"/>
          <w:sz w:val="24"/>
          <w:szCs w:val="24"/>
          <w:lang w:eastAsia="zh-CN"/>
        </w:rPr>
        <w:fldChar w:fldCharType="begin"/>
      </w:r>
      <w:r>
        <w:rPr>
          <w:rFonts w:hint="default" w:ascii="Times New Roman" w:hAnsi="Times New Roman" w:eastAsia="宋体" w:cs="Times New Roman"/>
          <w:sz w:val="24"/>
          <w:szCs w:val="24"/>
          <w:lang w:eastAsia="zh-CN"/>
        </w:rPr>
        <w:instrText xml:space="preserve"> ADDIN  EN.REFLIST </w:instrText>
      </w:r>
      <w:r>
        <w:rPr>
          <w:rFonts w:hint="default" w:ascii="Times New Roman" w:hAnsi="Times New Roman" w:eastAsia="宋体" w:cs="Times New Roman"/>
          <w:sz w:val="24"/>
          <w:szCs w:val="24"/>
          <w:lang w:eastAsia="zh-CN"/>
        </w:rPr>
        <w:fldChar w:fldCharType="separate"/>
      </w:r>
      <w:r>
        <w:rPr>
          <w:rFonts w:hint="default" w:ascii="Times New Roman" w:hAnsi="Times New Roman" w:cs="Times New Roman" w:eastAsiaTheme="minorEastAsia"/>
          <w:kern w:val="2"/>
          <w:sz w:val="24"/>
          <w:szCs w:val="24"/>
          <w:lang w:val="en-US" w:eastAsia="zh-CN" w:bidi="ar-SA"/>
        </w:rPr>
        <w:t xml:space="preserve">ACZEL, P. 1977. An introduction to inductive definitions. </w:t>
      </w:r>
      <w:r>
        <w:rPr>
          <w:rFonts w:hint="default" w:ascii="Times New Roman" w:hAnsi="Times New Roman" w:cs="Times New Roman" w:eastAsiaTheme="minorEastAsia"/>
          <w:i/>
          <w:kern w:val="2"/>
          <w:sz w:val="24"/>
          <w:szCs w:val="24"/>
          <w:lang w:val="en-US" w:eastAsia="zh-CN" w:bidi="ar-SA"/>
        </w:rPr>
        <w:t>Studies in Logic and the Foundations of Mathematics.</w:t>
      </w:r>
      <w:r>
        <w:rPr>
          <w:rFonts w:hint="default" w:ascii="Times New Roman" w:hAnsi="Times New Roman" w:cs="Times New Roman" w:eastAsiaTheme="minorEastAsia"/>
          <w:kern w:val="2"/>
          <w:sz w:val="24"/>
          <w:szCs w:val="24"/>
          <w:lang w:val="en-US" w:eastAsia="zh-CN" w:bidi="ar-SA"/>
        </w:rPr>
        <w:t xml:space="preserve"> Elsevier.</w:t>
      </w: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OUYANG, Z., ZHANG, Y. &amp; HU, X. 2020. Negative publicity and potential applicants' intention to apply amid a discrimination scandal: a moderated mediation model. </w:t>
      </w:r>
      <w:r>
        <w:rPr>
          <w:rFonts w:hint="default" w:ascii="Times New Roman" w:hAnsi="Times New Roman" w:cs="Times New Roman" w:eastAsiaTheme="minorEastAsia"/>
          <w:i/>
          <w:kern w:val="2"/>
          <w:sz w:val="24"/>
          <w:szCs w:val="24"/>
          <w:lang w:val="en-US" w:eastAsia="zh-CN" w:bidi="ar-SA"/>
        </w:rPr>
        <w:t>Personnel Review</w:t>
      </w:r>
      <w:r>
        <w:rPr>
          <w:rFonts w:hint="default" w:ascii="Times New Roman" w:hAnsi="Times New Roman" w:cs="Times New Roman" w:eastAsiaTheme="minorEastAsia"/>
          <w:kern w:val="2"/>
          <w:sz w:val="24"/>
          <w:szCs w:val="24"/>
          <w:lang w:val="en-US" w:eastAsia="zh-CN" w:bidi="ar-SA"/>
        </w:rPr>
        <w:t>.</w:t>
      </w: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SALKIND, N. J. 2010. </w:t>
      </w:r>
      <w:r>
        <w:rPr>
          <w:rFonts w:hint="default" w:ascii="Times New Roman" w:hAnsi="Times New Roman" w:cs="Times New Roman" w:eastAsiaTheme="minorEastAsia"/>
          <w:i/>
          <w:kern w:val="2"/>
          <w:sz w:val="24"/>
          <w:szCs w:val="24"/>
          <w:lang w:val="en-US" w:eastAsia="zh-CN" w:bidi="ar-SA"/>
        </w:rPr>
        <w:t>Encyclopedia of research design</w:t>
      </w:r>
      <w:r>
        <w:rPr>
          <w:rFonts w:hint="default" w:ascii="Times New Roman" w:hAnsi="Times New Roman" w:cs="Times New Roman" w:eastAsiaTheme="minorEastAsia"/>
          <w:kern w:val="2"/>
          <w:sz w:val="24"/>
          <w:szCs w:val="24"/>
          <w:lang w:val="en-US" w:eastAsia="zh-CN" w:bidi="ar-SA"/>
        </w:rPr>
        <w:t>, Sage.</w:t>
      </w: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SHEN, L. 2018. The Potential Opportunity of Promoting Meituan Take-out App to Hong Kong–A Case Study. </w:t>
      </w:r>
      <w:r>
        <w:rPr>
          <w:rFonts w:hint="default" w:ascii="Times New Roman" w:hAnsi="Times New Roman" w:cs="Times New Roman" w:eastAsiaTheme="minorEastAsia"/>
          <w:i/>
          <w:kern w:val="2"/>
          <w:sz w:val="24"/>
          <w:szCs w:val="24"/>
          <w:lang w:val="en-US" w:eastAsia="zh-CN" w:bidi="ar-SA"/>
        </w:rPr>
        <w:t>International Journal of Economic Behavior and Organization,</w:t>
      </w:r>
      <w:r>
        <w:rPr>
          <w:rFonts w:hint="default" w:ascii="Times New Roman" w:hAnsi="Times New Roman" w:cs="Times New Roman" w:eastAsiaTheme="minorEastAsia"/>
          <w:kern w:val="2"/>
          <w:sz w:val="24"/>
          <w:szCs w:val="24"/>
          <w:lang w:val="en-US" w:eastAsia="zh-CN" w:bidi="ar-SA"/>
        </w:rPr>
        <w:t xml:space="preserve"> 6</w:t>
      </w:r>
      <w:r>
        <w:rPr>
          <w:rFonts w:hint="default" w:ascii="Times New Roman" w:hAnsi="Times New Roman" w:cs="Times New Roman" w:eastAsiaTheme="minorEastAsia"/>
          <w:b/>
          <w:kern w:val="2"/>
          <w:sz w:val="24"/>
          <w:szCs w:val="24"/>
          <w:lang w:val="en-US" w:eastAsia="zh-CN" w:bidi="ar-SA"/>
        </w:rPr>
        <w:t>,</w:t>
      </w:r>
      <w:r>
        <w:rPr>
          <w:rFonts w:hint="default" w:ascii="Times New Roman" w:hAnsi="Times New Roman" w:cs="Times New Roman" w:eastAsiaTheme="minorEastAsia"/>
          <w:kern w:val="2"/>
          <w:sz w:val="24"/>
          <w:szCs w:val="24"/>
          <w:lang w:val="en-US" w:eastAsia="zh-CN" w:bidi="ar-SA"/>
        </w:rPr>
        <w:t xml:space="preserve"> 53.</w:t>
      </w: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YAN, H. &amp; LIU, J. An empirical study on the behavioral intention to use mobile group purchase apps: Taking Meituan app as an example.  2019 16th International Conference on Service Systems and Service Management (ICSSSM), 2019. IEEE, 1-6.</w:t>
      </w: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p>
    <w:p>
      <w:pPr>
        <w:pStyle w:val="9"/>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ZHANG, F. &amp; JUNG, J.-Y. 2020. Changes in the Influence of Social Responsibility Activities on Corporate Value over 10 Years in China. </w:t>
      </w:r>
      <w:r>
        <w:rPr>
          <w:rFonts w:hint="default" w:ascii="Times New Roman" w:hAnsi="Times New Roman" w:cs="Times New Roman" w:eastAsiaTheme="minorEastAsia"/>
          <w:i/>
          <w:kern w:val="2"/>
          <w:sz w:val="24"/>
          <w:szCs w:val="24"/>
          <w:lang w:val="en-US" w:eastAsia="zh-CN" w:bidi="ar-SA"/>
        </w:rPr>
        <w:t>Sustainability,</w:t>
      </w:r>
      <w:r>
        <w:rPr>
          <w:rFonts w:hint="default" w:ascii="Times New Roman" w:hAnsi="Times New Roman" w:cs="Times New Roman" w:eastAsiaTheme="minorEastAsia"/>
          <w:kern w:val="2"/>
          <w:sz w:val="24"/>
          <w:szCs w:val="24"/>
          <w:lang w:val="en-US" w:eastAsia="zh-CN" w:bidi="ar-SA"/>
        </w:rPr>
        <w:t xml:space="preserve"> 12</w:t>
      </w:r>
      <w:r>
        <w:rPr>
          <w:rFonts w:hint="default" w:ascii="Times New Roman" w:hAnsi="Times New Roman" w:cs="Times New Roman" w:eastAsiaTheme="minorEastAsia"/>
          <w:b/>
          <w:kern w:val="2"/>
          <w:sz w:val="24"/>
          <w:szCs w:val="24"/>
          <w:lang w:val="en-US" w:eastAsia="zh-CN" w:bidi="ar-SA"/>
        </w:rPr>
        <w:t>,</w:t>
      </w:r>
      <w:r>
        <w:rPr>
          <w:rFonts w:hint="default" w:ascii="Times New Roman" w:hAnsi="Times New Roman" w:cs="Times New Roman" w:eastAsiaTheme="minorEastAsia"/>
          <w:kern w:val="2"/>
          <w:sz w:val="24"/>
          <w:szCs w:val="24"/>
          <w:lang w:val="en-US" w:eastAsia="zh-CN" w:bidi="ar-SA"/>
        </w:rPr>
        <w:t xml:space="preserve"> 9506.</w:t>
      </w:r>
    </w:p>
    <w:p>
      <w:pPr>
        <w:keepNext w:val="0"/>
        <w:keepLines w:val="0"/>
        <w:pageBreakBefore w:val="0"/>
        <w:kinsoku/>
        <w:wordWrap/>
        <w:overflowPunct/>
        <w:topLinePunct w:val="0"/>
        <w:autoSpaceDE/>
        <w:autoSpaceDN/>
        <w:bidi w:val="0"/>
        <w:adjustRightInd/>
        <w:snapToGrid/>
        <w:spacing w:beforeAutospacing="0" w:afterAutospacing="0" w:line="360" w:lineRule="auto"/>
        <w:ind w:left="0" w:firstLine="0"/>
        <w:jc w:val="left"/>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eastAsia="zh-CN"/>
        </w:rPr>
        <w:fldChar w:fldCharType="end"/>
      </w:r>
    </w:p>
    <w:p>
      <w:pPr>
        <w:keepNext w:val="0"/>
        <w:keepLines w:val="0"/>
        <w:pageBreakBefore w:val="0"/>
        <w:numPr>
          <w:ilvl w:val="0"/>
          <w:numId w:val="0"/>
        </w:numPr>
        <w:kinsoku/>
        <w:wordWrap/>
        <w:overflowPunct/>
        <w:topLinePunct w:val="0"/>
        <w:autoSpaceDE/>
        <w:autoSpaceDN/>
        <w:bidi w:val="0"/>
        <w:adjustRightInd/>
        <w:snapToGrid/>
        <w:spacing w:beforeAutospacing="0" w:afterAutospacing="0" w:line="360" w:lineRule="auto"/>
        <w:ind w:left="0" w:leftChars="0" w:firstLine="0"/>
        <w:jc w:val="left"/>
        <w:textAlignment w:val="auto"/>
        <w:rPr>
          <w:rFonts w:hint="default" w:ascii="Times New Roman" w:hAnsi="Times New Roman" w:eastAsia="Helvetica" w:cs="Times New Roman"/>
          <w:i w:val="0"/>
          <w:caps w:val="0"/>
          <w:color w:val="3A3A3A"/>
          <w:spacing w:val="0"/>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Palatino Linotype">
    <w:panose1 w:val="02040502050505030304"/>
    <w:charset w:val="00"/>
    <w:family w:val="roman"/>
    <w:pitch w:val="default"/>
    <w:sig w:usb0="E0000287" w:usb1="40000013" w:usb2="00000000"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0002A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幼圆">
    <w:panose1 w:val="02010509060101010101"/>
    <w:charset w:val="86"/>
    <w:family w:val="auto"/>
    <w:pitch w:val="default"/>
    <w:sig w:usb0="00000001" w:usb1="080E0000" w:usb2="00000000" w:usb3="00000000" w:csb0="00040000"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40F2648"/>
    <w:multiLevelType w:val="multilevel"/>
    <w:tmpl w:val="E40F264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2r2xv596ardaveps2d5av2tfvpdrafzrxfx&quot;&gt;My EndNote Library&lt;record-ids&gt;&lt;item&gt;14&lt;/item&gt;&lt;item&gt;15&lt;/item&gt;&lt;item&gt;16&lt;/item&gt;&lt;item&gt;18&lt;/item&gt;&lt;item&gt;19&lt;/item&gt;&lt;item&gt;20&lt;/item&gt;&lt;/record-ids&gt;&lt;/item&gt;&lt;/Libraries&gt;"/>
  </w:docVars>
  <w:rsids>
    <w:rsidRoot w:val="13013B90"/>
    <w:rsid w:val="031F3B75"/>
    <w:rsid w:val="042E306D"/>
    <w:rsid w:val="13013B90"/>
    <w:rsid w:val="21860951"/>
    <w:rsid w:val="348A36A5"/>
    <w:rsid w:val="52A731CB"/>
    <w:rsid w:val="5CD153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b/>
      <w:kern w:val="44"/>
      <w:sz w:val="2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24"/>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caption"/>
    <w:basedOn w:val="1"/>
    <w:next w:val="1"/>
    <w:semiHidden/>
    <w:unhideWhenUsed/>
    <w:qFormat/>
    <w:uiPriority w:val="0"/>
    <w:rPr>
      <w:rFonts w:ascii="Arial" w:hAnsi="Arial" w:eastAsia="黑体"/>
      <w:sz w:val="20"/>
    </w:rPr>
  </w:style>
  <w:style w:type="paragraph" w:styleId="7">
    <w:name w:val="List Paragraph"/>
    <w:basedOn w:val="1"/>
    <w:qFormat/>
    <w:uiPriority w:val="34"/>
    <w:pPr>
      <w:ind w:left="720"/>
      <w:contextualSpacing/>
    </w:pPr>
  </w:style>
  <w:style w:type="paragraph" w:customStyle="1" w:styleId="8">
    <w:name w:val="Bibliography"/>
    <w:basedOn w:val="1"/>
    <w:next w:val="1"/>
    <w:unhideWhenUsed/>
    <w:uiPriority w:val="37"/>
  </w:style>
  <w:style w:type="paragraph" w:customStyle="1" w:styleId="9">
    <w:name w:val="EndNote Bibliography"/>
    <w:uiPriority w:val="0"/>
    <w:pPr>
      <w:pBdr>
        <w:top w:val="none" w:color="auto" w:sz="0" w:space="0"/>
        <w:left w:val="none" w:color="auto" w:sz="0" w:space="0"/>
        <w:bottom w:val="none" w:color="auto" w:sz="0" w:space="0"/>
        <w:right w:val="none" w:color="auto" w:sz="0" w:space="0"/>
        <w:between w:val="none" w:color="auto" w:sz="0" w:space="0"/>
      </w:pBdr>
      <w:jc w:val="both"/>
    </w:pPr>
    <w:rPr>
      <w:rFonts w:asciiTheme="minorHAnsi" w:hAnsiTheme="minorHAnsi" w:eastAsiaTheme="minorEastAsia" w:cstheme="minorBidi"/>
      <w:kern w:val="2"/>
      <w:sz w:val="20"/>
      <w:szCs w:val="24"/>
      <w:lang w:val="en-US" w:eastAsia="zh-CN" w:bidi="ar-SA"/>
    </w:rPr>
  </w:style>
  <w:style w:type="paragraph" w:customStyle="1" w:styleId="10">
    <w:name w:val="EndNote Bibliography Title"/>
    <w:uiPriority w:val="0"/>
    <w:pPr>
      <w:pBdr>
        <w:top w:val="none" w:color="auto" w:sz="8" w:space="0"/>
        <w:left w:val="none" w:color="auto" w:sz="8" w:space="0"/>
        <w:bottom w:val="none" w:color="auto" w:sz="8" w:space="0"/>
        <w:right w:val="none" w:color="auto" w:sz="8" w:space="0"/>
        <w:between w:val="none" w:color="auto" w:sz="8" w:space="0"/>
      </w:pBdr>
      <w:jc w:val="center"/>
    </w:pPr>
    <w:rPr>
      <w:rFonts w:ascii="Times New Roman" w:hAnsi="Times New Roman" w:eastAsiaTheme="minorEastAsia" w:cstheme="minorBidi"/>
      <w:kern w:val="2"/>
      <w:sz w:val="20"/>
      <w:szCs w:val="24"/>
      <w:lang w:val="en-US" w:eastAsia="zh-CN" w:bidi="ar-SA"/>
    </w:rPr>
  </w:style>
  <w:style w:type="paragraph" w:customStyle="1" w:styleId="11">
    <w:name w:val="WPSOffice手动目录 1"/>
    <w:uiPriority w:val="0"/>
    <w:pPr>
      <w:ind w:leftChars="0"/>
    </w:pPr>
    <w:rPr>
      <w:sz w:val="20"/>
      <w:szCs w:val="20"/>
    </w:rPr>
  </w:style>
  <w:style w:type="paragraph" w:customStyle="1" w:styleId="12">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2020-11-28T14:07:00Z</dcterms:created>
  <dc:creator>安静的睡在风里</dc:creator>
  <cp:lastModifiedBy>安静的睡在风里</cp:lastModifiedBy>
  <dcterms:modified xsi:type="dcterms:W3CDTF">2020-11-29T22:28:38Z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