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stheme="minorBidi"/>
          <w:color w:val="4472C4" w:themeColor="accent1"/>
          <w:szCs w:val="22"/>
          <w:lang w:val="en-GB"/>
        </w:rPr>
        <w:id w:val="-1781784313"/>
        <w:docPartObj>
          <w:docPartGallery w:val="Cover Pages"/>
          <w:docPartUnique/>
        </w:docPartObj>
      </w:sdtPr>
      <w:sdtEndPr>
        <w:rPr>
          <w:b/>
          <w:color w:val="auto"/>
        </w:rPr>
      </w:sdtEndPr>
      <w:sdtContent>
        <w:p w14:paraId="4BF7F98C" w14:textId="6A042B76" w:rsidR="00A03145" w:rsidRPr="00BD271D" w:rsidRDefault="00A03145" w:rsidP="00A03145">
          <w:pPr>
            <w:pStyle w:val="NormalWeb"/>
            <w:jc w:val="center"/>
            <w:rPr>
              <w:color w:val="000000"/>
              <w:sz w:val="52"/>
              <w:szCs w:val="52"/>
            </w:rPr>
          </w:pPr>
          <w:r w:rsidRPr="00BD271D">
            <w:rPr>
              <w:b/>
              <w:bCs/>
              <w:color w:val="000000"/>
              <w:sz w:val="52"/>
              <w:szCs w:val="52"/>
              <w:u w:val="single"/>
            </w:rPr>
            <w:t>Student Name:</w:t>
          </w:r>
          <w:r w:rsidRPr="00BD271D">
            <w:rPr>
              <w:color w:val="000000"/>
              <w:sz w:val="52"/>
              <w:szCs w:val="52"/>
            </w:rPr>
            <w:t xml:space="preserve"> Zarrar Zafar</w:t>
          </w:r>
        </w:p>
        <w:p w14:paraId="032D4B5A" w14:textId="77777777" w:rsidR="00A03145" w:rsidRPr="00BD271D" w:rsidRDefault="00A03145" w:rsidP="00A03145">
          <w:pPr>
            <w:pStyle w:val="NormalWeb"/>
            <w:jc w:val="center"/>
            <w:rPr>
              <w:color w:val="000000"/>
              <w:sz w:val="52"/>
              <w:szCs w:val="52"/>
            </w:rPr>
          </w:pPr>
        </w:p>
        <w:p w14:paraId="7BB066DA" w14:textId="75280556" w:rsidR="00A03145" w:rsidRPr="00BD271D" w:rsidRDefault="00A03145" w:rsidP="00A03145">
          <w:pPr>
            <w:pStyle w:val="NormalWeb"/>
            <w:jc w:val="center"/>
            <w:rPr>
              <w:color w:val="000000"/>
              <w:sz w:val="52"/>
              <w:szCs w:val="52"/>
            </w:rPr>
          </w:pPr>
          <w:r w:rsidRPr="00BD271D">
            <w:rPr>
              <w:b/>
              <w:bCs/>
              <w:color w:val="000000"/>
              <w:sz w:val="52"/>
              <w:szCs w:val="52"/>
              <w:u w:val="single"/>
            </w:rPr>
            <w:t>Student Number:</w:t>
          </w:r>
          <w:r w:rsidRPr="00BD271D">
            <w:rPr>
              <w:color w:val="000000"/>
              <w:sz w:val="52"/>
              <w:szCs w:val="52"/>
            </w:rPr>
            <w:t xml:space="preserve"> 1605825</w:t>
          </w:r>
        </w:p>
        <w:p w14:paraId="3966AB04" w14:textId="77777777" w:rsidR="00A03145" w:rsidRPr="00BD271D" w:rsidRDefault="00A03145" w:rsidP="00A03145">
          <w:pPr>
            <w:pStyle w:val="NormalWeb"/>
            <w:jc w:val="center"/>
            <w:rPr>
              <w:color w:val="000000"/>
              <w:sz w:val="52"/>
              <w:szCs w:val="52"/>
            </w:rPr>
          </w:pPr>
        </w:p>
        <w:p w14:paraId="32BB7F90" w14:textId="77777777" w:rsidR="00A03145" w:rsidRPr="00BD271D" w:rsidRDefault="00A03145" w:rsidP="00A03145">
          <w:pPr>
            <w:pStyle w:val="NormalWeb"/>
            <w:jc w:val="center"/>
            <w:rPr>
              <w:color w:val="000000"/>
              <w:sz w:val="52"/>
              <w:szCs w:val="52"/>
            </w:rPr>
          </w:pPr>
          <w:r w:rsidRPr="00BD271D">
            <w:rPr>
              <w:b/>
              <w:bCs/>
              <w:color w:val="000000"/>
              <w:sz w:val="52"/>
              <w:szCs w:val="52"/>
              <w:u w:val="single"/>
            </w:rPr>
            <w:t>Module Title:</w:t>
          </w:r>
          <w:r w:rsidRPr="00BD271D">
            <w:rPr>
              <w:color w:val="000000"/>
              <w:sz w:val="52"/>
              <w:szCs w:val="52"/>
            </w:rPr>
            <w:t xml:space="preserve"> Financial Management</w:t>
          </w:r>
        </w:p>
        <w:p w14:paraId="5E19793F" w14:textId="77777777" w:rsidR="00A03145" w:rsidRPr="00BD271D" w:rsidRDefault="00A03145" w:rsidP="00A03145">
          <w:pPr>
            <w:pStyle w:val="NormalWeb"/>
            <w:jc w:val="center"/>
            <w:rPr>
              <w:color w:val="000000"/>
              <w:sz w:val="52"/>
              <w:szCs w:val="52"/>
            </w:rPr>
          </w:pPr>
        </w:p>
        <w:p w14:paraId="124D6019" w14:textId="77777777" w:rsidR="00A03145" w:rsidRPr="00BD271D" w:rsidRDefault="00A03145" w:rsidP="00A03145">
          <w:pPr>
            <w:pStyle w:val="NormalWeb"/>
            <w:jc w:val="center"/>
            <w:rPr>
              <w:color w:val="000000"/>
              <w:sz w:val="52"/>
              <w:szCs w:val="52"/>
            </w:rPr>
          </w:pPr>
          <w:r w:rsidRPr="00BD271D">
            <w:rPr>
              <w:b/>
              <w:bCs/>
              <w:color w:val="000000"/>
              <w:sz w:val="52"/>
              <w:szCs w:val="52"/>
              <w:u w:val="single"/>
            </w:rPr>
            <w:t>Lecturer:</w:t>
          </w:r>
          <w:r w:rsidRPr="00BD271D">
            <w:rPr>
              <w:color w:val="000000"/>
              <w:sz w:val="52"/>
              <w:szCs w:val="52"/>
            </w:rPr>
            <w:t xml:space="preserve"> Jia Miao</w:t>
          </w:r>
        </w:p>
        <w:p w14:paraId="151F1589" w14:textId="3D6C5C60" w:rsidR="004A510F" w:rsidRPr="00BD271D" w:rsidRDefault="004A510F" w:rsidP="00A03145">
          <w:pPr>
            <w:pStyle w:val="NoSpacing"/>
            <w:spacing w:before="1540" w:after="240"/>
            <w:jc w:val="center"/>
            <w:rPr>
              <w:rFonts w:ascii="Times New Roman" w:hAnsi="Times New Roman" w:cs="Times New Roman"/>
              <w:color w:val="4472C4" w:themeColor="accent1"/>
              <w:sz w:val="28"/>
              <w:szCs w:val="28"/>
              <w:lang w:val="en-GB"/>
            </w:rPr>
          </w:pPr>
        </w:p>
        <w:p w14:paraId="6489ED54" w14:textId="363C5C5C" w:rsidR="004A510F" w:rsidRPr="00BD271D" w:rsidRDefault="004A510F">
          <w:pPr>
            <w:pStyle w:val="NoSpacing"/>
            <w:spacing w:before="480"/>
            <w:jc w:val="center"/>
            <w:rPr>
              <w:rFonts w:ascii="Times New Roman" w:hAnsi="Times New Roman" w:cs="Times New Roman"/>
              <w:color w:val="4472C4" w:themeColor="accent1"/>
              <w:lang w:val="en-GB"/>
            </w:rPr>
          </w:pPr>
        </w:p>
        <w:p w14:paraId="76E2C6CD" w14:textId="058F3752" w:rsidR="004A510F" w:rsidRPr="00BD271D" w:rsidRDefault="004A510F">
          <w:pPr>
            <w:spacing w:line="259" w:lineRule="auto"/>
            <w:jc w:val="left"/>
            <w:rPr>
              <w:rFonts w:eastAsiaTheme="majorEastAsia" w:cs="Times New Roman"/>
              <w:b/>
              <w:color w:val="2F5496" w:themeColor="accent1" w:themeShade="BF"/>
              <w:sz w:val="32"/>
              <w:szCs w:val="32"/>
              <w:lang w:val="en-GB"/>
            </w:rPr>
          </w:pPr>
          <w:r w:rsidRPr="00BD271D">
            <w:rPr>
              <w:rFonts w:cs="Times New Roman"/>
              <w:b/>
              <w:lang w:val="en-GB"/>
            </w:rPr>
            <w:br w:type="page"/>
          </w:r>
        </w:p>
      </w:sdtContent>
    </w:sdt>
    <w:sdt>
      <w:sdtPr>
        <w:rPr>
          <w:rFonts w:ascii="Times New Roman" w:eastAsiaTheme="minorHAnsi" w:hAnsi="Times New Roman" w:cstheme="minorBidi"/>
          <w:sz w:val="24"/>
          <w:szCs w:val="22"/>
        </w:rPr>
        <w:id w:val="1481570506"/>
        <w:docPartObj>
          <w:docPartGallery w:val="Table of Contents"/>
          <w:docPartUnique/>
        </w:docPartObj>
      </w:sdtPr>
      <w:sdtEndPr>
        <w:rPr>
          <w:b/>
          <w:bCs/>
          <w:noProof/>
        </w:rPr>
      </w:sdtEndPr>
      <w:sdtContent>
        <w:p w14:paraId="46460CEE" w14:textId="2FDF7F67" w:rsidR="00BD271D" w:rsidRDefault="00BD271D">
          <w:pPr>
            <w:pStyle w:val="TOCHeading"/>
          </w:pPr>
          <w:r>
            <w:t>Table of Contents</w:t>
          </w:r>
        </w:p>
        <w:p w14:paraId="06B01250" w14:textId="135C682D" w:rsidR="00946E5A" w:rsidRDefault="00BD271D">
          <w:pPr>
            <w:pStyle w:val="TOC1"/>
            <w:tabs>
              <w:tab w:val="right" w:leader="dot" w:pos="9350"/>
            </w:tabs>
            <w:rPr>
              <w:rFonts w:eastAsiaTheme="minorEastAsia" w:cstheme="minorBidi"/>
              <w:b w:val="0"/>
              <w:bCs w:val="0"/>
              <w:i w:val="0"/>
              <w:iCs w:val="0"/>
              <w:noProof/>
              <w:lang w:val="en-GB" w:eastAsia="en-GB"/>
            </w:rPr>
          </w:pPr>
          <w:r>
            <w:rPr>
              <w:b w:val="0"/>
              <w:bCs w:val="0"/>
            </w:rPr>
            <w:fldChar w:fldCharType="begin"/>
          </w:r>
          <w:r>
            <w:instrText xml:space="preserve"> TOC \o "1-3" \h \z \u </w:instrText>
          </w:r>
          <w:r>
            <w:rPr>
              <w:b w:val="0"/>
              <w:bCs w:val="0"/>
            </w:rPr>
            <w:fldChar w:fldCharType="separate"/>
          </w:r>
          <w:hyperlink w:anchor="_Toc61434624" w:history="1">
            <w:r w:rsidR="00946E5A" w:rsidRPr="005D313D">
              <w:rPr>
                <w:rStyle w:val="Hyperlink"/>
                <w:rFonts w:cs="Times New Roman"/>
                <w:noProof/>
              </w:rPr>
              <w:t>Introduction</w:t>
            </w:r>
            <w:r w:rsidR="00946E5A">
              <w:rPr>
                <w:noProof/>
                <w:webHidden/>
              </w:rPr>
              <w:tab/>
            </w:r>
            <w:r w:rsidR="00946E5A">
              <w:rPr>
                <w:noProof/>
                <w:webHidden/>
              </w:rPr>
              <w:fldChar w:fldCharType="begin"/>
            </w:r>
            <w:r w:rsidR="00946E5A">
              <w:rPr>
                <w:noProof/>
                <w:webHidden/>
              </w:rPr>
              <w:instrText xml:space="preserve"> PAGEREF _Toc61434624 \h </w:instrText>
            </w:r>
            <w:r w:rsidR="00946E5A">
              <w:rPr>
                <w:noProof/>
                <w:webHidden/>
              </w:rPr>
            </w:r>
            <w:r w:rsidR="00946E5A">
              <w:rPr>
                <w:noProof/>
                <w:webHidden/>
              </w:rPr>
              <w:fldChar w:fldCharType="separate"/>
            </w:r>
            <w:r w:rsidR="00946E5A">
              <w:rPr>
                <w:noProof/>
                <w:webHidden/>
              </w:rPr>
              <w:t>2</w:t>
            </w:r>
            <w:r w:rsidR="00946E5A">
              <w:rPr>
                <w:noProof/>
                <w:webHidden/>
              </w:rPr>
              <w:fldChar w:fldCharType="end"/>
            </w:r>
          </w:hyperlink>
        </w:p>
        <w:p w14:paraId="2BBB2E7A" w14:textId="024210B6" w:rsidR="00946E5A" w:rsidRDefault="00946E5A">
          <w:pPr>
            <w:pStyle w:val="TOC1"/>
            <w:tabs>
              <w:tab w:val="right" w:leader="dot" w:pos="9350"/>
            </w:tabs>
            <w:rPr>
              <w:rFonts w:eastAsiaTheme="minorEastAsia" w:cstheme="minorBidi"/>
              <w:b w:val="0"/>
              <w:bCs w:val="0"/>
              <w:i w:val="0"/>
              <w:iCs w:val="0"/>
              <w:noProof/>
              <w:lang w:val="en-GB" w:eastAsia="en-GB"/>
            </w:rPr>
          </w:pPr>
          <w:hyperlink w:anchor="_Toc61434625" w:history="1">
            <w:r w:rsidRPr="005D313D">
              <w:rPr>
                <w:rStyle w:val="Hyperlink"/>
                <w:rFonts w:cs="Times New Roman"/>
                <w:noProof/>
              </w:rPr>
              <w:t>Part-A</w:t>
            </w:r>
            <w:r>
              <w:rPr>
                <w:noProof/>
                <w:webHidden/>
              </w:rPr>
              <w:tab/>
            </w:r>
            <w:r>
              <w:rPr>
                <w:noProof/>
                <w:webHidden/>
              </w:rPr>
              <w:fldChar w:fldCharType="begin"/>
            </w:r>
            <w:r>
              <w:rPr>
                <w:noProof/>
                <w:webHidden/>
              </w:rPr>
              <w:instrText xml:space="preserve"> PAGEREF _Toc61434625 \h </w:instrText>
            </w:r>
            <w:r>
              <w:rPr>
                <w:noProof/>
                <w:webHidden/>
              </w:rPr>
            </w:r>
            <w:r>
              <w:rPr>
                <w:noProof/>
                <w:webHidden/>
              </w:rPr>
              <w:fldChar w:fldCharType="separate"/>
            </w:r>
            <w:r>
              <w:rPr>
                <w:noProof/>
                <w:webHidden/>
              </w:rPr>
              <w:t>2</w:t>
            </w:r>
            <w:r>
              <w:rPr>
                <w:noProof/>
                <w:webHidden/>
              </w:rPr>
              <w:fldChar w:fldCharType="end"/>
            </w:r>
          </w:hyperlink>
        </w:p>
        <w:p w14:paraId="46F2C6A0" w14:textId="757948E7" w:rsidR="00946E5A" w:rsidRDefault="00946E5A">
          <w:pPr>
            <w:pStyle w:val="TOC2"/>
            <w:tabs>
              <w:tab w:val="right" w:leader="dot" w:pos="9350"/>
            </w:tabs>
            <w:rPr>
              <w:rFonts w:eastAsiaTheme="minorEastAsia" w:cstheme="minorBidi"/>
              <w:b w:val="0"/>
              <w:bCs w:val="0"/>
              <w:noProof/>
              <w:sz w:val="24"/>
              <w:szCs w:val="24"/>
              <w:lang w:val="en-GB" w:eastAsia="en-GB"/>
            </w:rPr>
          </w:pPr>
          <w:hyperlink w:anchor="_Toc61434626" w:history="1">
            <w:r w:rsidRPr="005D313D">
              <w:rPr>
                <w:rStyle w:val="Hyperlink"/>
                <w:rFonts w:cs="Times New Roman"/>
                <w:noProof/>
              </w:rPr>
              <w:t>A brief history of the company</w:t>
            </w:r>
            <w:r>
              <w:rPr>
                <w:noProof/>
                <w:webHidden/>
              </w:rPr>
              <w:tab/>
            </w:r>
            <w:r>
              <w:rPr>
                <w:noProof/>
                <w:webHidden/>
              </w:rPr>
              <w:fldChar w:fldCharType="begin"/>
            </w:r>
            <w:r>
              <w:rPr>
                <w:noProof/>
                <w:webHidden/>
              </w:rPr>
              <w:instrText xml:space="preserve"> PAGEREF _Toc61434626 \h </w:instrText>
            </w:r>
            <w:r>
              <w:rPr>
                <w:noProof/>
                <w:webHidden/>
              </w:rPr>
            </w:r>
            <w:r>
              <w:rPr>
                <w:noProof/>
                <w:webHidden/>
              </w:rPr>
              <w:fldChar w:fldCharType="separate"/>
            </w:r>
            <w:r>
              <w:rPr>
                <w:noProof/>
                <w:webHidden/>
              </w:rPr>
              <w:t>2</w:t>
            </w:r>
            <w:r>
              <w:rPr>
                <w:noProof/>
                <w:webHidden/>
              </w:rPr>
              <w:fldChar w:fldCharType="end"/>
            </w:r>
          </w:hyperlink>
        </w:p>
        <w:p w14:paraId="6ABACCD4" w14:textId="2355CD6F" w:rsidR="00946E5A" w:rsidRDefault="00946E5A">
          <w:pPr>
            <w:pStyle w:val="TOC2"/>
            <w:tabs>
              <w:tab w:val="right" w:leader="dot" w:pos="9350"/>
            </w:tabs>
            <w:rPr>
              <w:rFonts w:eastAsiaTheme="minorEastAsia" w:cstheme="minorBidi"/>
              <w:b w:val="0"/>
              <w:bCs w:val="0"/>
              <w:noProof/>
              <w:sz w:val="24"/>
              <w:szCs w:val="24"/>
              <w:lang w:val="en-GB" w:eastAsia="en-GB"/>
            </w:rPr>
          </w:pPr>
          <w:hyperlink w:anchor="_Toc61434627" w:history="1">
            <w:r w:rsidRPr="005D313D">
              <w:rPr>
                <w:rStyle w:val="Hyperlink"/>
                <w:rFonts w:cs="Times New Roman"/>
                <w:noProof/>
              </w:rPr>
              <w:t>The business model of the GlaxoSmithKline</w:t>
            </w:r>
            <w:r>
              <w:rPr>
                <w:noProof/>
                <w:webHidden/>
              </w:rPr>
              <w:tab/>
            </w:r>
            <w:r>
              <w:rPr>
                <w:noProof/>
                <w:webHidden/>
              </w:rPr>
              <w:fldChar w:fldCharType="begin"/>
            </w:r>
            <w:r>
              <w:rPr>
                <w:noProof/>
                <w:webHidden/>
              </w:rPr>
              <w:instrText xml:space="preserve"> PAGEREF _Toc61434627 \h </w:instrText>
            </w:r>
            <w:r>
              <w:rPr>
                <w:noProof/>
                <w:webHidden/>
              </w:rPr>
            </w:r>
            <w:r>
              <w:rPr>
                <w:noProof/>
                <w:webHidden/>
              </w:rPr>
              <w:fldChar w:fldCharType="separate"/>
            </w:r>
            <w:r>
              <w:rPr>
                <w:noProof/>
                <w:webHidden/>
              </w:rPr>
              <w:t>3</w:t>
            </w:r>
            <w:r>
              <w:rPr>
                <w:noProof/>
                <w:webHidden/>
              </w:rPr>
              <w:fldChar w:fldCharType="end"/>
            </w:r>
          </w:hyperlink>
        </w:p>
        <w:p w14:paraId="1B50BFA7" w14:textId="63B84292" w:rsidR="00946E5A" w:rsidRDefault="00946E5A">
          <w:pPr>
            <w:pStyle w:val="TOC2"/>
            <w:tabs>
              <w:tab w:val="right" w:leader="dot" w:pos="9350"/>
            </w:tabs>
            <w:rPr>
              <w:rFonts w:eastAsiaTheme="minorEastAsia" w:cstheme="minorBidi"/>
              <w:b w:val="0"/>
              <w:bCs w:val="0"/>
              <w:noProof/>
              <w:sz w:val="24"/>
              <w:szCs w:val="24"/>
              <w:lang w:val="en-GB" w:eastAsia="en-GB"/>
            </w:rPr>
          </w:pPr>
          <w:hyperlink w:anchor="_Toc61434628" w:history="1">
            <w:r w:rsidRPr="005D313D">
              <w:rPr>
                <w:rStyle w:val="Hyperlink"/>
                <w:rFonts w:cs="Times New Roman"/>
                <w:noProof/>
              </w:rPr>
              <w:t>Major competitors of the GlaxoSmithKline</w:t>
            </w:r>
            <w:r>
              <w:rPr>
                <w:noProof/>
                <w:webHidden/>
              </w:rPr>
              <w:tab/>
            </w:r>
            <w:r>
              <w:rPr>
                <w:noProof/>
                <w:webHidden/>
              </w:rPr>
              <w:fldChar w:fldCharType="begin"/>
            </w:r>
            <w:r>
              <w:rPr>
                <w:noProof/>
                <w:webHidden/>
              </w:rPr>
              <w:instrText xml:space="preserve"> PAGEREF _Toc61434628 \h </w:instrText>
            </w:r>
            <w:r>
              <w:rPr>
                <w:noProof/>
                <w:webHidden/>
              </w:rPr>
            </w:r>
            <w:r>
              <w:rPr>
                <w:noProof/>
                <w:webHidden/>
              </w:rPr>
              <w:fldChar w:fldCharType="separate"/>
            </w:r>
            <w:r>
              <w:rPr>
                <w:noProof/>
                <w:webHidden/>
              </w:rPr>
              <w:t>3</w:t>
            </w:r>
            <w:r>
              <w:rPr>
                <w:noProof/>
                <w:webHidden/>
              </w:rPr>
              <w:fldChar w:fldCharType="end"/>
            </w:r>
          </w:hyperlink>
        </w:p>
        <w:p w14:paraId="03D52CF5" w14:textId="69A81CBF" w:rsidR="00946E5A" w:rsidRDefault="00946E5A">
          <w:pPr>
            <w:pStyle w:val="TOC2"/>
            <w:tabs>
              <w:tab w:val="right" w:leader="dot" w:pos="9350"/>
            </w:tabs>
            <w:rPr>
              <w:rFonts w:eastAsiaTheme="minorEastAsia" w:cstheme="minorBidi"/>
              <w:b w:val="0"/>
              <w:bCs w:val="0"/>
              <w:noProof/>
              <w:sz w:val="24"/>
              <w:szCs w:val="24"/>
              <w:lang w:val="en-GB" w:eastAsia="en-GB"/>
            </w:rPr>
          </w:pPr>
          <w:hyperlink w:anchor="_Toc61434629" w:history="1">
            <w:r w:rsidRPr="005D313D">
              <w:rPr>
                <w:rStyle w:val="Hyperlink"/>
                <w:rFonts w:cs="Times New Roman"/>
                <w:noProof/>
                <w:lang w:val="en-GB"/>
              </w:rPr>
              <w:t>Strategic Changes of the GlaxoSmithKline</w:t>
            </w:r>
            <w:r>
              <w:rPr>
                <w:noProof/>
                <w:webHidden/>
              </w:rPr>
              <w:tab/>
            </w:r>
            <w:r>
              <w:rPr>
                <w:noProof/>
                <w:webHidden/>
              </w:rPr>
              <w:fldChar w:fldCharType="begin"/>
            </w:r>
            <w:r>
              <w:rPr>
                <w:noProof/>
                <w:webHidden/>
              </w:rPr>
              <w:instrText xml:space="preserve"> PAGEREF _Toc61434629 \h </w:instrText>
            </w:r>
            <w:r>
              <w:rPr>
                <w:noProof/>
                <w:webHidden/>
              </w:rPr>
            </w:r>
            <w:r>
              <w:rPr>
                <w:noProof/>
                <w:webHidden/>
              </w:rPr>
              <w:fldChar w:fldCharType="separate"/>
            </w:r>
            <w:r>
              <w:rPr>
                <w:noProof/>
                <w:webHidden/>
              </w:rPr>
              <w:t>4</w:t>
            </w:r>
            <w:r>
              <w:rPr>
                <w:noProof/>
                <w:webHidden/>
              </w:rPr>
              <w:fldChar w:fldCharType="end"/>
            </w:r>
          </w:hyperlink>
        </w:p>
        <w:p w14:paraId="242A6AD4" w14:textId="46D1095A" w:rsidR="00946E5A" w:rsidRDefault="00946E5A">
          <w:pPr>
            <w:pStyle w:val="TOC1"/>
            <w:tabs>
              <w:tab w:val="right" w:leader="dot" w:pos="9350"/>
            </w:tabs>
            <w:rPr>
              <w:rFonts w:eastAsiaTheme="minorEastAsia" w:cstheme="minorBidi"/>
              <w:b w:val="0"/>
              <w:bCs w:val="0"/>
              <w:i w:val="0"/>
              <w:iCs w:val="0"/>
              <w:noProof/>
              <w:lang w:val="en-GB" w:eastAsia="en-GB"/>
            </w:rPr>
          </w:pPr>
          <w:hyperlink w:anchor="_Toc61434630" w:history="1">
            <w:r w:rsidRPr="005D313D">
              <w:rPr>
                <w:rStyle w:val="Hyperlink"/>
                <w:rFonts w:cs="Times New Roman"/>
                <w:noProof/>
              </w:rPr>
              <w:t>Part-B</w:t>
            </w:r>
            <w:r>
              <w:rPr>
                <w:noProof/>
                <w:webHidden/>
              </w:rPr>
              <w:tab/>
            </w:r>
            <w:r>
              <w:rPr>
                <w:noProof/>
                <w:webHidden/>
              </w:rPr>
              <w:fldChar w:fldCharType="begin"/>
            </w:r>
            <w:r>
              <w:rPr>
                <w:noProof/>
                <w:webHidden/>
              </w:rPr>
              <w:instrText xml:space="preserve"> PAGEREF _Toc61434630 \h </w:instrText>
            </w:r>
            <w:r>
              <w:rPr>
                <w:noProof/>
                <w:webHidden/>
              </w:rPr>
            </w:r>
            <w:r>
              <w:rPr>
                <w:noProof/>
                <w:webHidden/>
              </w:rPr>
              <w:fldChar w:fldCharType="separate"/>
            </w:r>
            <w:r>
              <w:rPr>
                <w:noProof/>
                <w:webHidden/>
              </w:rPr>
              <w:t>4</w:t>
            </w:r>
            <w:r>
              <w:rPr>
                <w:noProof/>
                <w:webHidden/>
              </w:rPr>
              <w:fldChar w:fldCharType="end"/>
            </w:r>
          </w:hyperlink>
        </w:p>
        <w:p w14:paraId="0A5106DC" w14:textId="60468844" w:rsidR="00946E5A" w:rsidRDefault="00946E5A">
          <w:pPr>
            <w:pStyle w:val="TOC2"/>
            <w:tabs>
              <w:tab w:val="right" w:leader="dot" w:pos="9350"/>
            </w:tabs>
            <w:rPr>
              <w:rFonts w:eastAsiaTheme="minorEastAsia" w:cstheme="minorBidi"/>
              <w:b w:val="0"/>
              <w:bCs w:val="0"/>
              <w:noProof/>
              <w:sz w:val="24"/>
              <w:szCs w:val="24"/>
              <w:lang w:val="en-GB" w:eastAsia="en-GB"/>
            </w:rPr>
          </w:pPr>
          <w:hyperlink w:anchor="_Toc61434631" w:history="1">
            <w:r w:rsidRPr="005D313D">
              <w:rPr>
                <w:rStyle w:val="Hyperlink"/>
                <w:rFonts w:cs="Times New Roman"/>
                <w:noProof/>
              </w:rPr>
              <w:t>Calculation of the financial ratio</w:t>
            </w:r>
            <w:r>
              <w:rPr>
                <w:noProof/>
                <w:webHidden/>
              </w:rPr>
              <w:tab/>
            </w:r>
            <w:r>
              <w:rPr>
                <w:noProof/>
                <w:webHidden/>
              </w:rPr>
              <w:fldChar w:fldCharType="begin"/>
            </w:r>
            <w:r>
              <w:rPr>
                <w:noProof/>
                <w:webHidden/>
              </w:rPr>
              <w:instrText xml:space="preserve"> PAGEREF _Toc61434631 \h </w:instrText>
            </w:r>
            <w:r>
              <w:rPr>
                <w:noProof/>
                <w:webHidden/>
              </w:rPr>
            </w:r>
            <w:r>
              <w:rPr>
                <w:noProof/>
                <w:webHidden/>
              </w:rPr>
              <w:fldChar w:fldCharType="separate"/>
            </w:r>
            <w:r>
              <w:rPr>
                <w:noProof/>
                <w:webHidden/>
              </w:rPr>
              <w:t>5</w:t>
            </w:r>
            <w:r>
              <w:rPr>
                <w:noProof/>
                <w:webHidden/>
              </w:rPr>
              <w:fldChar w:fldCharType="end"/>
            </w:r>
          </w:hyperlink>
        </w:p>
        <w:p w14:paraId="6180D01B" w14:textId="758E8222" w:rsidR="00946E5A" w:rsidRDefault="00946E5A">
          <w:pPr>
            <w:pStyle w:val="TOC2"/>
            <w:tabs>
              <w:tab w:val="right" w:leader="dot" w:pos="9350"/>
            </w:tabs>
            <w:rPr>
              <w:rFonts w:eastAsiaTheme="minorEastAsia" w:cstheme="minorBidi"/>
              <w:b w:val="0"/>
              <w:bCs w:val="0"/>
              <w:noProof/>
              <w:sz w:val="24"/>
              <w:szCs w:val="24"/>
              <w:lang w:val="en-GB" w:eastAsia="en-GB"/>
            </w:rPr>
          </w:pPr>
          <w:hyperlink w:anchor="_Toc61434632" w:history="1">
            <w:r w:rsidRPr="005D313D">
              <w:rPr>
                <w:rStyle w:val="Hyperlink"/>
                <w:rFonts w:cs="Times New Roman"/>
                <w:noProof/>
              </w:rPr>
              <w:t>Critical evaluation and comparison with the industry average</w:t>
            </w:r>
            <w:r>
              <w:rPr>
                <w:noProof/>
                <w:webHidden/>
              </w:rPr>
              <w:tab/>
            </w:r>
            <w:r>
              <w:rPr>
                <w:noProof/>
                <w:webHidden/>
              </w:rPr>
              <w:fldChar w:fldCharType="begin"/>
            </w:r>
            <w:r>
              <w:rPr>
                <w:noProof/>
                <w:webHidden/>
              </w:rPr>
              <w:instrText xml:space="preserve"> PAGEREF _Toc61434632 \h </w:instrText>
            </w:r>
            <w:r>
              <w:rPr>
                <w:noProof/>
                <w:webHidden/>
              </w:rPr>
            </w:r>
            <w:r>
              <w:rPr>
                <w:noProof/>
                <w:webHidden/>
              </w:rPr>
              <w:fldChar w:fldCharType="separate"/>
            </w:r>
            <w:r>
              <w:rPr>
                <w:noProof/>
                <w:webHidden/>
              </w:rPr>
              <w:t>5</w:t>
            </w:r>
            <w:r>
              <w:rPr>
                <w:noProof/>
                <w:webHidden/>
              </w:rPr>
              <w:fldChar w:fldCharType="end"/>
            </w:r>
          </w:hyperlink>
        </w:p>
        <w:p w14:paraId="25BC7FC4" w14:textId="20C6FF9F" w:rsidR="00946E5A" w:rsidRDefault="00946E5A">
          <w:pPr>
            <w:pStyle w:val="TOC2"/>
            <w:tabs>
              <w:tab w:val="right" w:leader="dot" w:pos="9350"/>
            </w:tabs>
            <w:rPr>
              <w:rFonts w:eastAsiaTheme="minorEastAsia" w:cstheme="minorBidi"/>
              <w:b w:val="0"/>
              <w:bCs w:val="0"/>
              <w:noProof/>
              <w:sz w:val="24"/>
              <w:szCs w:val="24"/>
              <w:lang w:val="en-GB" w:eastAsia="en-GB"/>
            </w:rPr>
          </w:pPr>
          <w:hyperlink w:anchor="_Toc61434633" w:history="1">
            <w:r w:rsidRPr="005D313D">
              <w:rPr>
                <w:rStyle w:val="Hyperlink"/>
                <w:rFonts w:cs="Times New Roman"/>
                <w:noProof/>
                <w:lang w:val="en-GB"/>
              </w:rPr>
              <w:t>Recommendations</w:t>
            </w:r>
            <w:r>
              <w:rPr>
                <w:noProof/>
                <w:webHidden/>
              </w:rPr>
              <w:tab/>
            </w:r>
            <w:r>
              <w:rPr>
                <w:noProof/>
                <w:webHidden/>
              </w:rPr>
              <w:fldChar w:fldCharType="begin"/>
            </w:r>
            <w:r>
              <w:rPr>
                <w:noProof/>
                <w:webHidden/>
              </w:rPr>
              <w:instrText xml:space="preserve"> PAGEREF _Toc61434633 \h </w:instrText>
            </w:r>
            <w:r>
              <w:rPr>
                <w:noProof/>
                <w:webHidden/>
              </w:rPr>
            </w:r>
            <w:r>
              <w:rPr>
                <w:noProof/>
                <w:webHidden/>
              </w:rPr>
              <w:fldChar w:fldCharType="separate"/>
            </w:r>
            <w:r>
              <w:rPr>
                <w:noProof/>
                <w:webHidden/>
              </w:rPr>
              <w:t>13</w:t>
            </w:r>
            <w:r>
              <w:rPr>
                <w:noProof/>
                <w:webHidden/>
              </w:rPr>
              <w:fldChar w:fldCharType="end"/>
            </w:r>
          </w:hyperlink>
        </w:p>
        <w:p w14:paraId="4B7E4184" w14:textId="50F92D5C" w:rsidR="00946E5A" w:rsidRDefault="00946E5A">
          <w:pPr>
            <w:pStyle w:val="TOC1"/>
            <w:tabs>
              <w:tab w:val="right" w:leader="dot" w:pos="9350"/>
            </w:tabs>
            <w:rPr>
              <w:rFonts w:eastAsiaTheme="minorEastAsia" w:cstheme="minorBidi"/>
              <w:b w:val="0"/>
              <w:bCs w:val="0"/>
              <w:i w:val="0"/>
              <w:iCs w:val="0"/>
              <w:noProof/>
              <w:lang w:val="en-GB" w:eastAsia="en-GB"/>
            </w:rPr>
          </w:pPr>
          <w:hyperlink w:anchor="_Toc61434634" w:history="1">
            <w:r w:rsidRPr="005D313D">
              <w:rPr>
                <w:rStyle w:val="Hyperlink"/>
                <w:rFonts w:cs="Times New Roman"/>
                <w:noProof/>
                <w:lang w:val="en-GB"/>
              </w:rPr>
              <w:t>Part-C</w:t>
            </w:r>
            <w:r>
              <w:rPr>
                <w:noProof/>
                <w:webHidden/>
              </w:rPr>
              <w:tab/>
            </w:r>
            <w:r>
              <w:rPr>
                <w:noProof/>
                <w:webHidden/>
              </w:rPr>
              <w:fldChar w:fldCharType="begin"/>
            </w:r>
            <w:r>
              <w:rPr>
                <w:noProof/>
                <w:webHidden/>
              </w:rPr>
              <w:instrText xml:space="preserve"> PAGEREF _Toc61434634 \h </w:instrText>
            </w:r>
            <w:r>
              <w:rPr>
                <w:noProof/>
                <w:webHidden/>
              </w:rPr>
            </w:r>
            <w:r>
              <w:rPr>
                <w:noProof/>
                <w:webHidden/>
              </w:rPr>
              <w:fldChar w:fldCharType="separate"/>
            </w:r>
            <w:r>
              <w:rPr>
                <w:noProof/>
                <w:webHidden/>
              </w:rPr>
              <w:t>13</w:t>
            </w:r>
            <w:r>
              <w:rPr>
                <w:noProof/>
                <w:webHidden/>
              </w:rPr>
              <w:fldChar w:fldCharType="end"/>
            </w:r>
          </w:hyperlink>
        </w:p>
        <w:p w14:paraId="45A45173" w14:textId="7CC7B928" w:rsidR="00946E5A" w:rsidRDefault="00946E5A">
          <w:pPr>
            <w:pStyle w:val="TOC2"/>
            <w:tabs>
              <w:tab w:val="right" w:leader="dot" w:pos="9350"/>
            </w:tabs>
            <w:rPr>
              <w:rFonts w:eastAsiaTheme="minorEastAsia" w:cstheme="minorBidi"/>
              <w:b w:val="0"/>
              <w:bCs w:val="0"/>
              <w:noProof/>
              <w:sz w:val="24"/>
              <w:szCs w:val="24"/>
              <w:lang w:val="en-GB" w:eastAsia="en-GB"/>
            </w:rPr>
          </w:pPr>
          <w:hyperlink w:anchor="_Toc61434635" w:history="1">
            <w:r w:rsidRPr="005D313D">
              <w:rPr>
                <w:rStyle w:val="Hyperlink"/>
                <w:rFonts w:cs="Times New Roman"/>
                <w:noProof/>
              </w:rPr>
              <w:t>Calculation of the Payback Period, Accounting Rate of Return, and Net Present Value</w:t>
            </w:r>
            <w:r>
              <w:rPr>
                <w:noProof/>
                <w:webHidden/>
              </w:rPr>
              <w:tab/>
            </w:r>
            <w:r>
              <w:rPr>
                <w:noProof/>
                <w:webHidden/>
              </w:rPr>
              <w:fldChar w:fldCharType="begin"/>
            </w:r>
            <w:r>
              <w:rPr>
                <w:noProof/>
                <w:webHidden/>
              </w:rPr>
              <w:instrText xml:space="preserve"> PAGEREF _Toc61434635 \h </w:instrText>
            </w:r>
            <w:r>
              <w:rPr>
                <w:noProof/>
                <w:webHidden/>
              </w:rPr>
            </w:r>
            <w:r>
              <w:rPr>
                <w:noProof/>
                <w:webHidden/>
              </w:rPr>
              <w:fldChar w:fldCharType="separate"/>
            </w:r>
            <w:r>
              <w:rPr>
                <w:noProof/>
                <w:webHidden/>
              </w:rPr>
              <w:t>13</w:t>
            </w:r>
            <w:r>
              <w:rPr>
                <w:noProof/>
                <w:webHidden/>
              </w:rPr>
              <w:fldChar w:fldCharType="end"/>
            </w:r>
          </w:hyperlink>
        </w:p>
        <w:p w14:paraId="4BD58337" w14:textId="4E7A30E5" w:rsidR="00946E5A" w:rsidRDefault="00946E5A">
          <w:pPr>
            <w:pStyle w:val="TOC2"/>
            <w:tabs>
              <w:tab w:val="right" w:leader="dot" w:pos="9350"/>
            </w:tabs>
            <w:rPr>
              <w:rFonts w:eastAsiaTheme="minorEastAsia" w:cstheme="minorBidi"/>
              <w:b w:val="0"/>
              <w:bCs w:val="0"/>
              <w:noProof/>
              <w:sz w:val="24"/>
              <w:szCs w:val="24"/>
              <w:lang w:val="en-GB" w:eastAsia="en-GB"/>
            </w:rPr>
          </w:pPr>
          <w:hyperlink w:anchor="_Toc61434636" w:history="1">
            <w:r w:rsidRPr="005D313D">
              <w:rPr>
                <w:rStyle w:val="Hyperlink"/>
                <w:rFonts w:cs="Times New Roman"/>
                <w:noProof/>
                <w:lang w:val="en-GB"/>
              </w:rPr>
              <w:t xml:space="preserve">Advantages and </w:t>
            </w:r>
            <w:r w:rsidRPr="005D313D">
              <w:rPr>
                <w:rStyle w:val="Hyperlink"/>
                <w:rFonts w:cs="Times New Roman"/>
                <w:noProof/>
              </w:rPr>
              <w:t>shortcomings</w:t>
            </w:r>
            <w:r w:rsidRPr="005D313D">
              <w:rPr>
                <w:rStyle w:val="Hyperlink"/>
                <w:rFonts w:cs="Times New Roman"/>
                <w:noProof/>
                <w:lang w:val="en-GB"/>
              </w:rPr>
              <w:t xml:space="preserve"> of the Net Present Value (NPV), Payback Period (PBP), and Accounting Rate of Return (ARR)</w:t>
            </w:r>
            <w:r>
              <w:rPr>
                <w:noProof/>
                <w:webHidden/>
              </w:rPr>
              <w:tab/>
            </w:r>
            <w:r>
              <w:rPr>
                <w:noProof/>
                <w:webHidden/>
              </w:rPr>
              <w:fldChar w:fldCharType="begin"/>
            </w:r>
            <w:r>
              <w:rPr>
                <w:noProof/>
                <w:webHidden/>
              </w:rPr>
              <w:instrText xml:space="preserve"> PAGEREF _Toc61434636 \h </w:instrText>
            </w:r>
            <w:r>
              <w:rPr>
                <w:noProof/>
                <w:webHidden/>
              </w:rPr>
            </w:r>
            <w:r>
              <w:rPr>
                <w:noProof/>
                <w:webHidden/>
              </w:rPr>
              <w:fldChar w:fldCharType="separate"/>
            </w:r>
            <w:r>
              <w:rPr>
                <w:noProof/>
                <w:webHidden/>
              </w:rPr>
              <w:t>16</w:t>
            </w:r>
            <w:r>
              <w:rPr>
                <w:noProof/>
                <w:webHidden/>
              </w:rPr>
              <w:fldChar w:fldCharType="end"/>
            </w:r>
          </w:hyperlink>
        </w:p>
        <w:p w14:paraId="5917B809" w14:textId="11B7B249" w:rsidR="00946E5A" w:rsidRDefault="00946E5A">
          <w:pPr>
            <w:pStyle w:val="TOC1"/>
            <w:tabs>
              <w:tab w:val="right" w:leader="dot" w:pos="9350"/>
            </w:tabs>
            <w:rPr>
              <w:rFonts w:eastAsiaTheme="minorEastAsia" w:cstheme="minorBidi"/>
              <w:b w:val="0"/>
              <w:bCs w:val="0"/>
              <w:i w:val="0"/>
              <w:iCs w:val="0"/>
              <w:noProof/>
              <w:lang w:val="en-GB" w:eastAsia="en-GB"/>
            </w:rPr>
          </w:pPr>
          <w:hyperlink w:anchor="_Toc61434637" w:history="1">
            <w:r w:rsidRPr="005D313D">
              <w:rPr>
                <w:rStyle w:val="Hyperlink"/>
                <w:rFonts w:cs="Times New Roman"/>
                <w:noProof/>
                <w:lang w:val="en-GB"/>
              </w:rPr>
              <w:t>Conclusion</w:t>
            </w:r>
            <w:r>
              <w:rPr>
                <w:noProof/>
                <w:webHidden/>
              </w:rPr>
              <w:tab/>
            </w:r>
            <w:r>
              <w:rPr>
                <w:noProof/>
                <w:webHidden/>
              </w:rPr>
              <w:fldChar w:fldCharType="begin"/>
            </w:r>
            <w:r>
              <w:rPr>
                <w:noProof/>
                <w:webHidden/>
              </w:rPr>
              <w:instrText xml:space="preserve"> PAGEREF _Toc61434637 \h </w:instrText>
            </w:r>
            <w:r>
              <w:rPr>
                <w:noProof/>
                <w:webHidden/>
              </w:rPr>
            </w:r>
            <w:r>
              <w:rPr>
                <w:noProof/>
                <w:webHidden/>
              </w:rPr>
              <w:fldChar w:fldCharType="separate"/>
            </w:r>
            <w:r>
              <w:rPr>
                <w:noProof/>
                <w:webHidden/>
              </w:rPr>
              <w:t>19</w:t>
            </w:r>
            <w:r>
              <w:rPr>
                <w:noProof/>
                <w:webHidden/>
              </w:rPr>
              <w:fldChar w:fldCharType="end"/>
            </w:r>
          </w:hyperlink>
        </w:p>
        <w:p w14:paraId="7DFC100D" w14:textId="25BB4BD9" w:rsidR="00946E5A" w:rsidRDefault="00946E5A">
          <w:pPr>
            <w:pStyle w:val="TOC1"/>
            <w:tabs>
              <w:tab w:val="right" w:leader="dot" w:pos="9350"/>
            </w:tabs>
            <w:rPr>
              <w:rFonts w:eastAsiaTheme="minorEastAsia" w:cstheme="minorBidi"/>
              <w:b w:val="0"/>
              <w:bCs w:val="0"/>
              <w:i w:val="0"/>
              <w:iCs w:val="0"/>
              <w:noProof/>
              <w:lang w:val="en-GB" w:eastAsia="en-GB"/>
            </w:rPr>
          </w:pPr>
          <w:hyperlink w:anchor="_Toc61434638" w:history="1">
            <w:r w:rsidRPr="005D313D">
              <w:rPr>
                <w:rStyle w:val="Hyperlink"/>
                <w:rFonts w:cs="Times New Roman"/>
                <w:noProof/>
                <w:lang w:val="en-GB"/>
              </w:rPr>
              <w:t>References</w:t>
            </w:r>
            <w:r>
              <w:rPr>
                <w:noProof/>
                <w:webHidden/>
              </w:rPr>
              <w:tab/>
            </w:r>
            <w:r>
              <w:rPr>
                <w:noProof/>
                <w:webHidden/>
              </w:rPr>
              <w:fldChar w:fldCharType="begin"/>
            </w:r>
            <w:r>
              <w:rPr>
                <w:noProof/>
                <w:webHidden/>
              </w:rPr>
              <w:instrText xml:space="preserve"> PAGEREF _Toc61434638 \h </w:instrText>
            </w:r>
            <w:r>
              <w:rPr>
                <w:noProof/>
                <w:webHidden/>
              </w:rPr>
            </w:r>
            <w:r>
              <w:rPr>
                <w:noProof/>
                <w:webHidden/>
              </w:rPr>
              <w:fldChar w:fldCharType="separate"/>
            </w:r>
            <w:r>
              <w:rPr>
                <w:noProof/>
                <w:webHidden/>
              </w:rPr>
              <w:t>20</w:t>
            </w:r>
            <w:r>
              <w:rPr>
                <w:noProof/>
                <w:webHidden/>
              </w:rPr>
              <w:fldChar w:fldCharType="end"/>
            </w:r>
          </w:hyperlink>
        </w:p>
        <w:p w14:paraId="086AE805" w14:textId="4A00BA4F" w:rsidR="00BD271D" w:rsidRDefault="00BD271D">
          <w:r>
            <w:rPr>
              <w:b/>
              <w:bCs/>
              <w:noProof/>
            </w:rPr>
            <w:fldChar w:fldCharType="end"/>
          </w:r>
        </w:p>
      </w:sdtContent>
    </w:sdt>
    <w:p w14:paraId="1AFEF0CA" w14:textId="77777777" w:rsidR="00502B25" w:rsidRPr="00BD271D" w:rsidRDefault="00502B25" w:rsidP="00502B25">
      <w:pPr>
        <w:rPr>
          <w:rFonts w:cs="Times New Roman"/>
          <w:lang w:val="en-GB"/>
        </w:rPr>
      </w:pPr>
    </w:p>
    <w:p w14:paraId="7381AC1D" w14:textId="374C2CFD" w:rsidR="00C11141" w:rsidRPr="00BD271D" w:rsidRDefault="00C11141" w:rsidP="00BD271D">
      <w:pPr>
        <w:pStyle w:val="Heading1"/>
        <w:rPr>
          <w:rFonts w:cs="Times New Roman"/>
          <w:u w:val="single"/>
        </w:rPr>
      </w:pPr>
      <w:bookmarkStart w:id="0" w:name="_Toc60172415"/>
      <w:bookmarkStart w:id="1" w:name="_Toc61434624"/>
      <w:r w:rsidRPr="00BD271D">
        <w:rPr>
          <w:rFonts w:cs="Times New Roman"/>
          <w:u w:val="single"/>
        </w:rPr>
        <w:lastRenderedPageBreak/>
        <w:t>Introduction</w:t>
      </w:r>
      <w:bookmarkEnd w:id="0"/>
      <w:bookmarkEnd w:id="1"/>
    </w:p>
    <w:p w14:paraId="30B484D8" w14:textId="7469589E" w:rsidR="002542D9" w:rsidRPr="00BD271D" w:rsidRDefault="002542D9" w:rsidP="002542D9">
      <w:pPr>
        <w:rPr>
          <w:rFonts w:cs="Times New Roman"/>
          <w:lang w:val="en-GB"/>
        </w:rPr>
      </w:pPr>
      <w:r w:rsidRPr="00BD271D">
        <w:rPr>
          <w:rFonts w:cs="Times New Roman"/>
          <w:lang w:val="en-GB"/>
        </w:rPr>
        <w:t xml:space="preserve">When the finance manager of the GlaxoSmithKline has increased its liquid asset by taking </w:t>
      </w:r>
      <w:r w:rsidR="00735450" w:rsidRPr="00BD271D">
        <w:rPr>
          <w:rFonts w:cs="Times New Roman"/>
          <w:lang w:val="en-GB"/>
        </w:rPr>
        <w:t xml:space="preserve">a </w:t>
      </w:r>
      <w:r w:rsidRPr="00BD271D">
        <w:rPr>
          <w:rFonts w:cs="Times New Roman"/>
          <w:lang w:val="en-GB"/>
        </w:rPr>
        <w:t xml:space="preserve">loan, the GlaxoSmithKline may face financial distress. To ensure sustainable business growth and sound financial position, the finance manager of the GlaxoSmithKline should take appropriate action to reduce involvement on </w:t>
      </w:r>
      <w:r w:rsidR="00735450" w:rsidRPr="00BD271D">
        <w:rPr>
          <w:rFonts w:cs="Times New Roman"/>
          <w:lang w:val="en-GB"/>
        </w:rPr>
        <w:t xml:space="preserve">the </w:t>
      </w:r>
      <w:r w:rsidRPr="00BD271D">
        <w:rPr>
          <w:rFonts w:cs="Times New Roman"/>
          <w:lang w:val="en-GB"/>
        </w:rPr>
        <w:t xml:space="preserve">use of long-term debt. The concept of the NPV has incorporated the time value of money during making </w:t>
      </w:r>
      <w:r w:rsidR="00735450" w:rsidRPr="00BD271D">
        <w:rPr>
          <w:rFonts w:cs="Times New Roman"/>
          <w:lang w:val="en-GB"/>
        </w:rPr>
        <w:t xml:space="preserve">an </w:t>
      </w:r>
      <w:r w:rsidRPr="00BD271D">
        <w:rPr>
          <w:rFonts w:cs="Times New Roman"/>
          <w:lang w:val="en-GB"/>
        </w:rPr>
        <w:t xml:space="preserve">investment decision. Furthermore, the rate of the cost of the capital has been adjusted with economic growth and inflation rate during </w:t>
      </w:r>
      <w:r w:rsidR="00735450" w:rsidRPr="00BD271D">
        <w:rPr>
          <w:rFonts w:cs="Times New Roman"/>
          <w:lang w:val="en-GB"/>
        </w:rPr>
        <w:t xml:space="preserve">the </w:t>
      </w:r>
      <w:r w:rsidRPr="00BD271D">
        <w:rPr>
          <w:rFonts w:cs="Times New Roman"/>
          <w:lang w:val="en-GB"/>
        </w:rPr>
        <w:t>calculation of the present value.</w:t>
      </w:r>
    </w:p>
    <w:p w14:paraId="5C1DB8FA" w14:textId="1E584617" w:rsidR="00D33C3C" w:rsidRPr="00BD271D" w:rsidRDefault="00D33C3C" w:rsidP="00BD271D">
      <w:pPr>
        <w:pStyle w:val="Heading1"/>
        <w:rPr>
          <w:rFonts w:cs="Times New Roman"/>
          <w:u w:val="single"/>
        </w:rPr>
      </w:pPr>
      <w:bookmarkStart w:id="2" w:name="_Toc60172416"/>
      <w:bookmarkStart w:id="3" w:name="_Toc61434625"/>
      <w:r w:rsidRPr="00BD271D">
        <w:rPr>
          <w:rFonts w:cs="Times New Roman"/>
          <w:u w:val="single"/>
        </w:rPr>
        <w:t>Part-A</w:t>
      </w:r>
      <w:bookmarkEnd w:id="2"/>
      <w:bookmarkEnd w:id="3"/>
    </w:p>
    <w:p w14:paraId="3B85AE95" w14:textId="77777777" w:rsidR="00BD271D" w:rsidRPr="00BD271D" w:rsidRDefault="00BD271D" w:rsidP="00BD271D">
      <w:pPr>
        <w:rPr>
          <w:rFonts w:cs="Times New Roman"/>
        </w:rPr>
      </w:pPr>
    </w:p>
    <w:p w14:paraId="442F31A5" w14:textId="0A3FBFDF" w:rsidR="00D33C3C" w:rsidRPr="00BD271D" w:rsidRDefault="00351E95" w:rsidP="00BD271D">
      <w:pPr>
        <w:pStyle w:val="Heading2"/>
        <w:jc w:val="center"/>
        <w:rPr>
          <w:rFonts w:cs="Times New Roman"/>
          <w:u w:val="single"/>
        </w:rPr>
      </w:pPr>
      <w:bookmarkStart w:id="4" w:name="_Toc60172417"/>
      <w:bookmarkStart w:id="5" w:name="_Toc61434626"/>
      <w:r w:rsidRPr="00BD271D">
        <w:rPr>
          <w:rFonts w:cs="Times New Roman"/>
          <w:u w:val="single"/>
        </w:rPr>
        <w:t>A brief history of the company</w:t>
      </w:r>
      <w:bookmarkEnd w:id="4"/>
      <w:bookmarkEnd w:id="5"/>
    </w:p>
    <w:p w14:paraId="0E48EEB3" w14:textId="45973EFF" w:rsidR="00BD271D" w:rsidRPr="00BD271D" w:rsidRDefault="00FF58FF" w:rsidP="00D33C3C">
      <w:pPr>
        <w:rPr>
          <w:rFonts w:cs="Times New Roman"/>
          <w:lang w:val="en-GB"/>
        </w:rPr>
      </w:pPr>
      <w:r w:rsidRPr="00BD271D">
        <w:rPr>
          <w:rFonts w:cs="Times New Roman"/>
          <w:lang w:val="en-GB"/>
        </w:rPr>
        <w:t>GlaxoSmithKline is the UK based multinational company and involved with pro</w:t>
      </w:r>
      <w:r w:rsidR="00381BDB" w:rsidRPr="00BD271D">
        <w:rPr>
          <w:rFonts w:cs="Times New Roman"/>
          <w:lang w:val="en-GB"/>
        </w:rPr>
        <w:t>ducing</w:t>
      </w:r>
      <w:r w:rsidRPr="00BD271D">
        <w:rPr>
          <w:rFonts w:cs="Times New Roman"/>
          <w:lang w:val="en-GB"/>
        </w:rPr>
        <w:t xml:space="preserve"> healthcare and pha</w:t>
      </w:r>
      <w:r w:rsidR="00381BDB" w:rsidRPr="00BD271D">
        <w:rPr>
          <w:rFonts w:cs="Times New Roman"/>
          <w:lang w:val="en-GB"/>
        </w:rPr>
        <w:t xml:space="preserve">rmaceutical items since 2000. </w:t>
      </w:r>
      <w:r w:rsidR="00735450" w:rsidRPr="00BD271D">
        <w:rPr>
          <w:rFonts w:cs="Times New Roman"/>
          <w:lang w:val="en-GB"/>
        </w:rPr>
        <w:t>At</w:t>
      </w:r>
      <w:r w:rsidR="00381BDB" w:rsidRPr="00BD271D">
        <w:rPr>
          <w:rFonts w:cs="Times New Roman"/>
          <w:lang w:val="en-GB"/>
        </w:rPr>
        <w:t xml:space="preserve"> the beginning of this company, it was formed as a private limited company</w:t>
      </w:r>
      <w:r w:rsidR="00AA775A" w:rsidRPr="00BD271D">
        <w:rPr>
          <w:rFonts w:cs="Times New Roman"/>
          <w:lang w:val="en-GB"/>
        </w:rPr>
        <w:t xml:space="preserve"> although it has operated its business as a public limited company currently. </w:t>
      </w:r>
      <w:r w:rsidR="006B5EFD" w:rsidRPr="00BD271D">
        <w:rPr>
          <w:rFonts w:cs="Times New Roman"/>
          <w:lang w:val="en-GB"/>
        </w:rPr>
        <w:t>Besides,</w:t>
      </w:r>
      <w:r w:rsidR="00AA775A" w:rsidRPr="00BD271D">
        <w:rPr>
          <w:rFonts w:cs="Times New Roman"/>
          <w:lang w:val="en-GB"/>
        </w:rPr>
        <w:t xml:space="preserve"> pharmaceutical and health care items, this business </w:t>
      </w:r>
      <w:r w:rsidR="00502B25" w:rsidRPr="00BD271D">
        <w:rPr>
          <w:rFonts w:cs="Times New Roman"/>
          <w:lang w:val="en-GB"/>
        </w:rPr>
        <w:t>organisation</w:t>
      </w:r>
      <w:r w:rsidR="00AA775A" w:rsidRPr="00BD271D">
        <w:rPr>
          <w:rFonts w:cs="Times New Roman"/>
          <w:lang w:val="en-GB"/>
        </w:rPr>
        <w:t xml:space="preserve"> is involved with</w:t>
      </w:r>
      <w:r w:rsidR="006B5EFD" w:rsidRPr="00BD271D">
        <w:rPr>
          <w:rFonts w:cs="Times New Roman"/>
          <w:lang w:val="en-GB"/>
        </w:rPr>
        <w:t xml:space="preserve"> producing and serving consumer items recently</w:t>
      </w:r>
      <w:r w:rsidR="00085469" w:rsidRPr="00BD271D">
        <w:rPr>
          <w:rFonts w:cs="Times New Roman"/>
          <w:lang w:val="en-GB"/>
        </w:rPr>
        <w:t xml:space="preserve"> (Ananthan, Appannaiah and Reddy, 2010)</w:t>
      </w:r>
      <w:r w:rsidR="006B5EFD" w:rsidRPr="00BD271D">
        <w:rPr>
          <w:rFonts w:cs="Times New Roman"/>
          <w:lang w:val="en-GB"/>
        </w:rPr>
        <w:t xml:space="preserve">. Now, GlaxoSmithKline has operated its business not only British subcontinent but also </w:t>
      </w:r>
      <w:r w:rsidR="00CD1C68" w:rsidRPr="00BD271D">
        <w:rPr>
          <w:rFonts w:cs="Times New Roman"/>
          <w:lang w:val="en-GB"/>
        </w:rPr>
        <w:t>Asia, Korea, and American Subcontinent.</w:t>
      </w:r>
    </w:p>
    <w:p w14:paraId="56588E4F" w14:textId="77777777" w:rsidR="00BD271D" w:rsidRPr="00BD271D" w:rsidRDefault="00BD271D" w:rsidP="00D33C3C">
      <w:pPr>
        <w:rPr>
          <w:rFonts w:cs="Times New Roman"/>
          <w:lang w:val="en-GB"/>
        </w:rPr>
      </w:pPr>
    </w:p>
    <w:p w14:paraId="628EE26E" w14:textId="128755E2" w:rsidR="00CD1C68" w:rsidRPr="00BD271D" w:rsidRDefault="00735450" w:rsidP="00BD271D">
      <w:pPr>
        <w:pStyle w:val="Heading2"/>
        <w:jc w:val="center"/>
        <w:rPr>
          <w:rFonts w:cs="Times New Roman"/>
          <w:u w:val="single"/>
        </w:rPr>
      </w:pPr>
      <w:bookmarkStart w:id="6" w:name="_Toc60172418"/>
      <w:bookmarkStart w:id="7" w:name="_Toc61434627"/>
      <w:r w:rsidRPr="00BD271D">
        <w:rPr>
          <w:rFonts w:cs="Times New Roman"/>
          <w:u w:val="single"/>
        </w:rPr>
        <w:lastRenderedPageBreak/>
        <w:t>The b</w:t>
      </w:r>
      <w:r w:rsidR="00CD1C68" w:rsidRPr="00BD271D">
        <w:rPr>
          <w:rFonts w:cs="Times New Roman"/>
          <w:u w:val="single"/>
        </w:rPr>
        <w:t>usiness model of the GlaxoSmithKline</w:t>
      </w:r>
      <w:bookmarkEnd w:id="6"/>
      <w:bookmarkEnd w:id="7"/>
    </w:p>
    <w:p w14:paraId="63A04115" w14:textId="1EF9F9F5" w:rsidR="00CD1C68" w:rsidRPr="00BD271D" w:rsidRDefault="00CD1C68" w:rsidP="00D33C3C">
      <w:pPr>
        <w:rPr>
          <w:rFonts w:cs="Times New Roman"/>
          <w:lang w:val="en-GB"/>
        </w:rPr>
      </w:pPr>
      <w:r w:rsidRPr="00BD271D">
        <w:rPr>
          <w:rFonts w:cs="Times New Roman"/>
          <w:lang w:val="en-GB"/>
        </w:rPr>
        <w:t xml:space="preserve">The GlaxoSmithKline has followed </w:t>
      </w:r>
      <w:r w:rsidR="00735450" w:rsidRPr="00BD271D">
        <w:rPr>
          <w:rFonts w:cs="Times New Roman"/>
          <w:lang w:val="en-GB"/>
        </w:rPr>
        <w:t xml:space="preserve">a </w:t>
      </w:r>
      <w:r w:rsidRPr="00BD271D">
        <w:rPr>
          <w:rFonts w:cs="Times New Roman"/>
          <w:lang w:val="en-GB"/>
        </w:rPr>
        <w:t>simple business model to produce pharmaceutical items, vaccine, and other health care service. The business model of the GlaxoSmithKline has been represented graphically below:</w:t>
      </w:r>
    </w:p>
    <w:p w14:paraId="76F6F6EE" w14:textId="77777777" w:rsidR="00BD271D" w:rsidRPr="00BD271D" w:rsidRDefault="00BD271D" w:rsidP="00D33C3C">
      <w:pPr>
        <w:rPr>
          <w:rFonts w:cs="Times New Roman"/>
          <w:lang w:val="en-GB"/>
        </w:rPr>
      </w:pPr>
    </w:p>
    <w:p w14:paraId="5D9C02DF" w14:textId="77777777" w:rsidR="00600E39" w:rsidRPr="00BD271D" w:rsidRDefault="00600E39" w:rsidP="00600E39">
      <w:pPr>
        <w:keepNext/>
        <w:rPr>
          <w:rFonts w:cs="Times New Roman"/>
          <w:lang w:val="en-GB"/>
        </w:rPr>
      </w:pPr>
      <w:r w:rsidRPr="00BD271D">
        <w:rPr>
          <w:rFonts w:cs="Times New Roman"/>
          <w:noProof/>
          <w:lang w:val="en-GB"/>
        </w:rPr>
        <w:drawing>
          <wp:inline distT="0" distB="0" distL="0" distR="0" wp14:anchorId="53024686" wp14:editId="665FAAC9">
            <wp:extent cx="5943600" cy="1807535"/>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951914" cy="1810063"/>
                    </a:xfrm>
                    <a:prstGeom prst="rect">
                      <a:avLst/>
                    </a:prstGeom>
                  </pic:spPr>
                </pic:pic>
              </a:graphicData>
            </a:graphic>
          </wp:inline>
        </w:drawing>
      </w:r>
    </w:p>
    <w:p w14:paraId="452706F1" w14:textId="08EAD64C" w:rsidR="00600E39" w:rsidRPr="00BD271D" w:rsidRDefault="00600E39" w:rsidP="004E4D38">
      <w:pPr>
        <w:pStyle w:val="Caption"/>
        <w:spacing w:after="0"/>
        <w:jc w:val="center"/>
        <w:rPr>
          <w:rFonts w:cs="Times New Roman"/>
          <w:b/>
          <w:bCs/>
          <w:sz w:val="20"/>
          <w:szCs w:val="20"/>
          <w:lang w:val="en-GB"/>
        </w:rPr>
      </w:pPr>
      <w:r w:rsidRPr="00BD271D">
        <w:rPr>
          <w:rFonts w:cs="Times New Roman"/>
          <w:b/>
          <w:bCs/>
          <w:color w:val="auto"/>
          <w:sz w:val="20"/>
          <w:szCs w:val="20"/>
          <w:lang w:val="en-GB"/>
        </w:rPr>
        <w:t xml:space="preserve">Figure </w:t>
      </w:r>
      <w:r w:rsidRPr="00BD271D">
        <w:rPr>
          <w:rFonts w:cs="Times New Roman"/>
          <w:b/>
          <w:bCs/>
          <w:color w:val="auto"/>
          <w:sz w:val="20"/>
          <w:szCs w:val="20"/>
          <w:lang w:val="en-GB"/>
        </w:rPr>
        <w:fldChar w:fldCharType="begin"/>
      </w:r>
      <w:r w:rsidRPr="00BD271D">
        <w:rPr>
          <w:rFonts w:cs="Times New Roman"/>
          <w:b/>
          <w:bCs/>
          <w:color w:val="auto"/>
          <w:sz w:val="20"/>
          <w:szCs w:val="20"/>
          <w:lang w:val="en-GB"/>
        </w:rPr>
        <w:instrText xml:space="preserve"> SEQ Figure \* ARABIC </w:instrText>
      </w:r>
      <w:r w:rsidRPr="00BD271D">
        <w:rPr>
          <w:rFonts w:cs="Times New Roman"/>
          <w:b/>
          <w:bCs/>
          <w:color w:val="auto"/>
          <w:sz w:val="20"/>
          <w:szCs w:val="20"/>
          <w:lang w:val="en-GB"/>
        </w:rPr>
        <w:fldChar w:fldCharType="separate"/>
      </w:r>
      <w:r w:rsidR="0042424F" w:rsidRPr="00BD271D">
        <w:rPr>
          <w:rFonts w:cs="Times New Roman"/>
          <w:b/>
          <w:bCs/>
          <w:color w:val="auto"/>
          <w:sz w:val="20"/>
          <w:szCs w:val="20"/>
          <w:lang w:val="en-GB"/>
        </w:rPr>
        <w:t>1</w:t>
      </w:r>
      <w:r w:rsidRPr="00BD271D">
        <w:rPr>
          <w:rFonts w:cs="Times New Roman"/>
          <w:b/>
          <w:bCs/>
          <w:color w:val="auto"/>
          <w:sz w:val="20"/>
          <w:szCs w:val="20"/>
          <w:lang w:val="en-GB"/>
        </w:rPr>
        <w:fldChar w:fldCharType="end"/>
      </w:r>
      <w:r w:rsidRPr="00BD271D">
        <w:rPr>
          <w:rFonts w:cs="Times New Roman"/>
          <w:b/>
          <w:bCs/>
          <w:color w:val="auto"/>
          <w:sz w:val="20"/>
          <w:szCs w:val="20"/>
          <w:lang w:val="en-GB"/>
        </w:rPr>
        <w:t>: Business Model of the GlaxoSmithKline</w:t>
      </w:r>
    </w:p>
    <w:p w14:paraId="6D3BC9BD" w14:textId="0649A06B" w:rsidR="0066245F" w:rsidRPr="00BD271D" w:rsidRDefault="00600E39" w:rsidP="00BD271D">
      <w:pPr>
        <w:spacing w:after="0"/>
        <w:jc w:val="center"/>
        <w:rPr>
          <w:rFonts w:cs="Times New Roman"/>
          <w:b/>
          <w:bCs/>
          <w:i/>
          <w:iCs/>
          <w:lang w:val="en-GB"/>
        </w:rPr>
      </w:pPr>
      <w:r w:rsidRPr="00BD271D">
        <w:rPr>
          <w:rFonts w:cs="Times New Roman"/>
          <w:b/>
          <w:bCs/>
          <w:i/>
          <w:iCs/>
          <w:sz w:val="20"/>
          <w:szCs w:val="20"/>
          <w:lang w:val="en-GB"/>
        </w:rPr>
        <w:t>Source:</w:t>
      </w:r>
      <w:r w:rsidR="00085469" w:rsidRPr="00BD271D">
        <w:rPr>
          <w:rFonts w:cs="Times New Roman"/>
          <w:b/>
          <w:bCs/>
          <w:i/>
          <w:iCs/>
          <w:sz w:val="20"/>
          <w:szCs w:val="20"/>
          <w:lang w:val="en-GB"/>
        </w:rPr>
        <w:t xml:space="preserve"> </w:t>
      </w:r>
      <w:r w:rsidR="00085469" w:rsidRPr="00BD271D">
        <w:rPr>
          <w:rFonts w:cs="Times New Roman"/>
          <w:b/>
          <w:bCs/>
          <w:i/>
          <w:iCs/>
          <w:color w:val="000000"/>
          <w:sz w:val="20"/>
          <w:szCs w:val="20"/>
          <w:shd w:val="clear" w:color="auto" w:fill="FFFFFF"/>
          <w:lang w:val="en-GB"/>
        </w:rPr>
        <w:t>(Ananthan, Appannaiah and Reddy, 2010</w:t>
      </w:r>
      <w:r w:rsidR="00085469" w:rsidRPr="00BD271D">
        <w:rPr>
          <w:rFonts w:cs="Times New Roman"/>
          <w:color w:val="000000"/>
          <w:sz w:val="20"/>
          <w:szCs w:val="20"/>
          <w:shd w:val="clear" w:color="auto" w:fill="FFFFFF"/>
          <w:lang w:val="en-GB"/>
        </w:rPr>
        <w:t>)</w:t>
      </w:r>
    </w:p>
    <w:p w14:paraId="519BDB72" w14:textId="77777777" w:rsidR="00BD271D" w:rsidRPr="00BD271D" w:rsidRDefault="00BD271D" w:rsidP="00BD271D">
      <w:pPr>
        <w:spacing w:after="0"/>
        <w:jc w:val="center"/>
        <w:rPr>
          <w:rFonts w:cs="Times New Roman"/>
          <w:b/>
          <w:bCs/>
          <w:i/>
          <w:iCs/>
          <w:lang w:val="en-GB"/>
        </w:rPr>
      </w:pPr>
    </w:p>
    <w:p w14:paraId="03563C1F" w14:textId="2642D6EB" w:rsidR="00D33C3C" w:rsidRPr="00BD271D" w:rsidRDefault="004E4D38" w:rsidP="00BD271D">
      <w:pPr>
        <w:pStyle w:val="Heading2"/>
        <w:jc w:val="center"/>
        <w:rPr>
          <w:rFonts w:cs="Times New Roman"/>
          <w:u w:val="single"/>
        </w:rPr>
      </w:pPr>
      <w:bookmarkStart w:id="8" w:name="_Toc60172419"/>
      <w:bookmarkStart w:id="9" w:name="_Toc61434628"/>
      <w:r w:rsidRPr="00BD271D">
        <w:rPr>
          <w:rFonts w:cs="Times New Roman"/>
          <w:u w:val="single"/>
        </w:rPr>
        <w:t>Major competitors of the GlaxoSmithKline</w:t>
      </w:r>
      <w:bookmarkEnd w:id="8"/>
      <w:bookmarkEnd w:id="9"/>
    </w:p>
    <w:p w14:paraId="428936F4" w14:textId="60AE6DF1" w:rsidR="004E4D38" w:rsidRPr="00BD271D" w:rsidRDefault="004E4D38" w:rsidP="004E4D38">
      <w:pPr>
        <w:rPr>
          <w:rFonts w:cs="Times New Roman"/>
          <w:lang w:val="en-GB"/>
        </w:rPr>
      </w:pPr>
      <w:r w:rsidRPr="00BD271D">
        <w:rPr>
          <w:rFonts w:cs="Times New Roman"/>
          <w:lang w:val="en-GB"/>
        </w:rPr>
        <w:t xml:space="preserve">The GlaxoSmithKline has competed with </w:t>
      </w:r>
      <w:r w:rsidR="00735450" w:rsidRPr="00BD271D">
        <w:rPr>
          <w:rFonts w:cs="Times New Roman"/>
          <w:lang w:val="en-GB"/>
        </w:rPr>
        <w:t xml:space="preserve">the </w:t>
      </w:r>
      <w:r w:rsidRPr="00BD271D">
        <w:rPr>
          <w:rFonts w:cs="Times New Roman"/>
          <w:lang w:val="en-GB"/>
        </w:rPr>
        <w:t xml:space="preserve">following business </w:t>
      </w:r>
      <w:r w:rsidR="00502B25" w:rsidRPr="00BD271D">
        <w:rPr>
          <w:rFonts w:cs="Times New Roman"/>
          <w:lang w:val="en-GB"/>
        </w:rPr>
        <w:t>organisation</w:t>
      </w:r>
      <w:r w:rsidRPr="00BD271D">
        <w:rPr>
          <w:rFonts w:cs="Times New Roman"/>
          <w:lang w:val="en-GB"/>
        </w:rPr>
        <w:t>s globally:</w:t>
      </w:r>
    </w:p>
    <w:p w14:paraId="392A84E1" w14:textId="77777777" w:rsidR="0042424F" w:rsidRPr="00BD271D" w:rsidRDefault="00CF277B" w:rsidP="0042424F">
      <w:pPr>
        <w:keepNext/>
        <w:rPr>
          <w:rFonts w:cs="Times New Roman"/>
          <w:lang w:val="en-GB"/>
        </w:rPr>
      </w:pPr>
      <w:r w:rsidRPr="00BD271D">
        <w:rPr>
          <w:rFonts w:cs="Times New Roman"/>
          <w:noProof/>
          <w:lang w:val="en-GB"/>
        </w:rPr>
        <w:lastRenderedPageBreak/>
        <w:drawing>
          <wp:inline distT="0" distB="0" distL="0" distR="0" wp14:anchorId="58700D1A" wp14:editId="79BC97AD">
            <wp:extent cx="54864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5AD48BC9" w14:textId="2952D35A" w:rsidR="004E4D38" w:rsidRPr="00BD271D" w:rsidRDefault="0042424F" w:rsidP="0042424F">
      <w:pPr>
        <w:spacing w:after="0" w:line="240" w:lineRule="auto"/>
        <w:jc w:val="center"/>
        <w:rPr>
          <w:rFonts w:cs="Times New Roman"/>
          <w:b/>
          <w:bCs/>
          <w:i/>
          <w:iCs/>
          <w:sz w:val="20"/>
          <w:szCs w:val="20"/>
          <w:lang w:val="en-GB"/>
        </w:rPr>
      </w:pPr>
      <w:r w:rsidRPr="00BD271D">
        <w:rPr>
          <w:rFonts w:cs="Times New Roman"/>
          <w:b/>
          <w:bCs/>
          <w:i/>
          <w:iCs/>
          <w:sz w:val="20"/>
          <w:szCs w:val="20"/>
          <w:lang w:val="en-GB"/>
        </w:rPr>
        <w:t xml:space="preserve">Figure </w:t>
      </w:r>
      <w:r w:rsidRPr="00BD271D">
        <w:rPr>
          <w:rFonts w:cs="Times New Roman"/>
          <w:b/>
          <w:bCs/>
          <w:i/>
          <w:iCs/>
          <w:sz w:val="20"/>
          <w:szCs w:val="20"/>
          <w:lang w:val="en-GB"/>
        </w:rPr>
        <w:fldChar w:fldCharType="begin"/>
      </w:r>
      <w:r w:rsidRPr="00BD271D">
        <w:rPr>
          <w:rFonts w:cs="Times New Roman"/>
          <w:b/>
          <w:bCs/>
          <w:i/>
          <w:iCs/>
          <w:sz w:val="20"/>
          <w:szCs w:val="20"/>
          <w:lang w:val="en-GB"/>
        </w:rPr>
        <w:instrText xml:space="preserve"> SEQ Figure \* ARABIC </w:instrText>
      </w:r>
      <w:r w:rsidRPr="00BD271D">
        <w:rPr>
          <w:rFonts w:cs="Times New Roman"/>
          <w:b/>
          <w:bCs/>
          <w:i/>
          <w:iCs/>
          <w:sz w:val="20"/>
          <w:szCs w:val="20"/>
          <w:lang w:val="en-GB"/>
        </w:rPr>
        <w:fldChar w:fldCharType="separate"/>
      </w:r>
      <w:r w:rsidRPr="00BD271D">
        <w:rPr>
          <w:rFonts w:cs="Times New Roman"/>
          <w:b/>
          <w:bCs/>
          <w:i/>
          <w:iCs/>
          <w:sz w:val="20"/>
          <w:szCs w:val="20"/>
          <w:lang w:val="en-GB"/>
        </w:rPr>
        <w:t>2</w:t>
      </w:r>
      <w:r w:rsidRPr="00BD271D">
        <w:rPr>
          <w:rFonts w:cs="Times New Roman"/>
          <w:b/>
          <w:bCs/>
          <w:i/>
          <w:iCs/>
          <w:sz w:val="20"/>
          <w:szCs w:val="20"/>
          <w:lang w:val="en-GB"/>
        </w:rPr>
        <w:fldChar w:fldCharType="end"/>
      </w:r>
      <w:r w:rsidRPr="00BD271D">
        <w:rPr>
          <w:rFonts w:cs="Times New Roman"/>
          <w:b/>
          <w:bCs/>
          <w:i/>
          <w:iCs/>
          <w:sz w:val="20"/>
          <w:szCs w:val="20"/>
          <w:lang w:val="en-GB"/>
        </w:rPr>
        <w:t>: Major competitors of the GlaxoSmithKline</w:t>
      </w:r>
    </w:p>
    <w:p w14:paraId="0E03554E" w14:textId="351FAD4A" w:rsidR="00D33C3C" w:rsidRPr="00BD271D" w:rsidRDefault="0042424F" w:rsidP="0042424F">
      <w:pPr>
        <w:spacing w:after="0" w:line="240" w:lineRule="auto"/>
        <w:jc w:val="center"/>
        <w:rPr>
          <w:rFonts w:cs="Times New Roman"/>
          <w:b/>
          <w:bCs/>
          <w:i/>
          <w:iCs/>
          <w:sz w:val="20"/>
          <w:szCs w:val="20"/>
          <w:lang w:val="en-GB"/>
        </w:rPr>
      </w:pPr>
      <w:r w:rsidRPr="00BD271D">
        <w:rPr>
          <w:rFonts w:cs="Times New Roman"/>
          <w:b/>
          <w:bCs/>
          <w:i/>
          <w:iCs/>
          <w:sz w:val="20"/>
          <w:szCs w:val="20"/>
          <w:lang w:val="en-GB"/>
        </w:rPr>
        <w:t>Source: Self-Developed</w:t>
      </w:r>
    </w:p>
    <w:p w14:paraId="1B47CE85" w14:textId="60C54310" w:rsidR="0042424F" w:rsidRPr="00BD271D" w:rsidRDefault="0042424F" w:rsidP="0042424F">
      <w:pPr>
        <w:rPr>
          <w:rFonts w:cs="Times New Roman"/>
          <w:lang w:val="en-GB"/>
        </w:rPr>
      </w:pPr>
    </w:p>
    <w:p w14:paraId="0AAAAE55" w14:textId="50EEAD79" w:rsidR="00085469" w:rsidRPr="00BD271D" w:rsidRDefault="00085469" w:rsidP="0042424F">
      <w:pPr>
        <w:rPr>
          <w:rFonts w:cs="Times New Roman"/>
          <w:lang w:val="en-GB"/>
        </w:rPr>
      </w:pPr>
    </w:p>
    <w:p w14:paraId="70C0FD21" w14:textId="1FDAE915" w:rsidR="0042424F" w:rsidRPr="00BD271D" w:rsidRDefault="00C85B37" w:rsidP="00BD271D">
      <w:pPr>
        <w:pStyle w:val="Heading2"/>
        <w:jc w:val="center"/>
        <w:rPr>
          <w:rFonts w:cs="Times New Roman"/>
          <w:u w:val="single"/>
          <w:lang w:val="en-GB"/>
        </w:rPr>
      </w:pPr>
      <w:bookmarkStart w:id="10" w:name="_Toc60172420"/>
      <w:bookmarkStart w:id="11" w:name="_Toc61434629"/>
      <w:r w:rsidRPr="00BD271D">
        <w:rPr>
          <w:rFonts w:cs="Times New Roman"/>
          <w:u w:val="single"/>
          <w:lang w:val="en-GB"/>
        </w:rPr>
        <w:t>Strategic Changes of the GlaxoSmithKline</w:t>
      </w:r>
      <w:bookmarkEnd w:id="10"/>
      <w:bookmarkEnd w:id="11"/>
    </w:p>
    <w:p w14:paraId="28091533" w14:textId="3650E9EE" w:rsidR="0042424F" w:rsidRPr="00BD271D" w:rsidRDefault="00C85B37" w:rsidP="0042424F">
      <w:pPr>
        <w:rPr>
          <w:rFonts w:cs="Times New Roman"/>
          <w:lang w:val="en-GB"/>
        </w:rPr>
      </w:pPr>
      <w:r w:rsidRPr="00BD271D">
        <w:rPr>
          <w:rFonts w:cs="Times New Roman"/>
          <w:lang w:val="en-GB"/>
        </w:rPr>
        <w:t>The business model of the GlaxoSmithKline has be</w:t>
      </w:r>
      <w:r w:rsidR="00B74794" w:rsidRPr="00BD271D">
        <w:rPr>
          <w:rFonts w:cs="Times New Roman"/>
          <w:lang w:val="en-GB"/>
        </w:rPr>
        <w:t xml:space="preserve">en changed recently in Bangladesh which is the country of the Asian Subcontinent. The activities of the GlaxoSmithKline </w:t>
      </w:r>
      <w:r w:rsidR="00C11141" w:rsidRPr="00BD271D">
        <w:rPr>
          <w:rFonts w:cs="Times New Roman"/>
          <w:lang w:val="en-GB"/>
        </w:rPr>
        <w:t>have</w:t>
      </w:r>
      <w:r w:rsidR="00B74794" w:rsidRPr="00BD271D">
        <w:rPr>
          <w:rFonts w:cs="Times New Roman"/>
          <w:lang w:val="en-GB"/>
        </w:rPr>
        <w:t xml:space="preserve"> been shut down in Bangladesh and merged with Unilever Bangladesh </w:t>
      </w:r>
      <w:r w:rsidR="00735450" w:rsidRPr="00BD271D">
        <w:rPr>
          <w:rFonts w:cs="Times New Roman"/>
          <w:lang w:val="en-GB"/>
        </w:rPr>
        <w:t>L</w:t>
      </w:r>
      <w:r w:rsidR="00B74794" w:rsidRPr="00BD271D">
        <w:rPr>
          <w:rFonts w:cs="Times New Roman"/>
          <w:lang w:val="en-GB"/>
        </w:rPr>
        <w:t>imited</w:t>
      </w:r>
      <w:r w:rsidR="00085469" w:rsidRPr="00BD271D">
        <w:rPr>
          <w:rFonts w:cs="Times New Roman"/>
          <w:lang w:val="en-GB"/>
        </w:rPr>
        <w:t xml:space="preserve"> (GlaxoSmithKline Biologicals SA FLUARIX QUADRIVALENT 2020/2021-, </w:t>
      </w:r>
      <w:r w:rsidR="0066245F" w:rsidRPr="00BD271D">
        <w:rPr>
          <w:rFonts w:cs="Times New Roman"/>
          <w:lang w:val="en-GB"/>
        </w:rPr>
        <w:t>2020</w:t>
      </w:r>
      <w:r w:rsidR="00085469" w:rsidRPr="00BD271D">
        <w:rPr>
          <w:rFonts w:cs="Times New Roman"/>
          <w:lang w:val="en-GB"/>
        </w:rPr>
        <w:t>)</w:t>
      </w:r>
      <w:r w:rsidR="00B74794" w:rsidRPr="00BD271D">
        <w:rPr>
          <w:rFonts w:cs="Times New Roman"/>
          <w:lang w:val="en-GB"/>
        </w:rPr>
        <w:t xml:space="preserve">.   </w:t>
      </w:r>
    </w:p>
    <w:p w14:paraId="592B2C85" w14:textId="77777777" w:rsidR="00BD271D" w:rsidRPr="00BD271D" w:rsidRDefault="00BD271D" w:rsidP="0042424F">
      <w:pPr>
        <w:rPr>
          <w:rFonts w:cs="Times New Roman"/>
          <w:lang w:val="en-GB"/>
        </w:rPr>
      </w:pPr>
    </w:p>
    <w:p w14:paraId="24AFBF4B" w14:textId="487AE558" w:rsidR="00417F5C" w:rsidRPr="00BD271D" w:rsidRDefault="00CE008C" w:rsidP="00BD271D">
      <w:pPr>
        <w:pStyle w:val="Heading1"/>
        <w:rPr>
          <w:rFonts w:cs="Times New Roman"/>
          <w:u w:val="single"/>
        </w:rPr>
      </w:pPr>
      <w:bookmarkStart w:id="12" w:name="_Toc60172421"/>
      <w:bookmarkStart w:id="13" w:name="_Toc61434630"/>
      <w:r w:rsidRPr="00BD271D">
        <w:rPr>
          <w:rFonts w:cs="Times New Roman"/>
          <w:u w:val="single"/>
        </w:rPr>
        <w:t>Part-B</w:t>
      </w:r>
      <w:bookmarkEnd w:id="12"/>
      <w:bookmarkEnd w:id="13"/>
    </w:p>
    <w:p w14:paraId="46E045ED" w14:textId="6857DB15" w:rsidR="00F010DD" w:rsidRPr="00BD271D" w:rsidRDefault="00CE008C">
      <w:pPr>
        <w:rPr>
          <w:rFonts w:cs="Times New Roman"/>
          <w:lang w:val="en-GB"/>
        </w:rPr>
      </w:pPr>
      <w:r w:rsidRPr="00BD271D">
        <w:rPr>
          <w:rFonts w:cs="Times New Roman"/>
          <w:lang w:val="en-GB"/>
        </w:rPr>
        <w:t>The</w:t>
      </w:r>
      <w:r w:rsidR="004210F6" w:rsidRPr="00BD271D">
        <w:rPr>
          <w:rFonts w:cs="Times New Roman"/>
          <w:lang w:val="en-GB"/>
        </w:rPr>
        <w:t xml:space="preserve"> financial performance of the company can be measured by assessing </w:t>
      </w:r>
      <w:r w:rsidR="00735450" w:rsidRPr="00BD271D">
        <w:rPr>
          <w:rFonts w:cs="Times New Roman"/>
          <w:lang w:val="en-GB"/>
        </w:rPr>
        <w:t xml:space="preserve">the </w:t>
      </w:r>
      <w:r w:rsidR="00AD05DF" w:rsidRPr="00BD271D">
        <w:rPr>
          <w:rFonts w:cs="Times New Roman"/>
          <w:lang w:val="en-GB"/>
        </w:rPr>
        <w:t>ability of the company to generate profit</w:t>
      </w:r>
      <w:r w:rsidR="00E71A53" w:rsidRPr="00BD271D">
        <w:rPr>
          <w:rFonts w:cs="Times New Roman"/>
          <w:lang w:val="en-GB"/>
        </w:rPr>
        <w:t xml:space="preserve"> (Hand, 2010)</w:t>
      </w:r>
      <w:r w:rsidR="00AD05DF" w:rsidRPr="00BD271D">
        <w:rPr>
          <w:rFonts w:cs="Times New Roman"/>
          <w:lang w:val="en-GB"/>
        </w:rPr>
        <w:t>. The profitability of the</w:t>
      </w:r>
      <w:r w:rsidR="00AC3E75" w:rsidRPr="00BD271D">
        <w:rPr>
          <w:rFonts w:cs="Times New Roman"/>
          <w:lang w:val="en-GB"/>
        </w:rPr>
        <w:t xml:space="preserve"> GlaxoSmithKline has</w:t>
      </w:r>
      <w:r w:rsidR="003F1888" w:rsidRPr="00BD271D">
        <w:rPr>
          <w:rFonts w:cs="Times New Roman"/>
          <w:lang w:val="en-GB"/>
        </w:rPr>
        <w:t xml:space="preserve"> not been </w:t>
      </w:r>
      <w:r w:rsidR="003F1888" w:rsidRPr="00BD271D">
        <w:rPr>
          <w:rFonts w:cs="Times New Roman"/>
          <w:lang w:val="en-GB"/>
        </w:rPr>
        <w:lastRenderedPageBreak/>
        <w:t>stable over the last five years. The profitability of the GlaxoSmithKline</w:t>
      </w:r>
      <w:r w:rsidR="00E37616" w:rsidRPr="00BD271D">
        <w:rPr>
          <w:rFonts w:cs="Times New Roman"/>
          <w:lang w:val="en-GB"/>
        </w:rPr>
        <w:t xml:space="preserve"> </w:t>
      </w:r>
      <w:r w:rsidR="00735450" w:rsidRPr="00BD271D">
        <w:rPr>
          <w:rFonts w:cs="Times New Roman"/>
          <w:lang w:val="en-GB"/>
        </w:rPr>
        <w:t>h</w:t>
      </w:r>
      <w:r w:rsidR="00E37616" w:rsidRPr="00BD271D">
        <w:rPr>
          <w:rFonts w:cs="Times New Roman"/>
          <w:lang w:val="en-GB"/>
        </w:rPr>
        <w:t xml:space="preserve">as followed ups and downs trends over the last five years. The net profit margin of the GlaxoSmithKline has been </w:t>
      </w:r>
      <w:r w:rsidR="00756769" w:rsidRPr="00BD271D">
        <w:rPr>
          <w:rFonts w:cs="Times New Roman"/>
          <w:lang w:val="en-GB"/>
        </w:rPr>
        <w:t>decreased significantly in the year of 2016 compared to 201</w:t>
      </w:r>
      <w:r w:rsidR="00E71A53" w:rsidRPr="00BD271D">
        <w:rPr>
          <w:rFonts w:cs="Times New Roman"/>
          <w:lang w:val="en-GB"/>
        </w:rPr>
        <w:t>5</w:t>
      </w:r>
      <w:r w:rsidR="00756769" w:rsidRPr="00BD271D">
        <w:rPr>
          <w:rFonts w:cs="Times New Roman"/>
          <w:lang w:val="en-GB"/>
        </w:rPr>
        <w:t xml:space="preserve"> and this decreasing trend has been fo</w:t>
      </w:r>
      <w:r w:rsidR="00735450" w:rsidRPr="00BD271D">
        <w:rPr>
          <w:rFonts w:cs="Times New Roman"/>
          <w:lang w:val="en-GB"/>
        </w:rPr>
        <w:t>llo</w:t>
      </w:r>
      <w:r w:rsidR="00756769" w:rsidRPr="00BD271D">
        <w:rPr>
          <w:rFonts w:cs="Times New Roman"/>
          <w:lang w:val="en-GB"/>
        </w:rPr>
        <w:t xml:space="preserve">wed till 2017. The </w:t>
      </w:r>
      <w:r w:rsidR="00F575E3" w:rsidRPr="00BD271D">
        <w:rPr>
          <w:rFonts w:cs="Times New Roman"/>
          <w:lang w:val="en-GB"/>
        </w:rPr>
        <w:t>net profit margin of the GlaxoSmithKline has been increased in the year 2019 compared to 2018, 2017, 2016.</w:t>
      </w:r>
      <w:r w:rsidR="00F010DD" w:rsidRPr="00BD271D">
        <w:rPr>
          <w:rFonts w:cs="Times New Roman"/>
          <w:lang w:val="en-GB"/>
        </w:rPr>
        <w:t xml:space="preserve"> The financial performance of the GlaxoSmithKline has been discussed in this section of this report by calculation and interpretation of the financial ratio:</w:t>
      </w:r>
    </w:p>
    <w:p w14:paraId="0D7C9CA2" w14:textId="77777777" w:rsidR="00BD271D" w:rsidRPr="00BD271D" w:rsidRDefault="00BD271D">
      <w:pPr>
        <w:rPr>
          <w:rFonts w:cs="Times New Roman"/>
          <w:lang w:val="en-GB"/>
        </w:rPr>
      </w:pPr>
    </w:p>
    <w:p w14:paraId="2DA3894B" w14:textId="39E7D935" w:rsidR="008A5C74" w:rsidRPr="00BD271D" w:rsidRDefault="009709B6" w:rsidP="00BD271D">
      <w:pPr>
        <w:pStyle w:val="Heading2"/>
        <w:jc w:val="center"/>
        <w:rPr>
          <w:rFonts w:cs="Times New Roman"/>
        </w:rPr>
      </w:pPr>
      <w:bookmarkStart w:id="14" w:name="_Toc60172422"/>
      <w:bookmarkStart w:id="15" w:name="_Toc61434631"/>
      <w:r w:rsidRPr="00BD271D">
        <w:rPr>
          <w:rFonts w:cs="Times New Roman"/>
        </w:rPr>
        <w:t>Calculation of the financial ratio</w:t>
      </w:r>
      <w:bookmarkEnd w:id="14"/>
      <w:bookmarkEnd w:id="15"/>
    </w:p>
    <w:tbl>
      <w:tblPr>
        <w:tblW w:w="8005" w:type="dxa"/>
        <w:jc w:val="center"/>
        <w:tblBorders>
          <w:top w:val="dotted" w:sz="4" w:space="0" w:color="auto"/>
          <w:left w:val="dotted" w:sz="4" w:space="0" w:color="auto"/>
          <w:bottom w:val="dotted" w:sz="4" w:space="0" w:color="auto"/>
          <w:right w:val="dotted" w:sz="4" w:space="0" w:color="auto"/>
          <w:insideH w:val="dotted" w:sz="4" w:space="0" w:color="auto"/>
          <w:insideV w:val="dotted" w:sz="4" w:space="0" w:color="auto"/>
        </w:tblBorders>
        <w:tblLook w:val="04A0" w:firstRow="1" w:lastRow="0" w:firstColumn="1" w:lastColumn="0" w:noHBand="0" w:noVBand="1"/>
      </w:tblPr>
      <w:tblGrid>
        <w:gridCol w:w="2515"/>
        <w:gridCol w:w="900"/>
        <w:gridCol w:w="900"/>
        <w:gridCol w:w="968"/>
        <w:gridCol w:w="858"/>
        <w:gridCol w:w="874"/>
        <w:gridCol w:w="1036"/>
      </w:tblGrid>
      <w:tr w:rsidR="008A5C74" w:rsidRPr="00BD271D" w14:paraId="5D5AE195" w14:textId="77777777" w:rsidTr="008A5C74">
        <w:trPr>
          <w:trHeight w:val="257"/>
          <w:jc w:val="center"/>
        </w:trPr>
        <w:tc>
          <w:tcPr>
            <w:tcW w:w="2515" w:type="dxa"/>
            <w:shd w:val="clear" w:color="auto" w:fill="auto"/>
            <w:noWrap/>
            <w:hideMark/>
          </w:tcPr>
          <w:p w14:paraId="75D6BE8F" w14:textId="77777777" w:rsidR="008A5C74" w:rsidRPr="00BD271D" w:rsidRDefault="008A5C74" w:rsidP="008A5C74">
            <w:pPr>
              <w:spacing w:after="0" w:line="240" w:lineRule="auto"/>
              <w:jc w:val="center"/>
              <w:rPr>
                <w:rFonts w:eastAsia="Times New Roman" w:cs="Times New Roman"/>
                <w:b/>
                <w:bCs/>
                <w:color w:val="000000"/>
                <w:szCs w:val="24"/>
                <w:lang w:val="en-GB"/>
              </w:rPr>
            </w:pPr>
            <w:r w:rsidRPr="00BD271D">
              <w:rPr>
                <w:rFonts w:eastAsia="Times New Roman" w:cs="Times New Roman"/>
                <w:b/>
                <w:bCs/>
                <w:color w:val="000000"/>
                <w:szCs w:val="24"/>
                <w:lang w:val="en-GB"/>
              </w:rPr>
              <w:t>Name</w:t>
            </w:r>
          </w:p>
        </w:tc>
        <w:tc>
          <w:tcPr>
            <w:tcW w:w="900" w:type="dxa"/>
            <w:shd w:val="clear" w:color="auto" w:fill="auto"/>
            <w:noWrap/>
            <w:hideMark/>
          </w:tcPr>
          <w:p w14:paraId="4A597C9E" w14:textId="77777777" w:rsidR="008A5C74" w:rsidRPr="00BD271D" w:rsidRDefault="008A5C74" w:rsidP="008A5C74">
            <w:pPr>
              <w:spacing w:after="0" w:line="240" w:lineRule="auto"/>
              <w:jc w:val="center"/>
              <w:rPr>
                <w:rFonts w:eastAsia="Times New Roman" w:cs="Times New Roman"/>
                <w:b/>
                <w:bCs/>
                <w:color w:val="000000"/>
                <w:szCs w:val="24"/>
                <w:lang w:val="en-GB"/>
              </w:rPr>
            </w:pPr>
            <w:r w:rsidRPr="00BD271D">
              <w:rPr>
                <w:rFonts w:eastAsia="Times New Roman" w:cs="Times New Roman"/>
                <w:b/>
                <w:bCs/>
                <w:color w:val="000000"/>
                <w:szCs w:val="24"/>
                <w:lang w:val="en-GB"/>
              </w:rPr>
              <w:t>2015</w:t>
            </w:r>
          </w:p>
        </w:tc>
        <w:tc>
          <w:tcPr>
            <w:tcW w:w="900" w:type="dxa"/>
            <w:shd w:val="clear" w:color="auto" w:fill="auto"/>
            <w:noWrap/>
            <w:hideMark/>
          </w:tcPr>
          <w:p w14:paraId="660E9F39" w14:textId="77777777" w:rsidR="008A5C74" w:rsidRPr="00BD271D" w:rsidRDefault="008A5C74" w:rsidP="008A5C74">
            <w:pPr>
              <w:spacing w:after="0" w:line="240" w:lineRule="auto"/>
              <w:jc w:val="center"/>
              <w:rPr>
                <w:rFonts w:eastAsia="Times New Roman" w:cs="Times New Roman"/>
                <w:b/>
                <w:bCs/>
                <w:color w:val="000000"/>
                <w:szCs w:val="24"/>
                <w:lang w:val="en-GB"/>
              </w:rPr>
            </w:pPr>
            <w:r w:rsidRPr="00BD271D">
              <w:rPr>
                <w:rFonts w:eastAsia="Times New Roman" w:cs="Times New Roman"/>
                <w:b/>
                <w:bCs/>
                <w:color w:val="000000"/>
                <w:szCs w:val="24"/>
                <w:lang w:val="en-GB"/>
              </w:rPr>
              <w:t>2016</w:t>
            </w:r>
          </w:p>
        </w:tc>
        <w:tc>
          <w:tcPr>
            <w:tcW w:w="968" w:type="dxa"/>
            <w:shd w:val="clear" w:color="auto" w:fill="auto"/>
            <w:noWrap/>
            <w:hideMark/>
          </w:tcPr>
          <w:p w14:paraId="59FF4823" w14:textId="77777777" w:rsidR="008A5C74" w:rsidRPr="00BD271D" w:rsidRDefault="008A5C74" w:rsidP="008A5C74">
            <w:pPr>
              <w:spacing w:after="0" w:line="240" w:lineRule="auto"/>
              <w:jc w:val="center"/>
              <w:rPr>
                <w:rFonts w:eastAsia="Times New Roman" w:cs="Times New Roman"/>
                <w:b/>
                <w:bCs/>
                <w:color w:val="000000"/>
                <w:szCs w:val="24"/>
                <w:lang w:val="en-GB"/>
              </w:rPr>
            </w:pPr>
            <w:r w:rsidRPr="00BD271D">
              <w:rPr>
                <w:rFonts w:eastAsia="Times New Roman" w:cs="Times New Roman"/>
                <w:b/>
                <w:bCs/>
                <w:color w:val="000000"/>
                <w:szCs w:val="24"/>
                <w:lang w:val="en-GB"/>
              </w:rPr>
              <w:t>2017</w:t>
            </w:r>
          </w:p>
        </w:tc>
        <w:tc>
          <w:tcPr>
            <w:tcW w:w="858" w:type="dxa"/>
            <w:shd w:val="clear" w:color="auto" w:fill="auto"/>
            <w:noWrap/>
            <w:hideMark/>
          </w:tcPr>
          <w:p w14:paraId="317F5F47" w14:textId="77777777" w:rsidR="008A5C74" w:rsidRPr="00BD271D" w:rsidRDefault="008A5C74" w:rsidP="008A5C74">
            <w:pPr>
              <w:spacing w:after="0" w:line="240" w:lineRule="auto"/>
              <w:jc w:val="center"/>
              <w:rPr>
                <w:rFonts w:eastAsia="Times New Roman" w:cs="Times New Roman"/>
                <w:b/>
                <w:bCs/>
                <w:color w:val="000000"/>
                <w:szCs w:val="24"/>
                <w:lang w:val="en-GB"/>
              </w:rPr>
            </w:pPr>
            <w:r w:rsidRPr="00BD271D">
              <w:rPr>
                <w:rFonts w:eastAsia="Times New Roman" w:cs="Times New Roman"/>
                <w:b/>
                <w:bCs/>
                <w:color w:val="000000"/>
                <w:szCs w:val="24"/>
                <w:lang w:val="en-GB"/>
              </w:rPr>
              <w:t>2018</w:t>
            </w:r>
          </w:p>
        </w:tc>
        <w:tc>
          <w:tcPr>
            <w:tcW w:w="874" w:type="dxa"/>
            <w:shd w:val="clear" w:color="auto" w:fill="auto"/>
            <w:noWrap/>
            <w:hideMark/>
          </w:tcPr>
          <w:p w14:paraId="7E76E43B" w14:textId="77777777" w:rsidR="008A5C74" w:rsidRPr="00BD271D" w:rsidRDefault="008A5C74" w:rsidP="008A5C74">
            <w:pPr>
              <w:spacing w:after="0" w:line="240" w:lineRule="auto"/>
              <w:jc w:val="center"/>
              <w:rPr>
                <w:rFonts w:eastAsia="Times New Roman" w:cs="Times New Roman"/>
                <w:b/>
                <w:bCs/>
                <w:color w:val="000000"/>
                <w:szCs w:val="24"/>
                <w:lang w:val="en-GB"/>
              </w:rPr>
            </w:pPr>
            <w:r w:rsidRPr="00BD271D">
              <w:rPr>
                <w:rFonts w:eastAsia="Times New Roman" w:cs="Times New Roman"/>
                <w:b/>
                <w:bCs/>
                <w:color w:val="000000"/>
                <w:szCs w:val="24"/>
                <w:lang w:val="en-GB"/>
              </w:rPr>
              <w:t>2019</w:t>
            </w:r>
          </w:p>
        </w:tc>
        <w:tc>
          <w:tcPr>
            <w:tcW w:w="990" w:type="dxa"/>
            <w:shd w:val="clear" w:color="auto" w:fill="auto"/>
            <w:noWrap/>
            <w:hideMark/>
          </w:tcPr>
          <w:p w14:paraId="321EA98A" w14:textId="77777777" w:rsidR="008A5C74" w:rsidRPr="00BD271D" w:rsidRDefault="008A5C74" w:rsidP="008A5C74">
            <w:pPr>
              <w:spacing w:after="0" w:line="240" w:lineRule="auto"/>
              <w:jc w:val="center"/>
              <w:rPr>
                <w:rFonts w:eastAsia="Times New Roman" w:cs="Times New Roman"/>
                <w:b/>
                <w:bCs/>
                <w:color w:val="000000"/>
                <w:sz w:val="22"/>
                <w:lang w:val="en-GB"/>
              </w:rPr>
            </w:pPr>
            <w:r w:rsidRPr="00BD271D">
              <w:rPr>
                <w:rFonts w:eastAsia="Times New Roman" w:cs="Times New Roman"/>
                <w:b/>
                <w:bCs/>
                <w:color w:val="000000"/>
                <w:sz w:val="22"/>
                <w:lang w:val="en-GB"/>
              </w:rPr>
              <w:t>Industry average</w:t>
            </w:r>
          </w:p>
        </w:tc>
      </w:tr>
      <w:tr w:rsidR="008A5C74" w:rsidRPr="00BD271D" w14:paraId="44A4652F" w14:textId="77777777" w:rsidTr="008A5C74">
        <w:trPr>
          <w:trHeight w:val="244"/>
          <w:jc w:val="center"/>
        </w:trPr>
        <w:tc>
          <w:tcPr>
            <w:tcW w:w="2515" w:type="dxa"/>
            <w:shd w:val="clear" w:color="auto" w:fill="auto"/>
            <w:noWrap/>
            <w:hideMark/>
          </w:tcPr>
          <w:p w14:paraId="028CF1CA" w14:textId="77777777" w:rsidR="008A5C74" w:rsidRPr="00BD271D" w:rsidRDefault="008A5C74" w:rsidP="008A5C74">
            <w:pPr>
              <w:spacing w:after="0" w:line="240" w:lineRule="auto"/>
              <w:rPr>
                <w:rFonts w:eastAsia="Times New Roman" w:cs="Times New Roman"/>
                <w:b/>
                <w:bCs/>
                <w:i/>
                <w:iCs/>
                <w:color w:val="000000"/>
                <w:sz w:val="22"/>
                <w:lang w:val="en-GB"/>
              </w:rPr>
            </w:pPr>
            <w:r w:rsidRPr="00BD271D">
              <w:rPr>
                <w:rFonts w:eastAsia="Times New Roman" w:cs="Times New Roman"/>
                <w:b/>
                <w:bCs/>
                <w:i/>
                <w:iCs/>
                <w:color w:val="000000"/>
                <w:sz w:val="22"/>
                <w:lang w:val="en-GB"/>
              </w:rPr>
              <w:t>Liquidity Ratio</w:t>
            </w:r>
          </w:p>
        </w:tc>
        <w:tc>
          <w:tcPr>
            <w:tcW w:w="900" w:type="dxa"/>
            <w:shd w:val="clear" w:color="auto" w:fill="auto"/>
            <w:noWrap/>
            <w:hideMark/>
          </w:tcPr>
          <w:p w14:paraId="742491FE" w14:textId="7FEB9DA5" w:rsidR="008A5C74" w:rsidRPr="00BD271D" w:rsidRDefault="008A5C74" w:rsidP="008A5C74">
            <w:pPr>
              <w:spacing w:after="0" w:line="240" w:lineRule="auto"/>
              <w:jc w:val="center"/>
              <w:rPr>
                <w:rFonts w:eastAsia="Times New Roman" w:cs="Times New Roman"/>
                <w:color w:val="000000"/>
                <w:sz w:val="22"/>
                <w:lang w:val="en-GB"/>
              </w:rPr>
            </w:pPr>
          </w:p>
        </w:tc>
        <w:tc>
          <w:tcPr>
            <w:tcW w:w="900" w:type="dxa"/>
            <w:shd w:val="clear" w:color="auto" w:fill="auto"/>
            <w:noWrap/>
            <w:hideMark/>
          </w:tcPr>
          <w:p w14:paraId="3A01C5A5" w14:textId="0D0BBAFB" w:rsidR="008A5C74" w:rsidRPr="00BD271D" w:rsidRDefault="008A5C74" w:rsidP="008A5C74">
            <w:pPr>
              <w:spacing w:after="0" w:line="240" w:lineRule="auto"/>
              <w:jc w:val="center"/>
              <w:rPr>
                <w:rFonts w:eastAsia="Times New Roman" w:cs="Times New Roman"/>
                <w:color w:val="000000"/>
                <w:sz w:val="22"/>
                <w:lang w:val="en-GB"/>
              </w:rPr>
            </w:pPr>
          </w:p>
        </w:tc>
        <w:tc>
          <w:tcPr>
            <w:tcW w:w="968" w:type="dxa"/>
            <w:shd w:val="clear" w:color="auto" w:fill="auto"/>
            <w:noWrap/>
            <w:hideMark/>
          </w:tcPr>
          <w:p w14:paraId="71082BF9" w14:textId="1610E25D" w:rsidR="008A5C74" w:rsidRPr="00BD271D" w:rsidRDefault="008A5C74" w:rsidP="008A5C74">
            <w:pPr>
              <w:spacing w:after="0" w:line="240" w:lineRule="auto"/>
              <w:jc w:val="center"/>
              <w:rPr>
                <w:rFonts w:eastAsia="Times New Roman" w:cs="Times New Roman"/>
                <w:color w:val="000000"/>
                <w:sz w:val="22"/>
                <w:lang w:val="en-GB"/>
              </w:rPr>
            </w:pPr>
          </w:p>
        </w:tc>
        <w:tc>
          <w:tcPr>
            <w:tcW w:w="858" w:type="dxa"/>
            <w:shd w:val="clear" w:color="auto" w:fill="auto"/>
            <w:noWrap/>
            <w:hideMark/>
          </w:tcPr>
          <w:p w14:paraId="618BD1E9" w14:textId="20C8BF96" w:rsidR="008A5C74" w:rsidRPr="00BD271D" w:rsidRDefault="008A5C74" w:rsidP="008A5C74">
            <w:pPr>
              <w:spacing w:after="0" w:line="240" w:lineRule="auto"/>
              <w:jc w:val="center"/>
              <w:rPr>
                <w:rFonts w:eastAsia="Times New Roman" w:cs="Times New Roman"/>
                <w:color w:val="000000"/>
                <w:sz w:val="22"/>
                <w:lang w:val="en-GB"/>
              </w:rPr>
            </w:pPr>
          </w:p>
        </w:tc>
        <w:tc>
          <w:tcPr>
            <w:tcW w:w="874" w:type="dxa"/>
            <w:shd w:val="clear" w:color="auto" w:fill="auto"/>
            <w:noWrap/>
            <w:hideMark/>
          </w:tcPr>
          <w:p w14:paraId="4C00CB8F" w14:textId="506AA100" w:rsidR="008A5C74" w:rsidRPr="00BD271D" w:rsidRDefault="008A5C74" w:rsidP="008A5C74">
            <w:pPr>
              <w:spacing w:after="0" w:line="240" w:lineRule="auto"/>
              <w:jc w:val="center"/>
              <w:rPr>
                <w:rFonts w:eastAsia="Times New Roman" w:cs="Times New Roman"/>
                <w:color w:val="000000"/>
                <w:sz w:val="22"/>
                <w:lang w:val="en-GB"/>
              </w:rPr>
            </w:pPr>
          </w:p>
        </w:tc>
        <w:tc>
          <w:tcPr>
            <w:tcW w:w="990" w:type="dxa"/>
            <w:shd w:val="clear" w:color="auto" w:fill="auto"/>
            <w:noWrap/>
            <w:hideMark/>
          </w:tcPr>
          <w:p w14:paraId="558E06B6" w14:textId="25AF7017" w:rsidR="008A5C74" w:rsidRPr="00BD271D" w:rsidRDefault="008A5C74" w:rsidP="008A5C74">
            <w:pPr>
              <w:spacing w:after="0" w:line="240" w:lineRule="auto"/>
              <w:jc w:val="center"/>
              <w:rPr>
                <w:rFonts w:eastAsia="Times New Roman" w:cs="Times New Roman"/>
                <w:color w:val="000000"/>
                <w:sz w:val="22"/>
                <w:lang w:val="en-GB"/>
              </w:rPr>
            </w:pPr>
          </w:p>
        </w:tc>
      </w:tr>
      <w:tr w:rsidR="008A5C74" w:rsidRPr="00BD271D" w14:paraId="377E75A2" w14:textId="77777777" w:rsidTr="008A5C74">
        <w:trPr>
          <w:trHeight w:val="244"/>
          <w:jc w:val="center"/>
        </w:trPr>
        <w:tc>
          <w:tcPr>
            <w:tcW w:w="2515" w:type="dxa"/>
            <w:shd w:val="clear" w:color="auto" w:fill="auto"/>
            <w:noWrap/>
            <w:hideMark/>
          </w:tcPr>
          <w:p w14:paraId="71CA9995" w14:textId="77777777" w:rsidR="008A5C74" w:rsidRPr="00BD271D" w:rsidRDefault="008A5C74" w:rsidP="008A5C74">
            <w:pPr>
              <w:spacing w:after="0" w:line="240" w:lineRule="auto"/>
              <w:rPr>
                <w:rFonts w:eastAsia="Times New Roman" w:cs="Times New Roman"/>
                <w:color w:val="000000"/>
                <w:sz w:val="22"/>
                <w:lang w:val="en-GB"/>
              </w:rPr>
            </w:pPr>
            <w:r w:rsidRPr="00BD271D">
              <w:rPr>
                <w:rFonts w:eastAsia="Times New Roman" w:cs="Times New Roman"/>
                <w:color w:val="000000"/>
                <w:sz w:val="22"/>
                <w:lang w:val="en-GB"/>
              </w:rPr>
              <w:t>Net working capital</w:t>
            </w:r>
          </w:p>
        </w:tc>
        <w:tc>
          <w:tcPr>
            <w:tcW w:w="900" w:type="dxa"/>
            <w:shd w:val="clear" w:color="auto" w:fill="auto"/>
            <w:noWrap/>
            <w:hideMark/>
          </w:tcPr>
          <w:p w14:paraId="0472DD59" w14:textId="07B6DBD7"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3,170</w:t>
            </w:r>
          </w:p>
        </w:tc>
        <w:tc>
          <w:tcPr>
            <w:tcW w:w="900" w:type="dxa"/>
            <w:shd w:val="clear" w:color="auto" w:fill="auto"/>
            <w:noWrap/>
            <w:hideMark/>
          </w:tcPr>
          <w:p w14:paraId="45A24851" w14:textId="0D1C7A23"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(2,290)</w:t>
            </w:r>
          </w:p>
        </w:tc>
        <w:tc>
          <w:tcPr>
            <w:tcW w:w="968" w:type="dxa"/>
            <w:shd w:val="clear" w:color="auto" w:fill="auto"/>
            <w:noWrap/>
            <w:hideMark/>
          </w:tcPr>
          <w:p w14:paraId="7DBD32F9" w14:textId="18863894"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(10,662)</w:t>
            </w:r>
          </w:p>
        </w:tc>
        <w:tc>
          <w:tcPr>
            <w:tcW w:w="858" w:type="dxa"/>
            <w:shd w:val="clear" w:color="auto" w:fill="auto"/>
            <w:noWrap/>
            <w:hideMark/>
          </w:tcPr>
          <w:p w14:paraId="5E597BB5" w14:textId="70355184"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(5,564)</w:t>
            </w:r>
          </w:p>
        </w:tc>
        <w:tc>
          <w:tcPr>
            <w:tcW w:w="874" w:type="dxa"/>
            <w:shd w:val="clear" w:color="auto" w:fill="auto"/>
            <w:noWrap/>
            <w:hideMark/>
          </w:tcPr>
          <w:p w14:paraId="29EBB555" w14:textId="4885274B"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(4,559)</w:t>
            </w:r>
          </w:p>
        </w:tc>
        <w:tc>
          <w:tcPr>
            <w:tcW w:w="990" w:type="dxa"/>
            <w:shd w:val="clear" w:color="auto" w:fill="auto"/>
            <w:noWrap/>
            <w:hideMark/>
          </w:tcPr>
          <w:p w14:paraId="52984AE8" w14:textId="2AD158B4"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3,981</w:t>
            </w:r>
          </w:p>
        </w:tc>
      </w:tr>
      <w:tr w:rsidR="008A5C74" w:rsidRPr="00BD271D" w14:paraId="0CFEE42C" w14:textId="77777777" w:rsidTr="008A5C74">
        <w:trPr>
          <w:trHeight w:val="244"/>
          <w:jc w:val="center"/>
        </w:trPr>
        <w:tc>
          <w:tcPr>
            <w:tcW w:w="2515" w:type="dxa"/>
            <w:shd w:val="clear" w:color="auto" w:fill="auto"/>
            <w:noWrap/>
            <w:hideMark/>
          </w:tcPr>
          <w:p w14:paraId="0973890B" w14:textId="77777777" w:rsidR="008A5C74" w:rsidRPr="00BD271D" w:rsidRDefault="008A5C74" w:rsidP="008A5C74">
            <w:pPr>
              <w:spacing w:after="0" w:line="240" w:lineRule="auto"/>
              <w:rPr>
                <w:rFonts w:eastAsia="Times New Roman" w:cs="Times New Roman"/>
                <w:color w:val="000000"/>
                <w:sz w:val="22"/>
                <w:lang w:val="en-GB"/>
              </w:rPr>
            </w:pPr>
            <w:r w:rsidRPr="00BD271D">
              <w:rPr>
                <w:rFonts w:eastAsia="Times New Roman" w:cs="Times New Roman"/>
                <w:color w:val="000000"/>
                <w:sz w:val="22"/>
                <w:lang w:val="en-GB"/>
              </w:rPr>
              <w:t>Current ratio</w:t>
            </w:r>
          </w:p>
        </w:tc>
        <w:tc>
          <w:tcPr>
            <w:tcW w:w="900" w:type="dxa"/>
            <w:shd w:val="clear" w:color="auto" w:fill="auto"/>
            <w:noWrap/>
            <w:hideMark/>
          </w:tcPr>
          <w:p w14:paraId="305D1F86" w14:textId="7CAD63A6"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3.98</w:t>
            </w:r>
          </w:p>
        </w:tc>
        <w:tc>
          <w:tcPr>
            <w:tcW w:w="900" w:type="dxa"/>
            <w:shd w:val="clear" w:color="auto" w:fill="auto"/>
            <w:noWrap/>
            <w:hideMark/>
          </w:tcPr>
          <w:p w14:paraId="7F8F17D1" w14:textId="5842E015"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3.11</w:t>
            </w:r>
          </w:p>
        </w:tc>
        <w:tc>
          <w:tcPr>
            <w:tcW w:w="968" w:type="dxa"/>
            <w:shd w:val="clear" w:color="auto" w:fill="auto"/>
            <w:noWrap/>
            <w:hideMark/>
          </w:tcPr>
          <w:p w14:paraId="2F919959" w14:textId="1C1A6B39"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2.12</w:t>
            </w:r>
          </w:p>
        </w:tc>
        <w:tc>
          <w:tcPr>
            <w:tcW w:w="858" w:type="dxa"/>
            <w:shd w:val="clear" w:color="auto" w:fill="auto"/>
            <w:noWrap/>
            <w:hideMark/>
          </w:tcPr>
          <w:p w14:paraId="7FB4BEE0" w14:textId="045410DB"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2.58</w:t>
            </w:r>
          </w:p>
        </w:tc>
        <w:tc>
          <w:tcPr>
            <w:tcW w:w="874" w:type="dxa"/>
            <w:shd w:val="clear" w:color="auto" w:fill="auto"/>
            <w:noWrap/>
            <w:hideMark/>
          </w:tcPr>
          <w:p w14:paraId="540B8585" w14:textId="2273A874"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3.31</w:t>
            </w:r>
          </w:p>
        </w:tc>
        <w:tc>
          <w:tcPr>
            <w:tcW w:w="990" w:type="dxa"/>
            <w:shd w:val="clear" w:color="auto" w:fill="auto"/>
            <w:noWrap/>
            <w:hideMark/>
          </w:tcPr>
          <w:p w14:paraId="590E19C1" w14:textId="34886240"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3.02</w:t>
            </w:r>
          </w:p>
        </w:tc>
      </w:tr>
      <w:tr w:rsidR="008A5C74" w:rsidRPr="00BD271D" w14:paraId="0286C104" w14:textId="77777777" w:rsidTr="008A5C74">
        <w:trPr>
          <w:trHeight w:val="244"/>
          <w:jc w:val="center"/>
        </w:trPr>
        <w:tc>
          <w:tcPr>
            <w:tcW w:w="2515" w:type="dxa"/>
            <w:shd w:val="clear" w:color="auto" w:fill="auto"/>
            <w:noWrap/>
            <w:hideMark/>
          </w:tcPr>
          <w:p w14:paraId="29842468" w14:textId="77777777" w:rsidR="008A5C74" w:rsidRPr="00BD271D" w:rsidRDefault="008A5C74" w:rsidP="008A5C74">
            <w:pPr>
              <w:spacing w:after="0" w:line="240" w:lineRule="auto"/>
              <w:rPr>
                <w:rFonts w:eastAsia="Times New Roman" w:cs="Times New Roman"/>
                <w:color w:val="000000"/>
                <w:sz w:val="22"/>
                <w:lang w:val="en-GB"/>
              </w:rPr>
            </w:pPr>
            <w:r w:rsidRPr="00BD271D">
              <w:rPr>
                <w:rFonts w:eastAsia="Times New Roman" w:cs="Times New Roman"/>
                <w:color w:val="000000"/>
                <w:sz w:val="22"/>
                <w:lang w:val="en-GB"/>
              </w:rPr>
              <w:t>Quick ratio</w:t>
            </w:r>
          </w:p>
        </w:tc>
        <w:tc>
          <w:tcPr>
            <w:tcW w:w="900" w:type="dxa"/>
            <w:shd w:val="clear" w:color="auto" w:fill="auto"/>
            <w:noWrap/>
            <w:hideMark/>
          </w:tcPr>
          <w:p w14:paraId="4D757B01" w14:textId="554F58CF"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0.88</w:t>
            </w:r>
          </w:p>
        </w:tc>
        <w:tc>
          <w:tcPr>
            <w:tcW w:w="900" w:type="dxa"/>
            <w:shd w:val="clear" w:color="auto" w:fill="auto"/>
            <w:noWrap/>
            <w:hideMark/>
          </w:tcPr>
          <w:p w14:paraId="2EFCAB4F" w14:textId="37420AF0"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0.61</w:t>
            </w:r>
          </w:p>
        </w:tc>
        <w:tc>
          <w:tcPr>
            <w:tcW w:w="968" w:type="dxa"/>
            <w:shd w:val="clear" w:color="auto" w:fill="auto"/>
            <w:noWrap/>
            <w:hideMark/>
          </w:tcPr>
          <w:p w14:paraId="2E44B64A" w14:textId="569E131C"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0.39</w:t>
            </w:r>
          </w:p>
        </w:tc>
        <w:tc>
          <w:tcPr>
            <w:tcW w:w="858" w:type="dxa"/>
            <w:shd w:val="clear" w:color="auto" w:fill="auto"/>
            <w:noWrap/>
            <w:hideMark/>
          </w:tcPr>
          <w:p w14:paraId="1D11FE64" w14:textId="5AE58EDD"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0.51</w:t>
            </w:r>
          </w:p>
        </w:tc>
        <w:tc>
          <w:tcPr>
            <w:tcW w:w="874" w:type="dxa"/>
            <w:shd w:val="clear" w:color="auto" w:fill="auto"/>
            <w:noWrap/>
            <w:hideMark/>
          </w:tcPr>
          <w:p w14:paraId="5658FD12" w14:textId="1AE8CDCC"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0.56</w:t>
            </w:r>
          </w:p>
        </w:tc>
        <w:tc>
          <w:tcPr>
            <w:tcW w:w="990" w:type="dxa"/>
            <w:shd w:val="clear" w:color="auto" w:fill="auto"/>
            <w:noWrap/>
            <w:hideMark/>
          </w:tcPr>
          <w:p w14:paraId="2EF184F7" w14:textId="5849DD07"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0.59</w:t>
            </w:r>
          </w:p>
        </w:tc>
      </w:tr>
      <w:tr w:rsidR="008A5C74" w:rsidRPr="00BD271D" w14:paraId="519CD347" w14:textId="77777777" w:rsidTr="008A5C74">
        <w:trPr>
          <w:trHeight w:val="244"/>
          <w:jc w:val="center"/>
        </w:trPr>
        <w:tc>
          <w:tcPr>
            <w:tcW w:w="2515" w:type="dxa"/>
            <w:shd w:val="clear" w:color="auto" w:fill="auto"/>
            <w:noWrap/>
            <w:hideMark/>
          </w:tcPr>
          <w:p w14:paraId="06A75C4C" w14:textId="77777777" w:rsidR="008A5C74" w:rsidRPr="00BD271D" w:rsidRDefault="008A5C74" w:rsidP="008A5C74">
            <w:pPr>
              <w:spacing w:after="0" w:line="240" w:lineRule="auto"/>
              <w:rPr>
                <w:rFonts w:eastAsia="Times New Roman" w:cs="Times New Roman"/>
                <w:b/>
                <w:bCs/>
                <w:i/>
                <w:iCs/>
                <w:color w:val="000000"/>
                <w:sz w:val="22"/>
                <w:lang w:val="en-GB"/>
              </w:rPr>
            </w:pPr>
            <w:r w:rsidRPr="00BD271D">
              <w:rPr>
                <w:rFonts w:eastAsia="Times New Roman" w:cs="Times New Roman"/>
                <w:b/>
                <w:bCs/>
                <w:i/>
                <w:iCs/>
                <w:color w:val="000000"/>
                <w:sz w:val="22"/>
                <w:lang w:val="en-GB"/>
              </w:rPr>
              <w:t>Profitability Ratio</w:t>
            </w:r>
          </w:p>
        </w:tc>
        <w:tc>
          <w:tcPr>
            <w:tcW w:w="900" w:type="dxa"/>
            <w:shd w:val="clear" w:color="auto" w:fill="auto"/>
            <w:noWrap/>
            <w:hideMark/>
          </w:tcPr>
          <w:p w14:paraId="5D8C78AC" w14:textId="24B12FFC" w:rsidR="008A5C74" w:rsidRPr="00BD271D" w:rsidRDefault="008A5C74" w:rsidP="008A5C74">
            <w:pPr>
              <w:spacing w:after="0" w:line="240" w:lineRule="auto"/>
              <w:jc w:val="center"/>
              <w:rPr>
                <w:rFonts w:eastAsia="Times New Roman" w:cs="Times New Roman"/>
                <w:color w:val="000000"/>
                <w:sz w:val="22"/>
                <w:lang w:val="en-GB"/>
              </w:rPr>
            </w:pPr>
          </w:p>
        </w:tc>
        <w:tc>
          <w:tcPr>
            <w:tcW w:w="900" w:type="dxa"/>
            <w:shd w:val="clear" w:color="auto" w:fill="auto"/>
            <w:noWrap/>
            <w:hideMark/>
          </w:tcPr>
          <w:p w14:paraId="70FE3DA2" w14:textId="3C8A933D" w:rsidR="008A5C74" w:rsidRPr="00BD271D" w:rsidRDefault="008A5C74" w:rsidP="008A5C74">
            <w:pPr>
              <w:spacing w:after="0" w:line="240" w:lineRule="auto"/>
              <w:jc w:val="center"/>
              <w:rPr>
                <w:rFonts w:eastAsia="Times New Roman" w:cs="Times New Roman"/>
                <w:color w:val="000000"/>
                <w:sz w:val="22"/>
                <w:lang w:val="en-GB"/>
              </w:rPr>
            </w:pPr>
          </w:p>
        </w:tc>
        <w:tc>
          <w:tcPr>
            <w:tcW w:w="968" w:type="dxa"/>
            <w:shd w:val="clear" w:color="auto" w:fill="auto"/>
            <w:noWrap/>
            <w:hideMark/>
          </w:tcPr>
          <w:p w14:paraId="648F54A1" w14:textId="2B3F69F2" w:rsidR="008A5C74" w:rsidRPr="00BD271D" w:rsidRDefault="008A5C74" w:rsidP="008A5C74">
            <w:pPr>
              <w:spacing w:after="0" w:line="240" w:lineRule="auto"/>
              <w:jc w:val="center"/>
              <w:rPr>
                <w:rFonts w:eastAsia="Times New Roman" w:cs="Times New Roman"/>
                <w:color w:val="000000"/>
                <w:sz w:val="22"/>
                <w:lang w:val="en-GB"/>
              </w:rPr>
            </w:pPr>
          </w:p>
        </w:tc>
        <w:tc>
          <w:tcPr>
            <w:tcW w:w="858" w:type="dxa"/>
            <w:shd w:val="clear" w:color="auto" w:fill="auto"/>
            <w:noWrap/>
            <w:hideMark/>
          </w:tcPr>
          <w:p w14:paraId="69AE8A2A" w14:textId="3AD03A23" w:rsidR="008A5C74" w:rsidRPr="00BD271D" w:rsidRDefault="008A5C74" w:rsidP="008A5C74">
            <w:pPr>
              <w:spacing w:after="0" w:line="240" w:lineRule="auto"/>
              <w:jc w:val="center"/>
              <w:rPr>
                <w:rFonts w:eastAsia="Times New Roman" w:cs="Times New Roman"/>
                <w:color w:val="000000"/>
                <w:sz w:val="22"/>
                <w:lang w:val="en-GB"/>
              </w:rPr>
            </w:pPr>
          </w:p>
        </w:tc>
        <w:tc>
          <w:tcPr>
            <w:tcW w:w="874" w:type="dxa"/>
            <w:shd w:val="clear" w:color="auto" w:fill="auto"/>
            <w:noWrap/>
            <w:hideMark/>
          </w:tcPr>
          <w:p w14:paraId="67F759C0" w14:textId="615326A8" w:rsidR="008A5C74" w:rsidRPr="00BD271D" w:rsidRDefault="008A5C74" w:rsidP="008A5C74">
            <w:pPr>
              <w:spacing w:after="0" w:line="240" w:lineRule="auto"/>
              <w:jc w:val="center"/>
              <w:rPr>
                <w:rFonts w:eastAsia="Times New Roman" w:cs="Times New Roman"/>
                <w:color w:val="000000"/>
                <w:sz w:val="22"/>
                <w:lang w:val="en-GB"/>
              </w:rPr>
            </w:pPr>
          </w:p>
        </w:tc>
        <w:tc>
          <w:tcPr>
            <w:tcW w:w="990" w:type="dxa"/>
            <w:shd w:val="clear" w:color="auto" w:fill="auto"/>
            <w:noWrap/>
            <w:hideMark/>
          </w:tcPr>
          <w:p w14:paraId="173B1B8E" w14:textId="4DFEE1FB" w:rsidR="008A5C74" w:rsidRPr="00BD271D" w:rsidRDefault="008A5C74" w:rsidP="008A5C74">
            <w:pPr>
              <w:spacing w:after="0" w:line="240" w:lineRule="auto"/>
              <w:jc w:val="center"/>
              <w:rPr>
                <w:rFonts w:eastAsia="Times New Roman" w:cs="Times New Roman"/>
                <w:color w:val="000000"/>
                <w:sz w:val="22"/>
                <w:lang w:val="en-GB"/>
              </w:rPr>
            </w:pPr>
          </w:p>
        </w:tc>
      </w:tr>
      <w:tr w:rsidR="008A5C74" w:rsidRPr="00BD271D" w14:paraId="7055C19E" w14:textId="77777777" w:rsidTr="008A5C74">
        <w:trPr>
          <w:trHeight w:val="244"/>
          <w:jc w:val="center"/>
        </w:trPr>
        <w:tc>
          <w:tcPr>
            <w:tcW w:w="2515" w:type="dxa"/>
            <w:shd w:val="clear" w:color="auto" w:fill="auto"/>
            <w:noWrap/>
            <w:hideMark/>
          </w:tcPr>
          <w:p w14:paraId="08622995" w14:textId="77777777" w:rsidR="008A5C74" w:rsidRPr="00BD271D" w:rsidRDefault="008A5C74" w:rsidP="008A5C74">
            <w:pPr>
              <w:spacing w:after="0" w:line="240" w:lineRule="auto"/>
              <w:rPr>
                <w:rFonts w:eastAsia="Times New Roman" w:cs="Times New Roman"/>
                <w:color w:val="000000"/>
                <w:sz w:val="22"/>
                <w:lang w:val="en-GB"/>
              </w:rPr>
            </w:pPr>
            <w:r w:rsidRPr="00BD271D">
              <w:rPr>
                <w:rFonts w:eastAsia="Times New Roman" w:cs="Times New Roman"/>
                <w:color w:val="000000"/>
                <w:sz w:val="22"/>
                <w:lang w:val="en-GB"/>
              </w:rPr>
              <w:t>Gross profit margin</w:t>
            </w:r>
          </w:p>
        </w:tc>
        <w:tc>
          <w:tcPr>
            <w:tcW w:w="900" w:type="dxa"/>
            <w:shd w:val="clear" w:color="auto" w:fill="auto"/>
            <w:noWrap/>
            <w:hideMark/>
          </w:tcPr>
          <w:p w14:paraId="38E1E3FD" w14:textId="77777777"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63%</w:t>
            </w:r>
          </w:p>
        </w:tc>
        <w:tc>
          <w:tcPr>
            <w:tcW w:w="900" w:type="dxa"/>
            <w:shd w:val="clear" w:color="auto" w:fill="auto"/>
            <w:noWrap/>
            <w:hideMark/>
          </w:tcPr>
          <w:p w14:paraId="4CF436DA" w14:textId="77777777"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67%</w:t>
            </w:r>
          </w:p>
        </w:tc>
        <w:tc>
          <w:tcPr>
            <w:tcW w:w="968" w:type="dxa"/>
            <w:shd w:val="clear" w:color="auto" w:fill="auto"/>
            <w:noWrap/>
            <w:hideMark/>
          </w:tcPr>
          <w:p w14:paraId="4FE93025" w14:textId="77777777"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66%</w:t>
            </w:r>
          </w:p>
        </w:tc>
        <w:tc>
          <w:tcPr>
            <w:tcW w:w="858" w:type="dxa"/>
            <w:shd w:val="clear" w:color="auto" w:fill="auto"/>
            <w:noWrap/>
            <w:hideMark/>
          </w:tcPr>
          <w:p w14:paraId="3FE8EB4F" w14:textId="77777777"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67%</w:t>
            </w:r>
          </w:p>
        </w:tc>
        <w:tc>
          <w:tcPr>
            <w:tcW w:w="874" w:type="dxa"/>
            <w:shd w:val="clear" w:color="auto" w:fill="auto"/>
            <w:noWrap/>
            <w:hideMark/>
          </w:tcPr>
          <w:p w14:paraId="659816CE" w14:textId="77777777"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65%</w:t>
            </w:r>
          </w:p>
        </w:tc>
        <w:tc>
          <w:tcPr>
            <w:tcW w:w="990" w:type="dxa"/>
            <w:shd w:val="clear" w:color="auto" w:fill="auto"/>
            <w:noWrap/>
            <w:hideMark/>
          </w:tcPr>
          <w:p w14:paraId="16AFC643" w14:textId="360A9FE2"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65</w:t>
            </w:r>
            <w:r w:rsidR="00BC6E95" w:rsidRPr="00BD271D">
              <w:rPr>
                <w:rFonts w:eastAsia="Times New Roman" w:cs="Times New Roman"/>
                <w:color w:val="000000"/>
                <w:sz w:val="22"/>
                <w:lang w:val="en-GB"/>
              </w:rPr>
              <w:t>%</w:t>
            </w:r>
          </w:p>
        </w:tc>
      </w:tr>
      <w:tr w:rsidR="008A5C74" w:rsidRPr="00BD271D" w14:paraId="143E0223" w14:textId="77777777" w:rsidTr="008A5C74">
        <w:trPr>
          <w:trHeight w:val="244"/>
          <w:jc w:val="center"/>
        </w:trPr>
        <w:tc>
          <w:tcPr>
            <w:tcW w:w="2515" w:type="dxa"/>
            <w:shd w:val="clear" w:color="auto" w:fill="auto"/>
            <w:noWrap/>
            <w:hideMark/>
          </w:tcPr>
          <w:p w14:paraId="24F1BCF7" w14:textId="77777777" w:rsidR="008A5C74" w:rsidRPr="00BD271D" w:rsidRDefault="008A5C74" w:rsidP="008A5C74">
            <w:pPr>
              <w:spacing w:after="0" w:line="240" w:lineRule="auto"/>
              <w:rPr>
                <w:rFonts w:eastAsia="Times New Roman" w:cs="Times New Roman"/>
                <w:color w:val="000000"/>
                <w:sz w:val="22"/>
                <w:lang w:val="en-GB"/>
              </w:rPr>
            </w:pPr>
            <w:r w:rsidRPr="00BD271D">
              <w:rPr>
                <w:rFonts w:eastAsia="Times New Roman" w:cs="Times New Roman"/>
                <w:color w:val="000000"/>
                <w:sz w:val="22"/>
                <w:lang w:val="en-GB"/>
              </w:rPr>
              <w:t>Net Profit margin</w:t>
            </w:r>
          </w:p>
        </w:tc>
        <w:tc>
          <w:tcPr>
            <w:tcW w:w="900" w:type="dxa"/>
            <w:shd w:val="clear" w:color="auto" w:fill="auto"/>
            <w:noWrap/>
            <w:hideMark/>
          </w:tcPr>
          <w:p w14:paraId="68EB1F3A" w14:textId="77777777"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35%</w:t>
            </w:r>
          </w:p>
        </w:tc>
        <w:tc>
          <w:tcPr>
            <w:tcW w:w="900" w:type="dxa"/>
            <w:shd w:val="clear" w:color="auto" w:fill="auto"/>
            <w:noWrap/>
            <w:hideMark/>
          </w:tcPr>
          <w:p w14:paraId="1F19E98F" w14:textId="77777777"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4%</w:t>
            </w:r>
          </w:p>
        </w:tc>
        <w:tc>
          <w:tcPr>
            <w:tcW w:w="968" w:type="dxa"/>
            <w:shd w:val="clear" w:color="auto" w:fill="auto"/>
            <w:noWrap/>
            <w:hideMark/>
          </w:tcPr>
          <w:p w14:paraId="4021E598" w14:textId="77777777"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7%</w:t>
            </w:r>
          </w:p>
        </w:tc>
        <w:tc>
          <w:tcPr>
            <w:tcW w:w="858" w:type="dxa"/>
            <w:shd w:val="clear" w:color="auto" w:fill="auto"/>
            <w:noWrap/>
            <w:hideMark/>
          </w:tcPr>
          <w:p w14:paraId="6F71DF78" w14:textId="77777777"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13%</w:t>
            </w:r>
          </w:p>
        </w:tc>
        <w:tc>
          <w:tcPr>
            <w:tcW w:w="874" w:type="dxa"/>
            <w:shd w:val="clear" w:color="auto" w:fill="auto"/>
            <w:noWrap/>
            <w:hideMark/>
          </w:tcPr>
          <w:p w14:paraId="7E96E3F8" w14:textId="77777777"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16%</w:t>
            </w:r>
          </w:p>
        </w:tc>
        <w:tc>
          <w:tcPr>
            <w:tcW w:w="990" w:type="dxa"/>
            <w:shd w:val="clear" w:color="auto" w:fill="auto"/>
            <w:noWrap/>
            <w:hideMark/>
          </w:tcPr>
          <w:p w14:paraId="7DB49827" w14:textId="16267A1A"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15</w:t>
            </w:r>
            <w:r w:rsidR="00BC6E95" w:rsidRPr="00BD271D">
              <w:rPr>
                <w:rFonts w:eastAsia="Times New Roman" w:cs="Times New Roman"/>
                <w:color w:val="000000"/>
                <w:sz w:val="22"/>
                <w:lang w:val="en-GB"/>
              </w:rPr>
              <w:t>%</w:t>
            </w:r>
          </w:p>
        </w:tc>
      </w:tr>
      <w:tr w:rsidR="008A5C74" w:rsidRPr="00BD271D" w14:paraId="6F075781" w14:textId="77777777" w:rsidTr="008A5C74">
        <w:trPr>
          <w:trHeight w:val="244"/>
          <w:jc w:val="center"/>
        </w:trPr>
        <w:tc>
          <w:tcPr>
            <w:tcW w:w="2515" w:type="dxa"/>
            <w:shd w:val="clear" w:color="auto" w:fill="auto"/>
            <w:noWrap/>
            <w:hideMark/>
          </w:tcPr>
          <w:p w14:paraId="29E4B6D5" w14:textId="77777777" w:rsidR="008A5C74" w:rsidRPr="00BD271D" w:rsidRDefault="008A5C74" w:rsidP="008A5C74">
            <w:pPr>
              <w:spacing w:after="0" w:line="240" w:lineRule="auto"/>
              <w:rPr>
                <w:rFonts w:eastAsia="Times New Roman" w:cs="Times New Roman"/>
                <w:color w:val="000000"/>
                <w:sz w:val="22"/>
                <w:lang w:val="en-GB"/>
              </w:rPr>
            </w:pPr>
            <w:r w:rsidRPr="00BD271D">
              <w:rPr>
                <w:rFonts w:eastAsia="Times New Roman" w:cs="Times New Roman"/>
                <w:color w:val="000000"/>
                <w:sz w:val="22"/>
                <w:lang w:val="en-GB"/>
              </w:rPr>
              <w:t>Return on asset</w:t>
            </w:r>
          </w:p>
        </w:tc>
        <w:tc>
          <w:tcPr>
            <w:tcW w:w="900" w:type="dxa"/>
            <w:shd w:val="clear" w:color="auto" w:fill="auto"/>
            <w:noWrap/>
            <w:hideMark/>
          </w:tcPr>
          <w:p w14:paraId="4646D31C" w14:textId="77777777"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16%</w:t>
            </w:r>
          </w:p>
        </w:tc>
        <w:tc>
          <w:tcPr>
            <w:tcW w:w="900" w:type="dxa"/>
            <w:shd w:val="clear" w:color="auto" w:fill="auto"/>
            <w:noWrap/>
            <w:hideMark/>
          </w:tcPr>
          <w:p w14:paraId="261DA8D3" w14:textId="77777777"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2%</w:t>
            </w:r>
          </w:p>
        </w:tc>
        <w:tc>
          <w:tcPr>
            <w:tcW w:w="968" w:type="dxa"/>
            <w:shd w:val="clear" w:color="auto" w:fill="auto"/>
            <w:noWrap/>
            <w:hideMark/>
          </w:tcPr>
          <w:p w14:paraId="5AE25D59" w14:textId="77777777"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4%</w:t>
            </w:r>
          </w:p>
        </w:tc>
        <w:tc>
          <w:tcPr>
            <w:tcW w:w="858" w:type="dxa"/>
            <w:shd w:val="clear" w:color="auto" w:fill="auto"/>
            <w:noWrap/>
            <w:hideMark/>
          </w:tcPr>
          <w:p w14:paraId="3924101A" w14:textId="77777777"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7%</w:t>
            </w:r>
          </w:p>
        </w:tc>
        <w:tc>
          <w:tcPr>
            <w:tcW w:w="874" w:type="dxa"/>
            <w:shd w:val="clear" w:color="auto" w:fill="auto"/>
            <w:noWrap/>
            <w:hideMark/>
          </w:tcPr>
          <w:p w14:paraId="378A7715" w14:textId="77777777"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7%</w:t>
            </w:r>
          </w:p>
        </w:tc>
        <w:tc>
          <w:tcPr>
            <w:tcW w:w="990" w:type="dxa"/>
            <w:shd w:val="clear" w:color="auto" w:fill="auto"/>
            <w:noWrap/>
            <w:hideMark/>
          </w:tcPr>
          <w:p w14:paraId="56073EF6" w14:textId="7139E10D" w:rsidR="008A5C74" w:rsidRPr="00BD271D" w:rsidRDefault="00BC6E95"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7%</w:t>
            </w:r>
          </w:p>
        </w:tc>
      </w:tr>
      <w:tr w:rsidR="008A5C74" w:rsidRPr="00BD271D" w14:paraId="4EAAA1BB" w14:textId="77777777" w:rsidTr="008A5C74">
        <w:trPr>
          <w:trHeight w:val="244"/>
          <w:jc w:val="center"/>
        </w:trPr>
        <w:tc>
          <w:tcPr>
            <w:tcW w:w="2515" w:type="dxa"/>
            <w:shd w:val="clear" w:color="auto" w:fill="auto"/>
            <w:noWrap/>
            <w:hideMark/>
          </w:tcPr>
          <w:p w14:paraId="07B4DE89" w14:textId="77777777" w:rsidR="008A5C74" w:rsidRPr="00BD271D" w:rsidRDefault="008A5C74" w:rsidP="008A5C74">
            <w:pPr>
              <w:spacing w:after="0" w:line="240" w:lineRule="auto"/>
              <w:rPr>
                <w:rFonts w:eastAsia="Times New Roman" w:cs="Times New Roman"/>
                <w:color w:val="000000"/>
                <w:sz w:val="22"/>
                <w:lang w:val="en-GB"/>
              </w:rPr>
            </w:pPr>
            <w:r w:rsidRPr="00BD271D">
              <w:rPr>
                <w:rFonts w:eastAsia="Times New Roman" w:cs="Times New Roman"/>
                <w:color w:val="000000"/>
                <w:sz w:val="22"/>
                <w:lang w:val="en-GB"/>
              </w:rPr>
              <w:t>Return on equity</w:t>
            </w:r>
          </w:p>
        </w:tc>
        <w:tc>
          <w:tcPr>
            <w:tcW w:w="900" w:type="dxa"/>
            <w:shd w:val="clear" w:color="auto" w:fill="auto"/>
            <w:noWrap/>
            <w:hideMark/>
          </w:tcPr>
          <w:p w14:paraId="40C9EC2F" w14:textId="77777777"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94%</w:t>
            </w:r>
          </w:p>
        </w:tc>
        <w:tc>
          <w:tcPr>
            <w:tcW w:w="900" w:type="dxa"/>
            <w:shd w:val="clear" w:color="auto" w:fill="auto"/>
            <w:noWrap/>
            <w:hideMark/>
          </w:tcPr>
          <w:p w14:paraId="1D76ACAE" w14:textId="77777777"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21%</w:t>
            </w:r>
          </w:p>
        </w:tc>
        <w:tc>
          <w:tcPr>
            <w:tcW w:w="968" w:type="dxa"/>
            <w:shd w:val="clear" w:color="auto" w:fill="auto"/>
            <w:noWrap/>
            <w:hideMark/>
          </w:tcPr>
          <w:p w14:paraId="6CCB4E60" w14:textId="77777777"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62%</w:t>
            </w:r>
          </w:p>
        </w:tc>
        <w:tc>
          <w:tcPr>
            <w:tcW w:w="858" w:type="dxa"/>
            <w:shd w:val="clear" w:color="auto" w:fill="auto"/>
            <w:noWrap/>
            <w:hideMark/>
          </w:tcPr>
          <w:p w14:paraId="4E8A976F" w14:textId="77777777"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110%</w:t>
            </w:r>
          </w:p>
        </w:tc>
        <w:tc>
          <w:tcPr>
            <w:tcW w:w="874" w:type="dxa"/>
            <w:shd w:val="clear" w:color="auto" w:fill="auto"/>
            <w:noWrap/>
            <w:hideMark/>
          </w:tcPr>
          <w:p w14:paraId="35E06028" w14:textId="77777777"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29%</w:t>
            </w:r>
          </w:p>
        </w:tc>
        <w:tc>
          <w:tcPr>
            <w:tcW w:w="990" w:type="dxa"/>
            <w:shd w:val="clear" w:color="auto" w:fill="auto"/>
            <w:noWrap/>
            <w:hideMark/>
          </w:tcPr>
          <w:p w14:paraId="7BD5A868" w14:textId="373D5032" w:rsidR="008A5C74" w:rsidRPr="00BD271D" w:rsidRDefault="00BC6E95"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63%</w:t>
            </w:r>
          </w:p>
        </w:tc>
      </w:tr>
      <w:tr w:rsidR="008A5C74" w:rsidRPr="00BD271D" w14:paraId="4D579527" w14:textId="77777777" w:rsidTr="008A5C74">
        <w:trPr>
          <w:trHeight w:val="244"/>
          <w:jc w:val="center"/>
        </w:trPr>
        <w:tc>
          <w:tcPr>
            <w:tcW w:w="2515" w:type="dxa"/>
            <w:shd w:val="clear" w:color="auto" w:fill="auto"/>
            <w:noWrap/>
            <w:hideMark/>
          </w:tcPr>
          <w:p w14:paraId="030B57D5" w14:textId="77777777" w:rsidR="008A5C74" w:rsidRPr="00BD271D" w:rsidRDefault="008A5C74" w:rsidP="008A5C74">
            <w:pPr>
              <w:spacing w:after="0" w:line="240" w:lineRule="auto"/>
              <w:rPr>
                <w:rFonts w:eastAsia="Times New Roman" w:cs="Times New Roman"/>
                <w:b/>
                <w:bCs/>
                <w:i/>
                <w:iCs/>
                <w:color w:val="000000"/>
                <w:sz w:val="22"/>
                <w:lang w:val="en-GB"/>
              </w:rPr>
            </w:pPr>
            <w:r w:rsidRPr="00BD271D">
              <w:rPr>
                <w:rFonts w:eastAsia="Times New Roman" w:cs="Times New Roman"/>
                <w:b/>
                <w:bCs/>
                <w:i/>
                <w:iCs/>
                <w:color w:val="000000"/>
                <w:sz w:val="22"/>
                <w:lang w:val="en-GB"/>
              </w:rPr>
              <w:t>Gearing Ratio</w:t>
            </w:r>
          </w:p>
        </w:tc>
        <w:tc>
          <w:tcPr>
            <w:tcW w:w="900" w:type="dxa"/>
            <w:shd w:val="clear" w:color="auto" w:fill="auto"/>
            <w:noWrap/>
            <w:hideMark/>
          </w:tcPr>
          <w:p w14:paraId="65353223" w14:textId="0C78ED0F" w:rsidR="008A5C74" w:rsidRPr="00BD271D" w:rsidRDefault="008A5C74" w:rsidP="008A5C74">
            <w:pPr>
              <w:spacing w:after="0" w:line="240" w:lineRule="auto"/>
              <w:jc w:val="center"/>
              <w:rPr>
                <w:rFonts w:eastAsia="Times New Roman" w:cs="Times New Roman"/>
                <w:color w:val="000000"/>
                <w:sz w:val="22"/>
                <w:lang w:val="en-GB"/>
              </w:rPr>
            </w:pPr>
          </w:p>
        </w:tc>
        <w:tc>
          <w:tcPr>
            <w:tcW w:w="900" w:type="dxa"/>
            <w:shd w:val="clear" w:color="auto" w:fill="auto"/>
            <w:noWrap/>
            <w:hideMark/>
          </w:tcPr>
          <w:p w14:paraId="44D1458E" w14:textId="162B1BD0" w:rsidR="008A5C74" w:rsidRPr="00BD271D" w:rsidRDefault="008A5C74" w:rsidP="008A5C74">
            <w:pPr>
              <w:spacing w:after="0" w:line="240" w:lineRule="auto"/>
              <w:jc w:val="center"/>
              <w:rPr>
                <w:rFonts w:eastAsia="Times New Roman" w:cs="Times New Roman"/>
                <w:color w:val="000000"/>
                <w:sz w:val="22"/>
                <w:lang w:val="en-GB"/>
              </w:rPr>
            </w:pPr>
          </w:p>
        </w:tc>
        <w:tc>
          <w:tcPr>
            <w:tcW w:w="968" w:type="dxa"/>
            <w:shd w:val="clear" w:color="auto" w:fill="auto"/>
            <w:noWrap/>
            <w:hideMark/>
          </w:tcPr>
          <w:p w14:paraId="2B662517" w14:textId="0ED6B95B" w:rsidR="008A5C74" w:rsidRPr="00BD271D" w:rsidRDefault="008A5C74" w:rsidP="008A5C74">
            <w:pPr>
              <w:spacing w:after="0" w:line="240" w:lineRule="auto"/>
              <w:jc w:val="center"/>
              <w:rPr>
                <w:rFonts w:eastAsia="Times New Roman" w:cs="Times New Roman"/>
                <w:color w:val="000000"/>
                <w:sz w:val="22"/>
                <w:lang w:val="en-GB"/>
              </w:rPr>
            </w:pPr>
          </w:p>
        </w:tc>
        <w:tc>
          <w:tcPr>
            <w:tcW w:w="858" w:type="dxa"/>
            <w:shd w:val="clear" w:color="auto" w:fill="auto"/>
            <w:noWrap/>
            <w:hideMark/>
          </w:tcPr>
          <w:p w14:paraId="08A9A84B" w14:textId="5E9193C6" w:rsidR="008A5C74" w:rsidRPr="00BD271D" w:rsidRDefault="008A5C74" w:rsidP="008A5C74">
            <w:pPr>
              <w:spacing w:after="0" w:line="240" w:lineRule="auto"/>
              <w:jc w:val="center"/>
              <w:rPr>
                <w:rFonts w:eastAsia="Times New Roman" w:cs="Times New Roman"/>
                <w:color w:val="000000"/>
                <w:sz w:val="22"/>
                <w:lang w:val="en-GB"/>
              </w:rPr>
            </w:pPr>
          </w:p>
        </w:tc>
        <w:tc>
          <w:tcPr>
            <w:tcW w:w="874" w:type="dxa"/>
            <w:shd w:val="clear" w:color="auto" w:fill="auto"/>
            <w:noWrap/>
            <w:hideMark/>
          </w:tcPr>
          <w:p w14:paraId="6FA9FCEA" w14:textId="11DF0A38" w:rsidR="008A5C74" w:rsidRPr="00BD271D" w:rsidRDefault="008A5C74" w:rsidP="008A5C74">
            <w:pPr>
              <w:spacing w:after="0" w:line="240" w:lineRule="auto"/>
              <w:jc w:val="center"/>
              <w:rPr>
                <w:rFonts w:eastAsia="Times New Roman" w:cs="Times New Roman"/>
                <w:color w:val="000000"/>
                <w:sz w:val="22"/>
                <w:lang w:val="en-GB"/>
              </w:rPr>
            </w:pPr>
          </w:p>
        </w:tc>
        <w:tc>
          <w:tcPr>
            <w:tcW w:w="990" w:type="dxa"/>
            <w:shd w:val="clear" w:color="auto" w:fill="auto"/>
            <w:noWrap/>
            <w:hideMark/>
          </w:tcPr>
          <w:p w14:paraId="67589BA2" w14:textId="3497C06A" w:rsidR="008A5C74" w:rsidRPr="00BD271D" w:rsidRDefault="008A5C74" w:rsidP="008A5C74">
            <w:pPr>
              <w:spacing w:after="0" w:line="240" w:lineRule="auto"/>
              <w:jc w:val="center"/>
              <w:rPr>
                <w:rFonts w:eastAsia="Times New Roman" w:cs="Times New Roman"/>
                <w:color w:val="000000"/>
                <w:sz w:val="22"/>
                <w:lang w:val="en-GB"/>
              </w:rPr>
            </w:pPr>
          </w:p>
        </w:tc>
      </w:tr>
      <w:tr w:rsidR="008A5C74" w:rsidRPr="00BD271D" w14:paraId="34913D9A" w14:textId="77777777" w:rsidTr="008A5C74">
        <w:trPr>
          <w:trHeight w:val="244"/>
          <w:jc w:val="center"/>
        </w:trPr>
        <w:tc>
          <w:tcPr>
            <w:tcW w:w="2515" w:type="dxa"/>
            <w:shd w:val="clear" w:color="auto" w:fill="auto"/>
            <w:noWrap/>
            <w:hideMark/>
          </w:tcPr>
          <w:p w14:paraId="3401EA50" w14:textId="77777777" w:rsidR="008A5C74" w:rsidRPr="00BD271D" w:rsidRDefault="008A5C74" w:rsidP="008A5C74">
            <w:pPr>
              <w:spacing w:after="0" w:line="240" w:lineRule="auto"/>
              <w:rPr>
                <w:rFonts w:eastAsia="Times New Roman" w:cs="Times New Roman"/>
                <w:color w:val="000000"/>
                <w:sz w:val="22"/>
                <w:lang w:val="en-GB"/>
              </w:rPr>
            </w:pPr>
            <w:r w:rsidRPr="00BD271D">
              <w:rPr>
                <w:rFonts w:eastAsia="Times New Roman" w:cs="Times New Roman"/>
                <w:color w:val="000000"/>
                <w:sz w:val="22"/>
                <w:lang w:val="en-GB"/>
              </w:rPr>
              <w:t>Debt ratio</w:t>
            </w:r>
          </w:p>
        </w:tc>
        <w:tc>
          <w:tcPr>
            <w:tcW w:w="900" w:type="dxa"/>
            <w:shd w:val="clear" w:color="auto" w:fill="auto"/>
            <w:noWrap/>
            <w:hideMark/>
          </w:tcPr>
          <w:p w14:paraId="4886BD2E" w14:textId="77777777"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0.83</w:t>
            </w:r>
          </w:p>
        </w:tc>
        <w:tc>
          <w:tcPr>
            <w:tcW w:w="900" w:type="dxa"/>
            <w:shd w:val="clear" w:color="auto" w:fill="auto"/>
            <w:noWrap/>
            <w:hideMark/>
          </w:tcPr>
          <w:p w14:paraId="74145770" w14:textId="77777777"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0.92</w:t>
            </w:r>
          </w:p>
        </w:tc>
        <w:tc>
          <w:tcPr>
            <w:tcW w:w="968" w:type="dxa"/>
            <w:shd w:val="clear" w:color="auto" w:fill="auto"/>
            <w:noWrap/>
            <w:hideMark/>
          </w:tcPr>
          <w:p w14:paraId="4B6B59B3" w14:textId="77777777"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0.94</w:t>
            </w:r>
          </w:p>
        </w:tc>
        <w:tc>
          <w:tcPr>
            <w:tcW w:w="858" w:type="dxa"/>
            <w:shd w:val="clear" w:color="auto" w:fill="auto"/>
            <w:noWrap/>
            <w:hideMark/>
          </w:tcPr>
          <w:p w14:paraId="705D0529" w14:textId="77777777"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0.94</w:t>
            </w:r>
          </w:p>
        </w:tc>
        <w:tc>
          <w:tcPr>
            <w:tcW w:w="874" w:type="dxa"/>
            <w:shd w:val="clear" w:color="auto" w:fill="auto"/>
            <w:noWrap/>
            <w:hideMark/>
          </w:tcPr>
          <w:p w14:paraId="3B9BEDA1" w14:textId="77777777"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0.77</w:t>
            </w:r>
          </w:p>
        </w:tc>
        <w:tc>
          <w:tcPr>
            <w:tcW w:w="990" w:type="dxa"/>
            <w:shd w:val="clear" w:color="auto" w:fill="auto"/>
            <w:noWrap/>
            <w:hideMark/>
          </w:tcPr>
          <w:p w14:paraId="67F81D84" w14:textId="64035F13"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0.</w:t>
            </w:r>
            <w:r w:rsidR="00822161" w:rsidRPr="00BD271D">
              <w:rPr>
                <w:rFonts w:eastAsia="Times New Roman" w:cs="Times New Roman"/>
                <w:color w:val="000000"/>
                <w:sz w:val="22"/>
                <w:lang w:val="en-GB"/>
              </w:rPr>
              <w:t>50</w:t>
            </w:r>
          </w:p>
        </w:tc>
      </w:tr>
      <w:tr w:rsidR="008A5C74" w:rsidRPr="00BD271D" w14:paraId="521A456C" w14:textId="77777777" w:rsidTr="008A5C74">
        <w:trPr>
          <w:trHeight w:val="244"/>
          <w:jc w:val="center"/>
        </w:trPr>
        <w:tc>
          <w:tcPr>
            <w:tcW w:w="2515" w:type="dxa"/>
            <w:shd w:val="clear" w:color="auto" w:fill="auto"/>
            <w:noWrap/>
            <w:hideMark/>
          </w:tcPr>
          <w:p w14:paraId="42F4FEF5" w14:textId="77777777" w:rsidR="008A5C74" w:rsidRPr="00BD271D" w:rsidRDefault="008A5C74" w:rsidP="008A5C74">
            <w:pPr>
              <w:spacing w:after="0" w:line="240" w:lineRule="auto"/>
              <w:rPr>
                <w:rFonts w:eastAsia="Times New Roman" w:cs="Times New Roman"/>
                <w:color w:val="000000"/>
                <w:sz w:val="22"/>
                <w:lang w:val="en-GB"/>
              </w:rPr>
            </w:pPr>
            <w:r w:rsidRPr="00BD271D">
              <w:rPr>
                <w:rFonts w:eastAsia="Times New Roman" w:cs="Times New Roman"/>
                <w:color w:val="000000"/>
                <w:sz w:val="22"/>
                <w:lang w:val="en-GB"/>
              </w:rPr>
              <w:t>Debt to equity ratio</w:t>
            </w:r>
          </w:p>
        </w:tc>
        <w:tc>
          <w:tcPr>
            <w:tcW w:w="900" w:type="dxa"/>
            <w:shd w:val="clear" w:color="auto" w:fill="auto"/>
            <w:noWrap/>
            <w:hideMark/>
          </w:tcPr>
          <w:p w14:paraId="4BE5D7D1" w14:textId="77777777"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5.02</w:t>
            </w:r>
          </w:p>
        </w:tc>
        <w:tc>
          <w:tcPr>
            <w:tcW w:w="900" w:type="dxa"/>
            <w:shd w:val="clear" w:color="auto" w:fill="auto"/>
            <w:noWrap/>
            <w:hideMark/>
          </w:tcPr>
          <w:p w14:paraId="4B954C75" w14:textId="77777777"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10.90</w:t>
            </w:r>
          </w:p>
        </w:tc>
        <w:tc>
          <w:tcPr>
            <w:tcW w:w="968" w:type="dxa"/>
            <w:shd w:val="clear" w:color="auto" w:fill="auto"/>
            <w:noWrap/>
            <w:hideMark/>
          </w:tcPr>
          <w:p w14:paraId="39A3150C" w14:textId="77777777"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15.16</w:t>
            </w:r>
          </w:p>
        </w:tc>
        <w:tc>
          <w:tcPr>
            <w:tcW w:w="858" w:type="dxa"/>
            <w:shd w:val="clear" w:color="auto" w:fill="auto"/>
            <w:noWrap/>
            <w:hideMark/>
          </w:tcPr>
          <w:p w14:paraId="406B4075" w14:textId="77777777"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14.81</w:t>
            </w:r>
          </w:p>
        </w:tc>
        <w:tc>
          <w:tcPr>
            <w:tcW w:w="874" w:type="dxa"/>
            <w:shd w:val="clear" w:color="auto" w:fill="auto"/>
            <w:noWrap/>
            <w:hideMark/>
          </w:tcPr>
          <w:p w14:paraId="6D948CD6" w14:textId="77777777"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3.34</w:t>
            </w:r>
          </w:p>
        </w:tc>
        <w:tc>
          <w:tcPr>
            <w:tcW w:w="990" w:type="dxa"/>
            <w:shd w:val="clear" w:color="auto" w:fill="auto"/>
            <w:noWrap/>
            <w:hideMark/>
          </w:tcPr>
          <w:p w14:paraId="76EBE0C1" w14:textId="52E9BB63" w:rsidR="008A5C74" w:rsidRPr="00BD271D" w:rsidRDefault="00822161"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1:00</w:t>
            </w:r>
          </w:p>
        </w:tc>
      </w:tr>
      <w:tr w:rsidR="008A5C74" w:rsidRPr="00BD271D" w14:paraId="21CF32E4" w14:textId="77777777" w:rsidTr="008A5C74">
        <w:trPr>
          <w:trHeight w:val="244"/>
          <w:jc w:val="center"/>
        </w:trPr>
        <w:tc>
          <w:tcPr>
            <w:tcW w:w="2515" w:type="dxa"/>
            <w:shd w:val="clear" w:color="auto" w:fill="auto"/>
            <w:noWrap/>
            <w:hideMark/>
          </w:tcPr>
          <w:p w14:paraId="54E61D12" w14:textId="77777777" w:rsidR="008A5C74" w:rsidRPr="00BD271D" w:rsidRDefault="008A5C74" w:rsidP="008A5C74">
            <w:pPr>
              <w:spacing w:after="0" w:line="240" w:lineRule="auto"/>
              <w:rPr>
                <w:rFonts w:eastAsia="Times New Roman" w:cs="Times New Roman"/>
                <w:color w:val="000000"/>
                <w:sz w:val="22"/>
                <w:lang w:val="en-GB"/>
              </w:rPr>
            </w:pPr>
            <w:r w:rsidRPr="00BD271D">
              <w:rPr>
                <w:rFonts w:eastAsia="Times New Roman" w:cs="Times New Roman"/>
                <w:color w:val="000000"/>
                <w:sz w:val="22"/>
                <w:lang w:val="en-GB"/>
              </w:rPr>
              <w:t>Interest coverage ratio</w:t>
            </w:r>
          </w:p>
        </w:tc>
        <w:tc>
          <w:tcPr>
            <w:tcW w:w="900" w:type="dxa"/>
            <w:shd w:val="clear" w:color="auto" w:fill="auto"/>
            <w:noWrap/>
            <w:hideMark/>
          </w:tcPr>
          <w:p w14:paraId="1AF61767" w14:textId="77777777"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13.64</w:t>
            </w:r>
          </w:p>
        </w:tc>
        <w:tc>
          <w:tcPr>
            <w:tcW w:w="900" w:type="dxa"/>
            <w:shd w:val="clear" w:color="auto" w:fill="auto"/>
            <w:noWrap/>
            <w:hideMark/>
          </w:tcPr>
          <w:p w14:paraId="6DEC986A" w14:textId="77777777"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3.53</w:t>
            </w:r>
          </w:p>
        </w:tc>
        <w:tc>
          <w:tcPr>
            <w:tcW w:w="968" w:type="dxa"/>
            <w:shd w:val="clear" w:color="auto" w:fill="auto"/>
            <w:noWrap/>
            <w:hideMark/>
          </w:tcPr>
          <w:p w14:paraId="28A01E15" w14:textId="77777777"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5.57</w:t>
            </w:r>
          </w:p>
        </w:tc>
        <w:tc>
          <w:tcPr>
            <w:tcW w:w="858" w:type="dxa"/>
            <w:shd w:val="clear" w:color="auto" w:fill="auto"/>
            <w:noWrap/>
            <w:hideMark/>
          </w:tcPr>
          <w:p w14:paraId="21AEE3F9" w14:textId="77777777"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6.87</w:t>
            </w:r>
          </w:p>
        </w:tc>
        <w:tc>
          <w:tcPr>
            <w:tcW w:w="874" w:type="dxa"/>
            <w:shd w:val="clear" w:color="auto" w:fill="auto"/>
            <w:noWrap/>
            <w:hideMark/>
          </w:tcPr>
          <w:p w14:paraId="4D6C80DA" w14:textId="77777777"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7.63</w:t>
            </w:r>
          </w:p>
        </w:tc>
        <w:tc>
          <w:tcPr>
            <w:tcW w:w="990" w:type="dxa"/>
            <w:shd w:val="clear" w:color="auto" w:fill="auto"/>
            <w:noWrap/>
            <w:hideMark/>
          </w:tcPr>
          <w:p w14:paraId="56980A47" w14:textId="46DADB58"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7.45</w:t>
            </w:r>
          </w:p>
        </w:tc>
      </w:tr>
      <w:tr w:rsidR="008A5C74" w:rsidRPr="00BD271D" w14:paraId="06930B5A" w14:textId="77777777" w:rsidTr="008A5C74">
        <w:trPr>
          <w:trHeight w:val="244"/>
          <w:jc w:val="center"/>
        </w:trPr>
        <w:tc>
          <w:tcPr>
            <w:tcW w:w="2515" w:type="dxa"/>
            <w:shd w:val="clear" w:color="auto" w:fill="auto"/>
            <w:noWrap/>
            <w:hideMark/>
          </w:tcPr>
          <w:p w14:paraId="24E01A4A" w14:textId="77777777" w:rsidR="008A5C74" w:rsidRPr="00BD271D" w:rsidRDefault="008A5C74" w:rsidP="008A5C74">
            <w:pPr>
              <w:spacing w:after="0" w:line="240" w:lineRule="auto"/>
              <w:rPr>
                <w:rFonts w:eastAsia="Times New Roman" w:cs="Times New Roman"/>
                <w:b/>
                <w:bCs/>
                <w:i/>
                <w:iCs/>
                <w:color w:val="000000"/>
                <w:sz w:val="22"/>
                <w:lang w:val="en-GB"/>
              </w:rPr>
            </w:pPr>
            <w:r w:rsidRPr="00BD271D">
              <w:rPr>
                <w:rFonts w:eastAsia="Times New Roman" w:cs="Times New Roman"/>
                <w:b/>
                <w:bCs/>
                <w:i/>
                <w:iCs/>
                <w:color w:val="000000"/>
                <w:sz w:val="22"/>
                <w:lang w:val="en-GB"/>
              </w:rPr>
              <w:t>Efficiency Ratio</w:t>
            </w:r>
          </w:p>
        </w:tc>
        <w:tc>
          <w:tcPr>
            <w:tcW w:w="900" w:type="dxa"/>
            <w:shd w:val="clear" w:color="auto" w:fill="auto"/>
            <w:noWrap/>
            <w:hideMark/>
          </w:tcPr>
          <w:p w14:paraId="445D4AF8" w14:textId="551DAAF1" w:rsidR="008A5C74" w:rsidRPr="00BD271D" w:rsidRDefault="008A5C74" w:rsidP="008A5C74">
            <w:pPr>
              <w:spacing w:after="0" w:line="240" w:lineRule="auto"/>
              <w:jc w:val="center"/>
              <w:rPr>
                <w:rFonts w:eastAsia="Times New Roman" w:cs="Times New Roman"/>
                <w:color w:val="000000"/>
                <w:sz w:val="22"/>
                <w:lang w:val="en-GB"/>
              </w:rPr>
            </w:pPr>
          </w:p>
        </w:tc>
        <w:tc>
          <w:tcPr>
            <w:tcW w:w="900" w:type="dxa"/>
            <w:shd w:val="clear" w:color="auto" w:fill="auto"/>
            <w:noWrap/>
            <w:hideMark/>
          </w:tcPr>
          <w:p w14:paraId="4A11EDE0" w14:textId="6E33AF92" w:rsidR="008A5C74" w:rsidRPr="00BD271D" w:rsidRDefault="008A5C74" w:rsidP="008A5C74">
            <w:pPr>
              <w:spacing w:after="0" w:line="240" w:lineRule="auto"/>
              <w:jc w:val="center"/>
              <w:rPr>
                <w:rFonts w:eastAsia="Times New Roman" w:cs="Times New Roman"/>
                <w:color w:val="000000"/>
                <w:sz w:val="22"/>
                <w:lang w:val="en-GB"/>
              </w:rPr>
            </w:pPr>
          </w:p>
        </w:tc>
        <w:tc>
          <w:tcPr>
            <w:tcW w:w="968" w:type="dxa"/>
            <w:shd w:val="clear" w:color="auto" w:fill="auto"/>
            <w:noWrap/>
            <w:hideMark/>
          </w:tcPr>
          <w:p w14:paraId="2CDF85CA" w14:textId="4FE373F1" w:rsidR="008A5C74" w:rsidRPr="00BD271D" w:rsidRDefault="008A5C74" w:rsidP="008A5C74">
            <w:pPr>
              <w:spacing w:after="0" w:line="240" w:lineRule="auto"/>
              <w:jc w:val="center"/>
              <w:rPr>
                <w:rFonts w:eastAsia="Times New Roman" w:cs="Times New Roman"/>
                <w:color w:val="000000"/>
                <w:sz w:val="22"/>
                <w:lang w:val="en-GB"/>
              </w:rPr>
            </w:pPr>
          </w:p>
        </w:tc>
        <w:tc>
          <w:tcPr>
            <w:tcW w:w="858" w:type="dxa"/>
            <w:shd w:val="clear" w:color="auto" w:fill="auto"/>
            <w:noWrap/>
            <w:hideMark/>
          </w:tcPr>
          <w:p w14:paraId="161C60F0" w14:textId="63E3C0C9" w:rsidR="008A5C74" w:rsidRPr="00BD271D" w:rsidRDefault="008A5C74" w:rsidP="008A5C74">
            <w:pPr>
              <w:spacing w:after="0" w:line="240" w:lineRule="auto"/>
              <w:jc w:val="center"/>
              <w:rPr>
                <w:rFonts w:eastAsia="Times New Roman" w:cs="Times New Roman"/>
                <w:color w:val="000000"/>
                <w:sz w:val="22"/>
                <w:lang w:val="en-GB"/>
              </w:rPr>
            </w:pPr>
          </w:p>
        </w:tc>
        <w:tc>
          <w:tcPr>
            <w:tcW w:w="874" w:type="dxa"/>
            <w:shd w:val="clear" w:color="auto" w:fill="auto"/>
            <w:noWrap/>
            <w:hideMark/>
          </w:tcPr>
          <w:p w14:paraId="59BFA6C3" w14:textId="3367CFDD" w:rsidR="008A5C74" w:rsidRPr="00BD271D" w:rsidRDefault="008A5C74" w:rsidP="008A5C74">
            <w:pPr>
              <w:spacing w:after="0" w:line="240" w:lineRule="auto"/>
              <w:jc w:val="center"/>
              <w:rPr>
                <w:rFonts w:eastAsia="Times New Roman" w:cs="Times New Roman"/>
                <w:color w:val="000000"/>
                <w:sz w:val="22"/>
                <w:lang w:val="en-GB"/>
              </w:rPr>
            </w:pPr>
          </w:p>
        </w:tc>
        <w:tc>
          <w:tcPr>
            <w:tcW w:w="990" w:type="dxa"/>
            <w:shd w:val="clear" w:color="auto" w:fill="auto"/>
            <w:noWrap/>
            <w:hideMark/>
          </w:tcPr>
          <w:p w14:paraId="286D5CEF" w14:textId="309E19E4" w:rsidR="008A5C74" w:rsidRPr="00BD271D" w:rsidRDefault="008A5C74" w:rsidP="008A5C74">
            <w:pPr>
              <w:spacing w:after="0" w:line="240" w:lineRule="auto"/>
              <w:jc w:val="center"/>
              <w:rPr>
                <w:rFonts w:eastAsia="Times New Roman" w:cs="Times New Roman"/>
                <w:color w:val="000000"/>
                <w:sz w:val="22"/>
                <w:lang w:val="en-GB"/>
              </w:rPr>
            </w:pPr>
          </w:p>
        </w:tc>
      </w:tr>
      <w:tr w:rsidR="008A5C74" w:rsidRPr="00BD271D" w14:paraId="43F9E9F1" w14:textId="77777777" w:rsidTr="008A5C74">
        <w:trPr>
          <w:trHeight w:val="244"/>
          <w:jc w:val="center"/>
        </w:trPr>
        <w:tc>
          <w:tcPr>
            <w:tcW w:w="2515" w:type="dxa"/>
            <w:shd w:val="clear" w:color="auto" w:fill="auto"/>
            <w:noWrap/>
            <w:hideMark/>
          </w:tcPr>
          <w:p w14:paraId="52273CF5" w14:textId="77777777" w:rsidR="008A5C74" w:rsidRPr="00BD271D" w:rsidRDefault="008A5C74" w:rsidP="008A5C74">
            <w:pPr>
              <w:spacing w:after="0" w:line="240" w:lineRule="auto"/>
              <w:rPr>
                <w:rFonts w:eastAsia="Times New Roman" w:cs="Times New Roman"/>
                <w:color w:val="000000"/>
                <w:sz w:val="22"/>
                <w:lang w:val="en-GB"/>
              </w:rPr>
            </w:pPr>
            <w:r w:rsidRPr="00BD271D">
              <w:rPr>
                <w:rFonts w:eastAsia="Times New Roman" w:cs="Times New Roman"/>
                <w:color w:val="000000"/>
                <w:sz w:val="22"/>
                <w:lang w:val="en-GB"/>
              </w:rPr>
              <w:t>Asset turnover ratio</w:t>
            </w:r>
          </w:p>
        </w:tc>
        <w:tc>
          <w:tcPr>
            <w:tcW w:w="900" w:type="dxa"/>
            <w:shd w:val="clear" w:color="auto" w:fill="auto"/>
            <w:noWrap/>
            <w:hideMark/>
          </w:tcPr>
          <w:p w14:paraId="465A64DC" w14:textId="0177E627"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0.45</w:t>
            </w:r>
          </w:p>
        </w:tc>
        <w:tc>
          <w:tcPr>
            <w:tcW w:w="900" w:type="dxa"/>
            <w:shd w:val="clear" w:color="auto" w:fill="auto"/>
            <w:noWrap/>
            <w:hideMark/>
          </w:tcPr>
          <w:p w14:paraId="14DC2E4E" w14:textId="744DE4F4"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0.47</w:t>
            </w:r>
          </w:p>
        </w:tc>
        <w:tc>
          <w:tcPr>
            <w:tcW w:w="968" w:type="dxa"/>
            <w:shd w:val="clear" w:color="auto" w:fill="auto"/>
            <w:noWrap/>
            <w:hideMark/>
          </w:tcPr>
          <w:p w14:paraId="5DE92CC4" w14:textId="430826E0"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0.54</w:t>
            </w:r>
          </w:p>
        </w:tc>
        <w:tc>
          <w:tcPr>
            <w:tcW w:w="858" w:type="dxa"/>
            <w:shd w:val="clear" w:color="auto" w:fill="auto"/>
            <w:noWrap/>
            <w:hideMark/>
          </w:tcPr>
          <w:p w14:paraId="55675184" w14:textId="5E0E473D"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0.53</w:t>
            </w:r>
          </w:p>
        </w:tc>
        <w:tc>
          <w:tcPr>
            <w:tcW w:w="874" w:type="dxa"/>
            <w:shd w:val="clear" w:color="auto" w:fill="auto"/>
            <w:noWrap/>
            <w:hideMark/>
          </w:tcPr>
          <w:p w14:paraId="77AF0785" w14:textId="13280D9F"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0.42</w:t>
            </w:r>
          </w:p>
        </w:tc>
        <w:tc>
          <w:tcPr>
            <w:tcW w:w="990" w:type="dxa"/>
            <w:shd w:val="clear" w:color="auto" w:fill="auto"/>
            <w:noWrap/>
            <w:hideMark/>
          </w:tcPr>
          <w:p w14:paraId="10C07FF7" w14:textId="352216CB"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0.48</w:t>
            </w:r>
          </w:p>
        </w:tc>
      </w:tr>
      <w:tr w:rsidR="008A5C74" w:rsidRPr="00BD271D" w14:paraId="2BBC9BB1" w14:textId="77777777" w:rsidTr="008A5C74">
        <w:trPr>
          <w:trHeight w:val="244"/>
          <w:jc w:val="center"/>
        </w:trPr>
        <w:tc>
          <w:tcPr>
            <w:tcW w:w="2515" w:type="dxa"/>
            <w:shd w:val="clear" w:color="auto" w:fill="auto"/>
            <w:noWrap/>
            <w:hideMark/>
          </w:tcPr>
          <w:p w14:paraId="659099C4" w14:textId="77777777" w:rsidR="008A5C74" w:rsidRPr="00BD271D" w:rsidRDefault="008A5C74" w:rsidP="008A5C74">
            <w:pPr>
              <w:spacing w:after="0" w:line="240" w:lineRule="auto"/>
              <w:rPr>
                <w:rFonts w:eastAsia="Times New Roman" w:cs="Times New Roman"/>
                <w:color w:val="000000"/>
                <w:sz w:val="22"/>
                <w:lang w:val="en-GB"/>
              </w:rPr>
            </w:pPr>
            <w:r w:rsidRPr="00BD271D">
              <w:rPr>
                <w:rFonts w:eastAsia="Times New Roman" w:cs="Times New Roman"/>
                <w:color w:val="000000"/>
                <w:sz w:val="22"/>
                <w:lang w:val="en-GB"/>
              </w:rPr>
              <w:t>Inventory turnover ratio</w:t>
            </w:r>
          </w:p>
        </w:tc>
        <w:tc>
          <w:tcPr>
            <w:tcW w:w="900" w:type="dxa"/>
            <w:shd w:val="clear" w:color="auto" w:fill="auto"/>
            <w:noWrap/>
            <w:hideMark/>
          </w:tcPr>
          <w:p w14:paraId="7767DE86" w14:textId="334B6C76"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1.88</w:t>
            </w:r>
          </w:p>
        </w:tc>
        <w:tc>
          <w:tcPr>
            <w:tcW w:w="900" w:type="dxa"/>
            <w:shd w:val="clear" w:color="auto" w:fill="auto"/>
            <w:noWrap/>
            <w:hideMark/>
          </w:tcPr>
          <w:p w14:paraId="66D0B137" w14:textId="02BFCF55"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1.82</w:t>
            </w:r>
          </w:p>
        </w:tc>
        <w:tc>
          <w:tcPr>
            <w:tcW w:w="968" w:type="dxa"/>
            <w:shd w:val="clear" w:color="auto" w:fill="auto"/>
            <w:noWrap/>
            <w:hideMark/>
          </w:tcPr>
          <w:p w14:paraId="6F2B729B" w14:textId="6E39B92E"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1.86</w:t>
            </w:r>
          </w:p>
        </w:tc>
        <w:tc>
          <w:tcPr>
            <w:tcW w:w="858" w:type="dxa"/>
            <w:shd w:val="clear" w:color="auto" w:fill="auto"/>
            <w:noWrap/>
            <w:hideMark/>
          </w:tcPr>
          <w:p w14:paraId="70D8862A" w14:textId="13C76797"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1.87</w:t>
            </w:r>
          </w:p>
        </w:tc>
        <w:tc>
          <w:tcPr>
            <w:tcW w:w="874" w:type="dxa"/>
            <w:shd w:val="clear" w:color="auto" w:fill="auto"/>
            <w:noWrap/>
            <w:hideMark/>
          </w:tcPr>
          <w:p w14:paraId="3D9FDBCA" w14:textId="4E2A043B"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1.99</w:t>
            </w:r>
          </w:p>
        </w:tc>
        <w:tc>
          <w:tcPr>
            <w:tcW w:w="990" w:type="dxa"/>
            <w:shd w:val="clear" w:color="auto" w:fill="auto"/>
            <w:noWrap/>
            <w:hideMark/>
          </w:tcPr>
          <w:p w14:paraId="38BFA8D4" w14:textId="09BFA526"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1.88</w:t>
            </w:r>
          </w:p>
        </w:tc>
      </w:tr>
      <w:tr w:rsidR="008A5C74" w:rsidRPr="00BD271D" w14:paraId="7C225CAE" w14:textId="77777777" w:rsidTr="008A5C74">
        <w:trPr>
          <w:trHeight w:val="244"/>
          <w:jc w:val="center"/>
        </w:trPr>
        <w:tc>
          <w:tcPr>
            <w:tcW w:w="2515" w:type="dxa"/>
            <w:shd w:val="clear" w:color="auto" w:fill="auto"/>
            <w:noWrap/>
            <w:hideMark/>
          </w:tcPr>
          <w:p w14:paraId="7DADA47F" w14:textId="77777777" w:rsidR="008A5C74" w:rsidRPr="00BD271D" w:rsidRDefault="008A5C74" w:rsidP="008A5C74">
            <w:pPr>
              <w:spacing w:after="0" w:line="240" w:lineRule="auto"/>
              <w:rPr>
                <w:rFonts w:eastAsia="Times New Roman" w:cs="Times New Roman"/>
                <w:color w:val="000000"/>
                <w:sz w:val="22"/>
                <w:lang w:val="en-GB"/>
              </w:rPr>
            </w:pPr>
            <w:r w:rsidRPr="00BD271D">
              <w:rPr>
                <w:rFonts w:eastAsia="Times New Roman" w:cs="Times New Roman"/>
                <w:color w:val="000000"/>
                <w:sz w:val="22"/>
                <w:lang w:val="en-GB"/>
              </w:rPr>
              <w:t>Receivables turnover ratio</w:t>
            </w:r>
          </w:p>
        </w:tc>
        <w:tc>
          <w:tcPr>
            <w:tcW w:w="900" w:type="dxa"/>
            <w:shd w:val="clear" w:color="auto" w:fill="auto"/>
            <w:noWrap/>
            <w:hideMark/>
          </w:tcPr>
          <w:p w14:paraId="098C9C1E" w14:textId="6C136E0F"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4.26</w:t>
            </w:r>
          </w:p>
        </w:tc>
        <w:tc>
          <w:tcPr>
            <w:tcW w:w="900" w:type="dxa"/>
            <w:shd w:val="clear" w:color="auto" w:fill="auto"/>
            <w:noWrap/>
            <w:hideMark/>
          </w:tcPr>
          <w:p w14:paraId="724DE7AA" w14:textId="73FAAD75"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4.63</w:t>
            </w:r>
          </w:p>
        </w:tc>
        <w:tc>
          <w:tcPr>
            <w:tcW w:w="968" w:type="dxa"/>
            <w:shd w:val="clear" w:color="auto" w:fill="auto"/>
            <w:noWrap/>
            <w:hideMark/>
          </w:tcPr>
          <w:p w14:paraId="31BD4A83" w14:textId="2DD57E4C"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5.03</w:t>
            </w:r>
          </w:p>
        </w:tc>
        <w:tc>
          <w:tcPr>
            <w:tcW w:w="858" w:type="dxa"/>
            <w:shd w:val="clear" w:color="auto" w:fill="auto"/>
            <w:noWrap/>
            <w:hideMark/>
          </w:tcPr>
          <w:p w14:paraId="45E050D7" w14:textId="2894A4F8"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4.80</w:t>
            </w:r>
          </w:p>
        </w:tc>
        <w:tc>
          <w:tcPr>
            <w:tcW w:w="874" w:type="dxa"/>
            <w:shd w:val="clear" w:color="auto" w:fill="auto"/>
            <w:noWrap/>
            <w:hideMark/>
          </w:tcPr>
          <w:p w14:paraId="498A2C5C" w14:textId="5B43A3C6"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4.69</w:t>
            </w:r>
          </w:p>
        </w:tc>
        <w:tc>
          <w:tcPr>
            <w:tcW w:w="990" w:type="dxa"/>
            <w:shd w:val="clear" w:color="auto" w:fill="auto"/>
            <w:noWrap/>
            <w:hideMark/>
          </w:tcPr>
          <w:p w14:paraId="54D4A09C" w14:textId="02502F41"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4.68</w:t>
            </w:r>
          </w:p>
        </w:tc>
      </w:tr>
      <w:tr w:rsidR="008A5C74" w:rsidRPr="00BD271D" w14:paraId="0E2A181C" w14:textId="77777777" w:rsidTr="008A5C74">
        <w:trPr>
          <w:trHeight w:val="244"/>
          <w:jc w:val="center"/>
        </w:trPr>
        <w:tc>
          <w:tcPr>
            <w:tcW w:w="2515" w:type="dxa"/>
            <w:shd w:val="clear" w:color="auto" w:fill="auto"/>
            <w:noWrap/>
            <w:hideMark/>
          </w:tcPr>
          <w:p w14:paraId="4D4A8183" w14:textId="77777777" w:rsidR="008A5C74" w:rsidRPr="00BD271D" w:rsidRDefault="008A5C74" w:rsidP="008A5C74">
            <w:pPr>
              <w:spacing w:after="0" w:line="240" w:lineRule="auto"/>
              <w:rPr>
                <w:rFonts w:eastAsia="Times New Roman" w:cs="Times New Roman"/>
                <w:color w:val="000000"/>
                <w:sz w:val="22"/>
                <w:lang w:val="en-GB"/>
              </w:rPr>
            </w:pPr>
            <w:r w:rsidRPr="00BD271D">
              <w:rPr>
                <w:rFonts w:eastAsia="Times New Roman" w:cs="Times New Roman"/>
                <w:color w:val="000000"/>
                <w:sz w:val="22"/>
                <w:lang w:val="en-GB"/>
              </w:rPr>
              <w:t>Payable turnover ratio</w:t>
            </w:r>
          </w:p>
        </w:tc>
        <w:tc>
          <w:tcPr>
            <w:tcW w:w="900" w:type="dxa"/>
            <w:shd w:val="clear" w:color="auto" w:fill="auto"/>
            <w:noWrap/>
            <w:hideMark/>
          </w:tcPr>
          <w:p w14:paraId="3E5753A2" w14:textId="5A85C4F6"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1.00</w:t>
            </w:r>
          </w:p>
        </w:tc>
        <w:tc>
          <w:tcPr>
            <w:tcW w:w="900" w:type="dxa"/>
            <w:shd w:val="clear" w:color="auto" w:fill="auto"/>
            <w:noWrap/>
            <w:hideMark/>
          </w:tcPr>
          <w:p w14:paraId="37304DE9" w14:textId="6FEEEC11"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0.78</w:t>
            </w:r>
          </w:p>
        </w:tc>
        <w:tc>
          <w:tcPr>
            <w:tcW w:w="968" w:type="dxa"/>
            <w:shd w:val="clear" w:color="auto" w:fill="auto"/>
            <w:noWrap/>
            <w:hideMark/>
          </w:tcPr>
          <w:p w14:paraId="5329B83D" w14:textId="18682E0E"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0.49</w:t>
            </w:r>
          </w:p>
        </w:tc>
        <w:tc>
          <w:tcPr>
            <w:tcW w:w="858" w:type="dxa"/>
            <w:shd w:val="clear" w:color="auto" w:fill="auto"/>
            <w:noWrap/>
            <w:hideMark/>
          </w:tcPr>
          <w:p w14:paraId="028DD8C7" w14:textId="0A52A00B"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0.73</w:t>
            </w:r>
          </w:p>
        </w:tc>
        <w:tc>
          <w:tcPr>
            <w:tcW w:w="874" w:type="dxa"/>
            <w:shd w:val="clear" w:color="auto" w:fill="auto"/>
            <w:noWrap/>
            <w:hideMark/>
          </w:tcPr>
          <w:p w14:paraId="16C1EAE4" w14:textId="0E2B8A5F"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0.79</w:t>
            </w:r>
          </w:p>
        </w:tc>
        <w:tc>
          <w:tcPr>
            <w:tcW w:w="990" w:type="dxa"/>
            <w:shd w:val="clear" w:color="auto" w:fill="auto"/>
            <w:noWrap/>
            <w:hideMark/>
          </w:tcPr>
          <w:p w14:paraId="285CE0D5" w14:textId="2DAC726A" w:rsidR="008A5C74" w:rsidRPr="00BD271D" w:rsidRDefault="008A5C74" w:rsidP="008A5C74">
            <w:pPr>
              <w:spacing w:after="0" w:line="240" w:lineRule="auto"/>
              <w:jc w:val="center"/>
              <w:rPr>
                <w:rFonts w:eastAsia="Times New Roman" w:cs="Times New Roman"/>
                <w:color w:val="000000"/>
                <w:sz w:val="22"/>
                <w:lang w:val="en-GB"/>
              </w:rPr>
            </w:pPr>
            <w:r w:rsidRPr="00BD271D">
              <w:rPr>
                <w:rFonts w:eastAsia="Times New Roman" w:cs="Times New Roman"/>
                <w:color w:val="000000"/>
                <w:sz w:val="22"/>
                <w:lang w:val="en-GB"/>
              </w:rPr>
              <w:t>0.76</w:t>
            </w:r>
          </w:p>
        </w:tc>
      </w:tr>
    </w:tbl>
    <w:p w14:paraId="600F667D" w14:textId="0AEFD3F8" w:rsidR="00F575E3" w:rsidRPr="00BD271D" w:rsidRDefault="00F575E3">
      <w:pPr>
        <w:rPr>
          <w:rFonts w:cs="Times New Roman"/>
          <w:lang w:val="en-GB"/>
        </w:rPr>
      </w:pPr>
    </w:p>
    <w:p w14:paraId="14CC8B27" w14:textId="6183C71C" w:rsidR="00CE008C" w:rsidRPr="00BD271D" w:rsidRDefault="003F1888">
      <w:pPr>
        <w:rPr>
          <w:rFonts w:cs="Times New Roman"/>
          <w:lang w:val="en-GB"/>
        </w:rPr>
      </w:pPr>
      <w:r w:rsidRPr="00BD271D">
        <w:rPr>
          <w:rFonts w:cs="Times New Roman"/>
          <w:lang w:val="en-GB"/>
        </w:rPr>
        <w:t xml:space="preserve"> </w:t>
      </w:r>
    </w:p>
    <w:p w14:paraId="177A5CDC" w14:textId="2C2C7EA1" w:rsidR="003432ED" w:rsidRPr="00BD271D" w:rsidRDefault="003432ED" w:rsidP="00BD271D">
      <w:pPr>
        <w:pStyle w:val="Heading2"/>
        <w:jc w:val="center"/>
        <w:rPr>
          <w:rFonts w:cs="Times New Roman"/>
        </w:rPr>
      </w:pPr>
      <w:bookmarkStart w:id="16" w:name="_Toc60172423"/>
      <w:bookmarkStart w:id="17" w:name="_Toc61434632"/>
      <w:r w:rsidRPr="00BD271D">
        <w:rPr>
          <w:rFonts w:cs="Times New Roman"/>
        </w:rPr>
        <w:t xml:space="preserve">Critical evaluation and comparison with </w:t>
      </w:r>
      <w:r w:rsidR="00735450" w:rsidRPr="00BD271D">
        <w:rPr>
          <w:rFonts w:cs="Times New Roman"/>
        </w:rPr>
        <w:t xml:space="preserve">the </w:t>
      </w:r>
      <w:r w:rsidRPr="00BD271D">
        <w:rPr>
          <w:rFonts w:cs="Times New Roman"/>
        </w:rPr>
        <w:t>industry average</w:t>
      </w:r>
      <w:bookmarkEnd w:id="16"/>
      <w:bookmarkEnd w:id="17"/>
    </w:p>
    <w:p w14:paraId="4202C293" w14:textId="77777777" w:rsidR="00BD271D" w:rsidRPr="00BD271D" w:rsidRDefault="00BD271D" w:rsidP="00BD271D">
      <w:pPr>
        <w:rPr>
          <w:rFonts w:cs="Times New Roman"/>
        </w:rPr>
      </w:pPr>
    </w:p>
    <w:p w14:paraId="14BA9D0C" w14:textId="09CBF956" w:rsidR="00EC735C" w:rsidRPr="00BD271D" w:rsidRDefault="003432ED">
      <w:pPr>
        <w:rPr>
          <w:rFonts w:cs="Times New Roman"/>
          <w:lang w:val="en-GB"/>
        </w:rPr>
      </w:pPr>
      <w:r w:rsidRPr="00BD271D">
        <w:rPr>
          <w:rFonts w:cs="Times New Roman"/>
          <w:b/>
          <w:bCs/>
          <w:u w:val="single"/>
          <w:lang w:val="en-GB"/>
        </w:rPr>
        <w:lastRenderedPageBreak/>
        <w:t>Networking capital:</w:t>
      </w:r>
      <w:r w:rsidRPr="00BD271D">
        <w:rPr>
          <w:rFonts w:cs="Times New Roman"/>
          <w:lang w:val="en-GB"/>
        </w:rPr>
        <w:t xml:space="preserve"> </w:t>
      </w:r>
      <w:r w:rsidR="00007B7A" w:rsidRPr="00BD271D">
        <w:rPr>
          <w:rFonts w:cs="Times New Roman"/>
          <w:lang w:val="en-GB"/>
        </w:rPr>
        <w:t xml:space="preserve">The excess amount of the current asset over the current liability is known as the newt working capital. The ability of the GlaxoSmithKline to pay its current liability has been assessed by calculation of the networking capital. Sometimes, the operation of the business </w:t>
      </w:r>
      <w:r w:rsidR="00502B25" w:rsidRPr="00BD271D">
        <w:rPr>
          <w:rFonts w:cs="Times New Roman"/>
          <w:lang w:val="en-GB"/>
        </w:rPr>
        <w:t>organisation</w:t>
      </w:r>
      <w:r w:rsidR="00007B7A" w:rsidRPr="00BD271D">
        <w:rPr>
          <w:rFonts w:cs="Times New Roman"/>
          <w:lang w:val="en-GB"/>
        </w:rPr>
        <w:t xml:space="preserve"> may be </w:t>
      </w:r>
      <w:r w:rsidR="00D846B7" w:rsidRPr="00BD271D">
        <w:rPr>
          <w:rFonts w:cs="Times New Roman"/>
          <w:lang w:val="en-GB"/>
        </w:rPr>
        <w:t>hampered because</w:t>
      </w:r>
      <w:r w:rsidR="00735450" w:rsidRPr="00BD271D">
        <w:rPr>
          <w:rFonts w:cs="Times New Roman"/>
          <w:lang w:val="en-GB"/>
        </w:rPr>
        <w:t xml:space="preserve"> of</w:t>
      </w:r>
      <w:r w:rsidR="00D846B7" w:rsidRPr="00BD271D">
        <w:rPr>
          <w:rFonts w:cs="Times New Roman"/>
          <w:lang w:val="en-GB"/>
        </w:rPr>
        <w:t xml:space="preserve"> </w:t>
      </w:r>
      <w:r w:rsidR="00735450" w:rsidRPr="00BD271D">
        <w:rPr>
          <w:rFonts w:cs="Times New Roman"/>
          <w:lang w:val="en-GB"/>
        </w:rPr>
        <w:t xml:space="preserve">a </w:t>
      </w:r>
      <w:r w:rsidR="00D846B7" w:rsidRPr="00BD271D">
        <w:rPr>
          <w:rFonts w:cs="Times New Roman"/>
          <w:lang w:val="en-GB"/>
        </w:rPr>
        <w:t>lower amount of net working capital</w:t>
      </w:r>
      <w:r w:rsidR="00E71A53" w:rsidRPr="00BD271D">
        <w:rPr>
          <w:rFonts w:cs="Times New Roman"/>
          <w:lang w:val="en-GB"/>
        </w:rPr>
        <w:t xml:space="preserve"> (Hays, </w:t>
      </w:r>
      <w:r w:rsidR="00502B25" w:rsidRPr="00BD271D">
        <w:rPr>
          <w:rFonts w:cs="Times New Roman"/>
          <w:lang w:val="en-GB"/>
        </w:rPr>
        <w:t>2018</w:t>
      </w:r>
      <w:r w:rsidR="00E71A53" w:rsidRPr="00BD271D">
        <w:rPr>
          <w:rFonts w:cs="Times New Roman"/>
          <w:lang w:val="en-GB"/>
        </w:rPr>
        <w:t>)</w:t>
      </w:r>
      <w:r w:rsidR="00D846B7" w:rsidRPr="00BD271D">
        <w:rPr>
          <w:rFonts w:cs="Times New Roman"/>
          <w:lang w:val="en-GB"/>
        </w:rPr>
        <w:t xml:space="preserve">. The networking capital of the </w:t>
      </w:r>
      <w:r w:rsidR="00A01966" w:rsidRPr="00BD271D">
        <w:rPr>
          <w:rFonts w:cs="Times New Roman"/>
          <w:lang w:val="en-GB"/>
        </w:rPr>
        <w:t xml:space="preserve">GlaxoSmithKline was positive in the year 2015 and this positive networking capital indicates that it had more current assets that its current liabilities in that period. The </w:t>
      </w:r>
      <w:r w:rsidR="00F5741B" w:rsidRPr="00BD271D">
        <w:rPr>
          <w:rFonts w:cs="Times New Roman"/>
          <w:lang w:val="en-GB"/>
        </w:rPr>
        <w:t xml:space="preserve">networking capital of the GlaxoSmithKline has shown </w:t>
      </w:r>
      <w:r w:rsidR="00735450" w:rsidRPr="00BD271D">
        <w:rPr>
          <w:rFonts w:cs="Times New Roman"/>
          <w:lang w:val="en-GB"/>
        </w:rPr>
        <w:t xml:space="preserve">a </w:t>
      </w:r>
      <w:r w:rsidR="00F5741B" w:rsidRPr="00BD271D">
        <w:rPr>
          <w:rFonts w:cs="Times New Roman"/>
          <w:lang w:val="en-GB"/>
        </w:rPr>
        <w:t xml:space="preserve">negative figure for the accounting period 2016, 2017, 2018, and 2019. This negative figure of the net working capital indicates that </w:t>
      </w:r>
      <w:r w:rsidR="00B84465" w:rsidRPr="00BD271D">
        <w:rPr>
          <w:rFonts w:cs="Times New Roman"/>
          <w:lang w:val="en-GB"/>
        </w:rPr>
        <w:t>the GlaxoSmithKline had more current liabilities tha</w:t>
      </w:r>
      <w:r w:rsidR="00735450" w:rsidRPr="00BD271D">
        <w:rPr>
          <w:rFonts w:cs="Times New Roman"/>
          <w:lang w:val="en-GB"/>
        </w:rPr>
        <w:t>n</w:t>
      </w:r>
      <w:r w:rsidR="00B84465" w:rsidRPr="00BD271D">
        <w:rPr>
          <w:rFonts w:cs="Times New Roman"/>
          <w:lang w:val="en-GB"/>
        </w:rPr>
        <w:t xml:space="preserve"> current assets in th</w:t>
      </w:r>
      <w:r w:rsidR="00735450" w:rsidRPr="00BD271D">
        <w:rPr>
          <w:rFonts w:cs="Times New Roman"/>
          <w:lang w:val="en-GB"/>
        </w:rPr>
        <w:t>ose</w:t>
      </w:r>
      <w:r w:rsidR="00B84465" w:rsidRPr="00BD271D">
        <w:rPr>
          <w:rFonts w:cs="Times New Roman"/>
          <w:lang w:val="en-GB"/>
        </w:rPr>
        <w:t xml:space="preserve"> periods</w:t>
      </w:r>
      <w:r w:rsidR="00E71A53" w:rsidRPr="00BD271D">
        <w:rPr>
          <w:rFonts w:cs="Times New Roman"/>
          <w:lang w:val="en-GB"/>
        </w:rPr>
        <w:t xml:space="preserve"> (McCune, 2010)</w:t>
      </w:r>
      <w:r w:rsidR="00B84465" w:rsidRPr="00BD271D">
        <w:rPr>
          <w:rFonts w:cs="Times New Roman"/>
          <w:lang w:val="en-GB"/>
        </w:rPr>
        <w:t>. Furthermore, the industry average of the net working capital for the pharmaceuticals industry was £3,981 million</w:t>
      </w:r>
      <w:r w:rsidR="007D2A79" w:rsidRPr="00BD271D">
        <w:rPr>
          <w:rFonts w:cs="Times New Roman"/>
          <w:lang w:val="en-GB"/>
        </w:rPr>
        <w:t xml:space="preserve"> but the GlaxoSmithKline cannot reach this industry average over the last five years. In that case, it can be said that the </w:t>
      </w:r>
      <w:r w:rsidR="00F036FF" w:rsidRPr="00BD271D">
        <w:rPr>
          <w:rFonts w:cs="Times New Roman"/>
          <w:lang w:val="en-GB"/>
        </w:rPr>
        <w:t>networking capital of the GlaxoSmithKline was not strong over the last five years.</w:t>
      </w:r>
    </w:p>
    <w:p w14:paraId="7129184E" w14:textId="77777777" w:rsidR="00BD271D" w:rsidRPr="00BD271D" w:rsidRDefault="00BD271D">
      <w:pPr>
        <w:rPr>
          <w:rFonts w:cs="Times New Roman"/>
          <w:lang w:val="en-GB"/>
        </w:rPr>
      </w:pPr>
    </w:p>
    <w:p w14:paraId="71C18EA4" w14:textId="40E7FB8C" w:rsidR="00274919" w:rsidRPr="00BD271D" w:rsidRDefault="00F036FF">
      <w:pPr>
        <w:rPr>
          <w:rFonts w:cs="Times New Roman"/>
          <w:lang w:val="en-GB"/>
        </w:rPr>
      </w:pPr>
      <w:r w:rsidRPr="00BD271D">
        <w:rPr>
          <w:rFonts w:cs="Times New Roman"/>
          <w:b/>
          <w:bCs/>
          <w:u w:val="single"/>
          <w:lang w:val="en-GB"/>
        </w:rPr>
        <w:t>Current ratio:</w:t>
      </w:r>
      <w:r w:rsidRPr="00BD271D">
        <w:rPr>
          <w:rFonts w:cs="Times New Roman"/>
          <w:lang w:val="en-GB"/>
        </w:rPr>
        <w:t xml:space="preserve"> The</w:t>
      </w:r>
      <w:r w:rsidR="00EC735C" w:rsidRPr="00BD271D">
        <w:rPr>
          <w:rFonts w:cs="Times New Roman"/>
          <w:lang w:val="en-GB"/>
        </w:rPr>
        <w:t xml:space="preserve"> comparison of the current asset and current liabilities has been known as the current ratio</w:t>
      </w:r>
      <w:r w:rsidRPr="00BD271D">
        <w:rPr>
          <w:rFonts w:cs="Times New Roman"/>
          <w:lang w:val="en-GB"/>
        </w:rPr>
        <w:t>. The ability of the GlaxoSmithKline to pay its current liability has been assessed by calculation of the</w:t>
      </w:r>
      <w:r w:rsidR="00EC735C" w:rsidRPr="00BD271D">
        <w:rPr>
          <w:rFonts w:cs="Times New Roman"/>
          <w:lang w:val="en-GB"/>
        </w:rPr>
        <w:t xml:space="preserve"> current ratio</w:t>
      </w:r>
      <w:r w:rsidRPr="00BD271D">
        <w:rPr>
          <w:rFonts w:cs="Times New Roman"/>
          <w:lang w:val="en-GB"/>
        </w:rPr>
        <w:t>. Sometimes,</w:t>
      </w:r>
      <w:r w:rsidR="00EC735C" w:rsidRPr="00BD271D">
        <w:rPr>
          <w:rFonts w:cs="Times New Roman"/>
          <w:lang w:val="en-GB"/>
        </w:rPr>
        <w:t xml:space="preserve"> the business </w:t>
      </w:r>
      <w:r w:rsidR="00502B25" w:rsidRPr="00BD271D">
        <w:rPr>
          <w:rFonts w:cs="Times New Roman"/>
          <w:lang w:val="en-GB"/>
        </w:rPr>
        <w:t>organisation</w:t>
      </w:r>
      <w:r w:rsidR="00EC735C" w:rsidRPr="00BD271D">
        <w:rPr>
          <w:rFonts w:cs="Times New Roman"/>
          <w:lang w:val="en-GB"/>
        </w:rPr>
        <w:t xml:space="preserve"> may face financial distress and troubles due to</w:t>
      </w:r>
      <w:r w:rsidR="00603204" w:rsidRPr="00BD271D">
        <w:rPr>
          <w:rFonts w:cs="Times New Roman"/>
          <w:lang w:val="en-GB"/>
        </w:rPr>
        <w:t xml:space="preserve"> insufficient current ratio</w:t>
      </w:r>
      <w:r w:rsidR="00E71A53" w:rsidRPr="00BD271D">
        <w:rPr>
          <w:rFonts w:cs="Times New Roman"/>
          <w:lang w:val="en-GB"/>
        </w:rPr>
        <w:t xml:space="preserve"> (Narayana Reddy, Appannaiah and Sathyaprasad, 2010)</w:t>
      </w:r>
      <w:r w:rsidR="00603204" w:rsidRPr="00BD271D">
        <w:rPr>
          <w:rFonts w:cs="Times New Roman"/>
          <w:lang w:val="en-GB"/>
        </w:rPr>
        <w:t>.</w:t>
      </w:r>
      <w:r w:rsidR="001301D6" w:rsidRPr="00BD271D">
        <w:rPr>
          <w:rFonts w:cs="Times New Roman"/>
          <w:lang w:val="en-GB"/>
        </w:rPr>
        <w:t xml:space="preserve"> </w:t>
      </w:r>
      <w:r w:rsidRPr="00BD271D">
        <w:rPr>
          <w:rFonts w:cs="Times New Roman"/>
          <w:lang w:val="en-GB"/>
        </w:rPr>
        <w:t>The</w:t>
      </w:r>
      <w:r w:rsidR="00603204" w:rsidRPr="00BD271D">
        <w:rPr>
          <w:rFonts w:cs="Times New Roman"/>
          <w:lang w:val="en-GB"/>
        </w:rPr>
        <w:t xml:space="preserve"> current ratio</w:t>
      </w:r>
      <w:r w:rsidRPr="00BD271D">
        <w:rPr>
          <w:rFonts w:cs="Times New Roman"/>
          <w:lang w:val="en-GB"/>
        </w:rPr>
        <w:t xml:space="preserve"> of the GlaxoSmithKline was</w:t>
      </w:r>
      <w:r w:rsidR="00603204" w:rsidRPr="00BD271D">
        <w:rPr>
          <w:rFonts w:cs="Times New Roman"/>
          <w:lang w:val="en-GB"/>
        </w:rPr>
        <w:t xml:space="preserve"> better</w:t>
      </w:r>
      <w:r w:rsidRPr="00BD271D">
        <w:rPr>
          <w:rFonts w:cs="Times New Roman"/>
          <w:lang w:val="en-GB"/>
        </w:rPr>
        <w:t xml:space="preserve"> in the year 2015 and</w:t>
      </w:r>
      <w:r w:rsidR="00603204" w:rsidRPr="00BD271D">
        <w:rPr>
          <w:rFonts w:cs="Times New Roman"/>
          <w:lang w:val="en-GB"/>
        </w:rPr>
        <w:t xml:space="preserve"> this above</w:t>
      </w:r>
      <w:r w:rsidR="00735450" w:rsidRPr="00BD271D">
        <w:rPr>
          <w:rFonts w:cs="Times New Roman"/>
          <w:lang w:val="en-GB"/>
        </w:rPr>
        <w:t>-</w:t>
      </w:r>
      <w:r w:rsidR="00603204" w:rsidRPr="00BD271D">
        <w:rPr>
          <w:rFonts w:cs="Times New Roman"/>
          <w:lang w:val="en-GB"/>
        </w:rPr>
        <w:t>average</w:t>
      </w:r>
      <w:r w:rsidR="007F36CE" w:rsidRPr="00BD271D">
        <w:rPr>
          <w:rFonts w:cs="Times New Roman"/>
          <w:lang w:val="en-GB"/>
        </w:rPr>
        <w:t xml:space="preserve"> current ratio indicates </w:t>
      </w:r>
      <w:r w:rsidRPr="00BD271D">
        <w:rPr>
          <w:rFonts w:cs="Times New Roman"/>
          <w:lang w:val="en-GB"/>
        </w:rPr>
        <w:t>that it had more current assets tha</w:t>
      </w:r>
      <w:r w:rsidR="007F36CE" w:rsidRPr="00BD271D">
        <w:rPr>
          <w:rFonts w:cs="Times New Roman"/>
          <w:lang w:val="en-GB"/>
        </w:rPr>
        <w:t>n</w:t>
      </w:r>
      <w:r w:rsidRPr="00BD271D">
        <w:rPr>
          <w:rFonts w:cs="Times New Roman"/>
          <w:lang w:val="en-GB"/>
        </w:rPr>
        <w:t xml:space="preserve"> its current liabilities in that period. The</w:t>
      </w:r>
      <w:r w:rsidR="007F36CE" w:rsidRPr="00BD271D">
        <w:rPr>
          <w:rFonts w:cs="Times New Roman"/>
          <w:lang w:val="en-GB"/>
        </w:rPr>
        <w:t xml:space="preserve"> current ratio</w:t>
      </w:r>
      <w:r w:rsidRPr="00BD271D">
        <w:rPr>
          <w:rFonts w:cs="Times New Roman"/>
          <w:lang w:val="en-GB"/>
        </w:rPr>
        <w:t xml:space="preserve"> of the GlaxoSmithKline has shown</w:t>
      </w:r>
      <w:r w:rsidR="007F36CE" w:rsidRPr="00BD271D">
        <w:rPr>
          <w:rFonts w:cs="Times New Roman"/>
          <w:lang w:val="en-GB"/>
        </w:rPr>
        <w:t xml:space="preserve"> with below industry average</w:t>
      </w:r>
      <w:r w:rsidRPr="00BD271D">
        <w:rPr>
          <w:rFonts w:cs="Times New Roman"/>
          <w:lang w:val="en-GB"/>
        </w:rPr>
        <w:t xml:space="preserve"> for the accounting period</w:t>
      </w:r>
      <w:r w:rsidR="00474002" w:rsidRPr="00BD271D">
        <w:rPr>
          <w:rFonts w:cs="Times New Roman"/>
          <w:lang w:val="en-GB"/>
        </w:rPr>
        <w:t xml:space="preserve"> </w:t>
      </w:r>
      <w:r w:rsidRPr="00BD271D">
        <w:rPr>
          <w:rFonts w:cs="Times New Roman"/>
          <w:lang w:val="en-GB"/>
        </w:rPr>
        <w:t>2017</w:t>
      </w:r>
      <w:r w:rsidR="00474002" w:rsidRPr="00BD271D">
        <w:rPr>
          <w:rFonts w:cs="Times New Roman"/>
          <w:lang w:val="en-GB"/>
        </w:rPr>
        <w:t xml:space="preserve"> and </w:t>
      </w:r>
      <w:r w:rsidRPr="00BD271D">
        <w:rPr>
          <w:rFonts w:cs="Times New Roman"/>
          <w:lang w:val="en-GB"/>
        </w:rPr>
        <w:t>2018. This</w:t>
      </w:r>
      <w:r w:rsidR="007F36CE" w:rsidRPr="00BD271D">
        <w:rPr>
          <w:rFonts w:cs="Times New Roman"/>
          <w:lang w:val="en-GB"/>
        </w:rPr>
        <w:t xml:space="preserve"> below</w:t>
      </w:r>
      <w:r w:rsidR="00735450" w:rsidRPr="00BD271D">
        <w:rPr>
          <w:rFonts w:cs="Times New Roman"/>
          <w:lang w:val="en-GB"/>
        </w:rPr>
        <w:t>-</w:t>
      </w:r>
      <w:r w:rsidR="007F36CE" w:rsidRPr="00BD271D">
        <w:rPr>
          <w:rFonts w:cs="Times New Roman"/>
          <w:lang w:val="en-GB"/>
        </w:rPr>
        <w:t>average</w:t>
      </w:r>
      <w:r w:rsidRPr="00BD271D">
        <w:rPr>
          <w:rFonts w:cs="Times New Roman"/>
          <w:lang w:val="en-GB"/>
        </w:rPr>
        <w:t xml:space="preserve"> of the</w:t>
      </w:r>
      <w:r w:rsidR="007F36CE" w:rsidRPr="00BD271D">
        <w:rPr>
          <w:rFonts w:cs="Times New Roman"/>
          <w:lang w:val="en-GB"/>
        </w:rPr>
        <w:t xml:space="preserve"> current ratio </w:t>
      </w:r>
      <w:r w:rsidRPr="00BD271D">
        <w:rPr>
          <w:rFonts w:cs="Times New Roman"/>
          <w:lang w:val="en-GB"/>
        </w:rPr>
        <w:t>indicates that the GlaxoSmithKline had more current liabilities tha</w:t>
      </w:r>
      <w:r w:rsidR="007F36CE" w:rsidRPr="00BD271D">
        <w:rPr>
          <w:rFonts w:cs="Times New Roman"/>
          <w:lang w:val="en-GB"/>
        </w:rPr>
        <w:t>n</w:t>
      </w:r>
      <w:r w:rsidRPr="00BD271D">
        <w:rPr>
          <w:rFonts w:cs="Times New Roman"/>
          <w:lang w:val="en-GB"/>
        </w:rPr>
        <w:t xml:space="preserve"> current assets in th</w:t>
      </w:r>
      <w:r w:rsidR="00735450" w:rsidRPr="00BD271D">
        <w:rPr>
          <w:rFonts w:cs="Times New Roman"/>
          <w:lang w:val="en-GB"/>
        </w:rPr>
        <w:t>ose</w:t>
      </w:r>
      <w:r w:rsidRPr="00BD271D">
        <w:rPr>
          <w:rFonts w:cs="Times New Roman"/>
          <w:lang w:val="en-GB"/>
        </w:rPr>
        <w:t xml:space="preserve"> periods. Furthermore, the industry average </w:t>
      </w:r>
      <w:r w:rsidRPr="00BD271D">
        <w:rPr>
          <w:rFonts w:cs="Times New Roman"/>
          <w:lang w:val="en-GB"/>
        </w:rPr>
        <w:lastRenderedPageBreak/>
        <w:t>of the</w:t>
      </w:r>
      <w:r w:rsidR="00474002" w:rsidRPr="00BD271D">
        <w:rPr>
          <w:rFonts w:cs="Times New Roman"/>
          <w:lang w:val="en-GB"/>
        </w:rPr>
        <w:t xml:space="preserve"> current ratio </w:t>
      </w:r>
      <w:r w:rsidR="001301D6" w:rsidRPr="00BD271D">
        <w:rPr>
          <w:rFonts w:cs="Times New Roman"/>
          <w:lang w:val="en-GB"/>
        </w:rPr>
        <w:t xml:space="preserve">was </w:t>
      </w:r>
      <w:r w:rsidR="00474002" w:rsidRPr="00BD271D">
        <w:rPr>
          <w:rFonts w:cs="Times New Roman"/>
          <w:lang w:val="en-GB"/>
        </w:rPr>
        <w:t>3.02:1</w:t>
      </w:r>
      <w:r w:rsidRPr="00BD271D">
        <w:rPr>
          <w:rFonts w:cs="Times New Roman"/>
          <w:lang w:val="en-GB"/>
        </w:rPr>
        <w:t xml:space="preserve"> for the pharmaceuticals ind</w:t>
      </w:r>
      <w:r w:rsidR="001301D6" w:rsidRPr="00BD271D">
        <w:rPr>
          <w:rFonts w:cs="Times New Roman"/>
          <w:lang w:val="en-GB"/>
        </w:rPr>
        <w:t xml:space="preserve">ustry </w:t>
      </w:r>
      <w:r w:rsidRPr="00BD271D">
        <w:rPr>
          <w:rFonts w:cs="Times New Roman"/>
          <w:lang w:val="en-GB"/>
        </w:rPr>
        <w:t>but the GlaxoSmithKline cannot reach this industry average</w:t>
      </w:r>
      <w:r w:rsidR="001301D6" w:rsidRPr="00BD271D">
        <w:rPr>
          <w:rFonts w:cs="Times New Roman"/>
          <w:lang w:val="en-GB"/>
        </w:rPr>
        <w:t xml:space="preserve"> in the period 2017 and 2018</w:t>
      </w:r>
      <w:r w:rsidRPr="00BD271D">
        <w:rPr>
          <w:rFonts w:cs="Times New Roman"/>
          <w:lang w:val="en-GB"/>
        </w:rPr>
        <w:t>. In that case, it can be said tha</w:t>
      </w:r>
      <w:r w:rsidR="001301D6" w:rsidRPr="00BD271D">
        <w:rPr>
          <w:rFonts w:cs="Times New Roman"/>
          <w:lang w:val="en-GB"/>
        </w:rPr>
        <w:t xml:space="preserve">t the current ration </w:t>
      </w:r>
      <w:r w:rsidRPr="00BD271D">
        <w:rPr>
          <w:rFonts w:cs="Times New Roman"/>
          <w:lang w:val="en-GB"/>
        </w:rPr>
        <w:t>of the GlaxoSmithKline was not strong</w:t>
      </w:r>
      <w:r w:rsidR="001301D6" w:rsidRPr="00BD271D">
        <w:rPr>
          <w:rFonts w:cs="Times New Roman"/>
          <w:lang w:val="en-GB"/>
        </w:rPr>
        <w:t xml:space="preserve"> for the period 2017 and 2018.</w:t>
      </w:r>
    </w:p>
    <w:p w14:paraId="32CE0249" w14:textId="77777777" w:rsidR="00274919" w:rsidRPr="00BD271D" w:rsidRDefault="00274919">
      <w:pPr>
        <w:rPr>
          <w:rFonts w:cs="Times New Roman"/>
          <w:lang w:val="en-GB"/>
        </w:rPr>
      </w:pPr>
    </w:p>
    <w:p w14:paraId="406E91A2" w14:textId="1EAA0367" w:rsidR="00274919" w:rsidRPr="00BD271D" w:rsidRDefault="00274919">
      <w:pPr>
        <w:rPr>
          <w:rFonts w:cs="Times New Roman"/>
          <w:lang w:val="en-GB"/>
        </w:rPr>
      </w:pPr>
      <w:r w:rsidRPr="00BD271D">
        <w:rPr>
          <w:rFonts w:cs="Times New Roman"/>
          <w:b/>
          <w:bCs/>
          <w:u w:val="single"/>
          <w:lang w:val="en-GB"/>
        </w:rPr>
        <w:t>Quick ratio:</w:t>
      </w:r>
      <w:r w:rsidR="007F0342" w:rsidRPr="00BD271D">
        <w:rPr>
          <w:rFonts w:cs="Times New Roman"/>
          <w:lang w:val="en-GB"/>
        </w:rPr>
        <w:t xml:space="preserve"> </w:t>
      </w:r>
      <w:r w:rsidRPr="00BD271D">
        <w:rPr>
          <w:rFonts w:cs="Times New Roman"/>
          <w:lang w:val="en-GB"/>
        </w:rPr>
        <w:t>The comparison of the current asset except</w:t>
      </w:r>
      <w:r w:rsidR="00735450" w:rsidRPr="00BD271D">
        <w:rPr>
          <w:rFonts w:cs="Times New Roman"/>
          <w:lang w:val="en-GB"/>
        </w:rPr>
        <w:t xml:space="preserve"> for</w:t>
      </w:r>
      <w:r w:rsidRPr="00BD271D">
        <w:rPr>
          <w:rFonts w:cs="Times New Roman"/>
          <w:lang w:val="en-GB"/>
        </w:rPr>
        <w:t xml:space="preserve"> inventory and current liabilities has been known as the quick ratio. The ability of the GlaxoSmithKline to pay its current liability</w:t>
      </w:r>
      <w:r w:rsidR="000B0CC2" w:rsidRPr="00BD271D">
        <w:rPr>
          <w:rFonts w:cs="Times New Roman"/>
          <w:lang w:val="en-GB"/>
        </w:rPr>
        <w:t xml:space="preserve"> immediately</w:t>
      </w:r>
      <w:r w:rsidRPr="00BD271D">
        <w:rPr>
          <w:rFonts w:cs="Times New Roman"/>
          <w:lang w:val="en-GB"/>
        </w:rPr>
        <w:t xml:space="preserve"> has been assessed by calculation of the</w:t>
      </w:r>
      <w:r w:rsidR="000B0CC2" w:rsidRPr="00BD271D">
        <w:rPr>
          <w:rFonts w:cs="Times New Roman"/>
          <w:lang w:val="en-GB"/>
        </w:rPr>
        <w:t xml:space="preserve"> quick</w:t>
      </w:r>
      <w:r w:rsidRPr="00BD271D">
        <w:rPr>
          <w:rFonts w:cs="Times New Roman"/>
          <w:lang w:val="en-GB"/>
        </w:rPr>
        <w:t xml:space="preserve"> ratio</w:t>
      </w:r>
      <w:r w:rsidR="00E71A53" w:rsidRPr="00BD271D">
        <w:rPr>
          <w:rFonts w:cs="Times New Roman"/>
          <w:lang w:val="en-GB"/>
        </w:rPr>
        <w:t xml:space="preserve"> (Phylaktis, 2014)</w:t>
      </w:r>
      <w:r w:rsidRPr="00BD271D">
        <w:rPr>
          <w:rFonts w:cs="Times New Roman"/>
          <w:lang w:val="en-GB"/>
        </w:rPr>
        <w:t xml:space="preserve">. Sometimes, the business </w:t>
      </w:r>
      <w:r w:rsidR="00502B25" w:rsidRPr="00BD271D">
        <w:rPr>
          <w:rFonts w:cs="Times New Roman"/>
          <w:lang w:val="en-GB"/>
        </w:rPr>
        <w:t>organisation</w:t>
      </w:r>
      <w:r w:rsidRPr="00BD271D">
        <w:rPr>
          <w:rFonts w:cs="Times New Roman"/>
          <w:lang w:val="en-GB"/>
        </w:rPr>
        <w:t xml:space="preserve"> may face financial distress and troubles due to insufficient</w:t>
      </w:r>
      <w:r w:rsidR="000B0CC2" w:rsidRPr="00BD271D">
        <w:rPr>
          <w:rFonts w:cs="Times New Roman"/>
          <w:lang w:val="en-GB"/>
        </w:rPr>
        <w:t xml:space="preserve"> quick</w:t>
      </w:r>
      <w:r w:rsidRPr="00BD271D">
        <w:rPr>
          <w:rFonts w:cs="Times New Roman"/>
          <w:lang w:val="en-GB"/>
        </w:rPr>
        <w:t xml:space="preserve"> ratio. The</w:t>
      </w:r>
      <w:r w:rsidR="000B0CC2" w:rsidRPr="00BD271D">
        <w:rPr>
          <w:rFonts w:cs="Times New Roman"/>
          <w:lang w:val="en-GB"/>
        </w:rPr>
        <w:t xml:space="preserve"> quick </w:t>
      </w:r>
      <w:r w:rsidRPr="00BD271D">
        <w:rPr>
          <w:rFonts w:cs="Times New Roman"/>
          <w:lang w:val="en-GB"/>
        </w:rPr>
        <w:t>ratio of the GlaxoSmithKline was better in the year 2015</w:t>
      </w:r>
      <w:r w:rsidR="0030135E" w:rsidRPr="00BD271D">
        <w:rPr>
          <w:rFonts w:cs="Times New Roman"/>
          <w:lang w:val="en-GB"/>
        </w:rPr>
        <w:t xml:space="preserve"> and 2016</w:t>
      </w:r>
      <w:r w:rsidRPr="00BD271D">
        <w:rPr>
          <w:rFonts w:cs="Times New Roman"/>
          <w:lang w:val="en-GB"/>
        </w:rPr>
        <w:t xml:space="preserve"> and th</w:t>
      </w:r>
      <w:r w:rsidR="0030135E" w:rsidRPr="00BD271D">
        <w:rPr>
          <w:rFonts w:cs="Times New Roman"/>
          <w:lang w:val="en-GB"/>
        </w:rPr>
        <w:t>ese</w:t>
      </w:r>
      <w:r w:rsidRPr="00BD271D">
        <w:rPr>
          <w:rFonts w:cs="Times New Roman"/>
          <w:lang w:val="en-GB"/>
        </w:rPr>
        <w:t xml:space="preserve"> above</w:t>
      </w:r>
      <w:r w:rsidR="00735450" w:rsidRPr="00BD271D">
        <w:rPr>
          <w:rFonts w:cs="Times New Roman"/>
          <w:lang w:val="en-GB"/>
        </w:rPr>
        <w:t>-</w:t>
      </w:r>
      <w:r w:rsidRPr="00BD271D">
        <w:rPr>
          <w:rFonts w:cs="Times New Roman"/>
          <w:lang w:val="en-GB"/>
        </w:rPr>
        <w:t>average current ratio</w:t>
      </w:r>
      <w:r w:rsidR="00735450" w:rsidRPr="00BD271D">
        <w:rPr>
          <w:rFonts w:cs="Times New Roman"/>
          <w:lang w:val="en-GB"/>
        </w:rPr>
        <w:t>s</w:t>
      </w:r>
      <w:r w:rsidRPr="00BD271D">
        <w:rPr>
          <w:rFonts w:cs="Times New Roman"/>
          <w:lang w:val="en-GB"/>
        </w:rPr>
        <w:t xml:space="preserve"> indicate that it had more current assets</w:t>
      </w:r>
      <w:r w:rsidR="0030135E" w:rsidRPr="00BD271D">
        <w:rPr>
          <w:rFonts w:cs="Times New Roman"/>
          <w:lang w:val="en-GB"/>
        </w:rPr>
        <w:t xml:space="preserve"> except inventories</w:t>
      </w:r>
      <w:r w:rsidRPr="00BD271D">
        <w:rPr>
          <w:rFonts w:cs="Times New Roman"/>
          <w:lang w:val="en-GB"/>
        </w:rPr>
        <w:t xml:space="preserve"> than its current liabilities in th</w:t>
      </w:r>
      <w:r w:rsidR="00735450" w:rsidRPr="00BD271D">
        <w:rPr>
          <w:rFonts w:cs="Times New Roman"/>
          <w:lang w:val="en-GB"/>
        </w:rPr>
        <w:t>ose</w:t>
      </w:r>
      <w:r w:rsidRPr="00BD271D">
        <w:rPr>
          <w:rFonts w:cs="Times New Roman"/>
          <w:lang w:val="en-GB"/>
        </w:rPr>
        <w:t xml:space="preserve"> period</w:t>
      </w:r>
      <w:r w:rsidR="0030135E" w:rsidRPr="00BD271D">
        <w:rPr>
          <w:rFonts w:cs="Times New Roman"/>
          <w:lang w:val="en-GB"/>
        </w:rPr>
        <w:t>s</w:t>
      </w:r>
      <w:r w:rsidRPr="00BD271D">
        <w:rPr>
          <w:rFonts w:cs="Times New Roman"/>
          <w:lang w:val="en-GB"/>
        </w:rPr>
        <w:t>. The</w:t>
      </w:r>
      <w:r w:rsidR="0030135E" w:rsidRPr="00BD271D">
        <w:rPr>
          <w:rFonts w:cs="Times New Roman"/>
          <w:lang w:val="en-GB"/>
        </w:rPr>
        <w:t xml:space="preserve"> quick</w:t>
      </w:r>
      <w:r w:rsidRPr="00BD271D">
        <w:rPr>
          <w:rFonts w:cs="Times New Roman"/>
          <w:lang w:val="en-GB"/>
        </w:rPr>
        <w:t xml:space="preserve"> ratio of the GlaxoSmithKline has shown with below industry average for the accounting period 2017</w:t>
      </w:r>
      <w:r w:rsidR="00844645" w:rsidRPr="00BD271D">
        <w:rPr>
          <w:rFonts w:cs="Times New Roman"/>
          <w:lang w:val="en-GB"/>
        </w:rPr>
        <w:t xml:space="preserve">, </w:t>
      </w:r>
      <w:r w:rsidRPr="00BD271D">
        <w:rPr>
          <w:rFonts w:cs="Times New Roman"/>
          <w:lang w:val="en-GB"/>
        </w:rPr>
        <w:t>2018</w:t>
      </w:r>
      <w:r w:rsidR="00844645" w:rsidRPr="00BD271D">
        <w:rPr>
          <w:rFonts w:cs="Times New Roman"/>
          <w:lang w:val="en-GB"/>
        </w:rPr>
        <w:t xml:space="preserve"> and 2019</w:t>
      </w:r>
      <w:r w:rsidRPr="00BD271D">
        <w:rPr>
          <w:rFonts w:cs="Times New Roman"/>
          <w:lang w:val="en-GB"/>
        </w:rPr>
        <w:t>. This below</w:t>
      </w:r>
      <w:r w:rsidR="00735450" w:rsidRPr="00BD271D">
        <w:rPr>
          <w:rFonts w:cs="Times New Roman"/>
          <w:lang w:val="en-GB"/>
        </w:rPr>
        <w:t>-</w:t>
      </w:r>
      <w:r w:rsidRPr="00BD271D">
        <w:rPr>
          <w:rFonts w:cs="Times New Roman"/>
          <w:lang w:val="en-GB"/>
        </w:rPr>
        <w:t>average of the</w:t>
      </w:r>
      <w:r w:rsidR="00844645" w:rsidRPr="00BD271D">
        <w:rPr>
          <w:rFonts w:cs="Times New Roman"/>
          <w:lang w:val="en-GB"/>
        </w:rPr>
        <w:t xml:space="preserve"> quick</w:t>
      </w:r>
      <w:r w:rsidRPr="00BD271D">
        <w:rPr>
          <w:rFonts w:cs="Times New Roman"/>
          <w:lang w:val="en-GB"/>
        </w:rPr>
        <w:t xml:space="preserve"> ratio indicates that the GlaxoSmithKline had more current liabilities than current assets</w:t>
      </w:r>
      <w:r w:rsidR="00844645" w:rsidRPr="00BD271D">
        <w:rPr>
          <w:rFonts w:cs="Times New Roman"/>
          <w:lang w:val="en-GB"/>
        </w:rPr>
        <w:t xml:space="preserve"> except</w:t>
      </w:r>
      <w:r w:rsidR="00735450" w:rsidRPr="00BD271D">
        <w:rPr>
          <w:rFonts w:cs="Times New Roman"/>
          <w:lang w:val="en-GB"/>
        </w:rPr>
        <w:t xml:space="preserve"> for</w:t>
      </w:r>
      <w:r w:rsidR="00844645" w:rsidRPr="00BD271D">
        <w:rPr>
          <w:rFonts w:cs="Times New Roman"/>
          <w:lang w:val="en-GB"/>
        </w:rPr>
        <w:t xml:space="preserve"> inventories</w:t>
      </w:r>
      <w:r w:rsidRPr="00BD271D">
        <w:rPr>
          <w:rFonts w:cs="Times New Roman"/>
          <w:lang w:val="en-GB"/>
        </w:rPr>
        <w:t xml:space="preserve"> in th</w:t>
      </w:r>
      <w:r w:rsidR="00735450" w:rsidRPr="00BD271D">
        <w:rPr>
          <w:rFonts w:cs="Times New Roman"/>
          <w:lang w:val="en-GB"/>
        </w:rPr>
        <w:t>ose</w:t>
      </w:r>
      <w:r w:rsidRPr="00BD271D">
        <w:rPr>
          <w:rFonts w:cs="Times New Roman"/>
          <w:lang w:val="en-GB"/>
        </w:rPr>
        <w:t xml:space="preserve"> periods. Furthermore, the industry average of the</w:t>
      </w:r>
      <w:r w:rsidR="0058073B" w:rsidRPr="00BD271D">
        <w:rPr>
          <w:rFonts w:cs="Times New Roman"/>
          <w:lang w:val="en-GB"/>
        </w:rPr>
        <w:t xml:space="preserve"> quick</w:t>
      </w:r>
      <w:r w:rsidRPr="00BD271D">
        <w:rPr>
          <w:rFonts w:cs="Times New Roman"/>
          <w:lang w:val="en-GB"/>
        </w:rPr>
        <w:t xml:space="preserve"> ratio was </w:t>
      </w:r>
      <w:r w:rsidR="0058073B" w:rsidRPr="00BD271D">
        <w:rPr>
          <w:rFonts w:cs="Times New Roman"/>
          <w:lang w:val="en-GB"/>
        </w:rPr>
        <w:t>0.59</w:t>
      </w:r>
      <w:r w:rsidRPr="00BD271D">
        <w:rPr>
          <w:rFonts w:cs="Times New Roman"/>
          <w:lang w:val="en-GB"/>
        </w:rPr>
        <w:t>:1 for the pharmaceuticals industry but the GlaxoSmithKline cannot reach this industry average in the period 2017</w:t>
      </w:r>
      <w:r w:rsidR="0058073B" w:rsidRPr="00BD271D">
        <w:rPr>
          <w:rFonts w:cs="Times New Roman"/>
          <w:lang w:val="en-GB"/>
        </w:rPr>
        <w:t>, 2018</w:t>
      </w:r>
      <w:r w:rsidRPr="00BD271D">
        <w:rPr>
          <w:rFonts w:cs="Times New Roman"/>
          <w:lang w:val="en-GB"/>
        </w:rPr>
        <w:t xml:space="preserve"> and 201</w:t>
      </w:r>
      <w:r w:rsidR="0058073B" w:rsidRPr="00BD271D">
        <w:rPr>
          <w:rFonts w:cs="Times New Roman"/>
          <w:lang w:val="en-GB"/>
        </w:rPr>
        <w:t>9</w:t>
      </w:r>
      <w:r w:rsidRPr="00BD271D">
        <w:rPr>
          <w:rFonts w:cs="Times New Roman"/>
          <w:lang w:val="en-GB"/>
        </w:rPr>
        <w:t>. In that case, it can be said that the</w:t>
      </w:r>
      <w:r w:rsidR="0058073B" w:rsidRPr="00BD271D">
        <w:rPr>
          <w:rFonts w:cs="Times New Roman"/>
          <w:lang w:val="en-GB"/>
        </w:rPr>
        <w:t xml:space="preserve"> quick</w:t>
      </w:r>
      <w:r w:rsidRPr="00BD271D">
        <w:rPr>
          <w:rFonts w:cs="Times New Roman"/>
          <w:lang w:val="en-GB"/>
        </w:rPr>
        <w:t xml:space="preserve"> ratio of the GlaxoSmithKline was not strong for the period 2017</w:t>
      </w:r>
      <w:r w:rsidR="0058073B" w:rsidRPr="00BD271D">
        <w:rPr>
          <w:rFonts w:cs="Times New Roman"/>
          <w:lang w:val="en-GB"/>
        </w:rPr>
        <w:t xml:space="preserve">, </w:t>
      </w:r>
      <w:r w:rsidRPr="00BD271D">
        <w:rPr>
          <w:rFonts w:cs="Times New Roman"/>
          <w:lang w:val="en-GB"/>
        </w:rPr>
        <w:t>2018</w:t>
      </w:r>
      <w:r w:rsidR="0058073B" w:rsidRPr="00BD271D">
        <w:rPr>
          <w:rFonts w:cs="Times New Roman"/>
          <w:lang w:val="en-GB"/>
        </w:rPr>
        <w:t>, and 2019.</w:t>
      </w:r>
    </w:p>
    <w:p w14:paraId="7B513C37" w14:textId="77777777" w:rsidR="00BD271D" w:rsidRPr="00BD271D" w:rsidRDefault="00BD271D">
      <w:pPr>
        <w:rPr>
          <w:rFonts w:cs="Times New Roman"/>
          <w:u w:val="single"/>
          <w:lang w:val="en-GB"/>
        </w:rPr>
      </w:pPr>
    </w:p>
    <w:p w14:paraId="7EEA8359" w14:textId="767FF3DA" w:rsidR="00FF7951" w:rsidRPr="00BD271D" w:rsidRDefault="00BC6E95" w:rsidP="00C62435">
      <w:pPr>
        <w:rPr>
          <w:rFonts w:cs="Times New Roman"/>
          <w:lang w:val="en-GB"/>
        </w:rPr>
      </w:pPr>
      <w:r w:rsidRPr="00BD271D">
        <w:rPr>
          <w:rFonts w:cs="Times New Roman"/>
          <w:b/>
          <w:bCs/>
          <w:u w:val="single"/>
          <w:lang w:val="en-GB"/>
        </w:rPr>
        <w:t>Gross profit margin:</w:t>
      </w:r>
      <w:r w:rsidRPr="00BD271D">
        <w:rPr>
          <w:rFonts w:cs="Times New Roman"/>
          <w:lang w:val="en-GB"/>
        </w:rPr>
        <w:t xml:space="preserve"> </w:t>
      </w:r>
      <w:r w:rsidR="0014449F" w:rsidRPr="00BD271D">
        <w:rPr>
          <w:rFonts w:cs="Times New Roman"/>
          <w:lang w:val="en-GB"/>
        </w:rPr>
        <w:t>The profitability of the GlaxoSmithKline</w:t>
      </w:r>
      <w:r w:rsidR="007F4190" w:rsidRPr="00BD271D">
        <w:rPr>
          <w:rFonts w:cs="Times New Roman"/>
          <w:lang w:val="en-GB"/>
        </w:rPr>
        <w:t xml:space="preserve"> has been assessed</w:t>
      </w:r>
      <w:r w:rsidR="0014449F" w:rsidRPr="00BD271D">
        <w:rPr>
          <w:rFonts w:cs="Times New Roman"/>
          <w:lang w:val="en-GB"/>
        </w:rPr>
        <w:t xml:space="preserve"> by comparison with gross profit margin and sales revenue</w:t>
      </w:r>
      <w:r w:rsidR="00A958FC" w:rsidRPr="00BD271D">
        <w:rPr>
          <w:rFonts w:cs="Times New Roman"/>
          <w:lang w:val="en-GB"/>
        </w:rPr>
        <w:t xml:space="preserve"> (Topsacalian, Teulié, Helfer and Orsoni, 2015)</w:t>
      </w:r>
      <w:r w:rsidR="007F4190" w:rsidRPr="00BD271D">
        <w:rPr>
          <w:rFonts w:cs="Times New Roman"/>
          <w:lang w:val="en-GB"/>
        </w:rPr>
        <w:t xml:space="preserve">. The investors and intended users can know how much amount </w:t>
      </w:r>
      <w:r w:rsidR="006333F4" w:rsidRPr="00BD271D">
        <w:rPr>
          <w:rFonts w:cs="Times New Roman"/>
          <w:lang w:val="en-GB"/>
        </w:rPr>
        <w:t xml:space="preserve">of the profit can be generated by sales amount worth of £1. The gross profit margin of the GlaxoSmithKline for the accounting period </w:t>
      </w:r>
      <w:r w:rsidR="006333F4" w:rsidRPr="00BD271D">
        <w:rPr>
          <w:rFonts w:cs="Times New Roman"/>
          <w:lang w:val="en-GB"/>
        </w:rPr>
        <w:lastRenderedPageBreak/>
        <w:t>2015, 2016, 2017, 2018, and 2019 respectively</w:t>
      </w:r>
      <w:r w:rsidR="00407AD5" w:rsidRPr="00BD271D">
        <w:rPr>
          <w:rFonts w:cs="Times New Roman"/>
          <w:lang w:val="en-GB"/>
        </w:rPr>
        <w:t xml:space="preserve"> 63%, 67%, 66%, 67%, and 65%.</w:t>
      </w:r>
      <w:r w:rsidR="00F8319A" w:rsidRPr="00BD271D">
        <w:rPr>
          <w:rFonts w:cs="Times New Roman"/>
          <w:lang w:val="en-GB"/>
        </w:rPr>
        <w:t xml:space="preserve"> The maximum gross profit margin of the GlaxoSmithKline was 67% and this percentage of the gross profit margin indicates that the GlaxoSmithKline can gene</w:t>
      </w:r>
      <w:r w:rsidR="00A94E59" w:rsidRPr="00BD271D">
        <w:rPr>
          <w:rFonts w:cs="Times New Roman"/>
          <w:lang w:val="en-GB"/>
        </w:rPr>
        <w:t>rate £67 as gross profit selling worth of £100.</w:t>
      </w:r>
      <w:r w:rsidR="006B411F" w:rsidRPr="00BD271D">
        <w:rPr>
          <w:rFonts w:cs="Times New Roman"/>
          <w:lang w:val="en-GB"/>
        </w:rPr>
        <w:t xml:space="preserve"> </w:t>
      </w:r>
      <w:r w:rsidR="00C62435" w:rsidRPr="00BD271D">
        <w:rPr>
          <w:rFonts w:cs="Times New Roman"/>
          <w:lang w:val="en-GB"/>
        </w:rPr>
        <w:t>The lowest gross profit margin of the GlaxoSmithKline was 63% and this percentage of the gross profit margin indicates that the GlaxoSmithKline can generate £63 as gross profit selling worth of £100</w:t>
      </w:r>
      <w:r w:rsidR="006B411F" w:rsidRPr="00BD271D">
        <w:rPr>
          <w:rFonts w:cs="Times New Roman"/>
          <w:lang w:val="en-GB"/>
        </w:rPr>
        <w:t xml:space="preserve">. </w:t>
      </w:r>
      <w:r w:rsidR="00C62435" w:rsidRPr="00BD271D">
        <w:rPr>
          <w:rFonts w:cs="Times New Roman"/>
          <w:lang w:val="en-GB"/>
        </w:rPr>
        <w:t>Furthermore, the industry average of the</w:t>
      </w:r>
      <w:r w:rsidR="003B7640" w:rsidRPr="00BD271D">
        <w:rPr>
          <w:rFonts w:cs="Times New Roman"/>
          <w:lang w:val="en-GB"/>
        </w:rPr>
        <w:t xml:space="preserve"> gross profit margin</w:t>
      </w:r>
      <w:r w:rsidR="00C62435" w:rsidRPr="00BD271D">
        <w:rPr>
          <w:rFonts w:cs="Times New Roman"/>
          <w:lang w:val="en-GB"/>
        </w:rPr>
        <w:t xml:space="preserve"> was</w:t>
      </w:r>
      <w:r w:rsidR="003B7640" w:rsidRPr="00BD271D">
        <w:rPr>
          <w:rFonts w:cs="Times New Roman"/>
          <w:lang w:val="en-GB"/>
        </w:rPr>
        <w:t xml:space="preserve"> 65%</w:t>
      </w:r>
      <w:r w:rsidR="00C62435" w:rsidRPr="00BD271D">
        <w:rPr>
          <w:rFonts w:cs="Times New Roman"/>
          <w:lang w:val="en-GB"/>
        </w:rPr>
        <w:t xml:space="preserve"> for the pharmaceuticals industry</w:t>
      </w:r>
      <w:r w:rsidR="003B7640" w:rsidRPr="00BD271D">
        <w:rPr>
          <w:rFonts w:cs="Times New Roman"/>
          <w:lang w:val="en-GB"/>
        </w:rPr>
        <w:t xml:space="preserve"> and</w:t>
      </w:r>
      <w:r w:rsidR="00C62435" w:rsidRPr="00BD271D">
        <w:rPr>
          <w:rFonts w:cs="Times New Roman"/>
          <w:lang w:val="en-GB"/>
        </w:rPr>
        <w:t xml:space="preserve"> the GlaxoSmithKline can reach this industry average</w:t>
      </w:r>
      <w:r w:rsidR="003B7640" w:rsidRPr="00BD271D">
        <w:rPr>
          <w:rFonts w:cs="Times New Roman"/>
          <w:lang w:val="en-GB"/>
        </w:rPr>
        <w:t xml:space="preserve"> over </w:t>
      </w:r>
      <w:r w:rsidR="00735450" w:rsidRPr="00BD271D">
        <w:rPr>
          <w:rFonts w:cs="Times New Roman"/>
          <w:lang w:val="en-GB"/>
        </w:rPr>
        <w:t xml:space="preserve">the </w:t>
      </w:r>
      <w:r w:rsidR="003B7640" w:rsidRPr="00BD271D">
        <w:rPr>
          <w:rFonts w:cs="Times New Roman"/>
          <w:lang w:val="en-GB"/>
        </w:rPr>
        <w:t>last five years except in the accounting period</w:t>
      </w:r>
      <w:r w:rsidR="00735450" w:rsidRPr="00BD271D">
        <w:rPr>
          <w:rFonts w:cs="Times New Roman"/>
          <w:lang w:val="en-GB"/>
        </w:rPr>
        <w:t xml:space="preserve"> of</w:t>
      </w:r>
      <w:r w:rsidR="003B7640" w:rsidRPr="00BD271D">
        <w:rPr>
          <w:rFonts w:cs="Times New Roman"/>
          <w:lang w:val="en-GB"/>
        </w:rPr>
        <w:t xml:space="preserve"> 2015. </w:t>
      </w:r>
      <w:r w:rsidR="00C62435" w:rsidRPr="00BD271D">
        <w:rPr>
          <w:rFonts w:cs="Times New Roman"/>
          <w:lang w:val="en-GB"/>
        </w:rPr>
        <w:t>In that case, it can be said that the</w:t>
      </w:r>
      <w:r w:rsidR="003B7640" w:rsidRPr="00BD271D">
        <w:rPr>
          <w:rFonts w:cs="Times New Roman"/>
          <w:lang w:val="en-GB"/>
        </w:rPr>
        <w:t xml:space="preserve"> gross profit margin </w:t>
      </w:r>
      <w:r w:rsidR="00C62435" w:rsidRPr="00BD271D">
        <w:rPr>
          <w:rFonts w:cs="Times New Roman"/>
          <w:lang w:val="en-GB"/>
        </w:rPr>
        <w:t>of the GlaxoSmithKline was</w:t>
      </w:r>
      <w:r w:rsidR="003B7640" w:rsidRPr="00BD271D">
        <w:rPr>
          <w:rFonts w:cs="Times New Roman"/>
          <w:lang w:val="en-GB"/>
        </w:rPr>
        <w:t xml:space="preserve"> </w:t>
      </w:r>
      <w:r w:rsidR="00C62435" w:rsidRPr="00BD271D">
        <w:rPr>
          <w:rFonts w:cs="Times New Roman"/>
          <w:lang w:val="en-GB"/>
        </w:rPr>
        <w:t>strong</w:t>
      </w:r>
      <w:r w:rsidR="003B7640" w:rsidRPr="00BD271D">
        <w:rPr>
          <w:rFonts w:cs="Times New Roman"/>
          <w:lang w:val="en-GB"/>
        </w:rPr>
        <w:t xml:space="preserve"> over the last five years except 2015. </w:t>
      </w:r>
    </w:p>
    <w:p w14:paraId="25BAE55D" w14:textId="77777777" w:rsidR="00BD271D" w:rsidRPr="00BD271D" w:rsidRDefault="00BD271D" w:rsidP="00C62435">
      <w:pPr>
        <w:rPr>
          <w:rFonts w:cs="Times New Roman"/>
          <w:lang w:val="en-GB"/>
        </w:rPr>
      </w:pPr>
    </w:p>
    <w:p w14:paraId="62291445" w14:textId="5ED313DA" w:rsidR="00FF7951" w:rsidRPr="00BD271D" w:rsidRDefault="00E573ED" w:rsidP="005E2464">
      <w:pPr>
        <w:rPr>
          <w:rFonts w:cs="Times New Roman"/>
          <w:lang w:val="en-GB"/>
        </w:rPr>
      </w:pPr>
      <w:r w:rsidRPr="00BD271D">
        <w:rPr>
          <w:rFonts w:cs="Times New Roman"/>
          <w:b/>
          <w:bCs/>
          <w:u w:val="single"/>
          <w:lang w:val="en-GB"/>
        </w:rPr>
        <w:t>Net profit margin:</w:t>
      </w:r>
      <w:r w:rsidRPr="00BD271D">
        <w:rPr>
          <w:rFonts w:cs="Times New Roman"/>
          <w:lang w:val="en-GB"/>
        </w:rPr>
        <w:t xml:space="preserve"> The profitability of the GlaxoSmithKline has been assessed by comparison with</w:t>
      </w:r>
      <w:r w:rsidR="00E32A84" w:rsidRPr="00BD271D">
        <w:rPr>
          <w:rFonts w:cs="Times New Roman"/>
          <w:lang w:val="en-GB"/>
        </w:rPr>
        <w:t xml:space="preserve"> net</w:t>
      </w:r>
      <w:r w:rsidRPr="00BD271D">
        <w:rPr>
          <w:rFonts w:cs="Times New Roman"/>
          <w:lang w:val="en-GB"/>
        </w:rPr>
        <w:t xml:space="preserve"> profit margin and sales revenue</w:t>
      </w:r>
      <w:r w:rsidR="00A958FC" w:rsidRPr="00BD271D">
        <w:rPr>
          <w:rFonts w:cs="Times New Roman"/>
          <w:lang w:val="en-GB"/>
        </w:rPr>
        <w:t xml:space="preserve"> (Ward, 2020)</w:t>
      </w:r>
      <w:r w:rsidRPr="00BD271D">
        <w:rPr>
          <w:rFonts w:cs="Times New Roman"/>
          <w:lang w:val="en-GB"/>
        </w:rPr>
        <w:t>. The investors and intended users can know how much amount of the</w:t>
      </w:r>
      <w:r w:rsidR="00E32A84" w:rsidRPr="00BD271D">
        <w:rPr>
          <w:rFonts w:cs="Times New Roman"/>
          <w:lang w:val="en-GB"/>
        </w:rPr>
        <w:t xml:space="preserve"> </w:t>
      </w:r>
      <w:r w:rsidRPr="00BD271D">
        <w:rPr>
          <w:rFonts w:cs="Times New Roman"/>
          <w:lang w:val="en-GB"/>
        </w:rPr>
        <w:t>profit</w:t>
      </w:r>
      <w:r w:rsidR="00E32A84" w:rsidRPr="00BD271D">
        <w:rPr>
          <w:rFonts w:cs="Times New Roman"/>
          <w:lang w:val="en-GB"/>
        </w:rPr>
        <w:t xml:space="preserve"> after meeting all expenses</w:t>
      </w:r>
      <w:r w:rsidRPr="00BD271D">
        <w:rPr>
          <w:rFonts w:cs="Times New Roman"/>
          <w:lang w:val="en-GB"/>
        </w:rPr>
        <w:t xml:space="preserve"> can be generated by sales amount worth of £1. The</w:t>
      </w:r>
      <w:r w:rsidR="00E32A84" w:rsidRPr="00BD271D">
        <w:rPr>
          <w:rFonts w:cs="Times New Roman"/>
          <w:lang w:val="en-GB"/>
        </w:rPr>
        <w:t xml:space="preserve"> net</w:t>
      </w:r>
      <w:r w:rsidRPr="00BD271D">
        <w:rPr>
          <w:rFonts w:cs="Times New Roman"/>
          <w:lang w:val="en-GB"/>
        </w:rPr>
        <w:t xml:space="preserve"> profit margin of the GlaxoSmithKline for the accounting period 2015, 2016, 2017, 2018, and 2019 respectively 3</w:t>
      </w:r>
      <w:r w:rsidR="00CF6E20" w:rsidRPr="00BD271D">
        <w:rPr>
          <w:rFonts w:cs="Times New Roman"/>
          <w:lang w:val="en-GB"/>
        </w:rPr>
        <w:t>5</w:t>
      </w:r>
      <w:r w:rsidRPr="00BD271D">
        <w:rPr>
          <w:rFonts w:cs="Times New Roman"/>
          <w:lang w:val="en-GB"/>
        </w:rPr>
        <w:t xml:space="preserve">%, </w:t>
      </w:r>
      <w:r w:rsidR="00CF6E20" w:rsidRPr="00BD271D">
        <w:rPr>
          <w:rFonts w:cs="Times New Roman"/>
          <w:lang w:val="en-GB"/>
        </w:rPr>
        <w:t>4</w:t>
      </w:r>
      <w:r w:rsidRPr="00BD271D">
        <w:rPr>
          <w:rFonts w:cs="Times New Roman"/>
          <w:lang w:val="en-GB"/>
        </w:rPr>
        <w:t xml:space="preserve">%, </w:t>
      </w:r>
      <w:r w:rsidR="00CF6E20" w:rsidRPr="00BD271D">
        <w:rPr>
          <w:rFonts w:cs="Times New Roman"/>
          <w:lang w:val="en-GB"/>
        </w:rPr>
        <w:t>7</w:t>
      </w:r>
      <w:r w:rsidRPr="00BD271D">
        <w:rPr>
          <w:rFonts w:cs="Times New Roman"/>
          <w:lang w:val="en-GB"/>
        </w:rPr>
        <w:t xml:space="preserve">%, </w:t>
      </w:r>
      <w:r w:rsidR="00CF6E20" w:rsidRPr="00BD271D">
        <w:rPr>
          <w:rFonts w:cs="Times New Roman"/>
          <w:lang w:val="en-GB"/>
        </w:rPr>
        <w:t>13</w:t>
      </w:r>
      <w:r w:rsidRPr="00BD271D">
        <w:rPr>
          <w:rFonts w:cs="Times New Roman"/>
          <w:lang w:val="en-GB"/>
        </w:rPr>
        <w:t xml:space="preserve">%, and </w:t>
      </w:r>
      <w:r w:rsidR="00CF6E20" w:rsidRPr="00BD271D">
        <w:rPr>
          <w:rFonts w:cs="Times New Roman"/>
          <w:lang w:val="en-GB"/>
        </w:rPr>
        <w:t>16</w:t>
      </w:r>
      <w:r w:rsidRPr="00BD271D">
        <w:rPr>
          <w:rFonts w:cs="Times New Roman"/>
          <w:lang w:val="en-GB"/>
        </w:rPr>
        <w:t xml:space="preserve">%. The maximum </w:t>
      </w:r>
      <w:r w:rsidR="00CF6E20" w:rsidRPr="00BD271D">
        <w:rPr>
          <w:rFonts w:cs="Times New Roman"/>
          <w:lang w:val="en-GB"/>
        </w:rPr>
        <w:t>net</w:t>
      </w:r>
      <w:r w:rsidRPr="00BD271D">
        <w:rPr>
          <w:rFonts w:cs="Times New Roman"/>
          <w:lang w:val="en-GB"/>
        </w:rPr>
        <w:t xml:space="preserve"> profit margin of the GlaxoSmithKline was </w:t>
      </w:r>
      <w:r w:rsidR="00CF6E20" w:rsidRPr="00BD271D">
        <w:rPr>
          <w:rFonts w:cs="Times New Roman"/>
          <w:lang w:val="en-GB"/>
        </w:rPr>
        <w:t>35</w:t>
      </w:r>
      <w:r w:rsidRPr="00BD271D">
        <w:rPr>
          <w:rFonts w:cs="Times New Roman"/>
          <w:lang w:val="en-GB"/>
        </w:rPr>
        <w:t xml:space="preserve">% and this percentage of the </w:t>
      </w:r>
      <w:r w:rsidR="00CF6E20" w:rsidRPr="00BD271D">
        <w:rPr>
          <w:rFonts w:cs="Times New Roman"/>
          <w:lang w:val="en-GB"/>
        </w:rPr>
        <w:t>net</w:t>
      </w:r>
      <w:r w:rsidRPr="00BD271D">
        <w:rPr>
          <w:rFonts w:cs="Times New Roman"/>
          <w:lang w:val="en-GB"/>
        </w:rPr>
        <w:t xml:space="preserve"> profit margin indicates that the GlaxoSmithKline can generate £</w:t>
      </w:r>
      <w:r w:rsidR="00CF6E20" w:rsidRPr="00BD271D">
        <w:rPr>
          <w:rFonts w:cs="Times New Roman"/>
          <w:lang w:val="en-GB"/>
        </w:rPr>
        <w:t>35</w:t>
      </w:r>
      <w:r w:rsidRPr="00BD271D">
        <w:rPr>
          <w:rFonts w:cs="Times New Roman"/>
          <w:lang w:val="en-GB"/>
        </w:rPr>
        <w:t xml:space="preserve"> as </w:t>
      </w:r>
      <w:r w:rsidR="00CF6E20" w:rsidRPr="00BD271D">
        <w:rPr>
          <w:rFonts w:cs="Times New Roman"/>
          <w:lang w:val="en-GB"/>
        </w:rPr>
        <w:t>net</w:t>
      </w:r>
      <w:r w:rsidRPr="00BD271D">
        <w:rPr>
          <w:rFonts w:cs="Times New Roman"/>
          <w:lang w:val="en-GB"/>
        </w:rPr>
        <w:t xml:space="preserve"> profit selling worth of £100. The lowest</w:t>
      </w:r>
      <w:r w:rsidR="00FA4C53" w:rsidRPr="00BD271D">
        <w:rPr>
          <w:rFonts w:cs="Times New Roman"/>
          <w:lang w:val="en-GB"/>
        </w:rPr>
        <w:t xml:space="preserve"> net</w:t>
      </w:r>
      <w:r w:rsidRPr="00BD271D">
        <w:rPr>
          <w:rFonts w:cs="Times New Roman"/>
          <w:lang w:val="en-GB"/>
        </w:rPr>
        <w:t xml:space="preserve"> profit margin of the GlaxoSmithKline was </w:t>
      </w:r>
      <w:r w:rsidR="00CF6E20" w:rsidRPr="00BD271D">
        <w:rPr>
          <w:rFonts w:cs="Times New Roman"/>
          <w:lang w:val="en-GB"/>
        </w:rPr>
        <w:t>4</w:t>
      </w:r>
      <w:r w:rsidRPr="00BD271D">
        <w:rPr>
          <w:rFonts w:cs="Times New Roman"/>
          <w:lang w:val="en-GB"/>
        </w:rPr>
        <w:t>% and this percentage of the</w:t>
      </w:r>
      <w:r w:rsidR="00FA4C53" w:rsidRPr="00BD271D">
        <w:rPr>
          <w:rFonts w:cs="Times New Roman"/>
          <w:lang w:val="en-GB"/>
        </w:rPr>
        <w:t xml:space="preserve"> net</w:t>
      </w:r>
      <w:r w:rsidRPr="00BD271D">
        <w:rPr>
          <w:rFonts w:cs="Times New Roman"/>
          <w:lang w:val="en-GB"/>
        </w:rPr>
        <w:t xml:space="preserve"> profit margin indicates that the GlaxoSmithKline can generate £</w:t>
      </w:r>
      <w:r w:rsidR="00FA4C53" w:rsidRPr="00BD271D">
        <w:rPr>
          <w:rFonts w:cs="Times New Roman"/>
          <w:lang w:val="en-GB"/>
        </w:rPr>
        <w:t>4</w:t>
      </w:r>
      <w:r w:rsidRPr="00BD271D">
        <w:rPr>
          <w:rFonts w:cs="Times New Roman"/>
          <w:lang w:val="en-GB"/>
        </w:rPr>
        <w:t xml:space="preserve"> as </w:t>
      </w:r>
      <w:r w:rsidR="00FA4C53" w:rsidRPr="00BD271D">
        <w:rPr>
          <w:rFonts w:cs="Times New Roman"/>
          <w:lang w:val="en-GB"/>
        </w:rPr>
        <w:t>net</w:t>
      </w:r>
      <w:r w:rsidRPr="00BD271D">
        <w:rPr>
          <w:rFonts w:cs="Times New Roman"/>
          <w:lang w:val="en-GB"/>
        </w:rPr>
        <w:t xml:space="preserve"> profit selling worth of £100. Furthermore, the industry average of the </w:t>
      </w:r>
      <w:r w:rsidR="00FA4C53" w:rsidRPr="00BD271D">
        <w:rPr>
          <w:rFonts w:cs="Times New Roman"/>
          <w:lang w:val="en-GB"/>
        </w:rPr>
        <w:t>net</w:t>
      </w:r>
      <w:r w:rsidRPr="00BD271D">
        <w:rPr>
          <w:rFonts w:cs="Times New Roman"/>
          <w:lang w:val="en-GB"/>
        </w:rPr>
        <w:t xml:space="preserve"> profit margin was </w:t>
      </w:r>
      <w:r w:rsidR="00FA4C53" w:rsidRPr="00BD271D">
        <w:rPr>
          <w:rFonts w:cs="Times New Roman"/>
          <w:lang w:val="en-GB"/>
        </w:rPr>
        <w:t>1</w:t>
      </w:r>
      <w:r w:rsidRPr="00BD271D">
        <w:rPr>
          <w:rFonts w:cs="Times New Roman"/>
          <w:lang w:val="en-GB"/>
        </w:rPr>
        <w:t>5% for the pharmaceuticals industry and the GlaxoSmithKline can</w:t>
      </w:r>
      <w:r w:rsidR="00FA4C53" w:rsidRPr="00BD271D">
        <w:rPr>
          <w:rFonts w:cs="Times New Roman"/>
          <w:lang w:val="en-GB"/>
        </w:rPr>
        <w:t>not</w:t>
      </w:r>
      <w:r w:rsidRPr="00BD271D">
        <w:rPr>
          <w:rFonts w:cs="Times New Roman"/>
          <w:lang w:val="en-GB"/>
        </w:rPr>
        <w:t xml:space="preserve"> reach this industry average</w:t>
      </w:r>
      <w:r w:rsidR="00FA4C53" w:rsidRPr="00BD271D">
        <w:rPr>
          <w:rFonts w:cs="Times New Roman"/>
          <w:lang w:val="en-GB"/>
        </w:rPr>
        <w:t xml:space="preserve"> for the accounting period </w:t>
      </w:r>
      <w:r w:rsidR="001A2F99" w:rsidRPr="00BD271D">
        <w:rPr>
          <w:rFonts w:cs="Times New Roman"/>
          <w:lang w:val="en-GB"/>
        </w:rPr>
        <w:t>2016, 2017, and 2018</w:t>
      </w:r>
      <w:r w:rsidRPr="00BD271D">
        <w:rPr>
          <w:rFonts w:cs="Times New Roman"/>
          <w:lang w:val="en-GB"/>
        </w:rPr>
        <w:t>.</w:t>
      </w:r>
      <w:r w:rsidR="001A2F99" w:rsidRPr="00BD271D">
        <w:rPr>
          <w:rFonts w:cs="Times New Roman"/>
          <w:lang w:val="en-GB"/>
        </w:rPr>
        <w:t xml:space="preserve"> </w:t>
      </w:r>
      <w:r w:rsidRPr="00BD271D">
        <w:rPr>
          <w:rFonts w:cs="Times New Roman"/>
          <w:lang w:val="en-GB"/>
        </w:rPr>
        <w:t xml:space="preserve">In that case, it can be said that the </w:t>
      </w:r>
      <w:r w:rsidR="001A2F99" w:rsidRPr="00BD271D">
        <w:rPr>
          <w:rFonts w:cs="Times New Roman"/>
          <w:lang w:val="en-GB"/>
        </w:rPr>
        <w:t>net</w:t>
      </w:r>
      <w:r w:rsidRPr="00BD271D">
        <w:rPr>
          <w:rFonts w:cs="Times New Roman"/>
          <w:lang w:val="en-GB"/>
        </w:rPr>
        <w:t xml:space="preserve"> profit margin of the GlaxoSmithKline was</w:t>
      </w:r>
      <w:r w:rsidR="001A2F99" w:rsidRPr="00BD271D">
        <w:rPr>
          <w:rFonts w:cs="Times New Roman"/>
          <w:lang w:val="en-GB"/>
        </w:rPr>
        <w:t xml:space="preserve"> not</w:t>
      </w:r>
      <w:r w:rsidRPr="00BD271D">
        <w:rPr>
          <w:rFonts w:cs="Times New Roman"/>
          <w:lang w:val="en-GB"/>
        </w:rPr>
        <w:t xml:space="preserve"> strong over the last five years</w:t>
      </w:r>
      <w:r w:rsidR="001A2F99" w:rsidRPr="00BD271D">
        <w:rPr>
          <w:rFonts w:cs="Times New Roman"/>
          <w:lang w:val="en-GB"/>
        </w:rPr>
        <w:t xml:space="preserve">. </w:t>
      </w:r>
    </w:p>
    <w:p w14:paraId="62AD8E33" w14:textId="77777777" w:rsidR="00BD271D" w:rsidRPr="00BD271D" w:rsidRDefault="00BD271D" w:rsidP="005E2464">
      <w:pPr>
        <w:rPr>
          <w:rFonts w:cs="Times New Roman"/>
          <w:u w:val="single"/>
          <w:lang w:val="en-GB"/>
        </w:rPr>
      </w:pPr>
    </w:p>
    <w:p w14:paraId="20FA468A" w14:textId="37352BF8" w:rsidR="00E602F6" w:rsidRPr="00BD271D" w:rsidRDefault="00051C61" w:rsidP="005E2464">
      <w:pPr>
        <w:rPr>
          <w:rFonts w:cs="Times New Roman"/>
          <w:lang w:val="en-GB"/>
        </w:rPr>
      </w:pPr>
      <w:r w:rsidRPr="00BD271D">
        <w:rPr>
          <w:rFonts w:cs="Times New Roman"/>
          <w:b/>
          <w:bCs/>
          <w:u w:val="single"/>
          <w:lang w:val="en-GB"/>
        </w:rPr>
        <w:t xml:space="preserve">Return on </w:t>
      </w:r>
      <w:r w:rsidR="00735450" w:rsidRPr="00BD271D">
        <w:rPr>
          <w:rFonts w:cs="Times New Roman"/>
          <w:b/>
          <w:bCs/>
          <w:u w:val="single"/>
          <w:lang w:val="en-GB"/>
        </w:rPr>
        <w:t xml:space="preserve">the </w:t>
      </w:r>
      <w:r w:rsidRPr="00BD271D">
        <w:rPr>
          <w:rFonts w:cs="Times New Roman"/>
          <w:b/>
          <w:bCs/>
          <w:u w:val="single"/>
          <w:lang w:val="en-GB"/>
        </w:rPr>
        <w:t>asset:</w:t>
      </w:r>
      <w:r w:rsidR="005E2464" w:rsidRPr="00BD271D">
        <w:rPr>
          <w:rFonts w:cs="Times New Roman"/>
          <w:lang w:val="en-GB"/>
        </w:rPr>
        <w:t xml:space="preserve"> The profitability of the GlaxoSmithKline has been assessed by comparison with net profit margin and</w:t>
      </w:r>
      <w:r w:rsidR="0037355A" w:rsidRPr="00BD271D">
        <w:rPr>
          <w:rFonts w:cs="Times New Roman"/>
          <w:lang w:val="en-GB"/>
        </w:rPr>
        <w:t xml:space="preserve"> total asset</w:t>
      </w:r>
      <w:r w:rsidR="00A958FC" w:rsidRPr="00BD271D">
        <w:rPr>
          <w:rFonts w:cs="Times New Roman"/>
          <w:lang w:val="en-GB"/>
        </w:rPr>
        <w:t xml:space="preserve"> (Ananthan, Appannaiah and Reddy, 2010)</w:t>
      </w:r>
      <w:r w:rsidR="005E2464" w:rsidRPr="00BD271D">
        <w:rPr>
          <w:rFonts w:cs="Times New Roman"/>
          <w:lang w:val="en-GB"/>
        </w:rPr>
        <w:t>. The investors and intended users can know how much amount of the profit after meeting all expenses can be generated by</w:t>
      </w:r>
      <w:r w:rsidR="003930E9" w:rsidRPr="00BD271D">
        <w:rPr>
          <w:rFonts w:cs="Times New Roman"/>
          <w:lang w:val="en-GB"/>
        </w:rPr>
        <w:t xml:space="preserve"> using its total asset</w:t>
      </w:r>
      <w:r w:rsidR="005E2464" w:rsidRPr="00BD271D">
        <w:rPr>
          <w:rFonts w:cs="Times New Roman"/>
          <w:lang w:val="en-GB"/>
        </w:rPr>
        <w:t xml:space="preserve"> worth of £1. The</w:t>
      </w:r>
      <w:r w:rsidR="001E0430" w:rsidRPr="00BD271D">
        <w:rPr>
          <w:rFonts w:cs="Times New Roman"/>
          <w:lang w:val="en-GB"/>
        </w:rPr>
        <w:t xml:space="preserve"> return o</w:t>
      </w:r>
      <w:r w:rsidR="00F42388" w:rsidRPr="00BD271D">
        <w:rPr>
          <w:rFonts w:cs="Times New Roman"/>
          <w:lang w:val="en-GB"/>
        </w:rPr>
        <w:t>n</w:t>
      </w:r>
      <w:r w:rsidR="001E0430" w:rsidRPr="00BD271D">
        <w:rPr>
          <w:rFonts w:cs="Times New Roman"/>
          <w:lang w:val="en-GB"/>
        </w:rPr>
        <w:t xml:space="preserve"> asset</w:t>
      </w:r>
      <w:r w:rsidR="005E2464" w:rsidRPr="00BD271D">
        <w:rPr>
          <w:rFonts w:cs="Times New Roman"/>
          <w:lang w:val="en-GB"/>
        </w:rPr>
        <w:t xml:space="preserve"> of the GlaxoSmithKline for the accounting period 2015, 2016, 2017, 2018, and 2019 respectively </w:t>
      </w:r>
      <w:r w:rsidR="00F42388" w:rsidRPr="00BD271D">
        <w:rPr>
          <w:rFonts w:cs="Times New Roman"/>
          <w:lang w:val="en-GB"/>
        </w:rPr>
        <w:t>16</w:t>
      </w:r>
      <w:r w:rsidR="005E2464" w:rsidRPr="00BD271D">
        <w:rPr>
          <w:rFonts w:cs="Times New Roman"/>
          <w:lang w:val="en-GB"/>
        </w:rPr>
        <w:t xml:space="preserve">%, </w:t>
      </w:r>
      <w:r w:rsidR="00F42388" w:rsidRPr="00BD271D">
        <w:rPr>
          <w:rFonts w:cs="Times New Roman"/>
          <w:lang w:val="en-GB"/>
        </w:rPr>
        <w:t>2</w:t>
      </w:r>
      <w:r w:rsidR="005E2464" w:rsidRPr="00BD271D">
        <w:rPr>
          <w:rFonts w:cs="Times New Roman"/>
          <w:lang w:val="en-GB"/>
        </w:rPr>
        <w:t xml:space="preserve">%, </w:t>
      </w:r>
      <w:r w:rsidR="00F42388" w:rsidRPr="00BD271D">
        <w:rPr>
          <w:rFonts w:cs="Times New Roman"/>
          <w:lang w:val="en-GB"/>
        </w:rPr>
        <w:t>4</w:t>
      </w:r>
      <w:r w:rsidR="005E2464" w:rsidRPr="00BD271D">
        <w:rPr>
          <w:rFonts w:cs="Times New Roman"/>
          <w:lang w:val="en-GB"/>
        </w:rPr>
        <w:t xml:space="preserve">%, </w:t>
      </w:r>
      <w:r w:rsidR="00F42388" w:rsidRPr="00BD271D">
        <w:rPr>
          <w:rFonts w:cs="Times New Roman"/>
          <w:lang w:val="en-GB"/>
        </w:rPr>
        <w:t>7</w:t>
      </w:r>
      <w:r w:rsidR="005E2464" w:rsidRPr="00BD271D">
        <w:rPr>
          <w:rFonts w:cs="Times New Roman"/>
          <w:lang w:val="en-GB"/>
        </w:rPr>
        <w:t xml:space="preserve">%, and </w:t>
      </w:r>
      <w:r w:rsidR="0038133A" w:rsidRPr="00BD271D">
        <w:rPr>
          <w:rFonts w:cs="Times New Roman"/>
          <w:lang w:val="en-GB"/>
        </w:rPr>
        <w:t>7</w:t>
      </w:r>
      <w:r w:rsidR="005E2464" w:rsidRPr="00BD271D">
        <w:rPr>
          <w:rFonts w:cs="Times New Roman"/>
          <w:lang w:val="en-GB"/>
        </w:rPr>
        <w:t>%. The maximum</w:t>
      </w:r>
      <w:r w:rsidR="0038133A" w:rsidRPr="00BD271D">
        <w:rPr>
          <w:rFonts w:cs="Times New Roman"/>
          <w:lang w:val="en-GB"/>
        </w:rPr>
        <w:t xml:space="preserve"> return on asset</w:t>
      </w:r>
      <w:r w:rsidR="005E2464" w:rsidRPr="00BD271D">
        <w:rPr>
          <w:rFonts w:cs="Times New Roman"/>
          <w:lang w:val="en-GB"/>
        </w:rPr>
        <w:t xml:space="preserve"> of the GlaxoSmithKline was </w:t>
      </w:r>
      <w:r w:rsidR="0038133A" w:rsidRPr="00BD271D">
        <w:rPr>
          <w:rFonts w:cs="Times New Roman"/>
          <w:lang w:val="en-GB"/>
        </w:rPr>
        <w:t>16</w:t>
      </w:r>
      <w:r w:rsidR="005E2464" w:rsidRPr="00BD271D">
        <w:rPr>
          <w:rFonts w:cs="Times New Roman"/>
          <w:lang w:val="en-GB"/>
        </w:rPr>
        <w:t>% and this percentage of the</w:t>
      </w:r>
      <w:r w:rsidR="0038133A" w:rsidRPr="00BD271D">
        <w:rPr>
          <w:rFonts w:cs="Times New Roman"/>
          <w:lang w:val="en-GB"/>
        </w:rPr>
        <w:t xml:space="preserve"> return on asset</w:t>
      </w:r>
      <w:r w:rsidR="005E2464" w:rsidRPr="00BD271D">
        <w:rPr>
          <w:rFonts w:cs="Times New Roman"/>
          <w:lang w:val="en-GB"/>
        </w:rPr>
        <w:t xml:space="preserve"> indicates that the GlaxoSmithKline can generate £</w:t>
      </w:r>
      <w:r w:rsidR="0038133A" w:rsidRPr="00BD271D">
        <w:rPr>
          <w:rFonts w:cs="Times New Roman"/>
          <w:lang w:val="en-GB"/>
        </w:rPr>
        <w:t>16</w:t>
      </w:r>
      <w:r w:rsidR="005E2464" w:rsidRPr="00BD271D">
        <w:rPr>
          <w:rFonts w:cs="Times New Roman"/>
          <w:lang w:val="en-GB"/>
        </w:rPr>
        <w:t xml:space="preserve"> as net</w:t>
      </w:r>
      <w:r w:rsidR="008C5278" w:rsidRPr="00BD271D">
        <w:rPr>
          <w:rFonts w:cs="Times New Roman"/>
          <w:lang w:val="en-GB"/>
        </w:rPr>
        <w:t xml:space="preserve"> profit by using its total asset</w:t>
      </w:r>
      <w:r w:rsidR="005E2464" w:rsidRPr="00BD271D">
        <w:rPr>
          <w:rFonts w:cs="Times New Roman"/>
          <w:lang w:val="en-GB"/>
        </w:rPr>
        <w:t xml:space="preserve"> worth of £100. The lowest</w:t>
      </w:r>
      <w:r w:rsidR="008C5278" w:rsidRPr="00BD271D">
        <w:rPr>
          <w:rFonts w:cs="Times New Roman"/>
          <w:lang w:val="en-GB"/>
        </w:rPr>
        <w:t xml:space="preserve"> return on asset</w:t>
      </w:r>
      <w:r w:rsidR="005E2464" w:rsidRPr="00BD271D">
        <w:rPr>
          <w:rFonts w:cs="Times New Roman"/>
          <w:lang w:val="en-GB"/>
        </w:rPr>
        <w:t xml:space="preserve"> of the GlaxoSmithKline was </w:t>
      </w:r>
      <w:r w:rsidR="008C5278" w:rsidRPr="00BD271D">
        <w:rPr>
          <w:rFonts w:cs="Times New Roman"/>
          <w:lang w:val="en-GB"/>
        </w:rPr>
        <w:t>2</w:t>
      </w:r>
      <w:r w:rsidR="005E2464" w:rsidRPr="00BD271D">
        <w:rPr>
          <w:rFonts w:cs="Times New Roman"/>
          <w:lang w:val="en-GB"/>
        </w:rPr>
        <w:t>% and this percentage of the</w:t>
      </w:r>
      <w:r w:rsidR="008C5278" w:rsidRPr="00BD271D">
        <w:rPr>
          <w:rFonts w:cs="Times New Roman"/>
          <w:lang w:val="en-GB"/>
        </w:rPr>
        <w:t xml:space="preserve"> return on asset</w:t>
      </w:r>
      <w:r w:rsidR="005E2464" w:rsidRPr="00BD271D">
        <w:rPr>
          <w:rFonts w:cs="Times New Roman"/>
          <w:lang w:val="en-GB"/>
        </w:rPr>
        <w:t xml:space="preserve"> indicates that the GlaxoSmithKline can generate £</w:t>
      </w:r>
      <w:r w:rsidR="008C5278" w:rsidRPr="00BD271D">
        <w:rPr>
          <w:rFonts w:cs="Times New Roman"/>
          <w:lang w:val="en-GB"/>
        </w:rPr>
        <w:t>2</w:t>
      </w:r>
      <w:r w:rsidR="005E2464" w:rsidRPr="00BD271D">
        <w:rPr>
          <w:rFonts w:cs="Times New Roman"/>
          <w:lang w:val="en-GB"/>
        </w:rPr>
        <w:t xml:space="preserve"> as </w:t>
      </w:r>
      <w:r w:rsidR="00735450" w:rsidRPr="00BD271D">
        <w:rPr>
          <w:rFonts w:cs="Times New Roman"/>
          <w:lang w:val="en-GB"/>
        </w:rPr>
        <w:t xml:space="preserve">a </w:t>
      </w:r>
      <w:r w:rsidR="005E2464" w:rsidRPr="00BD271D">
        <w:rPr>
          <w:rFonts w:cs="Times New Roman"/>
          <w:lang w:val="en-GB"/>
        </w:rPr>
        <w:t>net</w:t>
      </w:r>
      <w:r w:rsidR="008C5278" w:rsidRPr="00BD271D">
        <w:rPr>
          <w:rFonts w:cs="Times New Roman"/>
          <w:lang w:val="en-GB"/>
        </w:rPr>
        <w:t xml:space="preserve"> by using its total asset </w:t>
      </w:r>
      <w:r w:rsidR="005E2464" w:rsidRPr="00BD271D">
        <w:rPr>
          <w:rFonts w:cs="Times New Roman"/>
          <w:lang w:val="en-GB"/>
        </w:rPr>
        <w:t>worth of £100. Furthermore, the industry average of the</w:t>
      </w:r>
      <w:r w:rsidR="00E602F6" w:rsidRPr="00BD271D">
        <w:rPr>
          <w:rFonts w:cs="Times New Roman"/>
          <w:lang w:val="en-GB"/>
        </w:rPr>
        <w:t xml:space="preserve"> return on </w:t>
      </w:r>
      <w:r w:rsidR="00735450" w:rsidRPr="00BD271D">
        <w:rPr>
          <w:rFonts w:cs="Times New Roman"/>
          <w:lang w:val="en-GB"/>
        </w:rPr>
        <w:t xml:space="preserve">the </w:t>
      </w:r>
      <w:r w:rsidR="00E602F6" w:rsidRPr="00BD271D">
        <w:rPr>
          <w:rFonts w:cs="Times New Roman"/>
          <w:lang w:val="en-GB"/>
        </w:rPr>
        <w:t>asset</w:t>
      </w:r>
      <w:r w:rsidR="005E2464" w:rsidRPr="00BD271D">
        <w:rPr>
          <w:rFonts w:cs="Times New Roman"/>
          <w:lang w:val="en-GB"/>
        </w:rPr>
        <w:t xml:space="preserve"> was </w:t>
      </w:r>
      <w:r w:rsidR="00E602F6" w:rsidRPr="00BD271D">
        <w:rPr>
          <w:rFonts w:cs="Times New Roman"/>
          <w:lang w:val="en-GB"/>
        </w:rPr>
        <w:t>7</w:t>
      </w:r>
      <w:r w:rsidR="005E2464" w:rsidRPr="00BD271D">
        <w:rPr>
          <w:rFonts w:cs="Times New Roman"/>
          <w:lang w:val="en-GB"/>
        </w:rPr>
        <w:t>% for the pharmaceuticals industry and the GlaxoSmithKline cannot reach this industry average for the accounting period 2016</w:t>
      </w:r>
      <w:r w:rsidR="00E602F6" w:rsidRPr="00BD271D">
        <w:rPr>
          <w:rFonts w:cs="Times New Roman"/>
          <w:lang w:val="en-GB"/>
        </w:rPr>
        <w:t xml:space="preserve"> and </w:t>
      </w:r>
      <w:r w:rsidR="005E2464" w:rsidRPr="00BD271D">
        <w:rPr>
          <w:rFonts w:cs="Times New Roman"/>
          <w:lang w:val="en-GB"/>
        </w:rPr>
        <w:t>2017. In that case, it can be said that the</w:t>
      </w:r>
      <w:r w:rsidR="00E602F6" w:rsidRPr="00BD271D">
        <w:rPr>
          <w:rFonts w:cs="Times New Roman"/>
          <w:lang w:val="en-GB"/>
        </w:rPr>
        <w:t xml:space="preserve"> return on asset</w:t>
      </w:r>
      <w:r w:rsidR="005E2464" w:rsidRPr="00BD271D">
        <w:rPr>
          <w:rFonts w:cs="Times New Roman"/>
          <w:lang w:val="en-GB"/>
        </w:rPr>
        <w:t xml:space="preserve"> of the GlaxoSmithKline was strong over the last five years</w:t>
      </w:r>
      <w:r w:rsidR="00E602F6" w:rsidRPr="00BD271D">
        <w:rPr>
          <w:rFonts w:cs="Times New Roman"/>
          <w:lang w:val="en-GB"/>
        </w:rPr>
        <w:t xml:space="preserve"> except</w:t>
      </w:r>
      <w:r w:rsidR="00735450" w:rsidRPr="00BD271D">
        <w:rPr>
          <w:rFonts w:cs="Times New Roman"/>
          <w:lang w:val="en-GB"/>
        </w:rPr>
        <w:t xml:space="preserve"> for</w:t>
      </w:r>
      <w:r w:rsidR="00E602F6" w:rsidRPr="00BD271D">
        <w:rPr>
          <w:rFonts w:cs="Times New Roman"/>
          <w:lang w:val="en-GB"/>
        </w:rPr>
        <w:t xml:space="preserve"> </w:t>
      </w:r>
      <w:r w:rsidR="00735450" w:rsidRPr="00BD271D">
        <w:rPr>
          <w:rFonts w:cs="Times New Roman"/>
          <w:lang w:val="en-GB"/>
        </w:rPr>
        <w:t xml:space="preserve">the </w:t>
      </w:r>
      <w:r w:rsidR="00E602F6" w:rsidRPr="00BD271D">
        <w:rPr>
          <w:rFonts w:cs="Times New Roman"/>
          <w:lang w:val="en-GB"/>
        </w:rPr>
        <w:t>financial year 2016 and 2017.</w:t>
      </w:r>
    </w:p>
    <w:p w14:paraId="0DE4A316" w14:textId="77777777" w:rsidR="00BD271D" w:rsidRPr="00BD271D" w:rsidRDefault="00BD271D" w:rsidP="005E2464">
      <w:pPr>
        <w:rPr>
          <w:rFonts w:cs="Times New Roman"/>
          <w:lang w:val="en-GB"/>
        </w:rPr>
      </w:pPr>
    </w:p>
    <w:p w14:paraId="1CF7B1E3" w14:textId="17513C3D" w:rsidR="009A062A" w:rsidRPr="00BD271D" w:rsidRDefault="009A062A" w:rsidP="009A062A">
      <w:pPr>
        <w:rPr>
          <w:rFonts w:cs="Times New Roman"/>
          <w:lang w:val="en-GB"/>
        </w:rPr>
      </w:pPr>
      <w:r w:rsidRPr="00BD271D">
        <w:rPr>
          <w:rFonts w:cs="Times New Roman"/>
          <w:b/>
          <w:bCs/>
          <w:u w:val="single"/>
          <w:lang w:val="en-GB"/>
        </w:rPr>
        <w:t>Return on equity:</w:t>
      </w:r>
      <w:r w:rsidRPr="00BD271D">
        <w:rPr>
          <w:rFonts w:cs="Times New Roman"/>
          <w:lang w:val="en-GB"/>
        </w:rPr>
        <w:t xml:space="preserve"> The profitability of the GlaxoSmithKline has been assessed by comparison with net profit margin and total</w:t>
      </w:r>
      <w:r w:rsidR="004F0D34" w:rsidRPr="00BD271D">
        <w:rPr>
          <w:rFonts w:cs="Times New Roman"/>
          <w:lang w:val="en-GB"/>
        </w:rPr>
        <w:t xml:space="preserve"> equity</w:t>
      </w:r>
      <w:r w:rsidR="00A958FC" w:rsidRPr="00BD271D">
        <w:rPr>
          <w:rFonts w:cs="Times New Roman"/>
          <w:lang w:val="en-GB"/>
        </w:rPr>
        <w:t xml:space="preserve"> (Block, 2019)</w:t>
      </w:r>
      <w:r w:rsidRPr="00BD271D">
        <w:rPr>
          <w:rFonts w:cs="Times New Roman"/>
          <w:lang w:val="en-GB"/>
        </w:rPr>
        <w:t>. The investors and intended users can know how much amount of the profit after meeting all expenses can be generated by using its total</w:t>
      </w:r>
      <w:r w:rsidR="0090670E" w:rsidRPr="00BD271D">
        <w:rPr>
          <w:rFonts w:cs="Times New Roman"/>
          <w:lang w:val="en-GB"/>
        </w:rPr>
        <w:t xml:space="preserve"> equity</w:t>
      </w:r>
      <w:r w:rsidRPr="00BD271D">
        <w:rPr>
          <w:rFonts w:cs="Times New Roman"/>
          <w:lang w:val="en-GB"/>
        </w:rPr>
        <w:t xml:space="preserve"> worth of £1. The return on</w:t>
      </w:r>
      <w:r w:rsidR="0090670E" w:rsidRPr="00BD271D">
        <w:rPr>
          <w:rFonts w:cs="Times New Roman"/>
          <w:lang w:val="en-GB"/>
        </w:rPr>
        <w:t xml:space="preserve"> equity</w:t>
      </w:r>
      <w:r w:rsidRPr="00BD271D">
        <w:rPr>
          <w:rFonts w:cs="Times New Roman"/>
          <w:lang w:val="en-GB"/>
        </w:rPr>
        <w:t xml:space="preserve"> of the GlaxoSmithKline for the accounting period 2015, 2016, 2017, 2018, and 2019 respectively </w:t>
      </w:r>
      <w:r w:rsidR="0090670E" w:rsidRPr="00BD271D">
        <w:rPr>
          <w:rFonts w:cs="Times New Roman"/>
          <w:lang w:val="en-GB"/>
        </w:rPr>
        <w:t>94</w:t>
      </w:r>
      <w:r w:rsidRPr="00BD271D">
        <w:rPr>
          <w:rFonts w:cs="Times New Roman"/>
          <w:lang w:val="en-GB"/>
        </w:rPr>
        <w:t>%, 2</w:t>
      </w:r>
      <w:r w:rsidR="0090670E" w:rsidRPr="00BD271D">
        <w:rPr>
          <w:rFonts w:cs="Times New Roman"/>
          <w:lang w:val="en-GB"/>
        </w:rPr>
        <w:t>1</w:t>
      </w:r>
      <w:r w:rsidRPr="00BD271D">
        <w:rPr>
          <w:rFonts w:cs="Times New Roman"/>
          <w:lang w:val="en-GB"/>
        </w:rPr>
        <w:t xml:space="preserve">%, </w:t>
      </w:r>
      <w:r w:rsidR="0090670E" w:rsidRPr="00BD271D">
        <w:rPr>
          <w:rFonts w:cs="Times New Roman"/>
          <w:lang w:val="en-GB"/>
        </w:rPr>
        <w:t>62</w:t>
      </w:r>
      <w:r w:rsidRPr="00BD271D">
        <w:rPr>
          <w:rFonts w:cs="Times New Roman"/>
          <w:lang w:val="en-GB"/>
        </w:rPr>
        <w:t xml:space="preserve">%, </w:t>
      </w:r>
      <w:r w:rsidR="0090670E" w:rsidRPr="00BD271D">
        <w:rPr>
          <w:rFonts w:cs="Times New Roman"/>
          <w:lang w:val="en-GB"/>
        </w:rPr>
        <w:t>110</w:t>
      </w:r>
      <w:r w:rsidRPr="00BD271D">
        <w:rPr>
          <w:rFonts w:cs="Times New Roman"/>
          <w:lang w:val="en-GB"/>
        </w:rPr>
        <w:t xml:space="preserve">%, and </w:t>
      </w:r>
      <w:r w:rsidR="0090670E" w:rsidRPr="00BD271D">
        <w:rPr>
          <w:rFonts w:cs="Times New Roman"/>
          <w:lang w:val="en-GB"/>
        </w:rPr>
        <w:t>29</w:t>
      </w:r>
      <w:r w:rsidRPr="00BD271D">
        <w:rPr>
          <w:rFonts w:cs="Times New Roman"/>
          <w:lang w:val="en-GB"/>
        </w:rPr>
        <w:t>%. The maximum return on</w:t>
      </w:r>
      <w:r w:rsidR="0090670E" w:rsidRPr="00BD271D">
        <w:rPr>
          <w:rFonts w:cs="Times New Roman"/>
          <w:lang w:val="en-GB"/>
        </w:rPr>
        <w:t xml:space="preserve"> equity</w:t>
      </w:r>
      <w:r w:rsidRPr="00BD271D">
        <w:rPr>
          <w:rFonts w:cs="Times New Roman"/>
          <w:lang w:val="en-GB"/>
        </w:rPr>
        <w:t xml:space="preserve"> of the GlaxoSmithKline was </w:t>
      </w:r>
      <w:r w:rsidR="0090670E" w:rsidRPr="00BD271D">
        <w:rPr>
          <w:rFonts w:cs="Times New Roman"/>
          <w:lang w:val="en-GB"/>
        </w:rPr>
        <w:t>94</w:t>
      </w:r>
      <w:r w:rsidRPr="00BD271D">
        <w:rPr>
          <w:rFonts w:cs="Times New Roman"/>
          <w:lang w:val="en-GB"/>
        </w:rPr>
        <w:t>% and this percentage of the return on</w:t>
      </w:r>
      <w:r w:rsidR="00102D5B" w:rsidRPr="00BD271D">
        <w:rPr>
          <w:rFonts w:cs="Times New Roman"/>
          <w:lang w:val="en-GB"/>
        </w:rPr>
        <w:t xml:space="preserve"> equity</w:t>
      </w:r>
      <w:r w:rsidRPr="00BD271D">
        <w:rPr>
          <w:rFonts w:cs="Times New Roman"/>
          <w:lang w:val="en-GB"/>
        </w:rPr>
        <w:t xml:space="preserve"> indicates that the GlaxoSmithKline can generate £</w:t>
      </w:r>
      <w:r w:rsidR="00102D5B" w:rsidRPr="00BD271D">
        <w:rPr>
          <w:rFonts w:cs="Times New Roman"/>
          <w:lang w:val="en-GB"/>
        </w:rPr>
        <w:t>94</w:t>
      </w:r>
      <w:r w:rsidRPr="00BD271D">
        <w:rPr>
          <w:rFonts w:cs="Times New Roman"/>
          <w:lang w:val="en-GB"/>
        </w:rPr>
        <w:t xml:space="preserve"> as net profit by using its total</w:t>
      </w:r>
      <w:r w:rsidR="00102D5B" w:rsidRPr="00BD271D">
        <w:rPr>
          <w:rFonts w:cs="Times New Roman"/>
          <w:lang w:val="en-GB"/>
        </w:rPr>
        <w:t xml:space="preserve"> equity</w:t>
      </w:r>
      <w:r w:rsidRPr="00BD271D">
        <w:rPr>
          <w:rFonts w:cs="Times New Roman"/>
          <w:lang w:val="en-GB"/>
        </w:rPr>
        <w:t xml:space="preserve"> worth of £100. The lowest return on</w:t>
      </w:r>
      <w:r w:rsidR="00102D5B" w:rsidRPr="00BD271D">
        <w:rPr>
          <w:rFonts w:cs="Times New Roman"/>
          <w:lang w:val="en-GB"/>
        </w:rPr>
        <w:t xml:space="preserve"> equity</w:t>
      </w:r>
      <w:r w:rsidRPr="00BD271D">
        <w:rPr>
          <w:rFonts w:cs="Times New Roman"/>
          <w:lang w:val="en-GB"/>
        </w:rPr>
        <w:t xml:space="preserve"> of the GlaxoSmithKline was 2</w:t>
      </w:r>
      <w:r w:rsidR="00102D5B" w:rsidRPr="00BD271D">
        <w:rPr>
          <w:rFonts w:cs="Times New Roman"/>
          <w:lang w:val="en-GB"/>
        </w:rPr>
        <w:t>9</w:t>
      </w:r>
      <w:r w:rsidRPr="00BD271D">
        <w:rPr>
          <w:rFonts w:cs="Times New Roman"/>
          <w:lang w:val="en-GB"/>
        </w:rPr>
        <w:t>% and this percentage of the return on</w:t>
      </w:r>
      <w:r w:rsidR="00102D5B" w:rsidRPr="00BD271D">
        <w:rPr>
          <w:rFonts w:cs="Times New Roman"/>
          <w:lang w:val="en-GB"/>
        </w:rPr>
        <w:t xml:space="preserve"> </w:t>
      </w:r>
      <w:r w:rsidR="00102D5B" w:rsidRPr="00BD271D">
        <w:rPr>
          <w:rFonts w:cs="Times New Roman"/>
          <w:lang w:val="en-GB"/>
        </w:rPr>
        <w:lastRenderedPageBreak/>
        <w:t>equity</w:t>
      </w:r>
      <w:r w:rsidRPr="00BD271D">
        <w:rPr>
          <w:rFonts w:cs="Times New Roman"/>
          <w:lang w:val="en-GB"/>
        </w:rPr>
        <w:t xml:space="preserve"> indicates that the GlaxoSmithKline can generate £2</w:t>
      </w:r>
      <w:r w:rsidR="00102D5B" w:rsidRPr="00BD271D">
        <w:rPr>
          <w:rFonts w:cs="Times New Roman"/>
          <w:lang w:val="en-GB"/>
        </w:rPr>
        <w:t>9</w:t>
      </w:r>
      <w:r w:rsidRPr="00BD271D">
        <w:rPr>
          <w:rFonts w:cs="Times New Roman"/>
          <w:lang w:val="en-GB"/>
        </w:rPr>
        <w:t xml:space="preserve"> as net by using its total</w:t>
      </w:r>
      <w:r w:rsidR="00102D5B" w:rsidRPr="00BD271D">
        <w:rPr>
          <w:rFonts w:cs="Times New Roman"/>
          <w:lang w:val="en-GB"/>
        </w:rPr>
        <w:t xml:space="preserve"> equity</w:t>
      </w:r>
      <w:r w:rsidRPr="00BD271D">
        <w:rPr>
          <w:rFonts w:cs="Times New Roman"/>
          <w:lang w:val="en-GB"/>
        </w:rPr>
        <w:t xml:space="preserve"> worth of £100. Furthermore, the industry average of the return on</w:t>
      </w:r>
      <w:r w:rsidR="00102D5B" w:rsidRPr="00BD271D">
        <w:rPr>
          <w:rFonts w:cs="Times New Roman"/>
          <w:lang w:val="en-GB"/>
        </w:rPr>
        <w:t xml:space="preserve"> equity</w:t>
      </w:r>
      <w:r w:rsidRPr="00BD271D">
        <w:rPr>
          <w:rFonts w:cs="Times New Roman"/>
          <w:lang w:val="en-GB"/>
        </w:rPr>
        <w:t xml:space="preserve"> was </w:t>
      </w:r>
      <w:r w:rsidR="00393D2A" w:rsidRPr="00BD271D">
        <w:rPr>
          <w:rFonts w:cs="Times New Roman"/>
          <w:lang w:val="en-GB"/>
        </w:rPr>
        <w:t>63</w:t>
      </w:r>
      <w:r w:rsidRPr="00BD271D">
        <w:rPr>
          <w:rFonts w:cs="Times New Roman"/>
          <w:lang w:val="en-GB"/>
        </w:rPr>
        <w:t>% for the pharmaceuticals industry and the GlaxoSmithKline cannot reach this industry average for the accounting period 201</w:t>
      </w:r>
      <w:r w:rsidR="000A7824" w:rsidRPr="00BD271D">
        <w:rPr>
          <w:rFonts w:cs="Times New Roman"/>
          <w:lang w:val="en-GB"/>
        </w:rPr>
        <w:t>6</w:t>
      </w:r>
      <w:r w:rsidRPr="00BD271D">
        <w:rPr>
          <w:rFonts w:cs="Times New Roman"/>
          <w:lang w:val="en-GB"/>
        </w:rPr>
        <w:t xml:space="preserve"> and 201</w:t>
      </w:r>
      <w:r w:rsidR="000A7824" w:rsidRPr="00BD271D">
        <w:rPr>
          <w:rFonts w:cs="Times New Roman"/>
          <w:lang w:val="en-GB"/>
        </w:rPr>
        <w:t>9</w:t>
      </w:r>
      <w:r w:rsidRPr="00BD271D">
        <w:rPr>
          <w:rFonts w:cs="Times New Roman"/>
          <w:lang w:val="en-GB"/>
        </w:rPr>
        <w:t>. In that case, it can be said that the return on</w:t>
      </w:r>
      <w:r w:rsidR="000A7824" w:rsidRPr="00BD271D">
        <w:rPr>
          <w:rFonts w:cs="Times New Roman"/>
          <w:lang w:val="en-GB"/>
        </w:rPr>
        <w:t xml:space="preserve"> equity</w:t>
      </w:r>
      <w:r w:rsidRPr="00BD271D">
        <w:rPr>
          <w:rFonts w:cs="Times New Roman"/>
          <w:lang w:val="en-GB"/>
        </w:rPr>
        <w:t xml:space="preserve"> of the GlaxoSmithKline was strong over the last five years except</w:t>
      </w:r>
      <w:r w:rsidR="00735450" w:rsidRPr="00BD271D">
        <w:rPr>
          <w:rFonts w:cs="Times New Roman"/>
          <w:lang w:val="en-GB"/>
        </w:rPr>
        <w:t xml:space="preserve"> for</w:t>
      </w:r>
      <w:r w:rsidRPr="00BD271D">
        <w:rPr>
          <w:rFonts w:cs="Times New Roman"/>
          <w:lang w:val="en-GB"/>
        </w:rPr>
        <w:t xml:space="preserve"> </w:t>
      </w:r>
      <w:r w:rsidR="00735450" w:rsidRPr="00BD271D">
        <w:rPr>
          <w:rFonts w:cs="Times New Roman"/>
          <w:lang w:val="en-GB"/>
        </w:rPr>
        <w:t xml:space="preserve">the </w:t>
      </w:r>
      <w:r w:rsidRPr="00BD271D">
        <w:rPr>
          <w:rFonts w:cs="Times New Roman"/>
          <w:lang w:val="en-GB"/>
        </w:rPr>
        <w:t>financial year 2016 and 201</w:t>
      </w:r>
      <w:r w:rsidR="000A7824" w:rsidRPr="00BD271D">
        <w:rPr>
          <w:rFonts w:cs="Times New Roman"/>
          <w:lang w:val="en-GB"/>
        </w:rPr>
        <w:t>9</w:t>
      </w:r>
      <w:r w:rsidRPr="00BD271D">
        <w:rPr>
          <w:rFonts w:cs="Times New Roman"/>
          <w:lang w:val="en-GB"/>
        </w:rPr>
        <w:t>.</w:t>
      </w:r>
    </w:p>
    <w:p w14:paraId="2280C14F" w14:textId="77777777" w:rsidR="00BD271D" w:rsidRPr="00BD271D" w:rsidRDefault="00BD271D" w:rsidP="009A062A">
      <w:pPr>
        <w:rPr>
          <w:rFonts w:cs="Times New Roman"/>
          <w:lang w:val="en-GB"/>
        </w:rPr>
      </w:pPr>
    </w:p>
    <w:p w14:paraId="153A8946" w14:textId="4084C2AD" w:rsidR="00F32C89" w:rsidRPr="00BD271D" w:rsidRDefault="00C169C2" w:rsidP="009A062A">
      <w:pPr>
        <w:rPr>
          <w:rFonts w:cs="Times New Roman"/>
          <w:lang w:val="en-GB"/>
        </w:rPr>
      </w:pPr>
      <w:r w:rsidRPr="00BD271D">
        <w:rPr>
          <w:rFonts w:cs="Times New Roman"/>
          <w:b/>
          <w:bCs/>
          <w:u w:val="single"/>
          <w:lang w:val="en-GB"/>
        </w:rPr>
        <w:t>Debt ratio:</w:t>
      </w:r>
      <w:r w:rsidRPr="00BD271D">
        <w:rPr>
          <w:rFonts w:cs="Times New Roman"/>
          <w:lang w:val="en-GB"/>
        </w:rPr>
        <w:t xml:space="preserve"> </w:t>
      </w:r>
      <w:r w:rsidR="00472BA8" w:rsidRPr="00BD271D">
        <w:rPr>
          <w:rFonts w:cs="Times New Roman"/>
          <w:lang w:val="en-GB"/>
        </w:rPr>
        <w:t>The investors and intended users of the financial statements can assess</w:t>
      </w:r>
      <w:r w:rsidR="00156D81" w:rsidRPr="00BD271D">
        <w:rPr>
          <w:rFonts w:cs="Times New Roman"/>
          <w:lang w:val="en-GB"/>
        </w:rPr>
        <w:t xml:space="preserve"> </w:t>
      </w:r>
      <w:r w:rsidR="00735450" w:rsidRPr="00BD271D">
        <w:rPr>
          <w:rFonts w:cs="Times New Roman"/>
          <w:lang w:val="en-GB"/>
        </w:rPr>
        <w:t xml:space="preserve">the </w:t>
      </w:r>
      <w:r w:rsidR="00156D81" w:rsidRPr="00BD271D">
        <w:rPr>
          <w:rFonts w:cs="Times New Roman"/>
          <w:lang w:val="en-GB"/>
        </w:rPr>
        <w:t>ability of the GlaxoSmithKline to pay its liability from using its equity</w:t>
      </w:r>
      <w:r w:rsidR="00CE43ED" w:rsidRPr="00BD271D">
        <w:rPr>
          <w:rFonts w:cs="Times New Roman"/>
          <w:lang w:val="en-GB"/>
        </w:rPr>
        <w:t xml:space="preserve"> by calculation and interpretation of the debt ratio</w:t>
      </w:r>
      <w:r w:rsidR="00A958FC" w:rsidRPr="00BD271D">
        <w:rPr>
          <w:rFonts w:cs="Times New Roman"/>
          <w:lang w:val="en-GB"/>
        </w:rPr>
        <w:t xml:space="preserve"> (Bodie, Merton and Thibierge, 2011)</w:t>
      </w:r>
      <w:r w:rsidR="00CE43ED" w:rsidRPr="00BD271D">
        <w:rPr>
          <w:rFonts w:cs="Times New Roman"/>
          <w:lang w:val="en-GB"/>
        </w:rPr>
        <w:t xml:space="preserve">. The lower debt ratio </w:t>
      </w:r>
      <w:r w:rsidR="00737B38" w:rsidRPr="00BD271D">
        <w:rPr>
          <w:rFonts w:cs="Times New Roman"/>
          <w:lang w:val="en-GB"/>
        </w:rPr>
        <w:t>represents the higher financial sustainability of the company like GlaxoSmithKline.</w:t>
      </w:r>
      <w:r w:rsidR="00C54D70" w:rsidRPr="00BD271D">
        <w:rPr>
          <w:rFonts w:cs="Times New Roman"/>
          <w:lang w:val="en-GB"/>
        </w:rPr>
        <w:t xml:space="preserve"> The debt ratio of the GlaxoSmithKline for the financial year 2015, 2016, 2017, 2018, and 2019 was respectively 0.83:1, 0.92:1, 0.94:1,</w:t>
      </w:r>
      <w:r w:rsidR="00AA3B7D" w:rsidRPr="00BD271D">
        <w:rPr>
          <w:rFonts w:cs="Times New Roman"/>
          <w:lang w:val="en-GB"/>
        </w:rPr>
        <w:t xml:space="preserve"> 0.94:1, and 0.77:1. The </w:t>
      </w:r>
      <w:r w:rsidR="00DD5136" w:rsidRPr="00BD271D">
        <w:rPr>
          <w:rFonts w:cs="Times New Roman"/>
          <w:lang w:val="en-GB"/>
        </w:rPr>
        <w:t xml:space="preserve">industry average of the debt ratio for the pharmaceutical industry was 0.50:1 that means the </w:t>
      </w:r>
      <w:r w:rsidR="003D6433" w:rsidRPr="00BD271D">
        <w:rPr>
          <w:rFonts w:cs="Times New Roman"/>
          <w:lang w:val="en-GB"/>
        </w:rPr>
        <w:t xml:space="preserve">total long-term capital of the company should be formed with 50% debt and 50% capital. The </w:t>
      </w:r>
      <w:r w:rsidR="00F32C89" w:rsidRPr="00BD271D">
        <w:rPr>
          <w:rFonts w:cs="Times New Roman"/>
          <w:lang w:val="en-GB"/>
        </w:rPr>
        <w:t>debt ratio of the GlaxoSmithKline indicates that the capital structure of this company was mostly formed with long-term debt</w:t>
      </w:r>
      <w:r w:rsidR="002F06DA" w:rsidRPr="00BD271D">
        <w:rPr>
          <w:rFonts w:cs="Times New Roman"/>
          <w:lang w:val="en-GB"/>
        </w:rPr>
        <w:t xml:space="preserve"> (Gebran Harb, Ver</w:t>
      </w:r>
      <w:r w:rsidR="0066245F" w:rsidRPr="00BD271D">
        <w:rPr>
          <w:rFonts w:cs="Times New Roman"/>
          <w:lang w:val="en-GB"/>
        </w:rPr>
        <w:t>ys</w:t>
      </w:r>
      <w:r w:rsidR="002F06DA" w:rsidRPr="00BD271D">
        <w:rPr>
          <w:rFonts w:cs="Times New Roman"/>
          <w:lang w:val="en-GB"/>
        </w:rPr>
        <w:t>henko, Masset and Murat, 2014)</w:t>
      </w:r>
      <w:r w:rsidR="00F32C89" w:rsidRPr="00BD271D">
        <w:rPr>
          <w:rFonts w:cs="Times New Roman"/>
          <w:lang w:val="en-GB"/>
        </w:rPr>
        <w:t>.</w:t>
      </w:r>
    </w:p>
    <w:p w14:paraId="402D2B8F" w14:textId="77777777" w:rsidR="00BD271D" w:rsidRPr="00BD271D" w:rsidRDefault="00BD271D" w:rsidP="009A062A">
      <w:pPr>
        <w:rPr>
          <w:rFonts w:cs="Times New Roman"/>
          <w:lang w:val="en-GB"/>
        </w:rPr>
      </w:pPr>
    </w:p>
    <w:p w14:paraId="58084FBA" w14:textId="1FECD615" w:rsidR="00CE6A6A" w:rsidRPr="00BD271D" w:rsidRDefault="00F32C89" w:rsidP="009A062A">
      <w:pPr>
        <w:rPr>
          <w:rFonts w:cs="Times New Roman"/>
          <w:lang w:val="en-GB"/>
        </w:rPr>
      </w:pPr>
      <w:r w:rsidRPr="00BD271D">
        <w:rPr>
          <w:rFonts w:cs="Times New Roman"/>
          <w:b/>
          <w:bCs/>
          <w:u w:val="single"/>
          <w:lang w:val="en-GB"/>
        </w:rPr>
        <w:t>Debt to equity ratio:</w:t>
      </w:r>
      <w:r w:rsidRPr="00BD271D">
        <w:rPr>
          <w:rFonts w:cs="Times New Roman"/>
          <w:lang w:val="en-GB"/>
        </w:rPr>
        <w:t xml:space="preserve"> The investors and intended users of the financial statements can assess </w:t>
      </w:r>
      <w:r w:rsidR="00735450" w:rsidRPr="00BD271D">
        <w:rPr>
          <w:rFonts w:cs="Times New Roman"/>
          <w:lang w:val="en-GB"/>
        </w:rPr>
        <w:t xml:space="preserve">the </w:t>
      </w:r>
      <w:r w:rsidRPr="00BD271D">
        <w:rPr>
          <w:rFonts w:cs="Times New Roman"/>
          <w:lang w:val="en-GB"/>
        </w:rPr>
        <w:t xml:space="preserve">ability of the GlaxoSmithKline to pay its liability from using its equity by calculation and interpretation of the </w:t>
      </w:r>
      <w:r w:rsidR="00A15C38" w:rsidRPr="00BD271D">
        <w:rPr>
          <w:rFonts w:cs="Times New Roman"/>
          <w:lang w:val="en-GB"/>
        </w:rPr>
        <w:t>debt-to-equity</w:t>
      </w:r>
      <w:r w:rsidRPr="00BD271D">
        <w:rPr>
          <w:rFonts w:cs="Times New Roman"/>
          <w:lang w:val="en-GB"/>
        </w:rPr>
        <w:t xml:space="preserve"> ratio. The lower debt</w:t>
      </w:r>
      <w:r w:rsidR="00A15C38" w:rsidRPr="00BD271D">
        <w:rPr>
          <w:rFonts w:cs="Times New Roman"/>
          <w:lang w:val="en-GB"/>
        </w:rPr>
        <w:t xml:space="preserve"> to equity </w:t>
      </w:r>
      <w:r w:rsidRPr="00BD271D">
        <w:rPr>
          <w:rFonts w:cs="Times New Roman"/>
          <w:lang w:val="en-GB"/>
        </w:rPr>
        <w:t xml:space="preserve">ratio represents the higher financial sustainability of the company like GlaxoSmithKline. The </w:t>
      </w:r>
      <w:r w:rsidR="00AE1775" w:rsidRPr="00BD271D">
        <w:rPr>
          <w:rFonts w:cs="Times New Roman"/>
          <w:lang w:val="en-GB"/>
        </w:rPr>
        <w:t>debt-to-equity</w:t>
      </w:r>
      <w:r w:rsidRPr="00BD271D">
        <w:rPr>
          <w:rFonts w:cs="Times New Roman"/>
          <w:lang w:val="en-GB"/>
        </w:rPr>
        <w:t xml:space="preserve"> ratio of the GlaxoSmithKline for the financial year 2015, 2016, 2017, 2018, and 2019 was respectively </w:t>
      </w:r>
      <w:r w:rsidR="00A15C38" w:rsidRPr="00BD271D">
        <w:rPr>
          <w:rFonts w:cs="Times New Roman"/>
          <w:lang w:val="en-GB"/>
        </w:rPr>
        <w:t>5</w:t>
      </w:r>
      <w:r w:rsidRPr="00BD271D">
        <w:rPr>
          <w:rFonts w:cs="Times New Roman"/>
          <w:lang w:val="en-GB"/>
        </w:rPr>
        <w:t>.</w:t>
      </w:r>
      <w:r w:rsidR="00A15C38" w:rsidRPr="00BD271D">
        <w:rPr>
          <w:rFonts w:cs="Times New Roman"/>
          <w:lang w:val="en-GB"/>
        </w:rPr>
        <w:t>02</w:t>
      </w:r>
      <w:r w:rsidRPr="00BD271D">
        <w:rPr>
          <w:rFonts w:cs="Times New Roman"/>
          <w:lang w:val="en-GB"/>
        </w:rPr>
        <w:t xml:space="preserve">:1, </w:t>
      </w:r>
      <w:r w:rsidR="00AE1775" w:rsidRPr="00BD271D">
        <w:rPr>
          <w:rFonts w:cs="Times New Roman"/>
          <w:lang w:val="en-GB"/>
        </w:rPr>
        <w:lastRenderedPageBreak/>
        <w:t>1</w:t>
      </w:r>
      <w:r w:rsidRPr="00BD271D">
        <w:rPr>
          <w:rFonts w:cs="Times New Roman"/>
          <w:lang w:val="en-GB"/>
        </w:rPr>
        <w:t>0.9</w:t>
      </w:r>
      <w:r w:rsidR="00AE1775" w:rsidRPr="00BD271D">
        <w:rPr>
          <w:rFonts w:cs="Times New Roman"/>
          <w:lang w:val="en-GB"/>
        </w:rPr>
        <w:t>0</w:t>
      </w:r>
      <w:r w:rsidRPr="00BD271D">
        <w:rPr>
          <w:rFonts w:cs="Times New Roman"/>
          <w:lang w:val="en-GB"/>
        </w:rPr>
        <w:t xml:space="preserve">:1, </w:t>
      </w:r>
      <w:r w:rsidR="00AE1775" w:rsidRPr="00BD271D">
        <w:rPr>
          <w:rFonts w:cs="Times New Roman"/>
          <w:lang w:val="en-GB"/>
        </w:rPr>
        <w:t>15</w:t>
      </w:r>
      <w:r w:rsidRPr="00BD271D">
        <w:rPr>
          <w:rFonts w:cs="Times New Roman"/>
          <w:lang w:val="en-GB"/>
        </w:rPr>
        <w:t>.</w:t>
      </w:r>
      <w:r w:rsidR="00AE1775" w:rsidRPr="00BD271D">
        <w:rPr>
          <w:rFonts w:cs="Times New Roman"/>
          <w:lang w:val="en-GB"/>
        </w:rPr>
        <w:t>16</w:t>
      </w:r>
      <w:r w:rsidRPr="00BD271D">
        <w:rPr>
          <w:rFonts w:cs="Times New Roman"/>
          <w:lang w:val="en-GB"/>
        </w:rPr>
        <w:t xml:space="preserve">:1, </w:t>
      </w:r>
      <w:r w:rsidR="00AE1775" w:rsidRPr="00BD271D">
        <w:rPr>
          <w:rFonts w:cs="Times New Roman"/>
          <w:lang w:val="en-GB"/>
        </w:rPr>
        <w:t>14</w:t>
      </w:r>
      <w:r w:rsidRPr="00BD271D">
        <w:rPr>
          <w:rFonts w:cs="Times New Roman"/>
          <w:lang w:val="en-GB"/>
        </w:rPr>
        <w:t>.</w:t>
      </w:r>
      <w:r w:rsidR="00AE1775" w:rsidRPr="00BD271D">
        <w:rPr>
          <w:rFonts w:cs="Times New Roman"/>
          <w:lang w:val="en-GB"/>
        </w:rPr>
        <w:t>81</w:t>
      </w:r>
      <w:r w:rsidRPr="00BD271D">
        <w:rPr>
          <w:rFonts w:cs="Times New Roman"/>
          <w:lang w:val="en-GB"/>
        </w:rPr>
        <w:t xml:space="preserve">:1, and </w:t>
      </w:r>
      <w:r w:rsidR="00AE1775" w:rsidRPr="00BD271D">
        <w:rPr>
          <w:rFonts w:cs="Times New Roman"/>
          <w:lang w:val="en-GB"/>
        </w:rPr>
        <w:t>3</w:t>
      </w:r>
      <w:r w:rsidRPr="00BD271D">
        <w:rPr>
          <w:rFonts w:cs="Times New Roman"/>
          <w:lang w:val="en-GB"/>
        </w:rPr>
        <w:t>.</w:t>
      </w:r>
      <w:r w:rsidR="00AE1775" w:rsidRPr="00BD271D">
        <w:rPr>
          <w:rFonts w:cs="Times New Roman"/>
          <w:lang w:val="en-GB"/>
        </w:rPr>
        <w:t>34</w:t>
      </w:r>
      <w:r w:rsidRPr="00BD271D">
        <w:rPr>
          <w:rFonts w:cs="Times New Roman"/>
          <w:lang w:val="en-GB"/>
        </w:rPr>
        <w:t xml:space="preserve">:1. The industry average of the </w:t>
      </w:r>
      <w:r w:rsidR="005725CC" w:rsidRPr="00BD271D">
        <w:rPr>
          <w:rFonts w:cs="Times New Roman"/>
          <w:lang w:val="en-GB"/>
        </w:rPr>
        <w:t>debt-to-equity</w:t>
      </w:r>
      <w:r w:rsidRPr="00BD271D">
        <w:rPr>
          <w:rFonts w:cs="Times New Roman"/>
          <w:lang w:val="en-GB"/>
        </w:rPr>
        <w:t xml:space="preserve"> ratio for the pharmaceutical industry was </w:t>
      </w:r>
      <w:r w:rsidR="00AE1775" w:rsidRPr="00BD271D">
        <w:rPr>
          <w:rFonts w:cs="Times New Roman"/>
          <w:lang w:val="en-GB"/>
        </w:rPr>
        <w:t>1</w:t>
      </w:r>
      <w:r w:rsidRPr="00BD271D">
        <w:rPr>
          <w:rFonts w:cs="Times New Roman"/>
          <w:lang w:val="en-GB"/>
        </w:rPr>
        <w:t xml:space="preserve">:1 that means the total long-term capital of the company should be formed with 50% debt and 50% capital. The </w:t>
      </w:r>
      <w:r w:rsidR="005725CC" w:rsidRPr="00BD271D">
        <w:rPr>
          <w:rFonts w:cs="Times New Roman"/>
          <w:lang w:val="en-GB"/>
        </w:rPr>
        <w:t>debt-to-equity</w:t>
      </w:r>
      <w:r w:rsidRPr="00BD271D">
        <w:rPr>
          <w:rFonts w:cs="Times New Roman"/>
          <w:lang w:val="en-GB"/>
        </w:rPr>
        <w:t xml:space="preserve"> ratio of the GlaxoSmithKline indicates that the capital structure of this company was mostly formed with long-term deb</w:t>
      </w:r>
      <w:r w:rsidR="005725CC" w:rsidRPr="00BD271D">
        <w:rPr>
          <w:rFonts w:cs="Times New Roman"/>
          <w:lang w:val="en-GB"/>
        </w:rPr>
        <w:t>t over the last five years</w:t>
      </w:r>
      <w:r w:rsidR="002F06DA" w:rsidRPr="00BD271D">
        <w:rPr>
          <w:rFonts w:cs="Times New Roman"/>
          <w:lang w:val="en-GB"/>
        </w:rPr>
        <w:t xml:space="preserve"> (GlaxoSmithKline Biologicals SA FLUARIX QUADRIVALENT 2020/2021-, </w:t>
      </w:r>
      <w:r w:rsidR="0066245F" w:rsidRPr="00BD271D">
        <w:rPr>
          <w:rFonts w:cs="Times New Roman"/>
          <w:lang w:val="en-GB"/>
        </w:rPr>
        <w:t>2020</w:t>
      </w:r>
      <w:r w:rsidR="002F06DA" w:rsidRPr="00BD271D">
        <w:rPr>
          <w:rFonts w:cs="Times New Roman"/>
          <w:lang w:val="en-GB"/>
        </w:rPr>
        <w:t>)</w:t>
      </w:r>
      <w:r w:rsidR="005725CC" w:rsidRPr="00BD271D">
        <w:rPr>
          <w:rFonts w:cs="Times New Roman"/>
          <w:lang w:val="en-GB"/>
        </w:rPr>
        <w:t>.</w:t>
      </w:r>
    </w:p>
    <w:p w14:paraId="5BDDA1E5" w14:textId="77777777" w:rsidR="00BD271D" w:rsidRPr="00BD271D" w:rsidRDefault="00BD271D" w:rsidP="009A062A">
      <w:pPr>
        <w:rPr>
          <w:rFonts w:cs="Times New Roman"/>
          <w:u w:val="single"/>
          <w:lang w:val="en-GB"/>
        </w:rPr>
      </w:pPr>
    </w:p>
    <w:p w14:paraId="45EAED80" w14:textId="6098A5DB" w:rsidR="00FF7951" w:rsidRPr="00BD271D" w:rsidRDefault="002E4F71" w:rsidP="005E2464">
      <w:pPr>
        <w:rPr>
          <w:rFonts w:cs="Times New Roman"/>
          <w:lang w:val="en-GB"/>
        </w:rPr>
      </w:pPr>
      <w:r w:rsidRPr="00BD271D">
        <w:rPr>
          <w:rFonts w:cs="Times New Roman"/>
          <w:b/>
          <w:bCs/>
          <w:u w:val="single"/>
          <w:lang w:val="en-GB"/>
        </w:rPr>
        <w:t>Interest coverage ratio:</w:t>
      </w:r>
      <w:r w:rsidRPr="00BD271D">
        <w:rPr>
          <w:rFonts w:cs="Times New Roman"/>
          <w:lang w:val="en-GB"/>
        </w:rPr>
        <w:t xml:space="preserve"> The financial manager has calculated the interest coverage ratio to determine ability to pay of</w:t>
      </w:r>
      <w:r w:rsidR="00CE6A6A" w:rsidRPr="00BD271D">
        <w:rPr>
          <w:rFonts w:cs="Times New Roman"/>
          <w:lang w:val="en-GB"/>
        </w:rPr>
        <w:t>f</w:t>
      </w:r>
      <w:r w:rsidRPr="00BD271D">
        <w:rPr>
          <w:rFonts w:cs="Times New Roman"/>
          <w:lang w:val="en-GB"/>
        </w:rPr>
        <w:t xml:space="preserve"> the finance expense from its</w:t>
      </w:r>
      <w:r w:rsidR="00CE6A6A" w:rsidRPr="00BD271D">
        <w:rPr>
          <w:rFonts w:cs="Times New Roman"/>
          <w:lang w:val="en-GB"/>
        </w:rPr>
        <w:t xml:space="preserve"> operating profit.</w:t>
      </w:r>
      <w:r w:rsidR="00F63141" w:rsidRPr="00BD271D">
        <w:rPr>
          <w:rFonts w:cs="Times New Roman"/>
          <w:lang w:val="en-GB"/>
        </w:rPr>
        <w:t xml:space="preserve"> How many times </w:t>
      </w:r>
      <w:r w:rsidR="00735450" w:rsidRPr="00BD271D">
        <w:rPr>
          <w:rFonts w:cs="Times New Roman"/>
          <w:lang w:val="en-GB"/>
        </w:rPr>
        <w:t xml:space="preserve">the </w:t>
      </w:r>
      <w:r w:rsidR="00F63141" w:rsidRPr="00BD271D">
        <w:rPr>
          <w:rFonts w:cs="Times New Roman"/>
          <w:lang w:val="en-GB"/>
        </w:rPr>
        <w:t xml:space="preserve">finance expense can be paid from the operating profit has been determined by calculation of the interest coverage ratio. </w:t>
      </w:r>
      <w:r w:rsidR="00A463A9" w:rsidRPr="00BD271D">
        <w:rPr>
          <w:rFonts w:cs="Times New Roman"/>
          <w:lang w:val="en-GB"/>
        </w:rPr>
        <w:t>The interest coverage ratio of the GlaxoSmithKline was</w:t>
      </w:r>
      <w:r w:rsidR="00313586" w:rsidRPr="00BD271D">
        <w:rPr>
          <w:rFonts w:cs="Times New Roman"/>
          <w:lang w:val="en-GB"/>
        </w:rPr>
        <w:t xml:space="preserve"> 13.64, 3.53, 5.57, 6.87, and 7.63 respectively for the financial year 2015, 2016, 2017, 2018, and 2019. </w:t>
      </w:r>
      <w:r w:rsidR="0057202E" w:rsidRPr="00BD271D">
        <w:rPr>
          <w:rFonts w:cs="Times New Roman"/>
          <w:lang w:val="en-GB"/>
        </w:rPr>
        <w:t>The average interest coverage ratio was 7.45 times for</w:t>
      </w:r>
      <w:r w:rsidR="009C6A0F" w:rsidRPr="00BD271D">
        <w:rPr>
          <w:rFonts w:cs="Times New Roman"/>
          <w:lang w:val="en-GB"/>
        </w:rPr>
        <w:t xml:space="preserve"> the pharmaceutical industry. The GlaxoSmithKline could not maintain </w:t>
      </w:r>
      <w:r w:rsidR="00735450" w:rsidRPr="00BD271D">
        <w:rPr>
          <w:rFonts w:cs="Times New Roman"/>
          <w:lang w:val="en-GB"/>
        </w:rPr>
        <w:t xml:space="preserve">an </w:t>
      </w:r>
      <w:r w:rsidR="009C6A0F" w:rsidRPr="00BD271D">
        <w:rPr>
          <w:rFonts w:cs="Times New Roman"/>
          <w:lang w:val="en-GB"/>
        </w:rPr>
        <w:t xml:space="preserve">average interest coverage ratio for the financial year </w:t>
      </w:r>
      <w:r w:rsidR="00604EBE" w:rsidRPr="00BD271D">
        <w:rPr>
          <w:rFonts w:cs="Times New Roman"/>
          <w:lang w:val="en-GB"/>
        </w:rPr>
        <w:t xml:space="preserve">2016, 2017, and 2018 because of </w:t>
      </w:r>
      <w:r w:rsidR="00735450" w:rsidRPr="00BD271D">
        <w:rPr>
          <w:rFonts w:cs="Times New Roman"/>
          <w:lang w:val="en-GB"/>
        </w:rPr>
        <w:t xml:space="preserve">the </w:t>
      </w:r>
      <w:r w:rsidR="00604EBE" w:rsidRPr="00BD271D">
        <w:rPr>
          <w:rFonts w:cs="Times New Roman"/>
          <w:lang w:val="en-GB"/>
        </w:rPr>
        <w:t>decreasing of the operating profit and increasing of finance expense</w:t>
      </w:r>
      <w:r w:rsidR="002F06DA" w:rsidRPr="00BD271D">
        <w:rPr>
          <w:rFonts w:cs="Times New Roman"/>
          <w:lang w:val="en-GB"/>
        </w:rPr>
        <w:t xml:space="preserve"> (Hand, 2010)</w:t>
      </w:r>
      <w:r w:rsidR="00604EBE" w:rsidRPr="00BD271D">
        <w:rPr>
          <w:rFonts w:cs="Times New Roman"/>
          <w:lang w:val="en-GB"/>
        </w:rPr>
        <w:t xml:space="preserve">. </w:t>
      </w:r>
    </w:p>
    <w:p w14:paraId="5B1FB054" w14:textId="77777777" w:rsidR="00BD271D" w:rsidRPr="00BD271D" w:rsidRDefault="00BD271D" w:rsidP="005E2464">
      <w:pPr>
        <w:rPr>
          <w:rFonts w:cs="Times New Roman"/>
          <w:lang w:val="en-GB"/>
        </w:rPr>
      </w:pPr>
    </w:p>
    <w:p w14:paraId="0C342B2A" w14:textId="69BC6453" w:rsidR="00544EB6" w:rsidRPr="00BD271D" w:rsidRDefault="00516A68" w:rsidP="005E2464">
      <w:pPr>
        <w:rPr>
          <w:rFonts w:cs="Times New Roman"/>
          <w:lang w:val="en-GB"/>
        </w:rPr>
      </w:pPr>
      <w:r w:rsidRPr="00BD271D">
        <w:rPr>
          <w:rFonts w:cs="Times New Roman"/>
          <w:b/>
          <w:bCs/>
          <w:u w:val="single"/>
          <w:lang w:val="en-GB"/>
        </w:rPr>
        <w:t>Asset turnover ratio:</w:t>
      </w:r>
      <w:r w:rsidRPr="00BD271D">
        <w:rPr>
          <w:rFonts w:cs="Times New Roman"/>
          <w:lang w:val="en-GB"/>
        </w:rPr>
        <w:t xml:space="preserve"> </w:t>
      </w:r>
      <w:r w:rsidR="00350AA5" w:rsidRPr="00BD271D">
        <w:rPr>
          <w:rFonts w:cs="Times New Roman"/>
          <w:lang w:val="en-GB"/>
        </w:rPr>
        <w:t xml:space="preserve">How the business </w:t>
      </w:r>
      <w:r w:rsidR="00502B25" w:rsidRPr="00BD271D">
        <w:rPr>
          <w:rFonts w:cs="Times New Roman"/>
          <w:lang w:val="en-GB"/>
        </w:rPr>
        <w:t>organisation</w:t>
      </w:r>
      <w:r w:rsidR="00350AA5" w:rsidRPr="00BD271D">
        <w:rPr>
          <w:rFonts w:cs="Times New Roman"/>
          <w:lang w:val="en-GB"/>
        </w:rPr>
        <w:t xml:space="preserve"> like GlaxoSmithKline</w:t>
      </w:r>
      <w:r w:rsidR="0051581B" w:rsidRPr="00BD271D">
        <w:rPr>
          <w:rFonts w:cs="Times New Roman"/>
          <w:lang w:val="en-GB"/>
        </w:rPr>
        <w:t xml:space="preserve"> can use its asset to generate revenue has been assessed by calculation and interpretation of the asset turnover ratio. The higher</w:t>
      </w:r>
      <w:r w:rsidR="0077056F" w:rsidRPr="00BD271D">
        <w:rPr>
          <w:rFonts w:cs="Times New Roman"/>
          <w:lang w:val="en-GB"/>
        </w:rPr>
        <w:t xml:space="preserve"> asset turnover ratio has stated that the company is more efficient to generate revenue by using its total asset. The average asset turnover ratio was 0.48</w:t>
      </w:r>
      <w:r w:rsidR="00E16332" w:rsidRPr="00BD271D">
        <w:rPr>
          <w:rFonts w:cs="Times New Roman"/>
          <w:lang w:val="en-GB"/>
        </w:rPr>
        <w:t xml:space="preserve"> for the pharmaceutical industry. In that sense, the GlaxoSmithKline cannot touch its industry average in terms of asset turnover ratio for the accounting period </w:t>
      </w:r>
      <w:r w:rsidR="00544EB6" w:rsidRPr="00BD271D">
        <w:rPr>
          <w:rFonts w:cs="Times New Roman"/>
          <w:lang w:val="en-GB"/>
        </w:rPr>
        <w:t xml:space="preserve">2015, 2016, and 2018. </w:t>
      </w:r>
    </w:p>
    <w:p w14:paraId="7B61ADDF" w14:textId="77777777" w:rsidR="00BD271D" w:rsidRPr="00BD271D" w:rsidRDefault="00BD271D" w:rsidP="005E2464">
      <w:pPr>
        <w:rPr>
          <w:rFonts w:cs="Times New Roman"/>
          <w:lang w:val="en-GB"/>
        </w:rPr>
      </w:pPr>
    </w:p>
    <w:p w14:paraId="18CDAF51" w14:textId="6D584F87" w:rsidR="00FF7951" w:rsidRPr="00BD271D" w:rsidRDefault="00544EB6" w:rsidP="00AA3CEC">
      <w:pPr>
        <w:rPr>
          <w:rFonts w:cs="Times New Roman"/>
          <w:lang w:val="en-GB"/>
        </w:rPr>
      </w:pPr>
      <w:r w:rsidRPr="00BD271D">
        <w:rPr>
          <w:rFonts w:cs="Times New Roman"/>
          <w:b/>
          <w:bCs/>
          <w:u w:val="single"/>
          <w:lang w:val="en-GB"/>
        </w:rPr>
        <w:lastRenderedPageBreak/>
        <w:t>Inventory turnover ratio:</w:t>
      </w:r>
      <w:r w:rsidRPr="00BD271D">
        <w:rPr>
          <w:rFonts w:cs="Times New Roman"/>
          <w:lang w:val="en-GB"/>
        </w:rPr>
        <w:t xml:space="preserve"> How the business </w:t>
      </w:r>
      <w:r w:rsidR="00502B25" w:rsidRPr="00BD271D">
        <w:rPr>
          <w:rFonts w:cs="Times New Roman"/>
          <w:lang w:val="en-GB"/>
        </w:rPr>
        <w:t>organisation</w:t>
      </w:r>
      <w:r w:rsidRPr="00BD271D">
        <w:rPr>
          <w:rFonts w:cs="Times New Roman"/>
          <w:lang w:val="en-GB"/>
        </w:rPr>
        <w:t xml:space="preserve"> like GlaxoSmithKline can use its</w:t>
      </w:r>
      <w:r w:rsidR="007851B1" w:rsidRPr="00BD271D">
        <w:rPr>
          <w:rFonts w:cs="Times New Roman"/>
          <w:lang w:val="en-GB"/>
        </w:rPr>
        <w:t xml:space="preserve"> inventory</w:t>
      </w:r>
      <w:r w:rsidRPr="00BD271D">
        <w:rPr>
          <w:rFonts w:cs="Times New Roman"/>
          <w:lang w:val="en-GB"/>
        </w:rPr>
        <w:t xml:space="preserve"> to</w:t>
      </w:r>
      <w:r w:rsidR="007851B1" w:rsidRPr="00BD271D">
        <w:rPr>
          <w:rFonts w:cs="Times New Roman"/>
          <w:lang w:val="en-GB"/>
        </w:rPr>
        <w:t xml:space="preserve"> cover </w:t>
      </w:r>
      <w:r w:rsidR="00735450" w:rsidRPr="00BD271D">
        <w:rPr>
          <w:rFonts w:cs="Times New Roman"/>
          <w:lang w:val="en-GB"/>
        </w:rPr>
        <w:t>the</w:t>
      </w:r>
      <w:r w:rsidR="007851B1" w:rsidRPr="00BD271D">
        <w:rPr>
          <w:rFonts w:cs="Times New Roman"/>
          <w:lang w:val="en-GB"/>
        </w:rPr>
        <w:t xml:space="preserve"> cost of goods sold</w:t>
      </w:r>
      <w:r w:rsidRPr="00BD271D">
        <w:rPr>
          <w:rFonts w:cs="Times New Roman"/>
          <w:lang w:val="en-GB"/>
        </w:rPr>
        <w:t xml:space="preserve"> has been assessed by calculation and interpretation of the</w:t>
      </w:r>
      <w:r w:rsidR="007851B1" w:rsidRPr="00BD271D">
        <w:rPr>
          <w:rFonts w:cs="Times New Roman"/>
          <w:lang w:val="en-GB"/>
        </w:rPr>
        <w:t xml:space="preserve"> inventory</w:t>
      </w:r>
      <w:r w:rsidRPr="00BD271D">
        <w:rPr>
          <w:rFonts w:cs="Times New Roman"/>
          <w:lang w:val="en-GB"/>
        </w:rPr>
        <w:t xml:space="preserve"> turnover ratio</w:t>
      </w:r>
      <w:r w:rsidR="002F06DA" w:rsidRPr="00BD271D">
        <w:rPr>
          <w:rFonts w:cs="Times New Roman"/>
          <w:lang w:val="en-GB"/>
        </w:rPr>
        <w:t xml:space="preserve"> (Hays, </w:t>
      </w:r>
      <w:r w:rsidR="00502B25" w:rsidRPr="00BD271D">
        <w:rPr>
          <w:rFonts w:cs="Times New Roman"/>
          <w:lang w:val="en-GB"/>
        </w:rPr>
        <w:t>2018</w:t>
      </w:r>
      <w:r w:rsidR="002F06DA" w:rsidRPr="00BD271D">
        <w:rPr>
          <w:rFonts w:cs="Times New Roman"/>
          <w:lang w:val="en-GB"/>
        </w:rPr>
        <w:t>)</w:t>
      </w:r>
      <w:r w:rsidRPr="00BD271D">
        <w:rPr>
          <w:rFonts w:cs="Times New Roman"/>
          <w:lang w:val="en-GB"/>
        </w:rPr>
        <w:t>. The higher</w:t>
      </w:r>
      <w:r w:rsidR="007851B1" w:rsidRPr="00BD271D">
        <w:rPr>
          <w:rFonts w:cs="Times New Roman"/>
          <w:lang w:val="en-GB"/>
        </w:rPr>
        <w:t xml:space="preserve"> inventory</w:t>
      </w:r>
      <w:r w:rsidRPr="00BD271D">
        <w:rPr>
          <w:rFonts w:cs="Times New Roman"/>
          <w:lang w:val="en-GB"/>
        </w:rPr>
        <w:t xml:space="preserve"> turnover ratio has stated that the company is more efficient to</w:t>
      </w:r>
      <w:r w:rsidR="007851B1" w:rsidRPr="00BD271D">
        <w:rPr>
          <w:rFonts w:cs="Times New Roman"/>
          <w:lang w:val="en-GB"/>
        </w:rPr>
        <w:t xml:space="preserve"> cover </w:t>
      </w:r>
      <w:r w:rsidR="00735450" w:rsidRPr="00BD271D">
        <w:rPr>
          <w:rFonts w:cs="Times New Roman"/>
          <w:lang w:val="en-GB"/>
        </w:rPr>
        <w:t>the</w:t>
      </w:r>
      <w:r w:rsidR="007851B1" w:rsidRPr="00BD271D">
        <w:rPr>
          <w:rFonts w:cs="Times New Roman"/>
          <w:lang w:val="en-GB"/>
        </w:rPr>
        <w:t xml:space="preserve"> cost of goods sold</w:t>
      </w:r>
      <w:r w:rsidRPr="00BD271D">
        <w:rPr>
          <w:rFonts w:cs="Times New Roman"/>
          <w:lang w:val="en-GB"/>
        </w:rPr>
        <w:t xml:space="preserve"> by using its total</w:t>
      </w:r>
      <w:r w:rsidR="007851B1" w:rsidRPr="00BD271D">
        <w:rPr>
          <w:rFonts w:cs="Times New Roman"/>
          <w:lang w:val="en-GB"/>
        </w:rPr>
        <w:t xml:space="preserve"> inventory</w:t>
      </w:r>
      <w:r w:rsidRPr="00BD271D">
        <w:rPr>
          <w:rFonts w:cs="Times New Roman"/>
          <w:lang w:val="en-GB"/>
        </w:rPr>
        <w:t>. The average</w:t>
      </w:r>
      <w:r w:rsidR="007851B1" w:rsidRPr="00BD271D">
        <w:rPr>
          <w:rFonts w:cs="Times New Roman"/>
          <w:lang w:val="en-GB"/>
        </w:rPr>
        <w:t xml:space="preserve"> inventory</w:t>
      </w:r>
      <w:r w:rsidRPr="00BD271D">
        <w:rPr>
          <w:rFonts w:cs="Times New Roman"/>
          <w:lang w:val="en-GB"/>
        </w:rPr>
        <w:t xml:space="preserve"> turnover ratio was </w:t>
      </w:r>
      <w:r w:rsidR="007851B1" w:rsidRPr="00BD271D">
        <w:rPr>
          <w:rFonts w:cs="Times New Roman"/>
          <w:lang w:val="en-GB"/>
        </w:rPr>
        <w:t>1</w:t>
      </w:r>
      <w:r w:rsidRPr="00BD271D">
        <w:rPr>
          <w:rFonts w:cs="Times New Roman"/>
          <w:lang w:val="en-GB"/>
        </w:rPr>
        <w:t>.</w:t>
      </w:r>
      <w:r w:rsidR="007851B1" w:rsidRPr="00BD271D">
        <w:rPr>
          <w:rFonts w:cs="Times New Roman"/>
          <w:lang w:val="en-GB"/>
        </w:rPr>
        <w:t>8</w:t>
      </w:r>
      <w:r w:rsidRPr="00BD271D">
        <w:rPr>
          <w:rFonts w:cs="Times New Roman"/>
          <w:lang w:val="en-GB"/>
        </w:rPr>
        <w:t>8 for the pharmaceutical industry. In that sense, the GlaxoSmithKline cannot touch its industry average in terms of</w:t>
      </w:r>
      <w:r w:rsidR="001212E7" w:rsidRPr="00BD271D">
        <w:rPr>
          <w:rFonts w:cs="Times New Roman"/>
          <w:lang w:val="en-GB"/>
        </w:rPr>
        <w:t xml:space="preserve"> inventory</w:t>
      </w:r>
      <w:r w:rsidRPr="00BD271D">
        <w:rPr>
          <w:rFonts w:cs="Times New Roman"/>
          <w:lang w:val="en-GB"/>
        </w:rPr>
        <w:t xml:space="preserve"> turnover ratio for the accounting period</w:t>
      </w:r>
      <w:r w:rsidR="001212E7" w:rsidRPr="00BD271D">
        <w:rPr>
          <w:rFonts w:cs="Times New Roman"/>
          <w:lang w:val="en-GB"/>
        </w:rPr>
        <w:t xml:space="preserve"> </w:t>
      </w:r>
      <w:r w:rsidRPr="00BD271D">
        <w:rPr>
          <w:rFonts w:cs="Times New Roman"/>
          <w:lang w:val="en-GB"/>
        </w:rPr>
        <w:t>2016</w:t>
      </w:r>
      <w:r w:rsidR="001212E7" w:rsidRPr="00BD271D">
        <w:rPr>
          <w:rFonts w:cs="Times New Roman"/>
          <w:lang w:val="en-GB"/>
        </w:rPr>
        <w:t xml:space="preserve"> </w:t>
      </w:r>
      <w:r w:rsidRPr="00BD271D">
        <w:rPr>
          <w:rFonts w:cs="Times New Roman"/>
          <w:lang w:val="en-GB"/>
        </w:rPr>
        <w:t>and 2018.</w:t>
      </w:r>
    </w:p>
    <w:p w14:paraId="6FEFD045" w14:textId="77777777" w:rsidR="00BD271D" w:rsidRPr="00BD271D" w:rsidRDefault="00BD271D" w:rsidP="00AA3CEC">
      <w:pPr>
        <w:rPr>
          <w:rFonts w:cs="Times New Roman"/>
          <w:u w:val="single"/>
          <w:lang w:val="en-GB"/>
        </w:rPr>
      </w:pPr>
    </w:p>
    <w:p w14:paraId="7362C9BC" w14:textId="5E15EC5D" w:rsidR="00195E82" w:rsidRPr="00BD271D" w:rsidRDefault="00850BDE" w:rsidP="00AA3CEC">
      <w:pPr>
        <w:rPr>
          <w:rFonts w:cs="Times New Roman"/>
          <w:lang w:val="en-GB"/>
        </w:rPr>
      </w:pPr>
      <w:r w:rsidRPr="00BD271D">
        <w:rPr>
          <w:rFonts w:cs="Times New Roman"/>
          <w:b/>
          <w:bCs/>
          <w:u w:val="single"/>
          <w:lang w:val="en-GB"/>
        </w:rPr>
        <w:t>Receivable turnover ratio:</w:t>
      </w:r>
      <w:r w:rsidR="00AA3CEC" w:rsidRPr="00BD271D">
        <w:rPr>
          <w:rFonts w:cs="Times New Roman"/>
          <w:lang w:val="en-GB"/>
        </w:rPr>
        <w:t xml:space="preserve"> How</w:t>
      </w:r>
      <w:r w:rsidR="00C377DB" w:rsidRPr="00BD271D">
        <w:rPr>
          <w:rFonts w:cs="Times New Roman"/>
          <w:lang w:val="en-GB"/>
        </w:rPr>
        <w:t xml:space="preserve"> much time is required by the</w:t>
      </w:r>
      <w:r w:rsidR="00195E82" w:rsidRPr="00BD271D">
        <w:rPr>
          <w:rFonts w:cs="Times New Roman"/>
          <w:lang w:val="en-GB"/>
        </w:rPr>
        <w:t xml:space="preserve"> </w:t>
      </w:r>
      <w:r w:rsidR="00AA3CEC" w:rsidRPr="00BD271D">
        <w:rPr>
          <w:rFonts w:cs="Times New Roman"/>
          <w:lang w:val="en-GB"/>
        </w:rPr>
        <w:t xml:space="preserve">business </w:t>
      </w:r>
      <w:r w:rsidR="00502B25" w:rsidRPr="00BD271D">
        <w:rPr>
          <w:rFonts w:cs="Times New Roman"/>
          <w:lang w:val="en-GB"/>
        </w:rPr>
        <w:t>organisation</w:t>
      </w:r>
      <w:r w:rsidR="00AA3CEC" w:rsidRPr="00BD271D">
        <w:rPr>
          <w:rFonts w:cs="Times New Roman"/>
          <w:lang w:val="en-GB"/>
        </w:rPr>
        <w:t xml:space="preserve"> like </w:t>
      </w:r>
      <w:r w:rsidR="00C377DB" w:rsidRPr="00BD271D">
        <w:rPr>
          <w:rFonts w:cs="Times New Roman"/>
          <w:lang w:val="en-GB"/>
        </w:rPr>
        <w:t xml:space="preserve">GlaxoSmithKline </w:t>
      </w:r>
      <w:r w:rsidR="00AA3CEC" w:rsidRPr="00BD271D">
        <w:rPr>
          <w:rFonts w:cs="Times New Roman"/>
          <w:lang w:val="en-GB"/>
        </w:rPr>
        <w:t>to</w:t>
      </w:r>
      <w:r w:rsidR="00C377DB" w:rsidRPr="00BD271D">
        <w:rPr>
          <w:rFonts w:cs="Times New Roman"/>
          <w:lang w:val="en-GB"/>
        </w:rPr>
        <w:t xml:space="preserve"> collect</w:t>
      </w:r>
      <w:r w:rsidR="00AA3CEC" w:rsidRPr="00BD271D">
        <w:rPr>
          <w:rFonts w:cs="Times New Roman"/>
          <w:lang w:val="en-GB"/>
        </w:rPr>
        <w:t xml:space="preserve"> i</w:t>
      </w:r>
      <w:r w:rsidR="00C377DB" w:rsidRPr="00BD271D">
        <w:rPr>
          <w:rFonts w:cs="Times New Roman"/>
          <w:lang w:val="en-GB"/>
        </w:rPr>
        <w:t>ts receivable has</w:t>
      </w:r>
      <w:r w:rsidR="00AA3CEC" w:rsidRPr="00BD271D">
        <w:rPr>
          <w:rFonts w:cs="Times New Roman"/>
          <w:lang w:val="en-GB"/>
        </w:rPr>
        <w:t xml:space="preserve"> been assessed by calculation and interpretation of the</w:t>
      </w:r>
      <w:r w:rsidR="004E009A" w:rsidRPr="00BD271D">
        <w:rPr>
          <w:rFonts w:cs="Times New Roman"/>
          <w:lang w:val="en-GB"/>
        </w:rPr>
        <w:t xml:space="preserve"> receivable </w:t>
      </w:r>
      <w:r w:rsidR="00AA3CEC" w:rsidRPr="00BD271D">
        <w:rPr>
          <w:rFonts w:cs="Times New Roman"/>
          <w:lang w:val="en-GB"/>
        </w:rPr>
        <w:t>turnover ratio</w:t>
      </w:r>
      <w:r w:rsidR="002F06DA" w:rsidRPr="00BD271D">
        <w:rPr>
          <w:rFonts w:cs="Times New Roman"/>
          <w:lang w:val="en-GB"/>
        </w:rPr>
        <w:t xml:space="preserve"> (McCune, 2010)</w:t>
      </w:r>
      <w:r w:rsidR="00AA3CEC" w:rsidRPr="00BD271D">
        <w:rPr>
          <w:rFonts w:cs="Times New Roman"/>
          <w:lang w:val="en-GB"/>
        </w:rPr>
        <w:t>. The higher</w:t>
      </w:r>
      <w:r w:rsidR="004E009A" w:rsidRPr="00BD271D">
        <w:rPr>
          <w:rFonts w:cs="Times New Roman"/>
          <w:lang w:val="en-GB"/>
        </w:rPr>
        <w:t xml:space="preserve"> receivable</w:t>
      </w:r>
      <w:r w:rsidR="00AA3CEC" w:rsidRPr="00BD271D">
        <w:rPr>
          <w:rFonts w:cs="Times New Roman"/>
          <w:lang w:val="en-GB"/>
        </w:rPr>
        <w:t xml:space="preserve"> turnover ratio has stated that the company is more efficient to</w:t>
      </w:r>
      <w:r w:rsidR="004E009A" w:rsidRPr="00BD271D">
        <w:rPr>
          <w:rFonts w:cs="Times New Roman"/>
          <w:lang w:val="en-GB"/>
        </w:rPr>
        <w:t xml:space="preserve"> collect receivable amount</w:t>
      </w:r>
      <w:r w:rsidR="00AA3CEC" w:rsidRPr="00BD271D">
        <w:rPr>
          <w:rFonts w:cs="Times New Roman"/>
          <w:lang w:val="en-GB"/>
        </w:rPr>
        <w:t xml:space="preserve">. The </w:t>
      </w:r>
      <w:r w:rsidR="004E009A" w:rsidRPr="00BD271D">
        <w:rPr>
          <w:rFonts w:cs="Times New Roman"/>
          <w:lang w:val="en-GB"/>
        </w:rPr>
        <w:t>average receivable</w:t>
      </w:r>
      <w:r w:rsidR="00AA3CEC" w:rsidRPr="00BD271D">
        <w:rPr>
          <w:rFonts w:cs="Times New Roman"/>
          <w:lang w:val="en-GB"/>
        </w:rPr>
        <w:t xml:space="preserve"> turnover ratio was </w:t>
      </w:r>
      <w:r w:rsidR="004E009A" w:rsidRPr="00BD271D">
        <w:rPr>
          <w:rFonts w:cs="Times New Roman"/>
          <w:lang w:val="en-GB"/>
        </w:rPr>
        <w:t>4</w:t>
      </w:r>
      <w:r w:rsidR="00AA3CEC" w:rsidRPr="00BD271D">
        <w:rPr>
          <w:rFonts w:cs="Times New Roman"/>
          <w:lang w:val="en-GB"/>
        </w:rPr>
        <w:t>.</w:t>
      </w:r>
      <w:r w:rsidR="004E009A" w:rsidRPr="00BD271D">
        <w:rPr>
          <w:rFonts w:cs="Times New Roman"/>
          <w:lang w:val="en-GB"/>
        </w:rPr>
        <w:t>6</w:t>
      </w:r>
      <w:r w:rsidR="00AA3CEC" w:rsidRPr="00BD271D">
        <w:rPr>
          <w:rFonts w:cs="Times New Roman"/>
          <w:lang w:val="en-GB"/>
        </w:rPr>
        <w:t>8</w:t>
      </w:r>
      <w:r w:rsidR="004E009A" w:rsidRPr="00BD271D">
        <w:rPr>
          <w:rFonts w:cs="Times New Roman"/>
          <w:lang w:val="en-GB"/>
        </w:rPr>
        <w:t xml:space="preserve"> times</w:t>
      </w:r>
      <w:r w:rsidR="00AA3CEC" w:rsidRPr="00BD271D">
        <w:rPr>
          <w:rFonts w:cs="Times New Roman"/>
          <w:lang w:val="en-GB"/>
        </w:rPr>
        <w:t xml:space="preserve"> for the pharmaceutical industry. In that sense, the GlaxoSmithKline cannot touch its industry average in terms of</w:t>
      </w:r>
      <w:r w:rsidR="004E009A" w:rsidRPr="00BD271D">
        <w:rPr>
          <w:rFonts w:cs="Times New Roman"/>
          <w:lang w:val="en-GB"/>
        </w:rPr>
        <w:t xml:space="preserve"> receivable</w:t>
      </w:r>
      <w:r w:rsidR="00AA3CEC" w:rsidRPr="00BD271D">
        <w:rPr>
          <w:rFonts w:cs="Times New Roman"/>
          <w:lang w:val="en-GB"/>
        </w:rPr>
        <w:t xml:space="preserve"> turnover ratio for the accounting period 201</w:t>
      </w:r>
      <w:r w:rsidR="00195E82" w:rsidRPr="00BD271D">
        <w:rPr>
          <w:rFonts w:cs="Times New Roman"/>
          <w:lang w:val="en-GB"/>
        </w:rPr>
        <w:t>5, 2016,</w:t>
      </w:r>
      <w:r w:rsidR="00AA3CEC" w:rsidRPr="00BD271D">
        <w:rPr>
          <w:rFonts w:cs="Times New Roman"/>
          <w:lang w:val="en-GB"/>
        </w:rPr>
        <w:t xml:space="preserve"> and 2018.</w:t>
      </w:r>
    </w:p>
    <w:p w14:paraId="0A198B06" w14:textId="77777777" w:rsidR="00BD271D" w:rsidRPr="00BD271D" w:rsidRDefault="00BD271D" w:rsidP="00AA3CEC">
      <w:pPr>
        <w:rPr>
          <w:rFonts w:cs="Times New Roman"/>
          <w:lang w:val="en-GB"/>
        </w:rPr>
      </w:pPr>
    </w:p>
    <w:p w14:paraId="6A9A115C" w14:textId="09686654" w:rsidR="00D068D5" w:rsidRPr="00BD271D" w:rsidRDefault="00850BDE" w:rsidP="005E2464">
      <w:pPr>
        <w:rPr>
          <w:rFonts w:cs="Times New Roman"/>
          <w:lang w:val="en-GB"/>
        </w:rPr>
      </w:pPr>
      <w:r w:rsidRPr="00BD271D">
        <w:rPr>
          <w:rFonts w:cs="Times New Roman"/>
          <w:b/>
          <w:bCs/>
          <w:lang w:val="en-GB"/>
        </w:rPr>
        <w:t xml:space="preserve"> </w:t>
      </w:r>
      <w:r w:rsidR="00195E82" w:rsidRPr="00BD271D">
        <w:rPr>
          <w:rFonts w:cs="Times New Roman"/>
          <w:b/>
          <w:bCs/>
          <w:u w:val="single"/>
          <w:lang w:val="en-GB"/>
        </w:rPr>
        <w:t>Payable turnover ratio:</w:t>
      </w:r>
      <w:r w:rsidR="00195E82" w:rsidRPr="00BD271D">
        <w:rPr>
          <w:rFonts w:cs="Times New Roman"/>
          <w:lang w:val="en-GB"/>
        </w:rPr>
        <w:t xml:space="preserve"> How much time is util</w:t>
      </w:r>
      <w:r w:rsidR="0066245F" w:rsidRPr="00BD271D">
        <w:rPr>
          <w:rFonts w:cs="Times New Roman"/>
          <w:lang w:val="en-GB"/>
        </w:rPr>
        <w:t>is</w:t>
      </w:r>
      <w:r w:rsidR="00195E82" w:rsidRPr="00BD271D">
        <w:rPr>
          <w:rFonts w:cs="Times New Roman"/>
          <w:lang w:val="en-GB"/>
        </w:rPr>
        <w:t xml:space="preserve">ed by the business </w:t>
      </w:r>
      <w:r w:rsidR="00502B25" w:rsidRPr="00BD271D">
        <w:rPr>
          <w:rFonts w:cs="Times New Roman"/>
          <w:lang w:val="en-GB"/>
        </w:rPr>
        <w:t>organisation</w:t>
      </w:r>
      <w:r w:rsidR="00195E82" w:rsidRPr="00BD271D">
        <w:rPr>
          <w:rFonts w:cs="Times New Roman"/>
          <w:lang w:val="en-GB"/>
        </w:rPr>
        <w:t xml:space="preserve"> like GlaxoSmithKline to pay its payables has been assessed by calculation and interpretation of the payable turnover ratio</w:t>
      </w:r>
      <w:r w:rsidR="00F74A0D" w:rsidRPr="00BD271D">
        <w:rPr>
          <w:rFonts w:cs="Times New Roman"/>
          <w:lang w:val="en-GB"/>
        </w:rPr>
        <w:t xml:space="preserve"> (Phylaktis, 2014)</w:t>
      </w:r>
      <w:r w:rsidR="00195E82" w:rsidRPr="00BD271D">
        <w:rPr>
          <w:rFonts w:cs="Times New Roman"/>
          <w:lang w:val="en-GB"/>
        </w:rPr>
        <w:t>. The lower payable turnover ratio has stated that the company is more efficient to util</w:t>
      </w:r>
      <w:r w:rsidR="0066245F" w:rsidRPr="00BD271D">
        <w:rPr>
          <w:rFonts w:cs="Times New Roman"/>
          <w:lang w:val="en-GB"/>
        </w:rPr>
        <w:t>is</w:t>
      </w:r>
      <w:r w:rsidR="00195E82" w:rsidRPr="00BD271D">
        <w:rPr>
          <w:rFonts w:cs="Times New Roman"/>
          <w:lang w:val="en-GB"/>
        </w:rPr>
        <w:t xml:space="preserve">e its payable amount. The average payable turnover ratio was </w:t>
      </w:r>
      <w:r w:rsidR="00E04BB1" w:rsidRPr="00BD271D">
        <w:rPr>
          <w:rFonts w:cs="Times New Roman"/>
          <w:lang w:val="en-GB"/>
        </w:rPr>
        <w:t>0.76</w:t>
      </w:r>
      <w:r w:rsidR="00195E82" w:rsidRPr="00BD271D">
        <w:rPr>
          <w:rFonts w:cs="Times New Roman"/>
          <w:lang w:val="en-GB"/>
        </w:rPr>
        <w:t xml:space="preserve"> times for the pharmaceutical industry. In that sense, the GlaxoSmithKline cannot touch its </w:t>
      </w:r>
      <w:r w:rsidR="00195E82" w:rsidRPr="00BD271D">
        <w:rPr>
          <w:rFonts w:cs="Times New Roman"/>
          <w:lang w:val="en-GB"/>
        </w:rPr>
        <w:lastRenderedPageBreak/>
        <w:t>industry average in terms of</w:t>
      </w:r>
      <w:r w:rsidR="00E04BB1" w:rsidRPr="00BD271D">
        <w:rPr>
          <w:rFonts w:cs="Times New Roman"/>
          <w:lang w:val="en-GB"/>
        </w:rPr>
        <w:t xml:space="preserve"> payable</w:t>
      </w:r>
      <w:r w:rsidR="00195E82" w:rsidRPr="00BD271D">
        <w:rPr>
          <w:rFonts w:cs="Times New Roman"/>
          <w:lang w:val="en-GB"/>
        </w:rPr>
        <w:t xml:space="preserve"> turnover ratio for the accounting period 2015, 2016,</w:t>
      </w:r>
      <w:r w:rsidR="00E04BB1" w:rsidRPr="00BD271D">
        <w:rPr>
          <w:rFonts w:cs="Times New Roman"/>
          <w:lang w:val="en-GB"/>
        </w:rPr>
        <w:t xml:space="preserve"> 2018</w:t>
      </w:r>
      <w:r w:rsidR="00195E82" w:rsidRPr="00BD271D">
        <w:rPr>
          <w:rFonts w:cs="Times New Roman"/>
          <w:lang w:val="en-GB"/>
        </w:rPr>
        <w:t xml:space="preserve"> and 201</w:t>
      </w:r>
      <w:r w:rsidR="00E04BB1" w:rsidRPr="00BD271D">
        <w:rPr>
          <w:rFonts w:cs="Times New Roman"/>
          <w:lang w:val="en-GB"/>
        </w:rPr>
        <w:t>9</w:t>
      </w:r>
      <w:r w:rsidR="00195E82" w:rsidRPr="00BD271D">
        <w:rPr>
          <w:rFonts w:cs="Times New Roman"/>
          <w:lang w:val="en-GB"/>
        </w:rPr>
        <w:t>.</w:t>
      </w:r>
    </w:p>
    <w:p w14:paraId="052A58E5" w14:textId="77777777" w:rsidR="00BD271D" w:rsidRPr="00BD271D" w:rsidRDefault="00BD271D" w:rsidP="005E2464">
      <w:pPr>
        <w:rPr>
          <w:rFonts w:cs="Times New Roman"/>
          <w:lang w:val="en-GB"/>
        </w:rPr>
      </w:pPr>
    </w:p>
    <w:p w14:paraId="094962B4" w14:textId="0CB106EA" w:rsidR="00D068D5" w:rsidRPr="00BD271D" w:rsidRDefault="00D068D5" w:rsidP="00BD271D">
      <w:pPr>
        <w:pStyle w:val="Heading2"/>
        <w:jc w:val="center"/>
        <w:rPr>
          <w:rFonts w:cs="Times New Roman"/>
          <w:lang w:val="en-GB"/>
        </w:rPr>
      </w:pPr>
      <w:bookmarkStart w:id="18" w:name="_Toc60172424"/>
      <w:bookmarkStart w:id="19" w:name="_Toc61434633"/>
      <w:r w:rsidRPr="00BD271D">
        <w:rPr>
          <w:rFonts w:cs="Times New Roman"/>
          <w:lang w:val="en-GB"/>
        </w:rPr>
        <w:t>Recommendations</w:t>
      </w:r>
      <w:bookmarkEnd w:id="18"/>
      <w:bookmarkEnd w:id="19"/>
    </w:p>
    <w:p w14:paraId="7695D964" w14:textId="0628648F" w:rsidR="00616EFC" w:rsidRPr="00BD271D" w:rsidRDefault="00D068D5" w:rsidP="005E2464">
      <w:pPr>
        <w:rPr>
          <w:rFonts w:cs="Times New Roman"/>
          <w:lang w:val="en-GB"/>
        </w:rPr>
      </w:pPr>
      <w:r w:rsidRPr="00BD271D">
        <w:rPr>
          <w:rFonts w:cs="Times New Roman"/>
          <w:lang w:val="en-GB"/>
        </w:rPr>
        <w:t>To accomplish regular activities of the operation, the finance manager of the</w:t>
      </w:r>
      <w:r w:rsidR="00BC56E7" w:rsidRPr="00BD271D">
        <w:rPr>
          <w:rFonts w:cs="Times New Roman"/>
          <w:lang w:val="en-GB"/>
        </w:rPr>
        <w:t xml:space="preserve"> GlaxoSmithKline should give more empha</w:t>
      </w:r>
      <w:r w:rsidR="0066245F" w:rsidRPr="00BD271D">
        <w:rPr>
          <w:rFonts w:cs="Times New Roman"/>
          <w:lang w:val="en-GB"/>
        </w:rPr>
        <w:t>si</w:t>
      </w:r>
      <w:r w:rsidR="006003AE">
        <w:rPr>
          <w:rFonts w:cs="Times New Roman"/>
          <w:lang w:val="en-GB"/>
        </w:rPr>
        <w:t>s</w:t>
      </w:r>
      <w:r w:rsidR="0066245F" w:rsidRPr="00BD271D">
        <w:rPr>
          <w:rFonts w:cs="Times New Roman"/>
          <w:lang w:val="en-GB"/>
        </w:rPr>
        <w:t>e</w:t>
      </w:r>
      <w:r w:rsidR="00BC56E7" w:rsidRPr="00BD271D">
        <w:rPr>
          <w:rFonts w:cs="Times New Roman"/>
          <w:lang w:val="en-GB"/>
        </w:rPr>
        <w:t>s on liquidity ratio because sufficient working capital is more wanted</w:t>
      </w:r>
      <w:r w:rsidR="001B2F08" w:rsidRPr="00BD271D">
        <w:rPr>
          <w:rFonts w:cs="Times New Roman"/>
          <w:lang w:val="en-GB"/>
        </w:rPr>
        <w:t xml:space="preserve"> by manufacturing business </w:t>
      </w:r>
      <w:r w:rsidR="00502B25" w:rsidRPr="00BD271D">
        <w:rPr>
          <w:rFonts w:cs="Times New Roman"/>
          <w:lang w:val="en-GB"/>
        </w:rPr>
        <w:t>organisation</w:t>
      </w:r>
      <w:r w:rsidR="001B2F08" w:rsidRPr="00BD271D">
        <w:rPr>
          <w:rFonts w:cs="Times New Roman"/>
          <w:lang w:val="en-GB"/>
        </w:rPr>
        <w:t xml:space="preserve"> like GlaxoSmithKline. The finance manager of the GlaxoSmithKline should increase its liquidity by increasing its </w:t>
      </w:r>
      <w:r w:rsidR="0039545C" w:rsidRPr="00BD271D">
        <w:rPr>
          <w:rFonts w:cs="Times New Roman"/>
          <w:lang w:val="en-GB"/>
        </w:rPr>
        <w:t xml:space="preserve">operating cash flow. When the finance manager of the GlaxoSmithKline has increased its liquid asset by taking </w:t>
      </w:r>
      <w:r w:rsidR="00735450" w:rsidRPr="00BD271D">
        <w:rPr>
          <w:rFonts w:cs="Times New Roman"/>
          <w:lang w:val="en-GB"/>
        </w:rPr>
        <w:t xml:space="preserve">a </w:t>
      </w:r>
      <w:r w:rsidR="0039545C" w:rsidRPr="00BD271D">
        <w:rPr>
          <w:rFonts w:cs="Times New Roman"/>
          <w:lang w:val="en-GB"/>
        </w:rPr>
        <w:t>loan, the GlaxoSmithKline may face financial distress.</w:t>
      </w:r>
      <w:r w:rsidR="005E58F4" w:rsidRPr="00BD271D">
        <w:rPr>
          <w:rFonts w:cs="Times New Roman"/>
          <w:lang w:val="en-GB"/>
        </w:rPr>
        <w:t xml:space="preserve"> To ensure sustainable business growth and sound financial position, the finance manager of the GlaxoSmithKline should take </w:t>
      </w:r>
      <w:r w:rsidR="00C601F7" w:rsidRPr="00BD271D">
        <w:rPr>
          <w:rFonts w:cs="Times New Roman"/>
          <w:lang w:val="en-GB"/>
        </w:rPr>
        <w:t xml:space="preserve">appropriate action to reduce involvement on </w:t>
      </w:r>
      <w:r w:rsidR="00735450" w:rsidRPr="00BD271D">
        <w:rPr>
          <w:rFonts w:cs="Times New Roman"/>
          <w:lang w:val="en-GB"/>
        </w:rPr>
        <w:t xml:space="preserve">the </w:t>
      </w:r>
      <w:r w:rsidR="00C601F7" w:rsidRPr="00BD271D">
        <w:rPr>
          <w:rFonts w:cs="Times New Roman"/>
          <w:lang w:val="en-GB"/>
        </w:rPr>
        <w:t>use of long-term debt.</w:t>
      </w:r>
    </w:p>
    <w:p w14:paraId="2973C48B" w14:textId="5947CE67" w:rsidR="00616EFC" w:rsidRPr="00BD271D" w:rsidRDefault="00616EFC" w:rsidP="00BD271D">
      <w:pPr>
        <w:jc w:val="center"/>
        <w:rPr>
          <w:rFonts w:cs="Times New Roman"/>
          <w:lang w:val="en-GB"/>
        </w:rPr>
      </w:pPr>
    </w:p>
    <w:p w14:paraId="32C63151" w14:textId="11D99507" w:rsidR="00616EFC" w:rsidRPr="00BD271D" w:rsidRDefault="00616EFC" w:rsidP="00BD271D">
      <w:pPr>
        <w:pStyle w:val="Heading1"/>
        <w:rPr>
          <w:rFonts w:cs="Times New Roman"/>
          <w:lang w:val="en-GB"/>
        </w:rPr>
      </w:pPr>
      <w:bookmarkStart w:id="20" w:name="_Toc60172425"/>
      <w:bookmarkStart w:id="21" w:name="_Toc61434634"/>
      <w:r w:rsidRPr="00BD271D">
        <w:rPr>
          <w:rFonts w:cs="Times New Roman"/>
          <w:lang w:val="en-GB"/>
        </w:rPr>
        <w:t>Part-C</w:t>
      </w:r>
      <w:bookmarkEnd w:id="20"/>
      <w:bookmarkEnd w:id="21"/>
    </w:p>
    <w:p w14:paraId="7E630044" w14:textId="515C2350" w:rsidR="00D068D5" w:rsidRPr="00BD271D" w:rsidRDefault="00616EFC" w:rsidP="00BD271D">
      <w:pPr>
        <w:pStyle w:val="Heading2"/>
        <w:jc w:val="center"/>
        <w:rPr>
          <w:rFonts w:cs="Times New Roman"/>
        </w:rPr>
      </w:pPr>
      <w:bookmarkStart w:id="22" w:name="_Toc60172426"/>
      <w:bookmarkStart w:id="23" w:name="_Toc61434635"/>
      <w:r w:rsidRPr="00BD271D">
        <w:rPr>
          <w:rFonts w:cs="Times New Roman"/>
        </w:rPr>
        <w:t xml:space="preserve">Calculation of the </w:t>
      </w:r>
      <w:r w:rsidR="00835DE6" w:rsidRPr="00BD271D">
        <w:rPr>
          <w:rFonts w:cs="Times New Roman"/>
        </w:rPr>
        <w:t>P</w:t>
      </w:r>
      <w:r w:rsidRPr="00BD271D">
        <w:rPr>
          <w:rFonts w:cs="Times New Roman"/>
        </w:rPr>
        <w:t xml:space="preserve">ayback </w:t>
      </w:r>
      <w:r w:rsidR="00835DE6" w:rsidRPr="00BD271D">
        <w:rPr>
          <w:rFonts w:cs="Times New Roman"/>
        </w:rPr>
        <w:t>P</w:t>
      </w:r>
      <w:r w:rsidRPr="00BD271D">
        <w:rPr>
          <w:rFonts w:cs="Times New Roman"/>
        </w:rPr>
        <w:t>eriod, Accounting Rate of Return</w:t>
      </w:r>
      <w:r w:rsidR="00835DE6" w:rsidRPr="00BD271D">
        <w:rPr>
          <w:rFonts w:cs="Times New Roman"/>
        </w:rPr>
        <w:t>, and Net Present Value</w:t>
      </w:r>
      <w:bookmarkEnd w:id="22"/>
      <w:bookmarkEnd w:id="23"/>
    </w:p>
    <w:p w14:paraId="56C397F1" w14:textId="28A8D743" w:rsidR="0025520F" w:rsidRPr="00BD271D" w:rsidRDefault="0025520F" w:rsidP="0025520F">
      <w:pPr>
        <w:rPr>
          <w:rFonts w:cs="Times New Roman"/>
          <w:lang w:val="en-GB"/>
        </w:rPr>
      </w:pPr>
    </w:p>
    <w:p w14:paraId="7056EF97" w14:textId="39914FAB" w:rsidR="0025520F" w:rsidRPr="00BD271D" w:rsidRDefault="0025520F" w:rsidP="00BD271D">
      <w:pPr>
        <w:jc w:val="center"/>
        <w:rPr>
          <w:rFonts w:cs="Times New Roman"/>
          <w:b/>
          <w:bCs/>
          <w:u w:val="single"/>
          <w:lang w:val="en-GB"/>
        </w:rPr>
      </w:pPr>
      <w:r w:rsidRPr="00BD271D">
        <w:rPr>
          <w:rFonts w:cs="Times New Roman"/>
          <w:b/>
          <w:bCs/>
          <w:u w:val="single"/>
          <w:lang w:val="en-GB"/>
        </w:rPr>
        <w:t>Net Present Value (NPV):</w:t>
      </w:r>
    </w:p>
    <w:tbl>
      <w:tblPr>
        <w:tblW w:w="6975" w:type="dxa"/>
        <w:jc w:val="center"/>
        <w:tblLook w:val="04A0" w:firstRow="1" w:lastRow="0" w:firstColumn="1" w:lastColumn="0" w:noHBand="0" w:noVBand="1"/>
      </w:tblPr>
      <w:tblGrid>
        <w:gridCol w:w="723"/>
        <w:gridCol w:w="1342"/>
        <w:gridCol w:w="1350"/>
        <w:gridCol w:w="1220"/>
        <w:gridCol w:w="1260"/>
        <w:gridCol w:w="1260"/>
      </w:tblGrid>
      <w:tr w:rsidR="0025520F" w:rsidRPr="00BD271D" w14:paraId="09F6712B" w14:textId="77777777" w:rsidTr="0025520F">
        <w:trPr>
          <w:trHeight w:val="300"/>
          <w:jc w:val="center"/>
        </w:trPr>
        <w:tc>
          <w:tcPr>
            <w:tcW w:w="723" w:type="dxa"/>
            <w:vMerge w:val="restart"/>
            <w:tcBorders>
              <w:top w:val="single" w:sz="4" w:space="0" w:color="auto"/>
              <w:left w:val="single" w:sz="4" w:space="0" w:color="auto"/>
              <w:bottom w:val="single" w:sz="4" w:space="0" w:color="auto"/>
              <w:right w:val="single" w:sz="4" w:space="0" w:color="auto"/>
            </w:tcBorders>
            <w:shd w:val="clear" w:color="auto" w:fill="auto"/>
            <w:noWrap/>
            <w:hideMark/>
          </w:tcPr>
          <w:p w14:paraId="32BD9572" w14:textId="77777777" w:rsidR="00835DE6" w:rsidRPr="00BD271D" w:rsidRDefault="00835DE6" w:rsidP="001C1F67">
            <w:pPr>
              <w:spacing w:after="0" w:line="240" w:lineRule="auto"/>
              <w:jc w:val="center"/>
              <w:rPr>
                <w:rFonts w:eastAsia="Times New Roman" w:cs="Times New Roman"/>
                <w:b/>
                <w:bCs/>
                <w:color w:val="000000"/>
                <w:szCs w:val="24"/>
                <w:lang w:val="en-GB"/>
              </w:rPr>
            </w:pPr>
            <w:bookmarkStart w:id="24" w:name="RANGE!A1:F9"/>
            <w:r w:rsidRPr="00BD271D">
              <w:rPr>
                <w:rFonts w:eastAsia="Times New Roman" w:cs="Times New Roman"/>
                <w:b/>
                <w:bCs/>
                <w:color w:val="000000"/>
                <w:szCs w:val="24"/>
                <w:lang w:val="en-GB"/>
              </w:rPr>
              <w:t>Year</w:t>
            </w:r>
            <w:bookmarkEnd w:id="24"/>
          </w:p>
        </w:tc>
        <w:tc>
          <w:tcPr>
            <w:tcW w:w="2692" w:type="dxa"/>
            <w:gridSpan w:val="2"/>
            <w:tcBorders>
              <w:top w:val="single" w:sz="4" w:space="0" w:color="auto"/>
              <w:left w:val="nil"/>
              <w:bottom w:val="single" w:sz="4" w:space="0" w:color="auto"/>
              <w:right w:val="single" w:sz="4" w:space="0" w:color="auto"/>
            </w:tcBorders>
            <w:shd w:val="clear" w:color="auto" w:fill="auto"/>
            <w:noWrap/>
            <w:hideMark/>
          </w:tcPr>
          <w:p w14:paraId="2E1AFD26" w14:textId="77777777" w:rsidR="00835DE6" w:rsidRPr="00BD271D" w:rsidRDefault="00835DE6" w:rsidP="001C1F67">
            <w:pPr>
              <w:spacing w:after="0" w:line="240" w:lineRule="auto"/>
              <w:jc w:val="center"/>
              <w:rPr>
                <w:rFonts w:eastAsia="Times New Roman" w:cs="Times New Roman"/>
                <w:b/>
                <w:bCs/>
                <w:color w:val="000000"/>
                <w:szCs w:val="24"/>
                <w:lang w:val="en-GB"/>
              </w:rPr>
            </w:pPr>
            <w:r w:rsidRPr="00BD271D">
              <w:rPr>
                <w:rFonts w:eastAsia="Times New Roman" w:cs="Times New Roman"/>
                <w:b/>
                <w:bCs/>
                <w:color w:val="000000"/>
                <w:szCs w:val="24"/>
                <w:lang w:val="en-GB"/>
              </w:rPr>
              <w:t>Cash Flow</w:t>
            </w:r>
          </w:p>
        </w:tc>
        <w:tc>
          <w:tcPr>
            <w:tcW w:w="1040" w:type="dxa"/>
            <w:vMerge w:val="restart"/>
            <w:tcBorders>
              <w:top w:val="single" w:sz="4" w:space="0" w:color="auto"/>
              <w:left w:val="single" w:sz="4" w:space="0" w:color="auto"/>
              <w:bottom w:val="single" w:sz="4" w:space="0" w:color="auto"/>
              <w:right w:val="single" w:sz="4" w:space="0" w:color="auto"/>
            </w:tcBorders>
            <w:shd w:val="clear" w:color="auto" w:fill="auto"/>
            <w:noWrap/>
            <w:hideMark/>
          </w:tcPr>
          <w:p w14:paraId="5C6E6043" w14:textId="77777777" w:rsidR="00835DE6" w:rsidRPr="00BD271D" w:rsidRDefault="00835DE6" w:rsidP="001C1F67">
            <w:pPr>
              <w:spacing w:after="0" w:line="240" w:lineRule="auto"/>
              <w:jc w:val="center"/>
              <w:rPr>
                <w:rFonts w:eastAsia="Times New Roman" w:cs="Times New Roman"/>
                <w:b/>
                <w:bCs/>
                <w:color w:val="000000"/>
                <w:szCs w:val="24"/>
                <w:lang w:val="en-GB"/>
              </w:rPr>
            </w:pPr>
            <w:r w:rsidRPr="00BD271D">
              <w:rPr>
                <w:rFonts w:eastAsia="Times New Roman" w:cs="Times New Roman"/>
                <w:b/>
                <w:bCs/>
                <w:color w:val="000000"/>
                <w:szCs w:val="24"/>
                <w:lang w:val="en-GB"/>
              </w:rPr>
              <w:t>PV factor @10.50%</w:t>
            </w:r>
          </w:p>
        </w:tc>
        <w:tc>
          <w:tcPr>
            <w:tcW w:w="2520" w:type="dxa"/>
            <w:gridSpan w:val="2"/>
            <w:tcBorders>
              <w:top w:val="single" w:sz="4" w:space="0" w:color="auto"/>
              <w:left w:val="nil"/>
              <w:bottom w:val="single" w:sz="4" w:space="0" w:color="auto"/>
              <w:right w:val="single" w:sz="4" w:space="0" w:color="auto"/>
            </w:tcBorders>
            <w:shd w:val="clear" w:color="auto" w:fill="auto"/>
            <w:noWrap/>
            <w:hideMark/>
          </w:tcPr>
          <w:p w14:paraId="116FD2CB" w14:textId="77777777" w:rsidR="00835DE6" w:rsidRPr="00BD271D" w:rsidRDefault="00835DE6" w:rsidP="001C1F67">
            <w:pPr>
              <w:spacing w:after="0" w:line="240" w:lineRule="auto"/>
              <w:jc w:val="center"/>
              <w:rPr>
                <w:rFonts w:eastAsia="Times New Roman" w:cs="Times New Roman"/>
                <w:b/>
                <w:bCs/>
                <w:color w:val="000000"/>
                <w:szCs w:val="24"/>
                <w:lang w:val="en-GB"/>
              </w:rPr>
            </w:pPr>
            <w:r w:rsidRPr="00BD271D">
              <w:rPr>
                <w:rFonts w:eastAsia="Times New Roman" w:cs="Times New Roman"/>
                <w:b/>
                <w:bCs/>
                <w:color w:val="000000"/>
                <w:szCs w:val="24"/>
                <w:lang w:val="en-GB"/>
              </w:rPr>
              <w:t>Present Value</w:t>
            </w:r>
          </w:p>
        </w:tc>
      </w:tr>
      <w:tr w:rsidR="0025520F" w:rsidRPr="00BD271D" w14:paraId="079CFFEF" w14:textId="77777777" w:rsidTr="0025520F">
        <w:trPr>
          <w:trHeight w:val="300"/>
          <w:jc w:val="center"/>
        </w:trPr>
        <w:tc>
          <w:tcPr>
            <w:tcW w:w="723" w:type="dxa"/>
            <w:vMerge/>
            <w:tcBorders>
              <w:top w:val="single" w:sz="4" w:space="0" w:color="auto"/>
              <w:left w:val="single" w:sz="4" w:space="0" w:color="auto"/>
              <w:bottom w:val="single" w:sz="4" w:space="0" w:color="auto"/>
              <w:right w:val="single" w:sz="4" w:space="0" w:color="auto"/>
            </w:tcBorders>
            <w:hideMark/>
          </w:tcPr>
          <w:p w14:paraId="4E6033AB" w14:textId="77777777" w:rsidR="00835DE6" w:rsidRPr="00BD271D" w:rsidRDefault="00835DE6" w:rsidP="001C1F67">
            <w:pPr>
              <w:spacing w:after="0" w:line="240" w:lineRule="auto"/>
              <w:jc w:val="center"/>
              <w:rPr>
                <w:rFonts w:eastAsia="Times New Roman" w:cs="Times New Roman"/>
                <w:b/>
                <w:bCs/>
                <w:color w:val="000000"/>
                <w:szCs w:val="24"/>
                <w:lang w:val="en-GB"/>
              </w:rPr>
            </w:pPr>
          </w:p>
        </w:tc>
        <w:tc>
          <w:tcPr>
            <w:tcW w:w="1342" w:type="dxa"/>
            <w:tcBorders>
              <w:top w:val="nil"/>
              <w:left w:val="nil"/>
              <w:bottom w:val="single" w:sz="4" w:space="0" w:color="auto"/>
              <w:right w:val="single" w:sz="4" w:space="0" w:color="auto"/>
            </w:tcBorders>
            <w:shd w:val="clear" w:color="auto" w:fill="auto"/>
            <w:noWrap/>
            <w:hideMark/>
          </w:tcPr>
          <w:p w14:paraId="5BAB1809" w14:textId="77777777" w:rsidR="00835DE6" w:rsidRPr="00BD271D" w:rsidRDefault="00835DE6" w:rsidP="001C1F67">
            <w:pPr>
              <w:spacing w:after="0" w:line="240" w:lineRule="auto"/>
              <w:jc w:val="center"/>
              <w:rPr>
                <w:rFonts w:eastAsia="Times New Roman" w:cs="Times New Roman"/>
                <w:b/>
                <w:bCs/>
                <w:color w:val="000000"/>
                <w:szCs w:val="24"/>
                <w:lang w:val="en-GB"/>
              </w:rPr>
            </w:pPr>
            <w:r w:rsidRPr="00BD271D">
              <w:rPr>
                <w:rFonts w:eastAsia="Times New Roman" w:cs="Times New Roman"/>
                <w:b/>
                <w:bCs/>
                <w:color w:val="000000"/>
                <w:szCs w:val="24"/>
                <w:lang w:val="en-GB"/>
              </w:rPr>
              <w:t>Project-A</w:t>
            </w:r>
          </w:p>
        </w:tc>
        <w:tc>
          <w:tcPr>
            <w:tcW w:w="1350" w:type="dxa"/>
            <w:tcBorders>
              <w:top w:val="nil"/>
              <w:left w:val="nil"/>
              <w:bottom w:val="single" w:sz="4" w:space="0" w:color="auto"/>
              <w:right w:val="single" w:sz="4" w:space="0" w:color="auto"/>
            </w:tcBorders>
            <w:shd w:val="clear" w:color="auto" w:fill="auto"/>
            <w:noWrap/>
            <w:hideMark/>
          </w:tcPr>
          <w:p w14:paraId="4DC60735" w14:textId="77777777" w:rsidR="00835DE6" w:rsidRPr="00BD271D" w:rsidRDefault="00835DE6" w:rsidP="001C1F67">
            <w:pPr>
              <w:spacing w:after="0" w:line="240" w:lineRule="auto"/>
              <w:jc w:val="center"/>
              <w:rPr>
                <w:rFonts w:eastAsia="Times New Roman" w:cs="Times New Roman"/>
                <w:b/>
                <w:bCs/>
                <w:color w:val="000000"/>
                <w:szCs w:val="24"/>
                <w:lang w:val="en-GB"/>
              </w:rPr>
            </w:pPr>
            <w:r w:rsidRPr="00BD271D">
              <w:rPr>
                <w:rFonts w:eastAsia="Times New Roman" w:cs="Times New Roman"/>
                <w:b/>
                <w:bCs/>
                <w:color w:val="000000"/>
                <w:szCs w:val="24"/>
                <w:lang w:val="en-GB"/>
              </w:rPr>
              <w:t>Project-B</w:t>
            </w:r>
          </w:p>
        </w:tc>
        <w:tc>
          <w:tcPr>
            <w:tcW w:w="1040" w:type="dxa"/>
            <w:vMerge/>
            <w:tcBorders>
              <w:top w:val="single" w:sz="4" w:space="0" w:color="auto"/>
              <w:left w:val="single" w:sz="4" w:space="0" w:color="auto"/>
              <w:bottom w:val="single" w:sz="4" w:space="0" w:color="auto"/>
              <w:right w:val="single" w:sz="4" w:space="0" w:color="auto"/>
            </w:tcBorders>
            <w:hideMark/>
          </w:tcPr>
          <w:p w14:paraId="410F5259" w14:textId="77777777" w:rsidR="00835DE6" w:rsidRPr="00BD271D" w:rsidRDefault="00835DE6" w:rsidP="001C1F67">
            <w:pPr>
              <w:spacing w:after="0" w:line="240" w:lineRule="auto"/>
              <w:jc w:val="center"/>
              <w:rPr>
                <w:rFonts w:eastAsia="Times New Roman" w:cs="Times New Roman"/>
                <w:b/>
                <w:bCs/>
                <w:color w:val="000000"/>
                <w:szCs w:val="24"/>
                <w:lang w:val="en-GB"/>
              </w:rPr>
            </w:pPr>
          </w:p>
        </w:tc>
        <w:tc>
          <w:tcPr>
            <w:tcW w:w="1260" w:type="dxa"/>
            <w:tcBorders>
              <w:top w:val="nil"/>
              <w:left w:val="nil"/>
              <w:bottom w:val="single" w:sz="4" w:space="0" w:color="auto"/>
              <w:right w:val="single" w:sz="4" w:space="0" w:color="auto"/>
            </w:tcBorders>
            <w:shd w:val="clear" w:color="auto" w:fill="auto"/>
            <w:noWrap/>
            <w:hideMark/>
          </w:tcPr>
          <w:p w14:paraId="03D6EEDC" w14:textId="77777777" w:rsidR="00835DE6" w:rsidRPr="00BD271D" w:rsidRDefault="00835DE6" w:rsidP="001C1F67">
            <w:pPr>
              <w:spacing w:after="0" w:line="240" w:lineRule="auto"/>
              <w:jc w:val="center"/>
              <w:rPr>
                <w:rFonts w:eastAsia="Times New Roman" w:cs="Times New Roman"/>
                <w:b/>
                <w:bCs/>
                <w:color w:val="000000"/>
                <w:szCs w:val="24"/>
                <w:lang w:val="en-GB"/>
              </w:rPr>
            </w:pPr>
            <w:r w:rsidRPr="00BD271D">
              <w:rPr>
                <w:rFonts w:eastAsia="Times New Roman" w:cs="Times New Roman"/>
                <w:b/>
                <w:bCs/>
                <w:color w:val="000000"/>
                <w:szCs w:val="24"/>
                <w:lang w:val="en-GB"/>
              </w:rPr>
              <w:t>Project-A</w:t>
            </w:r>
          </w:p>
        </w:tc>
        <w:tc>
          <w:tcPr>
            <w:tcW w:w="1260" w:type="dxa"/>
            <w:tcBorders>
              <w:top w:val="nil"/>
              <w:left w:val="nil"/>
              <w:bottom w:val="single" w:sz="4" w:space="0" w:color="auto"/>
              <w:right w:val="single" w:sz="4" w:space="0" w:color="auto"/>
            </w:tcBorders>
            <w:shd w:val="clear" w:color="auto" w:fill="auto"/>
            <w:noWrap/>
            <w:hideMark/>
          </w:tcPr>
          <w:p w14:paraId="67962F2F" w14:textId="77777777" w:rsidR="00835DE6" w:rsidRPr="00BD271D" w:rsidRDefault="00835DE6" w:rsidP="001C1F67">
            <w:pPr>
              <w:spacing w:after="0" w:line="240" w:lineRule="auto"/>
              <w:jc w:val="center"/>
              <w:rPr>
                <w:rFonts w:eastAsia="Times New Roman" w:cs="Times New Roman"/>
                <w:b/>
                <w:bCs/>
                <w:color w:val="000000"/>
                <w:szCs w:val="24"/>
                <w:lang w:val="en-GB"/>
              </w:rPr>
            </w:pPr>
            <w:r w:rsidRPr="00BD271D">
              <w:rPr>
                <w:rFonts w:eastAsia="Times New Roman" w:cs="Times New Roman"/>
                <w:b/>
                <w:bCs/>
                <w:color w:val="000000"/>
                <w:szCs w:val="24"/>
                <w:lang w:val="en-GB"/>
              </w:rPr>
              <w:t>Project-B</w:t>
            </w:r>
          </w:p>
        </w:tc>
      </w:tr>
      <w:tr w:rsidR="0025520F" w:rsidRPr="00BD271D" w14:paraId="38DF0060" w14:textId="77777777" w:rsidTr="0025520F">
        <w:trPr>
          <w:trHeight w:val="300"/>
          <w:jc w:val="center"/>
        </w:trPr>
        <w:tc>
          <w:tcPr>
            <w:tcW w:w="723" w:type="dxa"/>
            <w:tcBorders>
              <w:top w:val="nil"/>
              <w:left w:val="single" w:sz="4" w:space="0" w:color="auto"/>
              <w:bottom w:val="single" w:sz="4" w:space="0" w:color="auto"/>
              <w:right w:val="single" w:sz="4" w:space="0" w:color="auto"/>
            </w:tcBorders>
            <w:shd w:val="clear" w:color="auto" w:fill="auto"/>
            <w:noWrap/>
            <w:hideMark/>
          </w:tcPr>
          <w:p w14:paraId="2D132FD8" w14:textId="77777777" w:rsidR="00835DE6" w:rsidRPr="00BD271D" w:rsidRDefault="00835DE6" w:rsidP="001C1F67">
            <w:pPr>
              <w:spacing w:after="0" w:line="240" w:lineRule="auto"/>
              <w:jc w:val="center"/>
              <w:rPr>
                <w:rFonts w:eastAsia="Times New Roman" w:cs="Times New Roman"/>
                <w:color w:val="000000"/>
                <w:szCs w:val="24"/>
                <w:lang w:val="en-GB"/>
              </w:rPr>
            </w:pPr>
            <w:r w:rsidRPr="00BD271D">
              <w:rPr>
                <w:rFonts w:eastAsia="Times New Roman" w:cs="Times New Roman"/>
                <w:color w:val="000000"/>
                <w:szCs w:val="24"/>
                <w:lang w:val="en-GB"/>
              </w:rPr>
              <w:t>0</w:t>
            </w:r>
          </w:p>
        </w:tc>
        <w:tc>
          <w:tcPr>
            <w:tcW w:w="1342" w:type="dxa"/>
            <w:tcBorders>
              <w:top w:val="nil"/>
              <w:left w:val="nil"/>
              <w:bottom w:val="single" w:sz="4" w:space="0" w:color="auto"/>
              <w:right w:val="single" w:sz="4" w:space="0" w:color="auto"/>
            </w:tcBorders>
            <w:shd w:val="clear" w:color="auto" w:fill="auto"/>
            <w:noWrap/>
            <w:hideMark/>
          </w:tcPr>
          <w:p w14:paraId="541F37E7" w14:textId="77777777" w:rsidR="00835DE6" w:rsidRPr="00BD271D" w:rsidRDefault="00835DE6" w:rsidP="001C1F67">
            <w:pPr>
              <w:spacing w:after="0" w:line="240" w:lineRule="auto"/>
              <w:jc w:val="center"/>
              <w:rPr>
                <w:rFonts w:eastAsia="Times New Roman" w:cs="Times New Roman"/>
                <w:color w:val="000000"/>
                <w:szCs w:val="24"/>
                <w:lang w:val="en-GB"/>
              </w:rPr>
            </w:pPr>
            <w:r w:rsidRPr="00BD271D">
              <w:rPr>
                <w:rFonts w:eastAsia="Times New Roman" w:cs="Times New Roman"/>
                <w:color w:val="000000"/>
                <w:szCs w:val="24"/>
                <w:lang w:val="en-GB"/>
              </w:rPr>
              <w:t>-85</w:t>
            </w:r>
          </w:p>
        </w:tc>
        <w:tc>
          <w:tcPr>
            <w:tcW w:w="1350" w:type="dxa"/>
            <w:tcBorders>
              <w:top w:val="nil"/>
              <w:left w:val="nil"/>
              <w:bottom w:val="single" w:sz="4" w:space="0" w:color="auto"/>
              <w:right w:val="single" w:sz="4" w:space="0" w:color="auto"/>
            </w:tcBorders>
            <w:shd w:val="clear" w:color="auto" w:fill="auto"/>
            <w:noWrap/>
            <w:hideMark/>
          </w:tcPr>
          <w:p w14:paraId="4CB068DE" w14:textId="77777777" w:rsidR="00835DE6" w:rsidRPr="00BD271D" w:rsidRDefault="00835DE6" w:rsidP="001C1F67">
            <w:pPr>
              <w:spacing w:after="0" w:line="240" w:lineRule="auto"/>
              <w:jc w:val="center"/>
              <w:rPr>
                <w:rFonts w:eastAsia="Times New Roman" w:cs="Times New Roman"/>
                <w:color w:val="000000"/>
                <w:szCs w:val="24"/>
                <w:lang w:val="en-GB"/>
              </w:rPr>
            </w:pPr>
            <w:r w:rsidRPr="00BD271D">
              <w:rPr>
                <w:rFonts w:eastAsia="Times New Roman" w:cs="Times New Roman"/>
                <w:color w:val="000000"/>
                <w:szCs w:val="24"/>
                <w:lang w:val="en-GB"/>
              </w:rPr>
              <w:t>-90</w:t>
            </w:r>
          </w:p>
        </w:tc>
        <w:tc>
          <w:tcPr>
            <w:tcW w:w="1040" w:type="dxa"/>
            <w:tcBorders>
              <w:top w:val="nil"/>
              <w:left w:val="nil"/>
              <w:bottom w:val="single" w:sz="4" w:space="0" w:color="auto"/>
              <w:right w:val="single" w:sz="4" w:space="0" w:color="auto"/>
            </w:tcBorders>
            <w:shd w:val="clear" w:color="auto" w:fill="auto"/>
            <w:noWrap/>
            <w:hideMark/>
          </w:tcPr>
          <w:p w14:paraId="26B3DF39" w14:textId="5F037E93" w:rsidR="00835DE6" w:rsidRPr="00BD271D" w:rsidRDefault="00835DE6" w:rsidP="001C1F67">
            <w:pPr>
              <w:spacing w:after="0" w:line="240" w:lineRule="auto"/>
              <w:jc w:val="center"/>
              <w:rPr>
                <w:rFonts w:eastAsia="Times New Roman" w:cs="Times New Roman"/>
                <w:color w:val="000000"/>
                <w:szCs w:val="24"/>
                <w:lang w:val="en-GB"/>
              </w:rPr>
            </w:pPr>
            <w:r w:rsidRPr="00BD271D">
              <w:rPr>
                <w:rFonts w:eastAsia="Times New Roman" w:cs="Times New Roman"/>
                <w:color w:val="000000"/>
                <w:szCs w:val="24"/>
                <w:lang w:val="en-GB"/>
              </w:rPr>
              <w:t>1</w:t>
            </w:r>
          </w:p>
        </w:tc>
        <w:tc>
          <w:tcPr>
            <w:tcW w:w="1260" w:type="dxa"/>
            <w:tcBorders>
              <w:top w:val="nil"/>
              <w:left w:val="nil"/>
              <w:bottom w:val="single" w:sz="4" w:space="0" w:color="auto"/>
              <w:right w:val="single" w:sz="4" w:space="0" w:color="auto"/>
            </w:tcBorders>
            <w:shd w:val="clear" w:color="auto" w:fill="auto"/>
            <w:noWrap/>
            <w:hideMark/>
          </w:tcPr>
          <w:p w14:paraId="5D8747A0" w14:textId="241BA4FF" w:rsidR="00835DE6" w:rsidRPr="00BD271D" w:rsidRDefault="00835DE6" w:rsidP="001C1F67">
            <w:pPr>
              <w:spacing w:after="0" w:line="240" w:lineRule="auto"/>
              <w:jc w:val="center"/>
              <w:rPr>
                <w:rFonts w:eastAsia="Times New Roman" w:cs="Times New Roman"/>
                <w:color w:val="000000"/>
                <w:szCs w:val="24"/>
                <w:lang w:val="en-GB"/>
              </w:rPr>
            </w:pPr>
            <w:r w:rsidRPr="00BD271D">
              <w:rPr>
                <w:rFonts w:eastAsia="Times New Roman" w:cs="Times New Roman"/>
                <w:color w:val="000000"/>
                <w:szCs w:val="24"/>
                <w:lang w:val="en-GB"/>
              </w:rPr>
              <w:t>(85.00)</w:t>
            </w:r>
          </w:p>
        </w:tc>
        <w:tc>
          <w:tcPr>
            <w:tcW w:w="1260" w:type="dxa"/>
            <w:tcBorders>
              <w:top w:val="nil"/>
              <w:left w:val="nil"/>
              <w:bottom w:val="single" w:sz="4" w:space="0" w:color="auto"/>
              <w:right w:val="single" w:sz="4" w:space="0" w:color="auto"/>
            </w:tcBorders>
            <w:shd w:val="clear" w:color="auto" w:fill="auto"/>
            <w:noWrap/>
            <w:hideMark/>
          </w:tcPr>
          <w:p w14:paraId="29D3AEA0" w14:textId="53958B13" w:rsidR="00835DE6" w:rsidRPr="00BD271D" w:rsidRDefault="00835DE6" w:rsidP="001C1F67">
            <w:pPr>
              <w:spacing w:after="0" w:line="240" w:lineRule="auto"/>
              <w:jc w:val="center"/>
              <w:rPr>
                <w:rFonts w:eastAsia="Times New Roman" w:cs="Times New Roman"/>
                <w:color w:val="000000"/>
                <w:szCs w:val="24"/>
                <w:lang w:val="en-GB"/>
              </w:rPr>
            </w:pPr>
            <w:r w:rsidRPr="00BD271D">
              <w:rPr>
                <w:rFonts w:eastAsia="Times New Roman" w:cs="Times New Roman"/>
                <w:color w:val="000000"/>
                <w:szCs w:val="24"/>
                <w:lang w:val="en-GB"/>
              </w:rPr>
              <w:t>(90.00)</w:t>
            </w:r>
          </w:p>
        </w:tc>
      </w:tr>
      <w:tr w:rsidR="0025520F" w:rsidRPr="00BD271D" w14:paraId="5AF8C182" w14:textId="77777777" w:rsidTr="0025520F">
        <w:trPr>
          <w:trHeight w:val="300"/>
          <w:jc w:val="center"/>
        </w:trPr>
        <w:tc>
          <w:tcPr>
            <w:tcW w:w="723" w:type="dxa"/>
            <w:tcBorders>
              <w:top w:val="nil"/>
              <w:left w:val="single" w:sz="4" w:space="0" w:color="auto"/>
              <w:bottom w:val="single" w:sz="4" w:space="0" w:color="auto"/>
              <w:right w:val="single" w:sz="4" w:space="0" w:color="auto"/>
            </w:tcBorders>
            <w:shd w:val="clear" w:color="auto" w:fill="auto"/>
            <w:noWrap/>
            <w:hideMark/>
          </w:tcPr>
          <w:p w14:paraId="5E1E2AF4" w14:textId="77777777" w:rsidR="00835DE6" w:rsidRPr="00BD271D" w:rsidRDefault="00835DE6" w:rsidP="001C1F67">
            <w:pPr>
              <w:spacing w:after="0" w:line="240" w:lineRule="auto"/>
              <w:jc w:val="center"/>
              <w:rPr>
                <w:rFonts w:eastAsia="Times New Roman" w:cs="Times New Roman"/>
                <w:color w:val="000000"/>
                <w:szCs w:val="24"/>
                <w:lang w:val="en-GB"/>
              </w:rPr>
            </w:pPr>
            <w:r w:rsidRPr="00BD271D">
              <w:rPr>
                <w:rFonts w:eastAsia="Times New Roman" w:cs="Times New Roman"/>
                <w:color w:val="000000"/>
                <w:szCs w:val="24"/>
                <w:lang w:val="en-GB"/>
              </w:rPr>
              <w:t>1</w:t>
            </w:r>
          </w:p>
        </w:tc>
        <w:tc>
          <w:tcPr>
            <w:tcW w:w="1342" w:type="dxa"/>
            <w:tcBorders>
              <w:top w:val="nil"/>
              <w:left w:val="nil"/>
              <w:bottom w:val="single" w:sz="4" w:space="0" w:color="auto"/>
              <w:right w:val="single" w:sz="4" w:space="0" w:color="auto"/>
            </w:tcBorders>
            <w:shd w:val="clear" w:color="auto" w:fill="auto"/>
            <w:noWrap/>
            <w:hideMark/>
          </w:tcPr>
          <w:p w14:paraId="4662C8CD" w14:textId="77777777" w:rsidR="00835DE6" w:rsidRPr="00BD271D" w:rsidRDefault="00835DE6" w:rsidP="001C1F67">
            <w:pPr>
              <w:spacing w:after="0" w:line="240" w:lineRule="auto"/>
              <w:jc w:val="center"/>
              <w:rPr>
                <w:rFonts w:eastAsia="Times New Roman" w:cs="Times New Roman"/>
                <w:color w:val="000000"/>
                <w:szCs w:val="24"/>
                <w:lang w:val="en-GB"/>
              </w:rPr>
            </w:pPr>
            <w:r w:rsidRPr="00BD271D">
              <w:rPr>
                <w:rFonts w:eastAsia="Times New Roman" w:cs="Times New Roman"/>
                <w:color w:val="000000"/>
                <w:szCs w:val="24"/>
                <w:lang w:val="en-GB"/>
              </w:rPr>
              <w:t>10</w:t>
            </w:r>
          </w:p>
        </w:tc>
        <w:tc>
          <w:tcPr>
            <w:tcW w:w="1350" w:type="dxa"/>
            <w:tcBorders>
              <w:top w:val="nil"/>
              <w:left w:val="nil"/>
              <w:bottom w:val="single" w:sz="4" w:space="0" w:color="auto"/>
              <w:right w:val="single" w:sz="4" w:space="0" w:color="auto"/>
            </w:tcBorders>
            <w:shd w:val="clear" w:color="auto" w:fill="auto"/>
            <w:noWrap/>
            <w:hideMark/>
          </w:tcPr>
          <w:p w14:paraId="56BE4B78" w14:textId="77777777" w:rsidR="00835DE6" w:rsidRPr="00BD271D" w:rsidRDefault="00835DE6" w:rsidP="001C1F67">
            <w:pPr>
              <w:spacing w:after="0" w:line="240" w:lineRule="auto"/>
              <w:jc w:val="center"/>
              <w:rPr>
                <w:rFonts w:eastAsia="Times New Roman" w:cs="Times New Roman"/>
                <w:color w:val="000000"/>
                <w:szCs w:val="24"/>
                <w:lang w:val="en-GB"/>
              </w:rPr>
            </w:pPr>
            <w:r w:rsidRPr="00BD271D">
              <w:rPr>
                <w:rFonts w:eastAsia="Times New Roman" w:cs="Times New Roman"/>
                <w:color w:val="000000"/>
                <w:szCs w:val="24"/>
                <w:lang w:val="en-GB"/>
              </w:rPr>
              <w:t>25</w:t>
            </w:r>
          </w:p>
        </w:tc>
        <w:tc>
          <w:tcPr>
            <w:tcW w:w="1040" w:type="dxa"/>
            <w:tcBorders>
              <w:top w:val="nil"/>
              <w:left w:val="nil"/>
              <w:bottom w:val="single" w:sz="4" w:space="0" w:color="auto"/>
              <w:right w:val="single" w:sz="4" w:space="0" w:color="auto"/>
            </w:tcBorders>
            <w:shd w:val="clear" w:color="auto" w:fill="auto"/>
            <w:noWrap/>
            <w:hideMark/>
          </w:tcPr>
          <w:p w14:paraId="5D62231E" w14:textId="028889BB" w:rsidR="00835DE6" w:rsidRPr="00BD271D" w:rsidRDefault="00835DE6" w:rsidP="001C1F67">
            <w:pPr>
              <w:spacing w:after="0" w:line="240" w:lineRule="auto"/>
              <w:jc w:val="center"/>
              <w:rPr>
                <w:rFonts w:eastAsia="Times New Roman" w:cs="Times New Roman"/>
                <w:color w:val="000000"/>
                <w:szCs w:val="24"/>
                <w:lang w:val="en-GB"/>
              </w:rPr>
            </w:pPr>
            <w:r w:rsidRPr="00BD271D">
              <w:rPr>
                <w:rFonts w:eastAsia="Times New Roman" w:cs="Times New Roman"/>
                <w:color w:val="000000"/>
                <w:szCs w:val="24"/>
                <w:lang w:val="en-GB"/>
              </w:rPr>
              <w:t>0.9050</w:t>
            </w:r>
          </w:p>
        </w:tc>
        <w:tc>
          <w:tcPr>
            <w:tcW w:w="1260" w:type="dxa"/>
            <w:tcBorders>
              <w:top w:val="nil"/>
              <w:left w:val="nil"/>
              <w:bottom w:val="single" w:sz="4" w:space="0" w:color="auto"/>
              <w:right w:val="single" w:sz="4" w:space="0" w:color="auto"/>
            </w:tcBorders>
            <w:shd w:val="clear" w:color="auto" w:fill="auto"/>
            <w:noWrap/>
            <w:hideMark/>
          </w:tcPr>
          <w:p w14:paraId="18EA1EA7" w14:textId="07EF7A37" w:rsidR="00835DE6" w:rsidRPr="00BD271D" w:rsidRDefault="00835DE6" w:rsidP="001C1F67">
            <w:pPr>
              <w:spacing w:after="0" w:line="240" w:lineRule="auto"/>
              <w:jc w:val="center"/>
              <w:rPr>
                <w:rFonts w:eastAsia="Times New Roman" w:cs="Times New Roman"/>
                <w:color w:val="000000"/>
                <w:szCs w:val="24"/>
                <w:lang w:val="en-GB"/>
              </w:rPr>
            </w:pPr>
            <w:r w:rsidRPr="00BD271D">
              <w:rPr>
                <w:rFonts w:eastAsia="Times New Roman" w:cs="Times New Roman"/>
                <w:color w:val="000000"/>
                <w:szCs w:val="24"/>
                <w:lang w:val="en-GB"/>
              </w:rPr>
              <w:t>9.05</w:t>
            </w:r>
          </w:p>
        </w:tc>
        <w:tc>
          <w:tcPr>
            <w:tcW w:w="1260" w:type="dxa"/>
            <w:tcBorders>
              <w:top w:val="nil"/>
              <w:left w:val="nil"/>
              <w:bottom w:val="single" w:sz="4" w:space="0" w:color="auto"/>
              <w:right w:val="single" w:sz="4" w:space="0" w:color="auto"/>
            </w:tcBorders>
            <w:shd w:val="clear" w:color="auto" w:fill="auto"/>
            <w:noWrap/>
            <w:hideMark/>
          </w:tcPr>
          <w:p w14:paraId="68A69D98" w14:textId="1D6D3C19" w:rsidR="00835DE6" w:rsidRPr="00BD271D" w:rsidRDefault="00835DE6" w:rsidP="001C1F67">
            <w:pPr>
              <w:spacing w:after="0" w:line="240" w:lineRule="auto"/>
              <w:jc w:val="center"/>
              <w:rPr>
                <w:rFonts w:eastAsia="Times New Roman" w:cs="Times New Roman"/>
                <w:color w:val="000000"/>
                <w:szCs w:val="24"/>
                <w:lang w:val="en-GB"/>
              </w:rPr>
            </w:pPr>
            <w:r w:rsidRPr="00BD271D">
              <w:rPr>
                <w:rFonts w:eastAsia="Times New Roman" w:cs="Times New Roman"/>
                <w:color w:val="000000"/>
                <w:szCs w:val="24"/>
                <w:lang w:val="en-GB"/>
              </w:rPr>
              <w:t>22.62</w:t>
            </w:r>
          </w:p>
        </w:tc>
      </w:tr>
      <w:tr w:rsidR="0025520F" w:rsidRPr="00BD271D" w14:paraId="417B2E91" w14:textId="77777777" w:rsidTr="0025520F">
        <w:trPr>
          <w:trHeight w:val="300"/>
          <w:jc w:val="center"/>
        </w:trPr>
        <w:tc>
          <w:tcPr>
            <w:tcW w:w="723" w:type="dxa"/>
            <w:tcBorders>
              <w:top w:val="nil"/>
              <w:left w:val="single" w:sz="4" w:space="0" w:color="auto"/>
              <w:bottom w:val="single" w:sz="4" w:space="0" w:color="auto"/>
              <w:right w:val="single" w:sz="4" w:space="0" w:color="auto"/>
            </w:tcBorders>
            <w:shd w:val="clear" w:color="auto" w:fill="auto"/>
            <w:noWrap/>
            <w:hideMark/>
          </w:tcPr>
          <w:p w14:paraId="14248AA5" w14:textId="77777777" w:rsidR="00835DE6" w:rsidRPr="00BD271D" w:rsidRDefault="00835DE6" w:rsidP="001C1F67">
            <w:pPr>
              <w:spacing w:after="0" w:line="240" w:lineRule="auto"/>
              <w:jc w:val="center"/>
              <w:rPr>
                <w:rFonts w:eastAsia="Times New Roman" w:cs="Times New Roman"/>
                <w:color w:val="000000"/>
                <w:szCs w:val="24"/>
                <w:lang w:val="en-GB"/>
              </w:rPr>
            </w:pPr>
            <w:r w:rsidRPr="00BD271D">
              <w:rPr>
                <w:rFonts w:eastAsia="Times New Roman" w:cs="Times New Roman"/>
                <w:color w:val="000000"/>
                <w:szCs w:val="24"/>
                <w:lang w:val="en-GB"/>
              </w:rPr>
              <w:lastRenderedPageBreak/>
              <w:t>2</w:t>
            </w:r>
          </w:p>
        </w:tc>
        <w:tc>
          <w:tcPr>
            <w:tcW w:w="1342" w:type="dxa"/>
            <w:tcBorders>
              <w:top w:val="nil"/>
              <w:left w:val="nil"/>
              <w:bottom w:val="single" w:sz="4" w:space="0" w:color="auto"/>
              <w:right w:val="single" w:sz="4" w:space="0" w:color="auto"/>
            </w:tcBorders>
            <w:shd w:val="clear" w:color="auto" w:fill="auto"/>
            <w:noWrap/>
            <w:hideMark/>
          </w:tcPr>
          <w:p w14:paraId="58E79D6D" w14:textId="77777777" w:rsidR="00835DE6" w:rsidRPr="00BD271D" w:rsidRDefault="00835DE6" w:rsidP="001C1F67">
            <w:pPr>
              <w:spacing w:after="0" w:line="240" w:lineRule="auto"/>
              <w:jc w:val="center"/>
              <w:rPr>
                <w:rFonts w:eastAsia="Times New Roman" w:cs="Times New Roman"/>
                <w:color w:val="000000"/>
                <w:szCs w:val="24"/>
                <w:lang w:val="en-GB"/>
              </w:rPr>
            </w:pPr>
            <w:r w:rsidRPr="00BD271D">
              <w:rPr>
                <w:rFonts w:eastAsia="Times New Roman" w:cs="Times New Roman"/>
                <w:color w:val="000000"/>
                <w:szCs w:val="24"/>
                <w:lang w:val="en-GB"/>
              </w:rPr>
              <w:t>20</w:t>
            </w:r>
          </w:p>
        </w:tc>
        <w:tc>
          <w:tcPr>
            <w:tcW w:w="1350" w:type="dxa"/>
            <w:tcBorders>
              <w:top w:val="nil"/>
              <w:left w:val="nil"/>
              <w:bottom w:val="single" w:sz="4" w:space="0" w:color="auto"/>
              <w:right w:val="single" w:sz="4" w:space="0" w:color="auto"/>
            </w:tcBorders>
            <w:shd w:val="clear" w:color="auto" w:fill="auto"/>
            <w:noWrap/>
            <w:hideMark/>
          </w:tcPr>
          <w:p w14:paraId="488F555C" w14:textId="77777777" w:rsidR="00835DE6" w:rsidRPr="00BD271D" w:rsidRDefault="00835DE6" w:rsidP="001C1F67">
            <w:pPr>
              <w:spacing w:after="0" w:line="240" w:lineRule="auto"/>
              <w:jc w:val="center"/>
              <w:rPr>
                <w:rFonts w:eastAsia="Times New Roman" w:cs="Times New Roman"/>
                <w:color w:val="000000"/>
                <w:szCs w:val="24"/>
                <w:lang w:val="en-GB"/>
              </w:rPr>
            </w:pPr>
            <w:r w:rsidRPr="00BD271D">
              <w:rPr>
                <w:rFonts w:eastAsia="Times New Roman" w:cs="Times New Roman"/>
                <w:color w:val="000000"/>
                <w:szCs w:val="24"/>
                <w:lang w:val="en-GB"/>
              </w:rPr>
              <w:t>30</w:t>
            </w:r>
          </w:p>
        </w:tc>
        <w:tc>
          <w:tcPr>
            <w:tcW w:w="1040" w:type="dxa"/>
            <w:tcBorders>
              <w:top w:val="nil"/>
              <w:left w:val="nil"/>
              <w:bottom w:val="single" w:sz="4" w:space="0" w:color="auto"/>
              <w:right w:val="single" w:sz="4" w:space="0" w:color="auto"/>
            </w:tcBorders>
            <w:shd w:val="clear" w:color="auto" w:fill="auto"/>
            <w:noWrap/>
            <w:hideMark/>
          </w:tcPr>
          <w:p w14:paraId="3DCA8071" w14:textId="67D805EF" w:rsidR="00835DE6" w:rsidRPr="00BD271D" w:rsidRDefault="00835DE6" w:rsidP="001C1F67">
            <w:pPr>
              <w:spacing w:after="0" w:line="240" w:lineRule="auto"/>
              <w:jc w:val="center"/>
              <w:rPr>
                <w:rFonts w:eastAsia="Times New Roman" w:cs="Times New Roman"/>
                <w:color w:val="000000"/>
                <w:szCs w:val="24"/>
                <w:lang w:val="en-GB"/>
              </w:rPr>
            </w:pPr>
            <w:r w:rsidRPr="00BD271D">
              <w:rPr>
                <w:rFonts w:eastAsia="Times New Roman" w:cs="Times New Roman"/>
                <w:color w:val="000000"/>
                <w:szCs w:val="24"/>
                <w:lang w:val="en-GB"/>
              </w:rPr>
              <w:t>0.8190</w:t>
            </w:r>
          </w:p>
        </w:tc>
        <w:tc>
          <w:tcPr>
            <w:tcW w:w="1260" w:type="dxa"/>
            <w:tcBorders>
              <w:top w:val="nil"/>
              <w:left w:val="nil"/>
              <w:bottom w:val="single" w:sz="4" w:space="0" w:color="auto"/>
              <w:right w:val="single" w:sz="4" w:space="0" w:color="auto"/>
            </w:tcBorders>
            <w:shd w:val="clear" w:color="auto" w:fill="auto"/>
            <w:noWrap/>
            <w:hideMark/>
          </w:tcPr>
          <w:p w14:paraId="1CAE369C" w14:textId="78370512" w:rsidR="00835DE6" w:rsidRPr="00BD271D" w:rsidRDefault="00835DE6" w:rsidP="001C1F67">
            <w:pPr>
              <w:spacing w:after="0" w:line="240" w:lineRule="auto"/>
              <w:jc w:val="center"/>
              <w:rPr>
                <w:rFonts w:eastAsia="Times New Roman" w:cs="Times New Roman"/>
                <w:color w:val="000000"/>
                <w:szCs w:val="24"/>
                <w:lang w:val="en-GB"/>
              </w:rPr>
            </w:pPr>
            <w:r w:rsidRPr="00BD271D">
              <w:rPr>
                <w:rFonts w:eastAsia="Times New Roman" w:cs="Times New Roman"/>
                <w:color w:val="000000"/>
                <w:szCs w:val="24"/>
                <w:lang w:val="en-GB"/>
              </w:rPr>
              <w:t>16.38</w:t>
            </w:r>
          </w:p>
        </w:tc>
        <w:tc>
          <w:tcPr>
            <w:tcW w:w="1260" w:type="dxa"/>
            <w:tcBorders>
              <w:top w:val="nil"/>
              <w:left w:val="nil"/>
              <w:bottom w:val="single" w:sz="4" w:space="0" w:color="auto"/>
              <w:right w:val="single" w:sz="4" w:space="0" w:color="auto"/>
            </w:tcBorders>
            <w:shd w:val="clear" w:color="auto" w:fill="auto"/>
            <w:noWrap/>
            <w:hideMark/>
          </w:tcPr>
          <w:p w14:paraId="6271C40E" w14:textId="00A2E7FB" w:rsidR="00835DE6" w:rsidRPr="00BD271D" w:rsidRDefault="00835DE6" w:rsidP="001C1F67">
            <w:pPr>
              <w:spacing w:after="0" w:line="240" w:lineRule="auto"/>
              <w:jc w:val="center"/>
              <w:rPr>
                <w:rFonts w:eastAsia="Times New Roman" w:cs="Times New Roman"/>
                <w:color w:val="000000"/>
                <w:szCs w:val="24"/>
                <w:lang w:val="en-GB"/>
              </w:rPr>
            </w:pPr>
            <w:r w:rsidRPr="00BD271D">
              <w:rPr>
                <w:rFonts w:eastAsia="Times New Roman" w:cs="Times New Roman"/>
                <w:color w:val="000000"/>
                <w:szCs w:val="24"/>
                <w:lang w:val="en-GB"/>
              </w:rPr>
              <w:t>24.57</w:t>
            </w:r>
          </w:p>
        </w:tc>
      </w:tr>
      <w:tr w:rsidR="0025520F" w:rsidRPr="00BD271D" w14:paraId="0DCC6802" w14:textId="77777777" w:rsidTr="0025520F">
        <w:trPr>
          <w:trHeight w:val="300"/>
          <w:jc w:val="center"/>
        </w:trPr>
        <w:tc>
          <w:tcPr>
            <w:tcW w:w="723" w:type="dxa"/>
            <w:tcBorders>
              <w:top w:val="nil"/>
              <w:left w:val="single" w:sz="4" w:space="0" w:color="auto"/>
              <w:bottom w:val="single" w:sz="4" w:space="0" w:color="auto"/>
              <w:right w:val="single" w:sz="4" w:space="0" w:color="auto"/>
            </w:tcBorders>
            <w:shd w:val="clear" w:color="auto" w:fill="auto"/>
            <w:noWrap/>
            <w:hideMark/>
          </w:tcPr>
          <w:p w14:paraId="2DB65694" w14:textId="77777777" w:rsidR="00835DE6" w:rsidRPr="00BD271D" w:rsidRDefault="00835DE6" w:rsidP="001C1F67">
            <w:pPr>
              <w:spacing w:after="0" w:line="240" w:lineRule="auto"/>
              <w:jc w:val="center"/>
              <w:rPr>
                <w:rFonts w:eastAsia="Times New Roman" w:cs="Times New Roman"/>
                <w:color w:val="000000"/>
                <w:szCs w:val="24"/>
                <w:lang w:val="en-GB"/>
              </w:rPr>
            </w:pPr>
            <w:r w:rsidRPr="00BD271D">
              <w:rPr>
                <w:rFonts w:eastAsia="Times New Roman" w:cs="Times New Roman"/>
                <w:color w:val="000000"/>
                <w:szCs w:val="24"/>
                <w:lang w:val="en-GB"/>
              </w:rPr>
              <w:t>3</w:t>
            </w:r>
          </w:p>
        </w:tc>
        <w:tc>
          <w:tcPr>
            <w:tcW w:w="1342" w:type="dxa"/>
            <w:tcBorders>
              <w:top w:val="nil"/>
              <w:left w:val="nil"/>
              <w:bottom w:val="single" w:sz="4" w:space="0" w:color="auto"/>
              <w:right w:val="single" w:sz="4" w:space="0" w:color="auto"/>
            </w:tcBorders>
            <w:shd w:val="clear" w:color="auto" w:fill="auto"/>
            <w:noWrap/>
            <w:hideMark/>
          </w:tcPr>
          <w:p w14:paraId="472446CE" w14:textId="77777777" w:rsidR="00835DE6" w:rsidRPr="00BD271D" w:rsidRDefault="00835DE6" w:rsidP="001C1F67">
            <w:pPr>
              <w:spacing w:after="0" w:line="240" w:lineRule="auto"/>
              <w:jc w:val="center"/>
              <w:rPr>
                <w:rFonts w:eastAsia="Times New Roman" w:cs="Times New Roman"/>
                <w:color w:val="000000"/>
                <w:szCs w:val="24"/>
                <w:lang w:val="en-GB"/>
              </w:rPr>
            </w:pPr>
            <w:r w:rsidRPr="00BD271D">
              <w:rPr>
                <w:rFonts w:eastAsia="Times New Roman" w:cs="Times New Roman"/>
                <w:color w:val="000000"/>
                <w:szCs w:val="24"/>
                <w:lang w:val="en-GB"/>
              </w:rPr>
              <w:t>40</w:t>
            </w:r>
          </w:p>
        </w:tc>
        <w:tc>
          <w:tcPr>
            <w:tcW w:w="1350" w:type="dxa"/>
            <w:tcBorders>
              <w:top w:val="nil"/>
              <w:left w:val="nil"/>
              <w:bottom w:val="single" w:sz="4" w:space="0" w:color="auto"/>
              <w:right w:val="single" w:sz="4" w:space="0" w:color="auto"/>
            </w:tcBorders>
            <w:shd w:val="clear" w:color="auto" w:fill="auto"/>
            <w:noWrap/>
            <w:hideMark/>
          </w:tcPr>
          <w:p w14:paraId="55BD1AE9" w14:textId="77777777" w:rsidR="00835DE6" w:rsidRPr="00BD271D" w:rsidRDefault="00835DE6" w:rsidP="001C1F67">
            <w:pPr>
              <w:spacing w:after="0" w:line="240" w:lineRule="auto"/>
              <w:jc w:val="center"/>
              <w:rPr>
                <w:rFonts w:eastAsia="Times New Roman" w:cs="Times New Roman"/>
                <w:color w:val="000000"/>
                <w:szCs w:val="24"/>
                <w:lang w:val="en-GB"/>
              </w:rPr>
            </w:pPr>
            <w:r w:rsidRPr="00BD271D">
              <w:rPr>
                <w:rFonts w:eastAsia="Times New Roman" w:cs="Times New Roman"/>
                <w:color w:val="000000"/>
                <w:szCs w:val="24"/>
                <w:lang w:val="en-GB"/>
              </w:rPr>
              <w:t>35</w:t>
            </w:r>
          </w:p>
        </w:tc>
        <w:tc>
          <w:tcPr>
            <w:tcW w:w="1040" w:type="dxa"/>
            <w:tcBorders>
              <w:top w:val="nil"/>
              <w:left w:val="nil"/>
              <w:bottom w:val="single" w:sz="4" w:space="0" w:color="auto"/>
              <w:right w:val="single" w:sz="4" w:space="0" w:color="auto"/>
            </w:tcBorders>
            <w:shd w:val="clear" w:color="auto" w:fill="auto"/>
            <w:noWrap/>
            <w:hideMark/>
          </w:tcPr>
          <w:p w14:paraId="52BE40D3" w14:textId="13A27E58" w:rsidR="00835DE6" w:rsidRPr="00BD271D" w:rsidRDefault="00835DE6" w:rsidP="001C1F67">
            <w:pPr>
              <w:spacing w:after="0" w:line="240" w:lineRule="auto"/>
              <w:jc w:val="center"/>
              <w:rPr>
                <w:rFonts w:eastAsia="Times New Roman" w:cs="Times New Roman"/>
                <w:color w:val="000000"/>
                <w:szCs w:val="24"/>
                <w:lang w:val="en-GB"/>
              </w:rPr>
            </w:pPr>
            <w:r w:rsidRPr="00BD271D">
              <w:rPr>
                <w:rFonts w:eastAsia="Times New Roman" w:cs="Times New Roman"/>
                <w:color w:val="000000"/>
                <w:szCs w:val="24"/>
                <w:lang w:val="en-GB"/>
              </w:rPr>
              <w:t>0.7412</w:t>
            </w:r>
          </w:p>
        </w:tc>
        <w:tc>
          <w:tcPr>
            <w:tcW w:w="1260" w:type="dxa"/>
            <w:tcBorders>
              <w:top w:val="nil"/>
              <w:left w:val="nil"/>
              <w:bottom w:val="single" w:sz="4" w:space="0" w:color="auto"/>
              <w:right w:val="single" w:sz="4" w:space="0" w:color="auto"/>
            </w:tcBorders>
            <w:shd w:val="clear" w:color="auto" w:fill="auto"/>
            <w:noWrap/>
            <w:hideMark/>
          </w:tcPr>
          <w:p w14:paraId="67C9B2DF" w14:textId="30351E21" w:rsidR="00835DE6" w:rsidRPr="00BD271D" w:rsidRDefault="00835DE6" w:rsidP="001C1F67">
            <w:pPr>
              <w:spacing w:after="0" w:line="240" w:lineRule="auto"/>
              <w:jc w:val="center"/>
              <w:rPr>
                <w:rFonts w:eastAsia="Times New Roman" w:cs="Times New Roman"/>
                <w:color w:val="000000"/>
                <w:szCs w:val="24"/>
                <w:lang w:val="en-GB"/>
              </w:rPr>
            </w:pPr>
            <w:r w:rsidRPr="00BD271D">
              <w:rPr>
                <w:rFonts w:eastAsia="Times New Roman" w:cs="Times New Roman"/>
                <w:color w:val="000000"/>
                <w:szCs w:val="24"/>
                <w:lang w:val="en-GB"/>
              </w:rPr>
              <w:t>29.65</w:t>
            </w:r>
          </w:p>
        </w:tc>
        <w:tc>
          <w:tcPr>
            <w:tcW w:w="1260" w:type="dxa"/>
            <w:tcBorders>
              <w:top w:val="nil"/>
              <w:left w:val="nil"/>
              <w:bottom w:val="single" w:sz="4" w:space="0" w:color="auto"/>
              <w:right w:val="single" w:sz="4" w:space="0" w:color="auto"/>
            </w:tcBorders>
            <w:shd w:val="clear" w:color="auto" w:fill="auto"/>
            <w:noWrap/>
            <w:hideMark/>
          </w:tcPr>
          <w:p w14:paraId="3FDFF525" w14:textId="04B1A572" w:rsidR="00835DE6" w:rsidRPr="00BD271D" w:rsidRDefault="00835DE6" w:rsidP="001C1F67">
            <w:pPr>
              <w:spacing w:after="0" w:line="240" w:lineRule="auto"/>
              <w:jc w:val="center"/>
              <w:rPr>
                <w:rFonts w:eastAsia="Times New Roman" w:cs="Times New Roman"/>
                <w:color w:val="000000"/>
                <w:szCs w:val="24"/>
                <w:lang w:val="en-GB"/>
              </w:rPr>
            </w:pPr>
            <w:r w:rsidRPr="00BD271D">
              <w:rPr>
                <w:rFonts w:eastAsia="Times New Roman" w:cs="Times New Roman"/>
                <w:color w:val="000000"/>
                <w:szCs w:val="24"/>
                <w:lang w:val="en-GB"/>
              </w:rPr>
              <w:t>25.94</w:t>
            </w:r>
          </w:p>
        </w:tc>
      </w:tr>
      <w:tr w:rsidR="0025520F" w:rsidRPr="00BD271D" w14:paraId="79AD528A" w14:textId="77777777" w:rsidTr="0025520F">
        <w:trPr>
          <w:trHeight w:val="300"/>
          <w:jc w:val="center"/>
        </w:trPr>
        <w:tc>
          <w:tcPr>
            <w:tcW w:w="723" w:type="dxa"/>
            <w:tcBorders>
              <w:top w:val="nil"/>
              <w:left w:val="single" w:sz="4" w:space="0" w:color="auto"/>
              <w:bottom w:val="single" w:sz="4" w:space="0" w:color="auto"/>
              <w:right w:val="single" w:sz="4" w:space="0" w:color="auto"/>
            </w:tcBorders>
            <w:shd w:val="clear" w:color="auto" w:fill="auto"/>
            <w:noWrap/>
            <w:hideMark/>
          </w:tcPr>
          <w:p w14:paraId="75BEC6DA" w14:textId="77777777" w:rsidR="00835DE6" w:rsidRPr="00BD271D" w:rsidRDefault="00835DE6" w:rsidP="001C1F67">
            <w:pPr>
              <w:spacing w:after="0" w:line="240" w:lineRule="auto"/>
              <w:jc w:val="center"/>
              <w:rPr>
                <w:rFonts w:eastAsia="Times New Roman" w:cs="Times New Roman"/>
                <w:color w:val="000000"/>
                <w:szCs w:val="24"/>
                <w:lang w:val="en-GB"/>
              </w:rPr>
            </w:pPr>
            <w:r w:rsidRPr="00BD271D">
              <w:rPr>
                <w:rFonts w:eastAsia="Times New Roman" w:cs="Times New Roman"/>
                <w:color w:val="000000"/>
                <w:szCs w:val="24"/>
                <w:lang w:val="en-GB"/>
              </w:rPr>
              <w:t>4</w:t>
            </w:r>
          </w:p>
        </w:tc>
        <w:tc>
          <w:tcPr>
            <w:tcW w:w="1342" w:type="dxa"/>
            <w:tcBorders>
              <w:top w:val="nil"/>
              <w:left w:val="nil"/>
              <w:bottom w:val="single" w:sz="4" w:space="0" w:color="auto"/>
              <w:right w:val="single" w:sz="4" w:space="0" w:color="auto"/>
            </w:tcBorders>
            <w:shd w:val="clear" w:color="auto" w:fill="auto"/>
            <w:noWrap/>
            <w:hideMark/>
          </w:tcPr>
          <w:p w14:paraId="32DF86E4" w14:textId="77777777" w:rsidR="00835DE6" w:rsidRPr="00BD271D" w:rsidRDefault="00835DE6" w:rsidP="001C1F67">
            <w:pPr>
              <w:spacing w:after="0" w:line="240" w:lineRule="auto"/>
              <w:jc w:val="center"/>
              <w:rPr>
                <w:rFonts w:eastAsia="Times New Roman" w:cs="Times New Roman"/>
                <w:color w:val="000000"/>
                <w:szCs w:val="24"/>
                <w:lang w:val="en-GB"/>
              </w:rPr>
            </w:pPr>
            <w:r w:rsidRPr="00BD271D">
              <w:rPr>
                <w:rFonts w:eastAsia="Times New Roman" w:cs="Times New Roman"/>
                <w:color w:val="000000"/>
                <w:szCs w:val="24"/>
                <w:lang w:val="en-GB"/>
              </w:rPr>
              <w:t>55</w:t>
            </w:r>
          </w:p>
        </w:tc>
        <w:tc>
          <w:tcPr>
            <w:tcW w:w="1350" w:type="dxa"/>
            <w:tcBorders>
              <w:top w:val="nil"/>
              <w:left w:val="nil"/>
              <w:bottom w:val="single" w:sz="4" w:space="0" w:color="auto"/>
              <w:right w:val="single" w:sz="4" w:space="0" w:color="auto"/>
            </w:tcBorders>
            <w:shd w:val="clear" w:color="auto" w:fill="auto"/>
            <w:noWrap/>
            <w:hideMark/>
          </w:tcPr>
          <w:p w14:paraId="4446AFAC" w14:textId="77777777" w:rsidR="00835DE6" w:rsidRPr="00BD271D" w:rsidRDefault="00835DE6" w:rsidP="001C1F67">
            <w:pPr>
              <w:spacing w:after="0" w:line="240" w:lineRule="auto"/>
              <w:jc w:val="center"/>
              <w:rPr>
                <w:rFonts w:eastAsia="Times New Roman" w:cs="Times New Roman"/>
                <w:color w:val="000000"/>
                <w:szCs w:val="24"/>
                <w:lang w:val="en-GB"/>
              </w:rPr>
            </w:pPr>
            <w:r w:rsidRPr="00BD271D">
              <w:rPr>
                <w:rFonts w:eastAsia="Times New Roman" w:cs="Times New Roman"/>
                <w:color w:val="000000"/>
                <w:szCs w:val="24"/>
                <w:lang w:val="en-GB"/>
              </w:rPr>
              <w:t>40</w:t>
            </w:r>
          </w:p>
        </w:tc>
        <w:tc>
          <w:tcPr>
            <w:tcW w:w="1040" w:type="dxa"/>
            <w:tcBorders>
              <w:top w:val="nil"/>
              <w:left w:val="nil"/>
              <w:bottom w:val="single" w:sz="4" w:space="0" w:color="auto"/>
              <w:right w:val="single" w:sz="4" w:space="0" w:color="auto"/>
            </w:tcBorders>
            <w:shd w:val="clear" w:color="auto" w:fill="auto"/>
            <w:noWrap/>
            <w:hideMark/>
          </w:tcPr>
          <w:p w14:paraId="66CE20F7" w14:textId="52219B51" w:rsidR="00835DE6" w:rsidRPr="00BD271D" w:rsidRDefault="00835DE6" w:rsidP="001C1F67">
            <w:pPr>
              <w:spacing w:after="0" w:line="240" w:lineRule="auto"/>
              <w:jc w:val="center"/>
              <w:rPr>
                <w:rFonts w:eastAsia="Times New Roman" w:cs="Times New Roman"/>
                <w:color w:val="000000"/>
                <w:szCs w:val="24"/>
                <w:lang w:val="en-GB"/>
              </w:rPr>
            </w:pPr>
            <w:r w:rsidRPr="00BD271D">
              <w:rPr>
                <w:rFonts w:eastAsia="Times New Roman" w:cs="Times New Roman"/>
                <w:color w:val="000000"/>
                <w:szCs w:val="24"/>
                <w:lang w:val="en-GB"/>
              </w:rPr>
              <w:t>0.6707</w:t>
            </w:r>
          </w:p>
        </w:tc>
        <w:tc>
          <w:tcPr>
            <w:tcW w:w="1260" w:type="dxa"/>
            <w:tcBorders>
              <w:top w:val="nil"/>
              <w:left w:val="nil"/>
              <w:bottom w:val="single" w:sz="4" w:space="0" w:color="auto"/>
              <w:right w:val="single" w:sz="4" w:space="0" w:color="auto"/>
            </w:tcBorders>
            <w:shd w:val="clear" w:color="auto" w:fill="auto"/>
            <w:noWrap/>
            <w:hideMark/>
          </w:tcPr>
          <w:p w14:paraId="0CD38883" w14:textId="183E9D47" w:rsidR="00835DE6" w:rsidRPr="00BD271D" w:rsidRDefault="00835DE6" w:rsidP="001C1F67">
            <w:pPr>
              <w:spacing w:after="0" w:line="240" w:lineRule="auto"/>
              <w:jc w:val="center"/>
              <w:rPr>
                <w:rFonts w:eastAsia="Times New Roman" w:cs="Times New Roman"/>
                <w:color w:val="000000"/>
                <w:szCs w:val="24"/>
                <w:lang w:val="en-GB"/>
              </w:rPr>
            </w:pPr>
            <w:r w:rsidRPr="00BD271D">
              <w:rPr>
                <w:rFonts w:eastAsia="Times New Roman" w:cs="Times New Roman"/>
                <w:color w:val="000000"/>
                <w:szCs w:val="24"/>
                <w:lang w:val="en-GB"/>
              </w:rPr>
              <w:t>36.89</w:t>
            </w:r>
          </w:p>
        </w:tc>
        <w:tc>
          <w:tcPr>
            <w:tcW w:w="1260" w:type="dxa"/>
            <w:tcBorders>
              <w:top w:val="nil"/>
              <w:left w:val="nil"/>
              <w:bottom w:val="single" w:sz="4" w:space="0" w:color="auto"/>
              <w:right w:val="single" w:sz="4" w:space="0" w:color="auto"/>
            </w:tcBorders>
            <w:shd w:val="clear" w:color="auto" w:fill="auto"/>
            <w:noWrap/>
            <w:hideMark/>
          </w:tcPr>
          <w:p w14:paraId="2A28C8D5" w14:textId="514E7490" w:rsidR="00835DE6" w:rsidRPr="00BD271D" w:rsidRDefault="00835DE6" w:rsidP="001C1F67">
            <w:pPr>
              <w:spacing w:after="0" w:line="240" w:lineRule="auto"/>
              <w:jc w:val="center"/>
              <w:rPr>
                <w:rFonts w:eastAsia="Times New Roman" w:cs="Times New Roman"/>
                <w:color w:val="000000"/>
                <w:szCs w:val="24"/>
                <w:lang w:val="en-GB"/>
              </w:rPr>
            </w:pPr>
            <w:r w:rsidRPr="00BD271D">
              <w:rPr>
                <w:rFonts w:eastAsia="Times New Roman" w:cs="Times New Roman"/>
                <w:color w:val="000000"/>
                <w:szCs w:val="24"/>
                <w:lang w:val="en-GB"/>
              </w:rPr>
              <w:t>26.83</w:t>
            </w:r>
          </w:p>
        </w:tc>
      </w:tr>
      <w:tr w:rsidR="0025520F" w:rsidRPr="00BD271D" w14:paraId="2B92C790" w14:textId="77777777" w:rsidTr="0025520F">
        <w:trPr>
          <w:trHeight w:val="300"/>
          <w:jc w:val="center"/>
        </w:trPr>
        <w:tc>
          <w:tcPr>
            <w:tcW w:w="3415" w:type="dxa"/>
            <w:gridSpan w:val="3"/>
            <w:tcBorders>
              <w:top w:val="single" w:sz="4" w:space="0" w:color="auto"/>
              <w:left w:val="single" w:sz="4" w:space="0" w:color="auto"/>
              <w:bottom w:val="single" w:sz="4" w:space="0" w:color="auto"/>
              <w:right w:val="single" w:sz="4" w:space="0" w:color="000000"/>
            </w:tcBorders>
            <w:shd w:val="clear" w:color="auto" w:fill="auto"/>
            <w:noWrap/>
            <w:hideMark/>
          </w:tcPr>
          <w:p w14:paraId="09447D0F" w14:textId="77777777" w:rsidR="00835DE6" w:rsidRPr="00BD271D" w:rsidRDefault="00835DE6" w:rsidP="001C1F67">
            <w:pPr>
              <w:spacing w:after="0" w:line="240" w:lineRule="auto"/>
              <w:jc w:val="center"/>
              <w:rPr>
                <w:rFonts w:eastAsia="Times New Roman" w:cs="Times New Roman"/>
                <w:b/>
                <w:bCs/>
                <w:color w:val="000000"/>
                <w:szCs w:val="24"/>
                <w:lang w:val="en-GB"/>
              </w:rPr>
            </w:pPr>
            <w:r w:rsidRPr="00BD271D">
              <w:rPr>
                <w:rFonts w:eastAsia="Times New Roman" w:cs="Times New Roman"/>
                <w:b/>
                <w:bCs/>
                <w:color w:val="000000"/>
                <w:szCs w:val="24"/>
                <w:lang w:val="en-GB"/>
              </w:rPr>
              <w:t>Net Present Value (NPV)</w:t>
            </w:r>
          </w:p>
        </w:tc>
        <w:tc>
          <w:tcPr>
            <w:tcW w:w="1040" w:type="dxa"/>
            <w:tcBorders>
              <w:top w:val="nil"/>
              <w:left w:val="nil"/>
              <w:bottom w:val="single" w:sz="4" w:space="0" w:color="auto"/>
              <w:right w:val="single" w:sz="4" w:space="0" w:color="auto"/>
            </w:tcBorders>
            <w:shd w:val="clear" w:color="auto" w:fill="auto"/>
            <w:noWrap/>
            <w:hideMark/>
          </w:tcPr>
          <w:p w14:paraId="237E64EB" w14:textId="49DA9AFE" w:rsidR="00835DE6" w:rsidRPr="00BD271D" w:rsidRDefault="00835DE6" w:rsidP="001C1F67">
            <w:pPr>
              <w:spacing w:after="0" w:line="240" w:lineRule="auto"/>
              <w:jc w:val="center"/>
              <w:rPr>
                <w:rFonts w:eastAsia="Times New Roman" w:cs="Times New Roman"/>
                <w:b/>
                <w:bCs/>
                <w:color w:val="000000"/>
                <w:szCs w:val="24"/>
                <w:lang w:val="en-GB"/>
              </w:rPr>
            </w:pPr>
          </w:p>
        </w:tc>
        <w:tc>
          <w:tcPr>
            <w:tcW w:w="1260" w:type="dxa"/>
            <w:tcBorders>
              <w:top w:val="nil"/>
              <w:left w:val="nil"/>
              <w:bottom w:val="single" w:sz="4" w:space="0" w:color="auto"/>
              <w:right w:val="single" w:sz="4" w:space="0" w:color="auto"/>
            </w:tcBorders>
            <w:shd w:val="clear" w:color="auto" w:fill="auto"/>
            <w:noWrap/>
            <w:hideMark/>
          </w:tcPr>
          <w:p w14:paraId="42F25540" w14:textId="52E5E798" w:rsidR="00835DE6" w:rsidRPr="00BD271D" w:rsidRDefault="00835DE6" w:rsidP="001C1F67">
            <w:pPr>
              <w:spacing w:after="0" w:line="240" w:lineRule="auto"/>
              <w:jc w:val="center"/>
              <w:rPr>
                <w:rFonts w:eastAsia="Times New Roman" w:cs="Times New Roman"/>
                <w:b/>
                <w:bCs/>
                <w:color w:val="000000"/>
                <w:szCs w:val="24"/>
                <w:lang w:val="en-GB"/>
              </w:rPr>
            </w:pPr>
            <w:r w:rsidRPr="00BD271D">
              <w:rPr>
                <w:rFonts w:eastAsia="Times New Roman" w:cs="Times New Roman"/>
                <w:b/>
                <w:bCs/>
                <w:color w:val="000000"/>
                <w:szCs w:val="24"/>
                <w:lang w:val="en-GB"/>
              </w:rPr>
              <w:t>6.97</w:t>
            </w:r>
          </w:p>
        </w:tc>
        <w:tc>
          <w:tcPr>
            <w:tcW w:w="1260" w:type="dxa"/>
            <w:tcBorders>
              <w:top w:val="nil"/>
              <w:left w:val="nil"/>
              <w:bottom w:val="single" w:sz="4" w:space="0" w:color="auto"/>
              <w:right w:val="single" w:sz="4" w:space="0" w:color="auto"/>
            </w:tcBorders>
            <w:shd w:val="clear" w:color="auto" w:fill="auto"/>
            <w:noWrap/>
            <w:hideMark/>
          </w:tcPr>
          <w:p w14:paraId="65BD55D5" w14:textId="6B169714" w:rsidR="00835DE6" w:rsidRPr="00BD271D" w:rsidRDefault="00835DE6" w:rsidP="001C1F67">
            <w:pPr>
              <w:spacing w:after="0" w:line="240" w:lineRule="auto"/>
              <w:jc w:val="center"/>
              <w:rPr>
                <w:rFonts w:eastAsia="Times New Roman" w:cs="Times New Roman"/>
                <w:b/>
                <w:bCs/>
                <w:color w:val="000000"/>
                <w:szCs w:val="24"/>
                <w:lang w:val="en-GB"/>
              </w:rPr>
            </w:pPr>
            <w:r w:rsidRPr="00BD271D">
              <w:rPr>
                <w:rFonts w:eastAsia="Times New Roman" w:cs="Times New Roman"/>
                <w:b/>
                <w:bCs/>
                <w:color w:val="000000"/>
                <w:szCs w:val="24"/>
                <w:lang w:val="en-GB"/>
              </w:rPr>
              <w:t>9.96</w:t>
            </w:r>
          </w:p>
        </w:tc>
      </w:tr>
      <w:tr w:rsidR="0025520F" w:rsidRPr="00BD271D" w14:paraId="3C82AEEE" w14:textId="77777777" w:rsidTr="0025520F">
        <w:trPr>
          <w:trHeight w:val="300"/>
          <w:jc w:val="center"/>
        </w:trPr>
        <w:tc>
          <w:tcPr>
            <w:tcW w:w="723" w:type="dxa"/>
            <w:tcBorders>
              <w:top w:val="nil"/>
              <w:left w:val="single" w:sz="4" w:space="0" w:color="auto"/>
              <w:bottom w:val="single" w:sz="4" w:space="0" w:color="auto"/>
              <w:right w:val="single" w:sz="4" w:space="0" w:color="auto"/>
            </w:tcBorders>
            <w:shd w:val="clear" w:color="auto" w:fill="auto"/>
            <w:noWrap/>
            <w:hideMark/>
          </w:tcPr>
          <w:p w14:paraId="38FEAA77" w14:textId="5CAEBE12" w:rsidR="00835DE6" w:rsidRPr="00BD271D" w:rsidRDefault="00835DE6" w:rsidP="001C1F67">
            <w:pPr>
              <w:spacing w:after="0" w:line="240" w:lineRule="auto"/>
              <w:jc w:val="center"/>
              <w:rPr>
                <w:rFonts w:eastAsia="Times New Roman" w:cs="Times New Roman"/>
                <w:color w:val="000000"/>
                <w:szCs w:val="24"/>
                <w:lang w:val="en-GB"/>
              </w:rPr>
            </w:pPr>
          </w:p>
        </w:tc>
        <w:tc>
          <w:tcPr>
            <w:tcW w:w="1342" w:type="dxa"/>
            <w:tcBorders>
              <w:top w:val="nil"/>
              <w:left w:val="nil"/>
              <w:bottom w:val="single" w:sz="4" w:space="0" w:color="auto"/>
              <w:right w:val="single" w:sz="4" w:space="0" w:color="auto"/>
            </w:tcBorders>
            <w:shd w:val="clear" w:color="auto" w:fill="auto"/>
            <w:noWrap/>
            <w:hideMark/>
          </w:tcPr>
          <w:p w14:paraId="1CDE7831" w14:textId="36BE9048" w:rsidR="00835DE6" w:rsidRPr="00BD271D" w:rsidRDefault="00835DE6" w:rsidP="001C1F67">
            <w:pPr>
              <w:spacing w:after="0" w:line="240" w:lineRule="auto"/>
              <w:jc w:val="center"/>
              <w:rPr>
                <w:rFonts w:eastAsia="Times New Roman" w:cs="Times New Roman"/>
                <w:color w:val="000000"/>
                <w:szCs w:val="24"/>
                <w:lang w:val="en-GB"/>
              </w:rPr>
            </w:pPr>
          </w:p>
        </w:tc>
        <w:tc>
          <w:tcPr>
            <w:tcW w:w="1350" w:type="dxa"/>
            <w:tcBorders>
              <w:top w:val="nil"/>
              <w:left w:val="nil"/>
              <w:bottom w:val="single" w:sz="4" w:space="0" w:color="auto"/>
              <w:right w:val="single" w:sz="4" w:space="0" w:color="auto"/>
            </w:tcBorders>
            <w:shd w:val="clear" w:color="auto" w:fill="auto"/>
            <w:noWrap/>
            <w:hideMark/>
          </w:tcPr>
          <w:p w14:paraId="1DB5A4ED" w14:textId="47B1E888" w:rsidR="00835DE6" w:rsidRPr="00BD271D" w:rsidRDefault="00835DE6" w:rsidP="001C1F67">
            <w:pPr>
              <w:spacing w:after="0" w:line="240" w:lineRule="auto"/>
              <w:jc w:val="center"/>
              <w:rPr>
                <w:rFonts w:eastAsia="Times New Roman" w:cs="Times New Roman"/>
                <w:color w:val="000000"/>
                <w:szCs w:val="24"/>
                <w:lang w:val="en-GB"/>
              </w:rPr>
            </w:pPr>
          </w:p>
        </w:tc>
        <w:tc>
          <w:tcPr>
            <w:tcW w:w="1040" w:type="dxa"/>
            <w:tcBorders>
              <w:top w:val="nil"/>
              <w:left w:val="nil"/>
              <w:bottom w:val="single" w:sz="4" w:space="0" w:color="auto"/>
              <w:right w:val="single" w:sz="4" w:space="0" w:color="auto"/>
            </w:tcBorders>
            <w:shd w:val="clear" w:color="auto" w:fill="auto"/>
            <w:noWrap/>
            <w:hideMark/>
          </w:tcPr>
          <w:p w14:paraId="5C84E99E" w14:textId="0F328319" w:rsidR="00835DE6" w:rsidRPr="00BD271D" w:rsidRDefault="00835DE6" w:rsidP="001C1F67">
            <w:pPr>
              <w:spacing w:after="0" w:line="240" w:lineRule="auto"/>
              <w:jc w:val="center"/>
              <w:rPr>
                <w:rFonts w:eastAsia="Times New Roman" w:cs="Times New Roman"/>
                <w:color w:val="000000"/>
                <w:szCs w:val="24"/>
                <w:lang w:val="en-GB"/>
              </w:rPr>
            </w:pPr>
          </w:p>
        </w:tc>
        <w:tc>
          <w:tcPr>
            <w:tcW w:w="1260" w:type="dxa"/>
            <w:tcBorders>
              <w:top w:val="nil"/>
              <w:left w:val="nil"/>
              <w:bottom w:val="single" w:sz="4" w:space="0" w:color="auto"/>
              <w:right w:val="single" w:sz="4" w:space="0" w:color="auto"/>
            </w:tcBorders>
            <w:shd w:val="clear" w:color="auto" w:fill="auto"/>
            <w:noWrap/>
            <w:hideMark/>
          </w:tcPr>
          <w:p w14:paraId="72034436" w14:textId="1FDC19D2" w:rsidR="00835DE6" w:rsidRPr="00BD271D" w:rsidRDefault="00835DE6" w:rsidP="001C1F67">
            <w:pPr>
              <w:spacing w:after="0" w:line="240" w:lineRule="auto"/>
              <w:jc w:val="center"/>
              <w:rPr>
                <w:rFonts w:eastAsia="Times New Roman" w:cs="Times New Roman"/>
                <w:color w:val="000000"/>
                <w:szCs w:val="24"/>
                <w:lang w:val="en-GB"/>
              </w:rPr>
            </w:pPr>
          </w:p>
        </w:tc>
        <w:tc>
          <w:tcPr>
            <w:tcW w:w="1260" w:type="dxa"/>
            <w:tcBorders>
              <w:top w:val="nil"/>
              <w:left w:val="nil"/>
              <w:bottom w:val="single" w:sz="4" w:space="0" w:color="auto"/>
              <w:right w:val="single" w:sz="4" w:space="0" w:color="auto"/>
            </w:tcBorders>
            <w:shd w:val="clear" w:color="auto" w:fill="auto"/>
            <w:noWrap/>
            <w:hideMark/>
          </w:tcPr>
          <w:p w14:paraId="025CC874" w14:textId="59D7488E" w:rsidR="00835DE6" w:rsidRPr="00BD271D" w:rsidRDefault="00835DE6" w:rsidP="001C1F67">
            <w:pPr>
              <w:spacing w:after="0" w:line="240" w:lineRule="auto"/>
              <w:jc w:val="center"/>
              <w:rPr>
                <w:rFonts w:eastAsia="Times New Roman" w:cs="Times New Roman"/>
                <w:color w:val="000000"/>
                <w:szCs w:val="24"/>
                <w:lang w:val="en-GB"/>
              </w:rPr>
            </w:pPr>
          </w:p>
        </w:tc>
      </w:tr>
    </w:tbl>
    <w:p w14:paraId="05ED3622" w14:textId="77777777" w:rsidR="00835DE6" w:rsidRPr="00BD271D" w:rsidRDefault="00835DE6" w:rsidP="005E2464">
      <w:pPr>
        <w:rPr>
          <w:rFonts w:cs="Times New Roman"/>
          <w:lang w:val="en-GB"/>
        </w:rPr>
      </w:pPr>
    </w:p>
    <w:p w14:paraId="1C61A209" w14:textId="39154D42" w:rsidR="001212E7" w:rsidRPr="00BD271D" w:rsidRDefault="00444EE0" w:rsidP="005E2464">
      <w:pPr>
        <w:rPr>
          <w:rFonts w:cs="Times New Roman"/>
          <w:lang w:val="en-GB"/>
        </w:rPr>
      </w:pPr>
      <w:r w:rsidRPr="00BD271D">
        <w:rPr>
          <w:rFonts w:cs="Times New Roman"/>
          <w:lang w:val="en-GB"/>
        </w:rPr>
        <w:t xml:space="preserve">The concept of the net present value has suggested </w:t>
      </w:r>
      <w:r w:rsidR="00735450" w:rsidRPr="00BD271D">
        <w:rPr>
          <w:rFonts w:cs="Times New Roman"/>
          <w:lang w:val="en-GB"/>
        </w:rPr>
        <w:t>calculating</w:t>
      </w:r>
      <w:r w:rsidRPr="00BD271D">
        <w:rPr>
          <w:rFonts w:cs="Times New Roman"/>
          <w:lang w:val="en-GB"/>
        </w:rPr>
        <w:t xml:space="preserve"> </w:t>
      </w:r>
      <w:r w:rsidR="00735450" w:rsidRPr="00BD271D">
        <w:rPr>
          <w:rFonts w:cs="Times New Roman"/>
          <w:lang w:val="en-GB"/>
        </w:rPr>
        <w:t xml:space="preserve">the </w:t>
      </w:r>
      <w:r w:rsidRPr="00BD271D">
        <w:rPr>
          <w:rFonts w:cs="Times New Roman"/>
          <w:lang w:val="en-GB"/>
        </w:rPr>
        <w:t xml:space="preserve">discounted value of all future cash flow with </w:t>
      </w:r>
      <w:r w:rsidR="00735450" w:rsidRPr="00BD271D">
        <w:rPr>
          <w:rFonts w:cs="Times New Roman"/>
          <w:lang w:val="en-GB"/>
        </w:rPr>
        <w:t xml:space="preserve">the </w:t>
      </w:r>
      <w:r w:rsidRPr="00BD271D">
        <w:rPr>
          <w:rFonts w:cs="Times New Roman"/>
          <w:lang w:val="en-GB"/>
        </w:rPr>
        <w:t>appropriate cost of the capital</w:t>
      </w:r>
      <w:r w:rsidR="001D4232" w:rsidRPr="00BD271D">
        <w:rPr>
          <w:rFonts w:cs="Times New Roman"/>
          <w:lang w:val="en-GB"/>
        </w:rPr>
        <w:t xml:space="preserve"> and s</w:t>
      </w:r>
      <w:r w:rsidR="00735450" w:rsidRPr="00BD271D">
        <w:rPr>
          <w:rFonts w:cs="Times New Roman"/>
          <w:lang w:val="en-GB"/>
        </w:rPr>
        <w:t>ome</w:t>
      </w:r>
      <w:r w:rsidR="001D4232" w:rsidRPr="00BD271D">
        <w:rPr>
          <w:rFonts w:cs="Times New Roman"/>
          <w:lang w:val="en-GB"/>
        </w:rPr>
        <w:t xml:space="preserve"> of the all-discounted cash flow should be deducted from the initial investment</w:t>
      </w:r>
      <w:r w:rsidR="00F74A0D" w:rsidRPr="00BD271D">
        <w:rPr>
          <w:rFonts w:cs="Times New Roman"/>
          <w:lang w:val="en-GB"/>
        </w:rPr>
        <w:t xml:space="preserve"> (Topsacalian, Teulié, Helfer and Orsoni, 2015)</w:t>
      </w:r>
      <w:r w:rsidR="001D4232" w:rsidRPr="00BD271D">
        <w:rPr>
          <w:rFonts w:cs="Times New Roman"/>
          <w:lang w:val="en-GB"/>
        </w:rPr>
        <w:t>. The project manager will accept the project when</w:t>
      </w:r>
      <w:r w:rsidR="000E6418" w:rsidRPr="00BD271D">
        <w:rPr>
          <w:rFonts w:cs="Times New Roman"/>
          <w:lang w:val="en-GB"/>
        </w:rPr>
        <w:t xml:space="preserve"> the amount of the initial investment is lower than its discounted value of all its cash flow. In the above case, </w:t>
      </w:r>
      <w:r w:rsidR="00AC01FF" w:rsidRPr="00BD271D">
        <w:rPr>
          <w:rFonts w:cs="Times New Roman"/>
          <w:lang w:val="en-GB"/>
        </w:rPr>
        <w:t xml:space="preserve">both project-A and Project-B have positive Net Present Value (NPV) and these projects are viable. As these projects are mutually exclusive, the finance manager of the business </w:t>
      </w:r>
      <w:r w:rsidR="00502B25" w:rsidRPr="00BD271D">
        <w:rPr>
          <w:rFonts w:cs="Times New Roman"/>
          <w:lang w:val="en-GB"/>
        </w:rPr>
        <w:t>organisation</w:t>
      </w:r>
      <w:r w:rsidR="00AC01FF" w:rsidRPr="00BD271D">
        <w:rPr>
          <w:rFonts w:cs="Times New Roman"/>
          <w:lang w:val="en-GB"/>
        </w:rPr>
        <w:t xml:space="preserve"> will accept </w:t>
      </w:r>
      <w:r w:rsidR="00814A84" w:rsidRPr="00BD271D">
        <w:rPr>
          <w:rFonts w:cs="Times New Roman"/>
          <w:lang w:val="en-GB"/>
        </w:rPr>
        <w:t xml:space="preserve">project-B that has higher Net Present Value (NPV) than project-A. </w:t>
      </w:r>
    </w:p>
    <w:p w14:paraId="6F352A63" w14:textId="77777777" w:rsidR="00850BDE" w:rsidRPr="00BD271D" w:rsidRDefault="00350AA5" w:rsidP="005E2464">
      <w:pPr>
        <w:rPr>
          <w:rFonts w:cs="Times New Roman"/>
          <w:lang w:val="en-GB"/>
        </w:rPr>
      </w:pPr>
      <w:r w:rsidRPr="00BD271D">
        <w:rPr>
          <w:rFonts w:cs="Times New Roman"/>
          <w:lang w:val="en-GB"/>
        </w:rPr>
        <w:t xml:space="preserve"> </w:t>
      </w:r>
    </w:p>
    <w:p w14:paraId="586DEE7B" w14:textId="0141A80F" w:rsidR="00F44F3E" w:rsidRPr="00BD271D" w:rsidRDefault="00814A84" w:rsidP="00BD271D">
      <w:pPr>
        <w:jc w:val="center"/>
        <w:rPr>
          <w:rFonts w:cs="Times New Roman"/>
          <w:b/>
          <w:bCs/>
          <w:u w:val="single"/>
          <w:lang w:val="en-GB"/>
        </w:rPr>
      </w:pPr>
      <w:r w:rsidRPr="00BD271D">
        <w:rPr>
          <w:rFonts w:cs="Times New Roman"/>
          <w:b/>
          <w:bCs/>
          <w:u w:val="single"/>
          <w:lang w:val="en-GB"/>
        </w:rPr>
        <w:t>Accounting Rate of Re</w:t>
      </w:r>
      <w:r w:rsidR="00F44F3E" w:rsidRPr="00BD271D">
        <w:rPr>
          <w:rFonts w:cs="Times New Roman"/>
          <w:b/>
          <w:bCs/>
          <w:u w:val="single"/>
          <w:lang w:val="en-GB"/>
        </w:rPr>
        <w:t>turn (ARR):</w:t>
      </w:r>
    </w:p>
    <w:tbl>
      <w:tblPr>
        <w:tblW w:w="5080" w:type="dxa"/>
        <w:jc w:val="center"/>
        <w:tblLook w:val="04A0" w:firstRow="1" w:lastRow="0" w:firstColumn="1" w:lastColumn="0" w:noHBand="0" w:noVBand="1"/>
      </w:tblPr>
      <w:tblGrid>
        <w:gridCol w:w="1975"/>
        <w:gridCol w:w="1527"/>
        <w:gridCol w:w="1578"/>
      </w:tblGrid>
      <w:tr w:rsidR="00F44F3E" w:rsidRPr="00BD271D" w14:paraId="7A760FB0" w14:textId="77777777" w:rsidTr="00F44F3E">
        <w:trPr>
          <w:trHeight w:val="315"/>
          <w:jc w:val="center"/>
        </w:trPr>
        <w:tc>
          <w:tcPr>
            <w:tcW w:w="1975" w:type="dxa"/>
            <w:vMerge w:val="restart"/>
            <w:tcBorders>
              <w:top w:val="single" w:sz="4" w:space="0" w:color="auto"/>
              <w:left w:val="single" w:sz="4" w:space="0" w:color="auto"/>
              <w:bottom w:val="single" w:sz="4" w:space="0" w:color="auto"/>
              <w:right w:val="single" w:sz="4" w:space="0" w:color="auto"/>
            </w:tcBorders>
            <w:shd w:val="clear" w:color="auto" w:fill="auto"/>
            <w:noWrap/>
            <w:hideMark/>
          </w:tcPr>
          <w:p w14:paraId="0C62D35B" w14:textId="77777777" w:rsidR="00F44F3E" w:rsidRPr="00BD271D" w:rsidRDefault="00F44F3E" w:rsidP="00F44F3E">
            <w:pPr>
              <w:spacing w:after="0" w:line="240" w:lineRule="auto"/>
              <w:jc w:val="center"/>
              <w:rPr>
                <w:rFonts w:eastAsia="Times New Roman" w:cs="Times New Roman"/>
                <w:b/>
                <w:bCs/>
                <w:color w:val="000000"/>
                <w:szCs w:val="24"/>
                <w:lang w:val="en-GB"/>
              </w:rPr>
            </w:pPr>
            <w:r w:rsidRPr="00BD271D">
              <w:rPr>
                <w:rFonts w:eastAsia="Times New Roman" w:cs="Times New Roman"/>
                <w:b/>
                <w:bCs/>
                <w:color w:val="000000"/>
                <w:szCs w:val="24"/>
                <w:lang w:val="en-GB"/>
              </w:rPr>
              <w:t>Year</w:t>
            </w:r>
          </w:p>
        </w:tc>
        <w:tc>
          <w:tcPr>
            <w:tcW w:w="3105" w:type="dxa"/>
            <w:gridSpan w:val="2"/>
            <w:tcBorders>
              <w:top w:val="single" w:sz="4" w:space="0" w:color="auto"/>
              <w:left w:val="nil"/>
              <w:bottom w:val="single" w:sz="4" w:space="0" w:color="auto"/>
              <w:right w:val="single" w:sz="4" w:space="0" w:color="auto"/>
            </w:tcBorders>
            <w:shd w:val="clear" w:color="auto" w:fill="auto"/>
            <w:noWrap/>
            <w:hideMark/>
          </w:tcPr>
          <w:p w14:paraId="46530866" w14:textId="77777777" w:rsidR="00F44F3E" w:rsidRPr="00BD271D" w:rsidRDefault="00F44F3E" w:rsidP="00F44F3E">
            <w:pPr>
              <w:spacing w:after="0" w:line="240" w:lineRule="auto"/>
              <w:jc w:val="center"/>
              <w:rPr>
                <w:rFonts w:eastAsia="Times New Roman" w:cs="Times New Roman"/>
                <w:b/>
                <w:bCs/>
                <w:color w:val="000000"/>
                <w:szCs w:val="24"/>
                <w:lang w:val="en-GB"/>
              </w:rPr>
            </w:pPr>
            <w:r w:rsidRPr="00BD271D">
              <w:rPr>
                <w:rFonts w:eastAsia="Times New Roman" w:cs="Times New Roman"/>
                <w:b/>
                <w:bCs/>
                <w:color w:val="000000"/>
                <w:szCs w:val="24"/>
                <w:lang w:val="en-GB"/>
              </w:rPr>
              <w:t>Cash Flow</w:t>
            </w:r>
          </w:p>
        </w:tc>
      </w:tr>
      <w:tr w:rsidR="00F44F3E" w:rsidRPr="00BD271D" w14:paraId="64F8020D" w14:textId="77777777" w:rsidTr="00F44F3E">
        <w:trPr>
          <w:trHeight w:val="315"/>
          <w:jc w:val="center"/>
        </w:trPr>
        <w:tc>
          <w:tcPr>
            <w:tcW w:w="1975" w:type="dxa"/>
            <w:vMerge/>
            <w:tcBorders>
              <w:top w:val="single" w:sz="4" w:space="0" w:color="auto"/>
              <w:left w:val="single" w:sz="4" w:space="0" w:color="auto"/>
              <w:bottom w:val="single" w:sz="4" w:space="0" w:color="auto"/>
              <w:right w:val="single" w:sz="4" w:space="0" w:color="auto"/>
            </w:tcBorders>
            <w:hideMark/>
          </w:tcPr>
          <w:p w14:paraId="1E44BC97" w14:textId="77777777" w:rsidR="00F44F3E" w:rsidRPr="00BD271D" w:rsidRDefault="00F44F3E" w:rsidP="00F44F3E">
            <w:pPr>
              <w:spacing w:after="0" w:line="240" w:lineRule="auto"/>
              <w:jc w:val="center"/>
              <w:rPr>
                <w:rFonts w:eastAsia="Times New Roman" w:cs="Times New Roman"/>
                <w:b/>
                <w:bCs/>
                <w:color w:val="000000"/>
                <w:szCs w:val="24"/>
                <w:lang w:val="en-GB"/>
              </w:rPr>
            </w:pPr>
          </w:p>
        </w:tc>
        <w:tc>
          <w:tcPr>
            <w:tcW w:w="1527" w:type="dxa"/>
            <w:tcBorders>
              <w:top w:val="nil"/>
              <w:left w:val="nil"/>
              <w:bottom w:val="single" w:sz="4" w:space="0" w:color="auto"/>
              <w:right w:val="single" w:sz="4" w:space="0" w:color="auto"/>
            </w:tcBorders>
            <w:shd w:val="clear" w:color="auto" w:fill="auto"/>
            <w:noWrap/>
            <w:hideMark/>
          </w:tcPr>
          <w:p w14:paraId="4E03A4D4" w14:textId="77777777" w:rsidR="00F44F3E" w:rsidRPr="00BD271D" w:rsidRDefault="00F44F3E" w:rsidP="00F44F3E">
            <w:pPr>
              <w:spacing w:after="0" w:line="240" w:lineRule="auto"/>
              <w:jc w:val="center"/>
              <w:rPr>
                <w:rFonts w:eastAsia="Times New Roman" w:cs="Times New Roman"/>
                <w:b/>
                <w:bCs/>
                <w:color w:val="000000"/>
                <w:szCs w:val="24"/>
                <w:lang w:val="en-GB"/>
              </w:rPr>
            </w:pPr>
            <w:r w:rsidRPr="00BD271D">
              <w:rPr>
                <w:rFonts w:eastAsia="Times New Roman" w:cs="Times New Roman"/>
                <w:b/>
                <w:bCs/>
                <w:color w:val="000000"/>
                <w:szCs w:val="24"/>
                <w:lang w:val="en-GB"/>
              </w:rPr>
              <w:t>Project-A</w:t>
            </w:r>
          </w:p>
        </w:tc>
        <w:tc>
          <w:tcPr>
            <w:tcW w:w="1578" w:type="dxa"/>
            <w:tcBorders>
              <w:top w:val="nil"/>
              <w:left w:val="nil"/>
              <w:bottom w:val="single" w:sz="4" w:space="0" w:color="auto"/>
              <w:right w:val="single" w:sz="4" w:space="0" w:color="auto"/>
            </w:tcBorders>
            <w:shd w:val="clear" w:color="auto" w:fill="auto"/>
            <w:noWrap/>
            <w:hideMark/>
          </w:tcPr>
          <w:p w14:paraId="7CD726CA" w14:textId="77777777" w:rsidR="00F44F3E" w:rsidRPr="00BD271D" w:rsidRDefault="00F44F3E" w:rsidP="00F44F3E">
            <w:pPr>
              <w:spacing w:after="0" w:line="240" w:lineRule="auto"/>
              <w:jc w:val="center"/>
              <w:rPr>
                <w:rFonts w:eastAsia="Times New Roman" w:cs="Times New Roman"/>
                <w:b/>
                <w:bCs/>
                <w:color w:val="000000"/>
                <w:szCs w:val="24"/>
                <w:lang w:val="en-GB"/>
              </w:rPr>
            </w:pPr>
            <w:r w:rsidRPr="00BD271D">
              <w:rPr>
                <w:rFonts w:eastAsia="Times New Roman" w:cs="Times New Roman"/>
                <w:b/>
                <w:bCs/>
                <w:color w:val="000000"/>
                <w:szCs w:val="24"/>
                <w:lang w:val="en-GB"/>
              </w:rPr>
              <w:t>Project-B</w:t>
            </w:r>
          </w:p>
        </w:tc>
      </w:tr>
      <w:tr w:rsidR="00F44F3E" w:rsidRPr="00BD271D" w14:paraId="20C51A05" w14:textId="77777777" w:rsidTr="00F44F3E">
        <w:trPr>
          <w:trHeight w:val="315"/>
          <w:jc w:val="center"/>
        </w:trPr>
        <w:tc>
          <w:tcPr>
            <w:tcW w:w="1975" w:type="dxa"/>
            <w:tcBorders>
              <w:top w:val="nil"/>
              <w:left w:val="single" w:sz="4" w:space="0" w:color="auto"/>
              <w:bottom w:val="single" w:sz="4" w:space="0" w:color="auto"/>
              <w:right w:val="single" w:sz="4" w:space="0" w:color="auto"/>
            </w:tcBorders>
            <w:shd w:val="clear" w:color="auto" w:fill="auto"/>
            <w:noWrap/>
            <w:hideMark/>
          </w:tcPr>
          <w:p w14:paraId="19739181" w14:textId="77777777" w:rsidR="00F44F3E" w:rsidRPr="00BD271D" w:rsidRDefault="00F44F3E" w:rsidP="00F44F3E">
            <w:pPr>
              <w:spacing w:after="0" w:line="240" w:lineRule="auto"/>
              <w:jc w:val="center"/>
              <w:rPr>
                <w:rFonts w:eastAsia="Times New Roman" w:cs="Times New Roman"/>
                <w:color w:val="000000"/>
                <w:szCs w:val="24"/>
                <w:lang w:val="en-GB"/>
              </w:rPr>
            </w:pPr>
            <w:r w:rsidRPr="00BD271D">
              <w:rPr>
                <w:rFonts w:eastAsia="Times New Roman" w:cs="Times New Roman"/>
                <w:color w:val="000000"/>
                <w:szCs w:val="24"/>
                <w:lang w:val="en-GB"/>
              </w:rPr>
              <w:t>0</w:t>
            </w:r>
          </w:p>
        </w:tc>
        <w:tc>
          <w:tcPr>
            <w:tcW w:w="1527" w:type="dxa"/>
            <w:tcBorders>
              <w:top w:val="nil"/>
              <w:left w:val="nil"/>
              <w:bottom w:val="single" w:sz="4" w:space="0" w:color="auto"/>
              <w:right w:val="single" w:sz="4" w:space="0" w:color="auto"/>
            </w:tcBorders>
            <w:shd w:val="clear" w:color="auto" w:fill="auto"/>
            <w:noWrap/>
            <w:hideMark/>
          </w:tcPr>
          <w:p w14:paraId="01A1C11B" w14:textId="77777777" w:rsidR="00F44F3E" w:rsidRPr="00BD271D" w:rsidRDefault="00F44F3E" w:rsidP="00F44F3E">
            <w:pPr>
              <w:spacing w:after="0" w:line="240" w:lineRule="auto"/>
              <w:jc w:val="center"/>
              <w:rPr>
                <w:rFonts w:eastAsia="Times New Roman" w:cs="Times New Roman"/>
                <w:color w:val="000000"/>
                <w:szCs w:val="24"/>
                <w:lang w:val="en-GB"/>
              </w:rPr>
            </w:pPr>
            <w:r w:rsidRPr="00BD271D">
              <w:rPr>
                <w:rFonts w:eastAsia="Times New Roman" w:cs="Times New Roman"/>
                <w:color w:val="000000"/>
                <w:szCs w:val="24"/>
                <w:lang w:val="en-GB"/>
              </w:rPr>
              <w:t>-85</w:t>
            </w:r>
          </w:p>
        </w:tc>
        <w:tc>
          <w:tcPr>
            <w:tcW w:w="1578" w:type="dxa"/>
            <w:tcBorders>
              <w:top w:val="nil"/>
              <w:left w:val="nil"/>
              <w:bottom w:val="single" w:sz="4" w:space="0" w:color="auto"/>
              <w:right w:val="single" w:sz="4" w:space="0" w:color="auto"/>
            </w:tcBorders>
            <w:shd w:val="clear" w:color="auto" w:fill="auto"/>
            <w:noWrap/>
            <w:hideMark/>
          </w:tcPr>
          <w:p w14:paraId="3579E7F9" w14:textId="77777777" w:rsidR="00F44F3E" w:rsidRPr="00BD271D" w:rsidRDefault="00F44F3E" w:rsidP="00F44F3E">
            <w:pPr>
              <w:spacing w:after="0" w:line="240" w:lineRule="auto"/>
              <w:jc w:val="center"/>
              <w:rPr>
                <w:rFonts w:eastAsia="Times New Roman" w:cs="Times New Roman"/>
                <w:color w:val="000000"/>
                <w:szCs w:val="24"/>
                <w:lang w:val="en-GB"/>
              </w:rPr>
            </w:pPr>
            <w:r w:rsidRPr="00BD271D">
              <w:rPr>
                <w:rFonts w:eastAsia="Times New Roman" w:cs="Times New Roman"/>
                <w:color w:val="000000"/>
                <w:szCs w:val="24"/>
                <w:lang w:val="en-GB"/>
              </w:rPr>
              <w:t>-90</w:t>
            </w:r>
          </w:p>
        </w:tc>
      </w:tr>
      <w:tr w:rsidR="00F44F3E" w:rsidRPr="00BD271D" w14:paraId="367D3504" w14:textId="77777777" w:rsidTr="00F44F3E">
        <w:trPr>
          <w:trHeight w:val="315"/>
          <w:jc w:val="center"/>
        </w:trPr>
        <w:tc>
          <w:tcPr>
            <w:tcW w:w="1975" w:type="dxa"/>
            <w:tcBorders>
              <w:top w:val="nil"/>
              <w:left w:val="single" w:sz="4" w:space="0" w:color="auto"/>
              <w:bottom w:val="single" w:sz="4" w:space="0" w:color="auto"/>
              <w:right w:val="single" w:sz="4" w:space="0" w:color="auto"/>
            </w:tcBorders>
            <w:shd w:val="clear" w:color="auto" w:fill="auto"/>
            <w:noWrap/>
            <w:hideMark/>
          </w:tcPr>
          <w:p w14:paraId="4483F999" w14:textId="77777777" w:rsidR="00F44F3E" w:rsidRPr="00BD271D" w:rsidRDefault="00F44F3E" w:rsidP="00F44F3E">
            <w:pPr>
              <w:spacing w:after="0" w:line="240" w:lineRule="auto"/>
              <w:jc w:val="center"/>
              <w:rPr>
                <w:rFonts w:eastAsia="Times New Roman" w:cs="Times New Roman"/>
                <w:color w:val="000000"/>
                <w:szCs w:val="24"/>
                <w:lang w:val="en-GB"/>
              </w:rPr>
            </w:pPr>
            <w:r w:rsidRPr="00BD271D">
              <w:rPr>
                <w:rFonts w:eastAsia="Times New Roman" w:cs="Times New Roman"/>
                <w:color w:val="000000"/>
                <w:szCs w:val="24"/>
                <w:lang w:val="en-GB"/>
              </w:rPr>
              <w:t>1</w:t>
            </w:r>
          </w:p>
        </w:tc>
        <w:tc>
          <w:tcPr>
            <w:tcW w:w="1527" w:type="dxa"/>
            <w:tcBorders>
              <w:top w:val="nil"/>
              <w:left w:val="nil"/>
              <w:bottom w:val="single" w:sz="4" w:space="0" w:color="auto"/>
              <w:right w:val="single" w:sz="4" w:space="0" w:color="auto"/>
            </w:tcBorders>
            <w:shd w:val="clear" w:color="auto" w:fill="auto"/>
            <w:noWrap/>
            <w:hideMark/>
          </w:tcPr>
          <w:p w14:paraId="160B3CE0" w14:textId="77777777" w:rsidR="00F44F3E" w:rsidRPr="00BD271D" w:rsidRDefault="00F44F3E" w:rsidP="00F44F3E">
            <w:pPr>
              <w:spacing w:after="0" w:line="240" w:lineRule="auto"/>
              <w:jc w:val="center"/>
              <w:rPr>
                <w:rFonts w:eastAsia="Times New Roman" w:cs="Times New Roman"/>
                <w:color w:val="000000"/>
                <w:szCs w:val="24"/>
                <w:lang w:val="en-GB"/>
              </w:rPr>
            </w:pPr>
            <w:r w:rsidRPr="00BD271D">
              <w:rPr>
                <w:rFonts w:eastAsia="Times New Roman" w:cs="Times New Roman"/>
                <w:color w:val="000000"/>
                <w:szCs w:val="24"/>
                <w:lang w:val="en-GB"/>
              </w:rPr>
              <w:t>10</w:t>
            </w:r>
          </w:p>
        </w:tc>
        <w:tc>
          <w:tcPr>
            <w:tcW w:w="1578" w:type="dxa"/>
            <w:tcBorders>
              <w:top w:val="nil"/>
              <w:left w:val="nil"/>
              <w:bottom w:val="single" w:sz="4" w:space="0" w:color="auto"/>
              <w:right w:val="single" w:sz="4" w:space="0" w:color="auto"/>
            </w:tcBorders>
            <w:shd w:val="clear" w:color="auto" w:fill="auto"/>
            <w:noWrap/>
            <w:hideMark/>
          </w:tcPr>
          <w:p w14:paraId="482B0C21" w14:textId="77777777" w:rsidR="00F44F3E" w:rsidRPr="00BD271D" w:rsidRDefault="00F44F3E" w:rsidP="00F44F3E">
            <w:pPr>
              <w:spacing w:after="0" w:line="240" w:lineRule="auto"/>
              <w:jc w:val="center"/>
              <w:rPr>
                <w:rFonts w:eastAsia="Times New Roman" w:cs="Times New Roman"/>
                <w:color w:val="000000"/>
                <w:szCs w:val="24"/>
                <w:lang w:val="en-GB"/>
              </w:rPr>
            </w:pPr>
            <w:r w:rsidRPr="00BD271D">
              <w:rPr>
                <w:rFonts w:eastAsia="Times New Roman" w:cs="Times New Roman"/>
                <w:color w:val="000000"/>
                <w:szCs w:val="24"/>
                <w:lang w:val="en-GB"/>
              </w:rPr>
              <w:t>25</w:t>
            </w:r>
          </w:p>
        </w:tc>
      </w:tr>
      <w:tr w:rsidR="00F44F3E" w:rsidRPr="00BD271D" w14:paraId="4A9F0F97" w14:textId="77777777" w:rsidTr="00F44F3E">
        <w:trPr>
          <w:trHeight w:val="315"/>
          <w:jc w:val="center"/>
        </w:trPr>
        <w:tc>
          <w:tcPr>
            <w:tcW w:w="1975" w:type="dxa"/>
            <w:tcBorders>
              <w:top w:val="nil"/>
              <w:left w:val="single" w:sz="4" w:space="0" w:color="auto"/>
              <w:bottom w:val="single" w:sz="4" w:space="0" w:color="auto"/>
              <w:right w:val="single" w:sz="4" w:space="0" w:color="auto"/>
            </w:tcBorders>
            <w:shd w:val="clear" w:color="auto" w:fill="auto"/>
            <w:noWrap/>
            <w:hideMark/>
          </w:tcPr>
          <w:p w14:paraId="7C67AAEC" w14:textId="77777777" w:rsidR="00F44F3E" w:rsidRPr="00BD271D" w:rsidRDefault="00F44F3E" w:rsidP="00F44F3E">
            <w:pPr>
              <w:spacing w:after="0" w:line="240" w:lineRule="auto"/>
              <w:jc w:val="center"/>
              <w:rPr>
                <w:rFonts w:eastAsia="Times New Roman" w:cs="Times New Roman"/>
                <w:color w:val="000000"/>
                <w:szCs w:val="24"/>
                <w:lang w:val="en-GB"/>
              </w:rPr>
            </w:pPr>
            <w:r w:rsidRPr="00BD271D">
              <w:rPr>
                <w:rFonts w:eastAsia="Times New Roman" w:cs="Times New Roman"/>
                <w:color w:val="000000"/>
                <w:szCs w:val="24"/>
                <w:lang w:val="en-GB"/>
              </w:rPr>
              <w:t>2</w:t>
            </w:r>
          </w:p>
        </w:tc>
        <w:tc>
          <w:tcPr>
            <w:tcW w:w="1527" w:type="dxa"/>
            <w:tcBorders>
              <w:top w:val="nil"/>
              <w:left w:val="nil"/>
              <w:bottom w:val="single" w:sz="4" w:space="0" w:color="auto"/>
              <w:right w:val="single" w:sz="4" w:space="0" w:color="auto"/>
            </w:tcBorders>
            <w:shd w:val="clear" w:color="auto" w:fill="auto"/>
            <w:noWrap/>
            <w:hideMark/>
          </w:tcPr>
          <w:p w14:paraId="30152316" w14:textId="77777777" w:rsidR="00F44F3E" w:rsidRPr="00BD271D" w:rsidRDefault="00F44F3E" w:rsidP="00F44F3E">
            <w:pPr>
              <w:spacing w:after="0" w:line="240" w:lineRule="auto"/>
              <w:jc w:val="center"/>
              <w:rPr>
                <w:rFonts w:eastAsia="Times New Roman" w:cs="Times New Roman"/>
                <w:color w:val="000000"/>
                <w:szCs w:val="24"/>
                <w:lang w:val="en-GB"/>
              </w:rPr>
            </w:pPr>
            <w:r w:rsidRPr="00BD271D">
              <w:rPr>
                <w:rFonts w:eastAsia="Times New Roman" w:cs="Times New Roman"/>
                <w:color w:val="000000"/>
                <w:szCs w:val="24"/>
                <w:lang w:val="en-GB"/>
              </w:rPr>
              <w:t>20</w:t>
            </w:r>
          </w:p>
        </w:tc>
        <w:tc>
          <w:tcPr>
            <w:tcW w:w="1578" w:type="dxa"/>
            <w:tcBorders>
              <w:top w:val="nil"/>
              <w:left w:val="nil"/>
              <w:bottom w:val="single" w:sz="4" w:space="0" w:color="auto"/>
              <w:right w:val="single" w:sz="4" w:space="0" w:color="auto"/>
            </w:tcBorders>
            <w:shd w:val="clear" w:color="auto" w:fill="auto"/>
            <w:noWrap/>
            <w:hideMark/>
          </w:tcPr>
          <w:p w14:paraId="35EFC681" w14:textId="77777777" w:rsidR="00F44F3E" w:rsidRPr="00BD271D" w:rsidRDefault="00F44F3E" w:rsidP="00F44F3E">
            <w:pPr>
              <w:spacing w:after="0" w:line="240" w:lineRule="auto"/>
              <w:jc w:val="center"/>
              <w:rPr>
                <w:rFonts w:eastAsia="Times New Roman" w:cs="Times New Roman"/>
                <w:color w:val="000000"/>
                <w:szCs w:val="24"/>
                <w:lang w:val="en-GB"/>
              </w:rPr>
            </w:pPr>
            <w:r w:rsidRPr="00BD271D">
              <w:rPr>
                <w:rFonts w:eastAsia="Times New Roman" w:cs="Times New Roman"/>
                <w:color w:val="000000"/>
                <w:szCs w:val="24"/>
                <w:lang w:val="en-GB"/>
              </w:rPr>
              <w:t>30</w:t>
            </w:r>
          </w:p>
        </w:tc>
      </w:tr>
      <w:tr w:rsidR="00F44F3E" w:rsidRPr="00BD271D" w14:paraId="5953F027" w14:textId="77777777" w:rsidTr="00F44F3E">
        <w:trPr>
          <w:trHeight w:val="315"/>
          <w:jc w:val="center"/>
        </w:trPr>
        <w:tc>
          <w:tcPr>
            <w:tcW w:w="1975" w:type="dxa"/>
            <w:tcBorders>
              <w:top w:val="nil"/>
              <w:left w:val="single" w:sz="4" w:space="0" w:color="auto"/>
              <w:bottom w:val="single" w:sz="4" w:space="0" w:color="auto"/>
              <w:right w:val="single" w:sz="4" w:space="0" w:color="auto"/>
            </w:tcBorders>
            <w:shd w:val="clear" w:color="auto" w:fill="auto"/>
            <w:noWrap/>
            <w:hideMark/>
          </w:tcPr>
          <w:p w14:paraId="5325EDB2" w14:textId="77777777" w:rsidR="00F44F3E" w:rsidRPr="00BD271D" w:rsidRDefault="00F44F3E" w:rsidP="00F44F3E">
            <w:pPr>
              <w:spacing w:after="0" w:line="240" w:lineRule="auto"/>
              <w:jc w:val="center"/>
              <w:rPr>
                <w:rFonts w:eastAsia="Times New Roman" w:cs="Times New Roman"/>
                <w:color w:val="000000"/>
                <w:szCs w:val="24"/>
                <w:lang w:val="en-GB"/>
              </w:rPr>
            </w:pPr>
            <w:r w:rsidRPr="00BD271D">
              <w:rPr>
                <w:rFonts w:eastAsia="Times New Roman" w:cs="Times New Roman"/>
                <w:color w:val="000000"/>
                <w:szCs w:val="24"/>
                <w:lang w:val="en-GB"/>
              </w:rPr>
              <w:t>3</w:t>
            </w:r>
          </w:p>
        </w:tc>
        <w:tc>
          <w:tcPr>
            <w:tcW w:w="1527" w:type="dxa"/>
            <w:tcBorders>
              <w:top w:val="nil"/>
              <w:left w:val="nil"/>
              <w:bottom w:val="single" w:sz="4" w:space="0" w:color="auto"/>
              <w:right w:val="single" w:sz="4" w:space="0" w:color="auto"/>
            </w:tcBorders>
            <w:shd w:val="clear" w:color="auto" w:fill="auto"/>
            <w:noWrap/>
            <w:hideMark/>
          </w:tcPr>
          <w:p w14:paraId="711C9755" w14:textId="77777777" w:rsidR="00F44F3E" w:rsidRPr="00BD271D" w:rsidRDefault="00F44F3E" w:rsidP="00F44F3E">
            <w:pPr>
              <w:spacing w:after="0" w:line="240" w:lineRule="auto"/>
              <w:jc w:val="center"/>
              <w:rPr>
                <w:rFonts w:eastAsia="Times New Roman" w:cs="Times New Roman"/>
                <w:color w:val="000000"/>
                <w:szCs w:val="24"/>
                <w:lang w:val="en-GB"/>
              </w:rPr>
            </w:pPr>
            <w:r w:rsidRPr="00BD271D">
              <w:rPr>
                <w:rFonts w:eastAsia="Times New Roman" w:cs="Times New Roman"/>
                <w:color w:val="000000"/>
                <w:szCs w:val="24"/>
                <w:lang w:val="en-GB"/>
              </w:rPr>
              <w:t>40</w:t>
            </w:r>
          </w:p>
        </w:tc>
        <w:tc>
          <w:tcPr>
            <w:tcW w:w="1578" w:type="dxa"/>
            <w:tcBorders>
              <w:top w:val="nil"/>
              <w:left w:val="nil"/>
              <w:bottom w:val="single" w:sz="4" w:space="0" w:color="auto"/>
              <w:right w:val="single" w:sz="4" w:space="0" w:color="auto"/>
            </w:tcBorders>
            <w:shd w:val="clear" w:color="auto" w:fill="auto"/>
            <w:noWrap/>
            <w:hideMark/>
          </w:tcPr>
          <w:p w14:paraId="70E697A1" w14:textId="77777777" w:rsidR="00F44F3E" w:rsidRPr="00BD271D" w:rsidRDefault="00F44F3E" w:rsidP="00F44F3E">
            <w:pPr>
              <w:spacing w:after="0" w:line="240" w:lineRule="auto"/>
              <w:jc w:val="center"/>
              <w:rPr>
                <w:rFonts w:eastAsia="Times New Roman" w:cs="Times New Roman"/>
                <w:color w:val="000000"/>
                <w:szCs w:val="24"/>
                <w:lang w:val="en-GB"/>
              </w:rPr>
            </w:pPr>
            <w:r w:rsidRPr="00BD271D">
              <w:rPr>
                <w:rFonts w:eastAsia="Times New Roman" w:cs="Times New Roman"/>
                <w:color w:val="000000"/>
                <w:szCs w:val="24"/>
                <w:lang w:val="en-GB"/>
              </w:rPr>
              <w:t>35</w:t>
            </w:r>
          </w:p>
        </w:tc>
      </w:tr>
      <w:tr w:rsidR="00F44F3E" w:rsidRPr="00BD271D" w14:paraId="4553C294" w14:textId="77777777" w:rsidTr="00F44F3E">
        <w:trPr>
          <w:trHeight w:val="315"/>
          <w:jc w:val="center"/>
        </w:trPr>
        <w:tc>
          <w:tcPr>
            <w:tcW w:w="1975" w:type="dxa"/>
            <w:tcBorders>
              <w:top w:val="nil"/>
              <w:left w:val="single" w:sz="4" w:space="0" w:color="auto"/>
              <w:bottom w:val="single" w:sz="4" w:space="0" w:color="auto"/>
              <w:right w:val="single" w:sz="4" w:space="0" w:color="auto"/>
            </w:tcBorders>
            <w:shd w:val="clear" w:color="auto" w:fill="auto"/>
            <w:noWrap/>
            <w:hideMark/>
          </w:tcPr>
          <w:p w14:paraId="0430DAF8" w14:textId="77777777" w:rsidR="00F44F3E" w:rsidRPr="00BD271D" w:rsidRDefault="00F44F3E" w:rsidP="00F44F3E">
            <w:pPr>
              <w:spacing w:after="0" w:line="240" w:lineRule="auto"/>
              <w:jc w:val="center"/>
              <w:rPr>
                <w:rFonts w:eastAsia="Times New Roman" w:cs="Times New Roman"/>
                <w:color w:val="000000"/>
                <w:szCs w:val="24"/>
                <w:lang w:val="en-GB"/>
              </w:rPr>
            </w:pPr>
            <w:r w:rsidRPr="00BD271D">
              <w:rPr>
                <w:rFonts w:eastAsia="Times New Roman" w:cs="Times New Roman"/>
                <w:color w:val="000000"/>
                <w:szCs w:val="24"/>
                <w:lang w:val="en-GB"/>
              </w:rPr>
              <w:t>4</w:t>
            </w:r>
          </w:p>
        </w:tc>
        <w:tc>
          <w:tcPr>
            <w:tcW w:w="1527" w:type="dxa"/>
            <w:tcBorders>
              <w:top w:val="nil"/>
              <w:left w:val="nil"/>
              <w:bottom w:val="single" w:sz="4" w:space="0" w:color="auto"/>
              <w:right w:val="single" w:sz="4" w:space="0" w:color="auto"/>
            </w:tcBorders>
            <w:shd w:val="clear" w:color="auto" w:fill="auto"/>
            <w:noWrap/>
            <w:hideMark/>
          </w:tcPr>
          <w:p w14:paraId="614D048E" w14:textId="77777777" w:rsidR="00F44F3E" w:rsidRPr="00BD271D" w:rsidRDefault="00F44F3E" w:rsidP="00F44F3E">
            <w:pPr>
              <w:spacing w:after="0" w:line="240" w:lineRule="auto"/>
              <w:jc w:val="center"/>
              <w:rPr>
                <w:rFonts w:eastAsia="Times New Roman" w:cs="Times New Roman"/>
                <w:color w:val="000000"/>
                <w:szCs w:val="24"/>
                <w:lang w:val="en-GB"/>
              </w:rPr>
            </w:pPr>
            <w:r w:rsidRPr="00BD271D">
              <w:rPr>
                <w:rFonts w:eastAsia="Times New Roman" w:cs="Times New Roman"/>
                <w:color w:val="000000"/>
                <w:szCs w:val="24"/>
                <w:lang w:val="en-GB"/>
              </w:rPr>
              <w:t>55</w:t>
            </w:r>
          </w:p>
        </w:tc>
        <w:tc>
          <w:tcPr>
            <w:tcW w:w="1578" w:type="dxa"/>
            <w:tcBorders>
              <w:top w:val="nil"/>
              <w:left w:val="nil"/>
              <w:bottom w:val="single" w:sz="4" w:space="0" w:color="auto"/>
              <w:right w:val="single" w:sz="4" w:space="0" w:color="auto"/>
            </w:tcBorders>
            <w:shd w:val="clear" w:color="auto" w:fill="auto"/>
            <w:noWrap/>
            <w:hideMark/>
          </w:tcPr>
          <w:p w14:paraId="62B498B8" w14:textId="77777777" w:rsidR="00F44F3E" w:rsidRPr="00BD271D" w:rsidRDefault="00F44F3E" w:rsidP="00F44F3E">
            <w:pPr>
              <w:spacing w:after="0" w:line="240" w:lineRule="auto"/>
              <w:jc w:val="center"/>
              <w:rPr>
                <w:rFonts w:eastAsia="Times New Roman" w:cs="Times New Roman"/>
                <w:color w:val="000000"/>
                <w:szCs w:val="24"/>
                <w:lang w:val="en-GB"/>
              </w:rPr>
            </w:pPr>
            <w:r w:rsidRPr="00BD271D">
              <w:rPr>
                <w:rFonts w:eastAsia="Times New Roman" w:cs="Times New Roman"/>
                <w:color w:val="000000"/>
                <w:szCs w:val="24"/>
                <w:lang w:val="en-GB"/>
              </w:rPr>
              <w:t>40</w:t>
            </w:r>
          </w:p>
        </w:tc>
      </w:tr>
      <w:tr w:rsidR="00F44F3E" w:rsidRPr="00BD271D" w14:paraId="5B1E7044" w14:textId="77777777" w:rsidTr="00F44F3E">
        <w:trPr>
          <w:trHeight w:val="315"/>
          <w:jc w:val="center"/>
        </w:trPr>
        <w:tc>
          <w:tcPr>
            <w:tcW w:w="1975" w:type="dxa"/>
            <w:tcBorders>
              <w:top w:val="nil"/>
              <w:left w:val="single" w:sz="4" w:space="0" w:color="auto"/>
              <w:bottom w:val="single" w:sz="4" w:space="0" w:color="auto"/>
              <w:right w:val="single" w:sz="4" w:space="0" w:color="auto"/>
            </w:tcBorders>
            <w:shd w:val="clear" w:color="auto" w:fill="auto"/>
            <w:noWrap/>
            <w:hideMark/>
          </w:tcPr>
          <w:p w14:paraId="231657D1" w14:textId="77777777" w:rsidR="00F44F3E" w:rsidRPr="00BD271D" w:rsidRDefault="00F44F3E" w:rsidP="00F44F3E">
            <w:pPr>
              <w:spacing w:after="0" w:line="240" w:lineRule="auto"/>
              <w:jc w:val="center"/>
              <w:rPr>
                <w:rFonts w:eastAsia="Times New Roman" w:cs="Times New Roman"/>
                <w:color w:val="000000"/>
                <w:szCs w:val="24"/>
                <w:lang w:val="en-GB"/>
              </w:rPr>
            </w:pPr>
            <w:r w:rsidRPr="00BD271D">
              <w:rPr>
                <w:rFonts w:eastAsia="Times New Roman" w:cs="Times New Roman"/>
                <w:color w:val="000000"/>
                <w:szCs w:val="24"/>
                <w:lang w:val="en-GB"/>
              </w:rPr>
              <w:t>Average Income</w:t>
            </w:r>
          </w:p>
        </w:tc>
        <w:tc>
          <w:tcPr>
            <w:tcW w:w="1527" w:type="dxa"/>
            <w:tcBorders>
              <w:top w:val="nil"/>
              <w:left w:val="nil"/>
              <w:bottom w:val="single" w:sz="4" w:space="0" w:color="auto"/>
              <w:right w:val="single" w:sz="4" w:space="0" w:color="auto"/>
            </w:tcBorders>
            <w:shd w:val="clear" w:color="auto" w:fill="auto"/>
            <w:noWrap/>
            <w:hideMark/>
          </w:tcPr>
          <w:p w14:paraId="2B33AD11" w14:textId="77777777" w:rsidR="00F44F3E" w:rsidRPr="00BD271D" w:rsidRDefault="00F44F3E" w:rsidP="00F44F3E">
            <w:pPr>
              <w:spacing w:after="0" w:line="240" w:lineRule="auto"/>
              <w:jc w:val="center"/>
              <w:rPr>
                <w:rFonts w:eastAsia="Times New Roman" w:cs="Times New Roman"/>
                <w:color w:val="000000"/>
                <w:szCs w:val="24"/>
                <w:lang w:val="en-GB"/>
              </w:rPr>
            </w:pPr>
            <w:r w:rsidRPr="00BD271D">
              <w:rPr>
                <w:rFonts w:eastAsia="Times New Roman" w:cs="Times New Roman"/>
                <w:color w:val="000000"/>
                <w:szCs w:val="24"/>
                <w:lang w:val="en-GB"/>
              </w:rPr>
              <w:t>31.25</w:t>
            </w:r>
          </w:p>
        </w:tc>
        <w:tc>
          <w:tcPr>
            <w:tcW w:w="1578" w:type="dxa"/>
            <w:tcBorders>
              <w:top w:val="nil"/>
              <w:left w:val="nil"/>
              <w:bottom w:val="single" w:sz="4" w:space="0" w:color="auto"/>
              <w:right w:val="single" w:sz="4" w:space="0" w:color="auto"/>
            </w:tcBorders>
            <w:shd w:val="clear" w:color="auto" w:fill="auto"/>
            <w:noWrap/>
            <w:hideMark/>
          </w:tcPr>
          <w:p w14:paraId="78832B3B" w14:textId="77777777" w:rsidR="00F44F3E" w:rsidRPr="00BD271D" w:rsidRDefault="00F44F3E" w:rsidP="00F44F3E">
            <w:pPr>
              <w:spacing w:after="0" w:line="240" w:lineRule="auto"/>
              <w:jc w:val="center"/>
              <w:rPr>
                <w:rFonts w:eastAsia="Times New Roman" w:cs="Times New Roman"/>
                <w:color w:val="000000"/>
                <w:szCs w:val="24"/>
                <w:lang w:val="en-GB"/>
              </w:rPr>
            </w:pPr>
            <w:r w:rsidRPr="00BD271D">
              <w:rPr>
                <w:rFonts w:eastAsia="Times New Roman" w:cs="Times New Roman"/>
                <w:color w:val="000000"/>
                <w:szCs w:val="24"/>
                <w:lang w:val="en-GB"/>
              </w:rPr>
              <w:t>32.5</w:t>
            </w:r>
          </w:p>
        </w:tc>
      </w:tr>
      <w:tr w:rsidR="00F44F3E" w:rsidRPr="00BD271D" w14:paraId="06FFDCE4" w14:textId="77777777" w:rsidTr="00F44F3E">
        <w:trPr>
          <w:trHeight w:val="315"/>
          <w:jc w:val="center"/>
        </w:trPr>
        <w:tc>
          <w:tcPr>
            <w:tcW w:w="1975" w:type="dxa"/>
            <w:tcBorders>
              <w:top w:val="nil"/>
              <w:left w:val="single" w:sz="4" w:space="0" w:color="auto"/>
              <w:bottom w:val="single" w:sz="4" w:space="0" w:color="auto"/>
              <w:right w:val="single" w:sz="4" w:space="0" w:color="auto"/>
            </w:tcBorders>
            <w:shd w:val="clear" w:color="auto" w:fill="auto"/>
            <w:noWrap/>
            <w:hideMark/>
          </w:tcPr>
          <w:p w14:paraId="39C5C808" w14:textId="715E539A" w:rsidR="00F44F3E" w:rsidRPr="00BD271D" w:rsidRDefault="00F44F3E" w:rsidP="00F44F3E">
            <w:pPr>
              <w:spacing w:after="0" w:line="240" w:lineRule="auto"/>
              <w:jc w:val="center"/>
              <w:rPr>
                <w:rFonts w:eastAsia="Times New Roman" w:cs="Times New Roman"/>
                <w:color w:val="000000"/>
                <w:szCs w:val="24"/>
                <w:lang w:val="en-GB"/>
              </w:rPr>
            </w:pPr>
          </w:p>
        </w:tc>
        <w:tc>
          <w:tcPr>
            <w:tcW w:w="1527" w:type="dxa"/>
            <w:tcBorders>
              <w:top w:val="nil"/>
              <w:left w:val="nil"/>
              <w:bottom w:val="single" w:sz="4" w:space="0" w:color="auto"/>
              <w:right w:val="single" w:sz="4" w:space="0" w:color="auto"/>
            </w:tcBorders>
            <w:shd w:val="clear" w:color="auto" w:fill="auto"/>
            <w:noWrap/>
            <w:hideMark/>
          </w:tcPr>
          <w:p w14:paraId="7397A0E3" w14:textId="4ABA24E5" w:rsidR="00F44F3E" w:rsidRPr="00BD271D" w:rsidRDefault="00F44F3E" w:rsidP="00F44F3E">
            <w:pPr>
              <w:spacing w:after="0" w:line="240" w:lineRule="auto"/>
              <w:jc w:val="center"/>
              <w:rPr>
                <w:rFonts w:eastAsia="Times New Roman" w:cs="Times New Roman"/>
                <w:color w:val="000000"/>
                <w:szCs w:val="24"/>
                <w:lang w:val="en-GB"/>
              </w:rPr>
            </w:pPr>
          </w:p>
        </w:tc>
        <w:tc>
          <w:tcPr>
            <w:tcW w:w="1578" w:type="dxa"/>
            <w:tcBorders>
              <w:top w:val="nil"/>
              <w:left w:val="nil"/>
              <w:bottom w:val="single" w:sz="4" w:space="0" w:color="auto"/>
              <w:right w:val="single" w:sz="4" w:space="0" w:color="auto"/>
            </w:tcBorders>
            <w:shd w:val="clear" w:color="auto" w:fill="auto"/>
            <w:noWrap/>
            <w:hideMark/>
          </w:tcPr>
          <w:p w14:paraId="1B041755" w14:textId="62263909" w:rsidR="00F44F3E" w:rsidRPr="00BD271D" w:rsidRDefault="00F44F3E" w:rsidP="00F44F3E">
            <w:pPr>
              <w:spacing w:after="0" w:line="240" w:lineRule="auto"/>
              <w:jc w:val="center"/>
              <w:rPr>
                <w:rFonts w:eastAsia="Times New Roman" w:cs="Times New Roman"/>
                <w:color w:val="000000"/>
                <w:szCs w:val="24"/>
                <w:lang w:val="en-GB"/>
              </w:rPr>
            </w:pPr>
          </w:p>
        </w:tc>
      </w:tr>
      <w:tr w:rsidR="00F44F3E" w:rsidRPr="00BD271D" w14:paraId="71DFCD7C" w14:textId="77777777" w:rsidTr="00F44F3E">
        <w:trPr>
          <w:trHeight w:val="315"/>
          <w:jc w:val="center"/>
        </w:trPr>
        <w:tc>
          <w:tcPr>
            <w:tcW w:w="1975" w:type="dxa"/>
            <w:tcBorders>
              <w:top w:val="nil"/>
              <w:left w:val="single" w:sz="4" w:space="0" w:color="auto"/>
              <w:bottom w:val="single" w:sz="4" w:space="0" w:color="auto"/>
              <w:right w:val="single" w:sz="4" w:space="0" w:color="auto"/>
            </w:tcBorders>
            <w:shd w:val="clear" w:color="auto" w:fill="auto"/>
            <w:noWrap/>
            <w:hideMark/>
          </w:tcPr>
          <w:p w14:paraId="20C9D578" w14:textId="77777777" w:rsidR="00F44F3E" w:rsidRPr="00BD271D" w:rsidRDefault="00F44F3E" w:rsidP="00F44F3E">
            <w:pPr>
              <w:spacing w:after="0" w:line="240" w:lineRule="auto"/>
              <w:jc w:val="center"/>
              <w:rPr>
                <w:rFonts w:eastAsia="Times New Roman" w:cs="Times New Roman"/>
                <w:color w:val="000000"/>
                <w:szCs w:val="24"/>
                <w:lang w:val="en-GB"/>
              </w:rPr>
            </w:pPr>
            <w:r w:rsidRPr="00BD271D">
              <w:rPr>
                <w:rFonts w:eastAsia="Times New Roman" w:cs="Times New Roman"/>
                <w:color w:val="000000"/>
                <w:szCs w:val="24"/>
                <w:lang w:val="en-GB"/>
              </w:rPr>
              <w:t>ARR</w:t>
            </w:r>
          </w:p>
        </w:tc>
        <w:tc>
          <w:tcPr>
            <w:tcW w:w="1527" w:type="dxa"/>
            <w:tcBorders>
              <w:top w:val="nil"/>
              <w:left w:val="nil"/>
              <w:bottom w:val="single" w:sz="4" w:space="0" w:color="auto"/>
              <w:right w:val="single" w:sz="4" w:space="0" w:color="auto"/>
            </w:tcBorders>
            <w:shd w:val="clear" w:color="auto" w:fill="auto"/>
            <w:noWrap/>
            <w:hideMark/>
          </w:tcPr>
          <w:p w14:paraId="7A0F30BC" w14:textId="77777777" w:rsidR="00F44F3E" w:rsidRPr="00BD271D" w:rsidRDefault="00F44F3E" w:rsidP="00F44F3E">
            <w:pPr>
              <w:spacing w:after="0" w:line="240" w:lineRule="auto"/>
              <w:jc w:val="center"/>
              <w:rPr>
                <w:rFonts w:eastAsia="Times New Roman" w:cs="Times New Roman"/>
                <w:color w:val="000000"/>
                <w:szCs w:val="24"/>
                <w:lang w:val="en-GB"/>
              </w:rPr>
            </w:pPr>
            <w:r w:rsidRPr="00BD271D">
              <w:rPr>
                <w:rFonts w:eastAsia="Times New Roman" w:cs="Times New Roman"/>
                <w:color w:val="000000"/>
                <w:szCs w:val="24"/>
                <w:lang w:val="en-GB"/>
              </w:rPr>
              <w:t>36.76%</w:t>
            </w:r>
          </w:p>
        </w:tc>
        <w:tc>
          <w:tcPr>
            <w:tcW w:w="1578" w:type="dxa"/>
            <w:tcBorders>
              <w:top w:val="nil"/>
              <w:left w:val="nil"/>
              <w:bottom w:val="single" w:sz="4" w:space="0" w:color="auto"/>
              <w:right w:val="single" w:sz="4" w:space="0" w:color="auto"/>
            </w:tcBorders>
            <w:shd w:val="clear" w:color="auto" w:fill="auto"/>
            <w:noWrap/>
            <w:hideMark/>
          </w:tcPr>
          <w:p w14:paraId="33CD9BD3" w14:textId="77777777" w:rsidR="00F44F3E" w:rsidRPr="00BD271D" w:rsidRDefault="00F44F3E" w:rsidP="00F44F3E">
            <w:pPr>
              <w:spacing w:after="0" w:line="240" w:lineRule="auto"/>
              <w:jc w:val="center"/>
              <w:rPr>
                <w:rFonts w:eastAsia="Times New Roman" w:cs="Times New Roman"/>
                <w:color w:val="000000"/>
                <w:szCs w:val="24"/>
                <w:lang w:val="en-GB"/>
              </w:rPr>
            </w:pPr>
            <w:r w:rsidRPr="00BD271D">
              <w:rPr>
                <w:rFonts w:eastAsia="Times New Roman" w:cs="Times New Roman"/>
                <w:color w:val="000000"/>
                <w:szCs w:val="24"/>
                <w:lang w:val="en-GB"/>
              </w:rPr>
              <w:t>36.11%</w:t>
            </w:r>
          </w:p>
        </w:tc>
      </w:tr>
    </w:tbl>
    <w:p w14:paraId="47E5F4DB" w14:textId="057E91A3" w:rsidR="00BC6E95" w:rsidRPr="00BD271D" w:rsidRDefault="00BC6E95">
      <w:pPr>
        <w:rPr>
          <w:rFonts w:cs="Times New Roman"/>
          <w:lang w:val="en-GB"/>
        </w:rPr>
      </w:pPr>
    </w:p>
    <w:p w14:paraId="4E5A5944" w14:textId="136A3FE0" w:rsidR="008014A4" w:rsidRPr="00BD271D" w:rsidRDefault="008014A4" w:rsidP="008014A4">
      <w:pPr>
        <w:rPr>
          <w:rFonts w:cs="Times New Roman"/>
          <w:lang w:val="en-GB"/>
        </w:rPr>
      </w:pPr>
      <w:r w:rsidRPr="00BD271D">
        <w:rPr>
          <w:rFonts w:cs="Times New Roman"/>
          <w:lang w:val="en-GB"/>
        </w:rPr>
        <w:lastRenderedPageBreak/>
        <w:t xml:space="preserve">The concept of the Accounting Rate of Return (ARR) has suggested </w:t>
      </w:r>
      <w:r w:rsidR="00735450" w:rsidRPr="00BD271D">
        <w:rPr>
          <w:rFonts w:cs="Times New Roman"/>
          <w:lang w:val="en-GB"/>
        </w:rPr>
        <w:t>calculating</w:t>
      </w:r>
      <w:r w:rsidRPr="00BD271D">
        <w:rPr>
          <w:rFonts w:cs="Times New Roman"/>
          <w:lang w:val="en-GB"/>
        </w:rPr>
        <w:t xml:space="preserve"> the appropriate return for investment based on average income and</w:t>
      </w:r>
      <w:r w:rsidR="004A78CA" w:rsidRPr="00BD271D">
        <w:rPr>
          <w:rFonts w:cs="Times New Roman"/>
          <w:lang w:val="en-GB"/>
        </w:rPr>
        <w:t xml:space="preserve"> initial investment</w:t>
      </w:r>
      <w:r w:rsidR="00F74A0D" w:rsidRPr="00BD271D">
        <w:rPr>
          <w:rFonts w:cs="Times New Roman"/>
          <w:lang w:val="en-GB"/>
        </w:rPr>
        <w:t xml:space="preserve"> (Ward, 2020)</w:t>
      </w:r>
      <w:r w:rsidR="004A78CA" w:rsidRPr="00BD271D">
        <w:rPr>
          <w:rFonts w:cs="Times New Roman"/>
          <w:lang w:val="en-GB"/>
        </w:rPr>
        <w:t>.</w:t>
      </w:r>
      <w:r w:rsidR="00290207" w:rsidRPr="00BD271D">
        <w:rPr>
          <w:rFonts w:cs="Times New Roman"/>
          <w:lang w:val="en-GB"/>
        </w:rPr>
        <w:t xml:space="preserve"> </w:t>
      </w:r>
      <w:r w:rsidRPr="00BD271D">
        <w:rPr>
          <w:rFonts w:cs="Times New Roman"/>
          <w:lang w:val="en-GB"/>
        </w:rPr>
        <w:t>The project manager will accept the project when the</w:t>
      </w:r>
      <w:r w:rsidR="004A78CA" w:rsidRPr="00BD271D">
        <w:rPr>
          <w:rFonts w:cs="Times New Roman"/>
          <w:lang w:val="en-GB"/>
        </w:rPr>
        <w:t xml:space="preserve"> cost of the capital</w:t>
      </w:r>
      <w:r w:rsidRPr="00BD271D">
        <w:rPr>
          <w:rFonts w:cs="Times New Roman"/>
          <w:lang w:val="en-GB"/>
        </w:rPr>
        <w:t xml:space="preserve"> is lower than its</w:t>
      </w:r>
      <w:r w:rsidR="004A78CA" w:rsidRPr="00BD271D">
        <w:rPr>
          <w:rFonts w:cs="Times New Roman"/>
          <w:lang w:val="en-GB"/>
        </w:rPr>
        <w:t xml:space="preserve"> Accounting Rate of Return (ARR)</w:t>
      </w:r>
      <w:r w:rsidRPr="00BD271D">
        <w:rPr>
          <w:rFonts w:cs="Times New Roman"/>
          <w:lang w:val="en-GB"/>
        </w:rPr>
        <w:t>. In the above case, both project-A and Project-B have</w:t>
      </w:r>
      <w:r w:rsidR="004A78CA" w:rsidRPr="00BD271D">
        <w:rPr>
          <w:rFonts w:cs="Times New Roman"/>
          <w:lang w:val="en-GB"/>
        </w:rPr>
        <w:t xml:space="preserve"> higher Accounting Rate of Return </w:t>
      </w:r>
      <w:r w:rsidRPr="00BD271D">
        <w:rPr>
          <w:rFonts w:cs="Times New Roman"/>
          <w:lang w:val="en-GB"/>
        </w:rPr>
        <w:t>(</w:t>
      </w:r>
      <w:r w:rsidR="004A78CA" w:rsidRPr="00BD271D">
        <w:rPr>
          <w:rFonts w:cs="Times New Roman"/>
          <w:lang w:val="en-GB"/>
        </w:rPr>
        <w:t>ARR</w:t>
      </w:r>
      <w:r w:rsidRPr="00BD271D">
        <w:rPr>
          <w:rFonts w:cs="Times New Roman"/>
          <w:lang w:val="en-GB"/>
        </w:rPr>
        <w:t xml:space="preserve">) and these projects are viable. As these projects are mutually exclusive, the finance manager of the business </w:t>
      </w:r>
      <w:r w:rsidR="00502B25" w:rsidRPr="00BD271D">
        <w:rPr>
          <w:rFonts w:cs="Times New Roman"/>
          <w:lang w:val="en-GB"/>
        </w:rPr>
        <w:t>organisation</w:t>
      </w:r>
      <w:r w:rsidRPr="00BD271D">
        <w:rPr>
          <w:rFonts w:cs="Times New Roman"/>
          <w:lang w:val="en-GB"/>
        </w:rPr>
        <w:t xml:space="preserve"> will accept project-</w:t>
      </w:r>
      <w:r w:rsidR="00290207" w:rsidRPr="00BD271D">
        <w:rPr>
          <w:rFonts w:cs="Times New Roman"/>
          <w:lang w:val="en-GB"/>
        </w:rPr>
        <w:t>A</w:t>
      </w:r>
      <w:r w:rsidRPr="00BD271D">
        <w:rPr>
          <w:rFonts w:cs="Times New Roman"/>
          <w:lang w:val="en-GB"/>
        </w:rPr>
        <w:t xml:space="preserve"> that has higher</w:t>
      </w:r>
      <w:r w:rsidR="00290207" w:rsidRPr="00BD271D">
        <w:rPr>
          <w:rFonts w:cs="Times New Roman"/>
          <w:lang w:val="en-GB"/>
        </w:rPr>
        <w:t xml:space="preserve"> Accounting Rate of Return</w:t>
      </w:r>
      <w:r w:rsidRPr="00BD271D">
        <w:rPr>
          <w:rFonts w:cs="Times New Roman"/>
          <w:lang w:val="en-GB"/>
        </w:rPr>
        <w:t xml:space="preserve"> (</w:t>
      </w:r>
      <w:r w:rsidR="00290207" w:rsidRPr="00BD271D">
        <w:rPr>
          <w:rFonts w:cs="Times New Roman"/>
          <w:lang w:val="en-GB"/>
        </w:rPr>
        <w:t>ARR</w:t>
      </w:r>
      <w:r w:rsidRPr="00BD271D">
        <w:rPr>
          <w:rFonts w:cs="Times New Roman"/>
          <w:lang w:val="en-GB"/>
        </w:rPr>
        <w:t>) than project-</w:t>
      </w:r>
      <w:r w:rsidR="00290207" w:rsidRPr="00BD271D">
        <w:rPr>
          <w:rFonts w:cs="Times New Roman"/>
          <w:lang w:val="en-GB"/>
        </w:rPr>
        <w:t>B</w:t>
      </w:r>
      <w:r w:rsidRPr="00BD271D">
        <w:rPr>
          <w:rFonts w:cs="Times New Roman"/>
          <w:lang w:val="en-GB"/>
        </w:rPr>
        <w:t xml:space="preserve">. </w:t>
      </w:r>
    </w:p>
    <w:p w14:paraId="23C17B32" w14:textId="77777777" w:rsidR="00603307" w:rsidRPr="00BD271D" w:rsidRDefault="00603307" w:rsidP="008014A4">
      <w:pPr>
        <w:rPr>
          <w:rFonts w:cs="Times New Roman"/>
          <w:lang w:val="en-GB"/>
        </w:rPr>
      </w:pPr>
    </w:p>
    <w:p w14:paraId="68744964" w14:textId="266510C6" w:rsidR="00290207" w:rsidRPr="00BD271D" w:rsidRDefault="00290207" w:rsidP="008014A4">
      <w:pPr>
        <w:rPr>
          <w:rFonts w:cs="Times New Roman"/>
          <w:b/>
          <w:bCs/>
          <w:u w:val="single"/>
          <w:lang w:val="en-GB"/>
        </w:rPr>
      </w:pPr>
      <w:r w:rsidRPr="00BD271D">
        <w:rPr>
          <w:rFonts w:cs="Times New Roman"/>
          <w:b/>
          <w:bCs/>
          <w:u w:val="single"/>
          <w:lang w:val="en-GB"/>
        </w:rPr>
        <w:t xml:space="preserve">Payback period: </w:t>
      </w:r>
    </w:p>
    <w:p w14:paraId="4B97FAC6" w14:textId="06188510" w:rsidR="00603307" w:rsidRPr="00BD271D" w:rsidRDefault="003A7227" w:rsidP="003A7227">
      <w:pPr>
        <w:rPr>
          <w:rFonts w:cs="Times New Roman"/>
          <w:lang w:val="en-GB"/>
        </w:rPr>
      </w:pPr>
      <w:r w:rsidRPr="00BD271D">
        <w:rPr>
          <w:rFonts w:cs="Times New Roman"/>
          <w:lang w:val="en-GB"/>
        </w:rPr>
        <w:t>The investor has determined the payback period to identify the required time to get initial investment by</w:t>
      </w:r>
      <w:r w:rsidR="000A4F8D" w:rsidRPr="00BD271D">
        <w:rPr>
          <w:rFonts w:cs="Times New Roman"/>
          <w:lang w:val="en-GB"/>
        </w:rPr>
        <w:t xml:space="preserve"> calculation of the payback </w:t>
      </w:r>
      <w:r w:rsidR="00F74A0D" w:rsidRPr="00BD271D">
        <w:rPr>
          <w:rFonts w:cs="Times New Roman"/>
          <w:lang w:val="en-GB"/>
        </w:rPr>
        <w:t xml:space="preserve">period </w:t>
      </w:r>
      <w:r w:rsidR="00F74A0D" w:rsidRPr="00BD271D">
        <w:rPr>
          <w:rFonts w:cs="Times New Roman"/>
          <w:b/>
          <w:bCs/>
          <w:lang w:val="en-GB"/>
        </w:rPr>
        <w:t>(</w:t>
      </w:r>
      <w:r w:rsidR="00F74A0D" w:rsidRPr="00BD271D">
        <w:rPr>
          <w:rFonts w:cs="Times New Roman"/>
          <w:lang w:val="en-GB"/>
        </w:rPr>
        <w:t>Ananthan, Appannaiah and Reddy, 2010)</w:t>
      </w:r>
      <w:r w:rsidR="000A4F8D" w:rsidRPr="00BD271D">
        <w:rPr>
          <w:rFonts w:cs="Times New Roman"/>
          <w:lang w:val="en-GB"/>
        </w:rPr>
        <w:t xml:space="preserve">. The investor will consider the project as viable when </w:t>
      </w:r>
      <w:r w:rsidR="00735450" w:rsidRPr="00BD271D">
        <w:rPr>
          <w:rFonts w:cs="Times New Roman"/>
          <w:lang w:val="en-GB"/>
        </w:rPr>
        <w:t xml:space="preserve">the </w:t>
      </w:r>
      <w:r w:rsidR="000A4F8D" w:rsidRPr="00BD271D">
        <w:rPr>
          <w:rFonts w:cs="Times New Roman"/>
          <w:lang w:val="en-GB"/>
        </w:rPr>
        <w:t>payback period is lower than</w:t>
      </w:r>
      <w:r w:rsidR="00603307" w:rsidRPr="00BD271D">
        <w:rPr>
          <w:rFonts w:cs="Times New Roman"/>
          <w:lang w:val="en-GB"/>
        </w:rPr>
        <w:t xml:space="preserve"> </w:t>
      </w:r>
      <w:r w:rsidR="00735450" w:rsidRPr="00BD271D">
        <w:rPr>
          <w:rFonts w:cs="Times New Roman"/>
          <w:lang w:val="en-GB"/>
        </w:rPr>
        <w:t xml:space="preserve">the </w:t>
      </w:r>
      <w:r w:rsidR="00603307" w:rsidRPr="00BD271D">
        <w:rPr>
          <w:rFonts w:cs="Times New Roman"/>
          <w:lang w:val="en-GB"/>
        </w:rPr>
        <w:t>term of the project. The payback period is calculated below:</w:t>
      </w:r>
    </w:p>
    <w:tbl>
      <w:tblPr>
        <w:tblW w:w="4741" w:type="dxa"/>
        <w:jc w:val="center"/>
        <w:tblLook w:val="04A0" w:firstRow="1" w:lastRow="0" w:firstColumn="1" w:lastColumn="0" w:noHBand="0" w:noVBand="1"/>
      </w:tblPr>
      <w:tblGrid>
        <w:gridCol w:w="2065"/>
        <w:gridCol w:w="1260"/>
        <w:gridCol w:w="1416"/>
      </w:tblGrid>
      <w:tr w:rsidR="00D13FB7" w:rsidRPr="00BD271D" w14:paraId="26BD4407" w14:textId="77777777" w:rsidTr="00D13FB7">
        <w:trPr>
          <w:trHeight w:val="315"/>
          <w:jc w:val="center"/>
        </w:trPr>
        <w:tc>
          <w:tcPr>
            <w:tcW w:w="4741" w:type="dxa"/>
            <w:gridSpan w:val="3"/>
            <w:tcBorders>
              <w:top w:val="single" w:sz="4" w:space="0" w:color="auto"/>
              <w:left w:val="single" w:sz="4" w:space="0" w:color="auto"/>
              <w:bottom w:val="single" w:sz="4" w:space="0" w:color="auto"/>
              <w:right w:val="single" w:sz="4" w:space="0" w:color="auto"/>
            </w:tcBorders>
            <w:shd w:val="clear" w:color="auto" w:fill="auto"/>
            <w:noWrap/>
          </w:tcPr>
          <w:p w14:paraId="5F99B4E3" w14:textId="6AC09C72" w:rsidR="00D13FB7" w:rsidRPr="00BD271D" w:rsidRDefault="00D13FB7" w:rsidP="00D13FB7">
            <w:pPr>
              <w:spacing w:after="0" w:line="240" w:lineRule="auto"/>
              <w:jc w:val="center"/>
              <w:rPr>
                <w:rFonts w:eastAsia="Times New Roman" w:cs="Times New Roman"/>
                <w:b/>
                <w:bCs/>
                <w:color w:val="000000"/>
                <w:szCs w:val="24"/>
                <w:lang w:val="en-GB"/>
              </w:rPr>
            </w:pPr>
            <w:r w:rsidRPr="00BD271D">
              <w:rPr>
                <w:rFonts w:eastAsia="Times New Roman" w:cs="Times New Roman"/>
                <w:b/>
                <w:bCs/>
                <w:color w:val="000000"/>
                <w:szCs w:val="24"/>
                <w:lang w:val="en-GB"/>
              </w:rPr>
              <w:t>Project-A</w:t>
            </w:r>
          </w:p>
        </w:tc>
      </w:tr>
      <w:tr w:rsidR="00603307" w:rsidRPr="00BD271D" w14:paraId="1DC15684" w14:textId="77777777" w:rsidTr="00D13FB7">
        <w:trPr>
          <w:trHeight w:val="315"/>
          <w:jc w:val="center"/>
        </w:trPr>
        <w:tc>
          <w:tcPr>
            <w:tcW w:w="2065" w:type="dxa"/>
            <w:tcBorders>
              <w:top w:val="single" w:sz="4" w:space="0" w:color="auto"/>
              <w:left w:val="single" w:sz="4" w:space="0" w:color="auto"/>
              <w:bottom w:val="single" w:sz="4" w:space="0" w:color="auto"/>
              <w:right w:val="single" w:sz="4" w:space="0" w:color="auto"/>
            </w:tcBorders>
            <w:shd w:val="clear" w:color="auto" w:fill="auto"/>
            <w:noWrap/>
            <w:hideMark/>
          </w:tcPr>
          <w:p w14:paraId="7A257EFF" w14:textId="77777777" w:rsidR="00603307" w:rsidRPr="00BD271D" w:rsidRDefault="00603307" w:rsidP="00C0398B">
            <w:pPr>
              <w:spacing w:after="0" w:line="240" w:lineRule="auto"/>
              <w:jc w:val="center"/>
              <w:rPr>
                <w:rFonts w:eastAsia="Times New Roman" w:cs="Times New Roman"/>
                <w:b/>
                <w:bCs/>
                <w:color w:val="000000"/>
                <w:szCs w:val="24"/>
                <w:lang w:val="en-GB"/>
              </w:rPr>
            </w:pPr>
            <w:r w:rsidRPr="00BD271D">
              <w:rPr>
                <w:rFonts w:eastAsia="Times New Roman" w:cs="Times New Roman"/>
                <w:b/>
                <w:bCs/>
                <w:color w:val="000000"/>
                <w:szCs w:val="24"/>
                <w:lang w:val="en-GB"/>
              </w:rPr>
              <w:t>Year</w:t>
            </w:r>
          </w:p>
        </w:tc>
        <w:tc>
          <w:tcPr>
            <w:tcW w:w="1260" w:type="dxa"/>
            <w:tcBorders>
              <w:top w:val="single" w:sz="4" w:space="0" w:color="auto"/>
              <w:left w:val="nil"/>
              <w:bottom w:val="single" w:sz="4" w:space="0" w:color="auto"/>
              <w:right w:val="single" w:sz="4" w:space="0" w:color="auto"/>
            </w:tcBorders>
            <w:shd w:val="clear" w:color="auto" w:fill="auto"/>
            <w:noWrap/>
            <w:hideMark/>
          </w:tcPr>
          <w:p w14:paraId="0B85E850" w14:textId="77777777" w:rsidR="00603307" w:rsidRPr="00BD271D" w:rsidRDefault="00603307" w:rsidP="00C0398B">
            <w:pPr>
              <w:spacing w:after="0" w:line="240" w:lineRule="auto"/>
              <w:jc w:val="center"/>
              <w:rPr>
                <w:rFonts w:eastAsia="Times New Roman" w:cs="Times New Roman"/>
                <w:b/>
                <w:bCs/>
                <w:color w:val="000000"/>
                <w:szCs w:val="24"/>
                <w:lang w:val="en-GB"/>
              </w:rPr>
            </w:pPr>
            <w:r w:rsidRPr="00BD271D">
              <w:rPr>
                <w:rFonts w:eastAsia="Times New Roman" w:cs="Times New Roman"/>
                <w:b/>
                <w:bCs/>
                <w:color w:val="000000"/>
                <w:szCs w:val="24"/>
                <w:lang w:val="en-GB"/>
              </w:rPr>
              <w:t>Cash Flow</w:t>
            </w:r>
          </w:p>
        </w:tc>
        <w:tc>
          <w:tcPr>
            <w:tcW w:w="1416" w:type="dxa"/>
            <w:tcBorders>
              <w:top w:val="single" w:sz="4" w:space="0" w:color="auto"/>
              <w:left w:val="nil"/>
              <w:bottom w:val="single" w:sz="4" w:space="0" w:color="auto"/>
              <w:right w:val="single" w:sz="4" w:space="0" w:color="auto"/>
            </w:tcBorders>
            <w:shd w:val="clear" w:color="auto" w:fill="auto"/>
            <w:noWrap/>
            <w:hideMark/>
          </w:tcPr>
          <w:p w14:paraId="2B2DF94A" w14:textId="77777777" w:rsidR="00603307" w:rsidRPr="00BD271D" w:rsidRDefault="00603307" w:rsidP="00C0398B">
            <w:pPr>
              <w:spacing w:after="0" w:line="240" w:lineRule="auto"/>
              <w:jc w:val="center"/>
              <w:rPr>
                <w:rFonts w:eastAsia="Times New Roman" w:cs="Times New Roman"/>
                <w:b/>
                <w:bCs/>
                <w:color w:val="000000"/>
                <w:szCs w:val="24"/>
                <w:lang w:val="en-GB"/>
              </w:rPr>
            </w:pPr>
            <w:r w:rsidRPr="00BD271D">
              <w:rPr>
                <w:rFonts w:eastAsia="Times New Roman" w:cs="Times New Roman"/>
                <w:b/>
                <w:bCs/>
                <w:color w:val="000000"/>
                <w:szCs w:val="24"/>
                <w:lang w:val="en-GB"/>
              </w:rPr>
              <w:t>Cumulative Cash Flow</w:t>
            </w:r>
          </w:p>
        </w:tc>
      </w:tr>
      <w:tr w:rsidR="00603307" w:rsidRPr="00BD271D" w14:paraId="653B01D3" w14:textId="77777777" w:rsidTr="00D13FB7">
        <w:trPr>
          <w:trHeight w:val="315"/>
          <w:jc w:val="center"/>
        </w:trPr>
        <w:tc>
          <w:tcPr>
            <w:tcW w:w="2065" w:type="dxa"/>
            <w:tcBorders>
              <w:top w:val="nil"/>
              <w:left w:val="single" w:sz="4" w:space="0" w:color="auto"/>
              <w:bottom w:val="single" w:sz="4" w:space="0" w:color="auto"/>
              <w:right w:val="single" w:sz="4" w:space="0" w:color="auto"/>
            </w:tcBorders>
            <w:shd w:val="clear" w:color="auto" w:fill="auto"/>
            <w:noWrap/>
            <w:hideMark/>
          </w:tcPr>
          <w:p w14:paraId="1D20B622" w14:textId="77777777" w:rsidR="00603307" w:rsidRPr="00BD271D" w:rsidRDefault="00603307" w:rsidP="00C0398B">
            <w:pPr>
              <w:spacing w:after="0" w:line="240" w:lineRule="auto"/>
              <w:jc w:val="left"/>
              <w:rPr>
                <w:rFonts w:eastAsia="Times New Roman" w:cs="Times New Roman"/>
                <w:color w:val="000000"/>
                <w:szCs w:val="24"/>
                <w:lang w:val="en-GB"/>
              </w:rPr>
            </w:pPr>
            <w:r w:rsidRPr="00BD271D">
              <w:rPr>
                <w:rFonts w:eastAsia="Times New Roman" w:cs="Times New Roman"/>
                <w:color w:val="000000"/>
                <w:szCs w:val="24"/>
                <w:lang w:val="en-GB"/>
              </w:rPr>
              <w:t>1</w:t>
            </w:r>
          </w:p>
        </w:tc>
        <w:tc>
          <w:tcPr>
            <w:tcW w:w="1260" w:type="dxa"/>
            <w:tcBorders>
              <w:top w:val="nil"/>
              <w:left w:val="nil"/>
              <w:bottom w:val="single" w:sz="4" w:space="0" w:color="auto"/>
              <w:right w:val="single" w:sz="4" w:space="0" w:color="auto"/>
            </w:tcBorders>
            <w:shd w:val="clear" w:color="auto" w:fill="auto"/>
            <w:noWrap/>
            <w:hideMark/>
          </w:tcPr>
          <w:p w14:paraId="0AF80854" w14:textId="77777777" w:rsidR="00603307" w:rsidRPr="00BD271D" w:rsidRDefault="00603307" w:rsidP="00D13FB7">
            <w:pPr>
              <w:spacing w:after="0" w:line="240" w:lineRule="auto"/>
              <w:jc w:val="center"/>
              <w:rPr>
                <w:rFonts w:eastAsia="Times New Roman" w:cs="Times New Roman"/>
                <w:color w:val="000000"/>
                <w:szCs w:val="24"/>
                <w:lang w:val="en-GB"/>
              </w:rPr>
            </w:pPr>
            <w:r w:rsidRPr="00BD271D">
              <w:rPr>
                <w:rFonts w:eastAsia="Times New Roman" w:cs="Times New Roman"/>
                <w:color w:val="000000"/>
                <w:szCs w:val="24"/>
                <w:lang w:val="en-GB"/>
              </w:rPr>
              <w:t>10</w:t>
            </w:r>
          </w:p>
        </w:tc>
        <w:tc>
          <w:tcPr>
            <w:tcW w:w="1416" w:type="dxa"/>
            <w:tcBorders>
              <w:top w:val="nil"/>
              <w:left w:val="nil"/>
              <w:bottom w:val="single" w:sz="4" w:space="0" w:color="auto"/>
              <w:right w:val="single" w:sz="4" w:space="0" w:color="auto"/>
            </w:tcBorders>
            <w:shd w:val="clear" w:color="auto" w:fill="auto"/>
            <w:noWrap/>
            <w:hideMark/>
          </w:tcPr>
          <w:p w14:paraId="6864270D" w14:textId="77777777" w:rsidR="00603307" w:rsidRPr="00BD271D" w:rsidRDefault="00603307" w:rsidP="00D13FB7">
            <w:pPr>
              <w:spacing w:after="0" w:line="240" w:lineRule="auto"/>
              <w:jc w:val="center"/>
              <w:rPr>
                <w:rFonts w:eastAsia="Times New Roman" w:cs="Times New Roman"/>
                <w:color w:val="000000"/>
                <w:szCs w:val="24"/>
                <w:lang w:val="en-GB"/>
              </w:rPr>
            </w:pPr>
            <w:r w:rsidRPr="00BD271D">
              <w:rPr>
                <w:rFonts w:eastAsia="Times New Roman" w:cs="Times New Roman"/>
                <w:color w:val="000000"/>
                <w:szCs w:val="24"/>
                <w:lang w:val="en-GB"/>
              </w:rPr>
              <w:t>10</w:t>
            </w:r>
          </w:p>
        </w:tc>
      </w:tr>
      <w:tr w:rsidR="00603307" w:rsidRPr="00BD271D" w14:paraId="45269CD0" w14:textId="77777777" w:rsidTr="00D13FB7">
        <w:trPr>
          <w:trHeight w:val="315"/>
          <w:jc w:val="center"/>
        </w:trPr>
        <w:tc>
          <w:tcPr>
            <w:tcW w:w="2065" w:type="dxa"/>
            <w:tcBorders>
              <w:top w:val="nil"/>
              <w:left w:val="single" w:sz="4" w:space="0" w:color="auto"/>
              <w:bottom w:val="single" w:sz="4" w:space="0" w:color="auto"/>
              <w:right w:val="single" w:sz="4" w:space="0" w:color="auto"/>
            </w:tcBorders>
            <w:shd w:val="clear" w:color="auto" w:fill="auto"/>
            <w:noWrap/>
            <w:hideMark/>
          </w:tcPr>
          <w:p w14:paraId="23C1EF45" w14:textId="77777777" w:rsidR="00603307" w:rsidRPr="00BD271D" w:rsidRDefault="00603307" w:rsidP="00C0398B">
            <w:pPr>
              <w:spacing w:after="0" w:line="240" w:lineRule="auto"/>
              <w:jc w:val="left"/>
              <w:rPr>
                <w:rFonts w:eastAsia="Times New Roman" w:cs="Times New Roman"/>
                <w:color w:val="000000"/>
                <w:szCs w:val="24"/>
                <w:lang w:val="en-GB"/>
              </w:rPr>
            </w:pPr>
            <w:r w:rsidRPr="00BD271D">
              <w:rPr>
                <w:rFonts w:eastAsia="Times New Roman" w:cs="Times New Roman"/>
                <w:color w:val="000000"/>
                <w:szCs w:val="24"/>
                <w:lang w:val="en-GB"/>
              </w:rPr>
              <w:t>2</w:t>
            </w:r>
          </w:p>
        </w:tc>
        <w:tc>
          <w:tcPr>
            <w:tcW w:w="1260" w:type="dxa"/>
            <w:tcBorders>
              <w:top w:val="nil"/>
              <w:left w:val="nil"/>
              <w:bottom w:val="single" w:sz="4" w:space="0" w:color="auto"/>
              <w:right w:val="single" w:sz="4" w:space="0" w:color="auto"/>
            </w:tcBorders>
            <w:shd w:val="clear" w:color="auto" w:fill="auto"/>
            <w:noWrap/>
            <w:hideMark/>
          </w:tcPr>
          <w:p w14:paraId="6204E7F5" w14:textId="77777777" w:rsidR="00603307" w:rsidRPr="00BD271D" w:rsidRDefault="00603307" w:rsidP="00D13FB7">
            <w:pPr>
              <w:spacing w:after="0" w:line="240" w:lineRule="auto"/>
              <w:jc w:val="center"/>
              <w:rPr>
                <w:rFonts w:eastAsia="Times New Roman" w:cs="Times New Roman"/>
                <w:color w:val="000000"/>
                <w:szCs w:val="24"/>
                <w:lang w:val="en-GB"/>
              </w:rPr>
            </w:pPr>
            <w:r w:rsidRPr="00BD271D">
              <w:rPr>
                <w:rFonts w:eastAsia="Times New Roman" w:cs="Times New Roman"/>
                <w:color w:val="000000"/>
                <w:szCs w:val="24"/>
                <w:lang w:val="en-GB"/>
              </w:rPr>
              <w:t>20</w:t>
            </w:r>
          </w:p>
        </w:tc>
        <w:tc>
          <w:tcPr>
            <w:tcW w:w="1416" w:type="dxa"/>
            <w:tcBorders>
              <w:top w:val="nil"/>
              <w:left w:val="nil"/>
              <w:bottom w:val="single" w:sz="4" w:space="0" w:color="auto"/>
              <w:right w:val="single" w:sz="4" w:space="0" w:color="auto"/>
            </w:tcBorders>
            <w:shd w:val="clear" w:color="auto" w:fill="auto"/>
            <w:noWrap/>
            <w:hideMark/>
          </w:tcPr>
          <w:p w14:paraId="71437D30" w14:textId="77777777" w:rsidR="00603307" w:rsidRPr="00BD271D" w:rsidRDefault="00603307" w:rsidP="00D13FB7">
            <w:pPr>
              <w:spacing w:after="0" w:line="240" w:lineRule="auto"/>
              <w:jc w:val="center"/>
              <w:rPr>
                <w:rFonts w:eastAsia="Times New Roman" w:cs="Times New Roman"/>
                <w:color w:val="000000"/>
                <w:szCs w:val="24"/>
                <w:lang w:val="en-GB"/>
              </w:rPr>
            </w:pPr>
            <w:r w:rsidRPr="00BD271D">
              <w:rPr>
                <w:rFonts w:eastAsia="Times New Roman" w:cs="Times New Roman"/>
                <w:color w:val="000000"/>
                <w:szCs w:val="24"/>
                <w:lang w:val="en-GB"/>
              </w:rPr>
              <w:t>30</w:t>
            </w:r>
          </w:p>
        </w:tc>
      </w:tr>
      <w:tr w:rsidR="00603307" w:rsidRPr="00BD271D" w14:paraId="63CEB007" w14:textId="77777777" w:rsidTr="00D13FB7">
        <w:trPr>
          <w:trHeight w:val="315"/>
          <w:jc w:val="center"/>
        </w:trPr>
        <w:tc>
          <w:tcPr>
            <w:tcW w:w="2065" w:type="dxa"/>
            <w:tcBorders>
              <w:top w:val="nil"/>
              <w:left w:val="single" w:sz="4" w:space="0" w:color="auto"/>
              <w:bottom w:val="single" w:sz="4" w:space="0" w:color="auto"/>
              <w:right w:val="single" w:sz="4" w:space="0" w:color="auto"/>
            </w:tcBorders>
            <w:shd w:val="clear" w:color="auto" w:fill="auto"/>
            <w:noWrap/>
            <w:hideMark/>
          </w:tcPr>
          <w:p w14:paraId="755AB37F" w14:textId="77777777" w:rsidR="00603307" w:rsidRPr="00BD271D" w:rsidRDefault="00603307" w:rsidP="00C0398B">
            <w:pPr>
              <w:spacing w:after="0" w:line="240" w:lineRule="auto"/>
              <w:jc w:val="left"/>
              <w:rPr>
                <w:rFonts w:eastAsia="Times New Roman" w:cs="Times New Roman"/>
                <w:color w:val="000000"/>
                <w:szCs w:val="24"/>
                <w:lang w:val="en-GB"/>
              </w:rPr>
            </w:pPr>
            <w:r w:rsidRPr="00BD271D">
              <w:rPr>
                <w:rFonts w:eastAsia="Times New Roman" w:cs="Times New Roman"/>
                <w:color w:val="000000"/>
                <w:szCs w:val="24"/>
                <w:lang w:val="en-GB"/>
              </w:rPr>
              <w:t>3</w:t>
            </w:r>
          </w:p>
        </w:tc>
        <w:tc>
          <w:tcPr>
            <w:tcW w:w="1260" w:type="dxa"/>
            <w:tcBorders>
              <w:top w:val="nil"/>
              <w:left w:val="nil"/>
              <w:bottom w:val="single" w:sz="4" w:space="0" w:color="auto"/>
              <w:right w:val="single" w:sz="4" w:space="0" w:color="auto"/>
            </w:tcBorders>
            <w:shd w:val="clear" w:color="auto" w:fill="auto"/>
            <w:noWrap/>
            <w:hideMark/>
          </w:tcPr>
          <w:p w14:paraId="33A50A78" w14:textId="77777777" w:rsidR="00603307" w:rsidRPr="00BD271D" w:rsidRDefault="00603307" w:rsidP="00D13FB7">
            <w:pPr>
              <w:spacing w:after="0" w:line="240" w:lineRule="auto"/>
              <w:jc w:val="center"/>
              <w:rPr>
                <w:rFonts w:eastAsia="Times New Roman" w:cs="Times New Roman"/>
                <w:color w:val="000000"/>
                <w:szCs w:val="24"/>
                <w:lang w:val="en-GB"/>
              </w:rPr>
            </w:pPr>
            <w:r w:rsidRPr="00BD271D">
              <w:rPr>
                <w:rFonts w:eastAsia="Times New Roman" w:cs="Times New Roman"/>
                <w:color w:val="000000"/>
                <w:szCs w:val="24"/>
                <w:lang w:val="en-GB"/>
              </w:rPr>
              <w:t>40</w:t>
            </w:r>
          </w:p>
        </w:tc>
        <w:tc>
          <w:tcPr>
            <w:tcW w:w="1416" w:type="dxa"/>
            <w:tcBorders>
              <w:top w:val="nil"/>
              <w:left w:val="nil"/>
              <w:bottom w:val="single" w:sz="4" w:space="0" w:color="auto"/>
              <w:right w:val="single" w:sz="4" w:space="0" w:color="auto"/>
            </w:tcBorders>
            <w:shd w:val="clear" w:color="auto" w:fill="auto"/>
            <w:noWrap/>
            <w:hideMark/>
          </w:tcPr>
          <w:p w14:paraId="5D8F76D5" w14:textId="77777777" w:rsidR="00603307" w:rsidRPr="00BD271D" w:rsidRDefault="00603307" w:rsidP="00D13FB7">
            <w:pPr>
              <w:spacing w:after="0" w:line="240" w:lineRule="auto"/>
              <w:jc w:val="center"/>
              <w:rPr>
                <w:rFonts w:eastAsia="Times New Roman" w:cs="Times New Roman"/>
                <w:color w:val="000000"/>
                <w:szCs w:val="24"/>
                <w:lang w:val="en-GB"/>
              </w:rPr>
            </w:pPr>
            <w:r w:rsidRPr="00BD271D">
              <w:rPr>
                <w:rFonts w:eastAsia="Times New Roman" w:cs="Times New Roman"/>
                <w:color w:val="000000"/>
                <w:szCs w:val="24"/>
                <w:lang w:val="en-GB"/>
              </w:rPr>
              <w:t>60</w:t>
            </w:r>
          </w:p>
        </w:tc>
      </w:tr>
      <w:tr w:rsidR="00603307" w:rsidRPr="00BD271D" w14:paraId="7022F383" w14:textId="77777777" w:rsidTr="00D13FB7">
        <w:trPr>
          <w:trHeight w:val="315"/>
          <w:jc w:val="center"/>
        </w:trPr>
        <w:tc>
          <w:tcPr>
            <w:tcW w:w="2065" w:type="dxa"/>
            <w:tcBorders>
              <w:top w:val="nil"/>
              <w:left w:val="single" w:sz="4" w:space="0" w:color="auto"/>
              <w:bottom w:val="single" w:sz="4" w:space="0" w:color="auto"/>
              <w:right w:val="single" w:sz="4" w:space="0" w:color="auto"/>
            </w:tcBorders>
            <w:shd w:val="clear" w:color="auto" w:fill="auto"/>
            <w:noWrap/>
            <w:hideMark/>
          </w:tcPr>
          <w:p w14:paraId="0B43F6E8" w14:textId="77777777" w:rsidR="00603307" w:rsidRPr="00BD271D" w:rsidRDefault="00603307" w:rsidP="00C0398B">
            <w:pPr>
              <w:spacing w:after="0" w:line="240" w:lineRule="auto"/>
              <w:jc w:val="left"/>
              <w:rPr>
                <w:rFonts w:eastAsia="Times New Roman" w:cs="Times New Roman"/>
                <w:color w:val="000000"/>
                <w:szCs w:val="24"/>
                <w:lang w:val="en-GB"/>
              </w:rPr>
            </w:pPr>
            <w:r w:rsidRPr="00BD271D">
              <w:rPr>
                <w:rFonts w:eastAsia="Times New Roman" w:cs="Times New Roman"/>
                <w:color w:val="000000"/>
                <w:szCs w:val="24"/>
                <w:lang w:val="en-GB"/>
              </w:rPr>
              <w:t>4</w:t>
            </w:r>
          </w:p>
        </w:tc>
        <w:tc>
          <w:tcPr>
            <w:tcW w:w="1260" w:type="dxa"/>
            <w:tcBorders>
              <w:top w:val="nil"/>
              <w:left w:val="nil"/>
              <w:bottom w:val="single" w:sz="4" w:space="0" w:color="auto"/>
              <w:right w:val="single" w:sz="4" w:space="0" w:color="auto"/>
            </w:tcBorders>
            <w:shd w:val="clear" w:color="auto" w:fill="auto"/>
            <w:noWrap/>
            <w:hideMark/>
          </w:tcPr>
          <w:p w14:paraId="4963C725" w14:textId="77777777" w:rsidR="00603307" w:rsidRPr="00BD271D" w:rsidRDefault="00603307" w:rsidP="00D13FB7">
            <w:pPr>
              <w:spacing w:after="0" w:line="240" w:lineRule="auto"/>
              <w:jc w:val="center"/>
              <w:rPr>
                <w:rFonts w:eastAsia="Times New Roman" w:cs="Times New Roman"/>
                <w:color w:val="000000"/>
                <w:szCs w:val="24"/>
                <w:lang w:val="en-GB"/>
              </w:rPr>
            </w:pPr>
            <w:r w:rsidRPr="00BD271D">
              <w:rPr>
                <w:rFonts w:eastAsia="Times New Roman" w:cs="Times New Roman"/>
                <w:color w:val="000000"/>
                <w:szCs w:val="24"/>
                <w:lang w:val="en-GB"/>
              </w:rPr>
              <w:t>55</w:t>
            </w:r>
          </w:p>
        </w:tc>
        <w:tc>
          <w:tcPr>
            <w:tcW w:w="1416" w:type="dxa"/>
            <w:tcBorders>
              <w:top w:val="nil"/>
              <w:left w:val="nil"/>
              <w:bottom w:val="single" w:sz="4" w:space="0" w:color="auto"/>
              <w:right w:val="single" w:sz="4" w:space="0" w:color="auto"/>
            </w:tcBorders>
            <w:shd w:val="clear" w:color="auto" w:fill="auto"/>
            <w:noWrap/>
            <w:hideMark/>
          </w:tcPr>
          <w:p w14:paraId="13DBBE5F" w14:textId="77777777" w:rsidR="00603307" w:rsidRPr="00BD271D" w:rsidRDefault="00603307" w:rsidP="00D13FB7">
            <w:pPr>
              <w:spacing w:after="0" w:line="240" w:lineRule="auto"/>
              <w:jc w:val="center"/>
              <w:rPr>
                <w:rFonts w:eastAsia="Times New Roman" w:cs="Times New Roman"/>
                <w:color w:val="000000"/>
                <w:szCs w:val="24"/>
                <w:lang w:val="en-GB"/>
              </w:rPr>
            </w:pPr>
            <w:r w:rsidRPr="00BD271D">
              <w:rPr>
                <w:rFonts w:eastAsia="Times New Roman" w:cs="Times New Roman"/>
                <w:color w:val="000000"/>
                <w:szCs w:val="24"/>
                <w:lang w:val="en-GB"/>
              </w:rPr>
              <w:t>115</w:t>
            </w:r>
          </w:p>
        </w:tc>
      </w:tr>
      <w:tr w:rsidR="00603307" w:rsidRPr="00BD271D" w14:paraId="72A7F13B" w14:textId="77777777" w:rsidTr="00D13FB7">
        <w:trPr>
          <w:trHeight w:val="315"/>
          <w:jc w:val="center"/>
        </w:trPr>
        <w:tc>
          <w:tcPr>
            <w:tcW w:w="2065" w:type="dxa"/>
            <w:tcBorders>
              <w:top w:val="nil"/>
              <w:left w:val="single" w:sz="4" w:space="0" w:color="auto"/>
              <w:bottom w:val="single" w:sz="4" w:space="0" w:color="auto"/>
              <w:right w:val="single" w:sz="4" w:space="0" w:color="auto"/>
            </w:tcBorders>
            <w:shd w:val="clear" w:color="auto" w:fill="auto"/>
            <w:noWrap/>
            <w:hideMark/>
          </w:tcPr>
          <w:p w14:paraId="77732C84" w14:textId="77777777" w:rsidR="00603307" w:rsidRPr="00BD271D" w:rsidRDefault="00603307" w:rsidP="00C0398B">
            <w:pPr>
              <w:spacing w:after="0" w:line="240" w:lineRule="auto"/>
              <w:jc w:val="right"/>
              <w:rPr>
                <w:rFonts w:eastAsia="Times New Roman" w:cs="Times New Roman"/>
                <w:b/>
                <w:bCs/>
                <w:color w:val="000000"/>
                <w:szCs w:val="24"/>
                <w:lang w:val="en-GB"/>
              </w:rPr>
            </w:pPr>
            <w:r w:rsidRPr="00BD271D">
              <w:rPr>
                <w:rFonts w:eastAsia="Times New Roman" w:cs="Times New Roman"/>
                <w:b/>
                <w:bCs/>
                <w:color w:val="000000"/>
                <w:szCs w:val="24"/>
                <w:lang w:val="en-GB"/>
              </w:rPr>
              <w:t>Payback period</w:t>
            </w:r>
          </w:p>
        </w:tc>
        <w:tc>
          <w:tcPr>
            <w:tcW w:w="1260" w:type="dxa"/>
            <w:tcBorders>
              <w:top w:val="nil"/>
              <w:left w:val="nil"/>
              <w:bottom w:val="single" w:sz="4" w:space="0" w:color="auto"/>
              <w:right w:val="single" w:sz="4" w:space="0" w:color="auto"/>
            </w:tcBorders>
            <w:shd w:val="clear" w:color="auto" w:fill="auto"/>
            <w:noWrap/>
            <w:hideMark/>
          </w:tcPr>
          <w:p w14:paraId="187FB03A" w14:textId="50E5E2A7" w:rsidR="00603307" w:rsidRPr="00BD271D" w:rsidRDefault="00603307" w:rsidP="00D13FB7">
            <w:pPr>
              <w:spacing w:after="0" w:line="240" w:lineRule="auto"/>
              <w:jc w:val="center"/>
              <w:rPr>
                <w:rFonts w:eastAsia="Times New Roman" w:cs="Times New Roman"/>
                <w:b/>
                <w:bCs/>
                <w:color w:val="000000"/>
                <w:szCs w:val="24"/>
                <w:lang w:val="en-GB"/>
              </w:rPr>
            </w:pPr>
          </w:p>
        </w:tc>
        <w:tc>
          <w:tcPr>
            <w:tcW w:w="1416" w:type="dxa"/>
            <w:tcBorders>
              <w:top w:val="nil"/>
              <w:left w:val="nil"/>
              <w:bottom w:val="single" w:sz="4" w:space="0" w:color="auto"/>
              <w:right w:val="single" w:sz="4" w:space="0" w:color="auto"/>
            </w:tcBorders>
            <w:shd w:val="clear" w:color="auto" w:fill="auto"/>
            <w:noWrap/>
            <w:hideMark/>
          </w:tcPr>
          <w:p w14:paraId="759866AD" w14:textId="77777777" w:rsidR="00603307" w:rsidRPr="00BD271D" w:rsidRDefault="00603307" w:rsidP="00D13FB7">
            <w:pPr>
              <w:spacing w:after="0" w:line="240" w:lineRule="auto"/>
              <w:jc w:val="center"/>
              <w:rPr>
                <w:rFonts w:eastAsia="Times New Roman" w:cs="Times New Roman"/>
                <w:b/>
                <w:bCs/>
                <w:color w:val="000000"/>
                <w:szCs w:val="24"/>
                <w:lang w:val="en-GB"/>
              </w:rPr>
            </w:pPr>
            <w:r w:rsidRPr="00BD271D">
              <w:rPr>
                <w:rFonts w:eastAsia="Times New Roman" w:cs="Times New Roman"/>
                <w:b/>
                <w:bCs/>
                <w:color w:val="000000"/>
                <w:szCs w:val="24"/>
                <w:lang w:val="en-GB"/>
              </w:rPr>
              <w:t>3.4545</w:t>
            </w:r>
          </w:p>
        </w:tc>
      </w:tr>
    </w:tbl>
    <w:p w14:paraId="5D854C75" w14:textId="77777777" w:rsidR="00D13FB7" w:rsidRPr="00BD271D" w:rsidRDefault="00603307" w:rsidP="003A7227">
      <w:pPr>
        <w:rPr>
          <w:rFonts w:cs="Times New Roman"/>
          <w:lang w:val="en-GB"/>
        </w:rPr>
      </w:pPr>
      <w:r w:rsidRPr="00BD271D">
        <w:rPr>
          <w:rFonts w:cs="Times New Roman"/>
          <w:lang w:val="en-GB"/>
        </w:rPr>
        <w:t xml:space="preserve"> </w:t>
      </w:r>
      <w:r w:rsidR="000A4F8D" w:rsidRPr="00BD271D">
        <w:rPr>
          <w:rFonts w:cs="Times New Roman"/>
          <w:lang w:val="en-GB"/>
        </w:rPr>
        <w:t xml:space="preserve"> </w:t>
      </w:r>
      <w:r w:rsidR="003A7227" w:rsidRPr="00BD271D">
        <w:rPr>
          <w:rFonts w:cs="Times New Roman"/>
          <w:lang w:val="en-GB"/>
        </w:rPr>
        <w:t xml:space="preserve">  </w:t>
      </w:r>
    </w:p>
    <w:tbl>
      <w:tblPr>
        <w:tblW w:w="4585" w:type="dxa"/>
        <w:jc w:val="center"/>
        <w:tblLook w:val="04A0" w:firstRow="1" w:lastRow="0" w:firstColumn="1" w:lastColumn="0" w:noHBand="0" w:noVBand="1"/>
      </w:tblPr>
      <w:tblGrid>
        <w:gridCol w:w="2065"/>
        <w:gridCol w:w="990"/>
        <w:gridCol w:w="1530"/>
      </w:tblGrid>
      <w:tr w:rsidR="00DF33B9" w:rsidRPr="00BD271D" w14:paraId="52F3EFFA" w14:textId="77777777" w:rsidTr="006D1140">
        <w:trPr>
          <w:trHeight w:val="315"/>
          <w:jc w:val="center"/>
        </w:trPr>
        <w:tc>
          <w:tcPr>
            <w:tcW w:w="4585" w:type="dxa"/>
            <w:gridSpan w:val="3"/>
            <w:tcBorders>
              <w:top w:val="single" w:sz="4" w:space="0" w:color="auto"/>
              <w:left w:val="single" w:sz="4" w:space="0" w:color="auto"/>
              <w:bottom w:val="single" w:sz="4" w:space="0" w:color="auto"/>
              <w:right w:val="single" w:sz="4" w:space="0" w:color="auto"/>
            </w:tcBorders>
            <w:shd w:val="clear" w:color="auto" w:fill="auto"/>
            <w:noWrap/>
          </w:tcPr>
          <w:p w14:paraId="55CA74E9" w14:textId="17EF796B" w:rsidR="00DF33B9" w:rsidRPr="00BD271D" w:rsidRDefault="00DF33B9" w:rsidP="00D13FB7">
            <w:pPr>
              <w:spacing w:after="0" w:line="240" w:lineRule="auto"/>
              <w:jc w:val="center"/>
              <w:rPr>
                <w:rFonts w:eastAsia="Times New Roman" w:cs="Times New Roman"/>
                <w:b/>
                <w:bCs/>
                <w:color w:val="000000"/>
                <w:szCs w:val="24"/>
                <w:lang w:val="en-GB"/>
              </w:rPr>
            </w:pPr>
            <w:r w:rsidRPr="00BD271D">
              <w:rPr>
                <w:rFonts w:eastAsia="Times New Roman" w:cs="Times New Roman"/>
                <w:b/>
                <w:bCs/>
                <w:color w:val="000000"/>
                <w:szCs w:val="24"/>
                <w:lang w:val="en-GB"/>
              </w:rPr>
              <w:t>Project-B</w:t>
            </w:r>
          </w:p>
        </w:tc>
      </w:tr>
      <w:tr w:rsidR="00D13FB7" w:rsidRPr="00BD271D" w14:paraId="37A17917" w14:textId="77777777" w:rsidTr="00DF33B9">
        <w:trPr>
          <w:trHeight w:val="315"/>
          <w:jc w:val="center"/>
        </w:trPr>
        <w:tc>
          <w:tcPr>
            <w:tcW w:w="2065" w:type="dxa"/>
            <w:tcBorders>
              <w:top w:val="single" w:sz="4" w:space="0" w:color="auto"/>
              <w:left w:val="single" w:sz="4" w:space="0" w:color="auto"/>
              <w:bottom w:val="single" w:sz="4" w:space="0" w:color="auto"/>
              <w:right w:val="single" w:sz="4" w:space="0" w:color="auto"/>
            </w:tcBorders>
            <w:shd w:val="clear" w:color="auto" w:fill="auto"/>
            <w:noWrap/>
            <w:hideMark/>
          </w:tcPr>
          <w:p w14:paraId="5DD31E09" w14:textId="77777777" w:rsidR="00D13FB7" w:rsidRPr="00BD271D" w:rsidRDefault="00D13FB7" w:rsidP="00D13FB7">
            <w:pPr>
              <w:spacing w:after="0" w:line="240" w:lineRule="auto"/>
              <w:jc w:val="center"/>
              <w:rPr>
                <w:rFonts w:eastAsia="Times New Roman" w:cs="Times New Roman"/>
                <w:b/>
                <w:bCs/>
                <w:color w:val="000000"/>
                <w:szCs w:val="24"/>
                <w:lang w:val="en-GB"/>
              </w:rPr>
            </w:pPr>
            <w:r w:rsidRPr="00BD271D">
              <w:rPr>
                <w:rFonts w:eastAsia="Times New Roman" w:cs="Times New Roman"/>
                <w:b/>
                <w:bCs/>
                <w:color w:val="000000"/>
                <w:szCs w:val="24"/>
                <w:lang w:val="en-GB"/>
              </w:rPr>
              <w:t>Year</w:t>
            </w:r>
          </w:p>
        </w:tc>
        <w:tc>
          <w:tcPr>
            <w:tcW w:w="990" w:type="dxa"/>
            <w:tcBorders>
              <w:top w:val="single" w:sz="4" w:space="0" w:color="auto"/>
              <w:left w:val="nil"/>
              <w:bottom w:val="single" w:sz="4" w:space="0" w:color="auto"/>
              <w:right w:val="single" w:sz="4" w:space="0" w:color="auto"/>
            </w:tcBorders>
            <w:shd w:val="clear" w:color="auto" w:fill="auto"/>
            <w:noWrap/>
            <w:hideMark/>
          </w:tcPr>
          <w:p w14:paraId="073430F1" w14:textId="77777777" w:rsidR="00D13FB7" w:rsidRPr="00BD271D" w:rsidRDefault="00D13FB7" w:rsidP="00D13FB7">
            <w:pPr>
              <w:spacing w:after="0" w:line="240" w:lineRule="auto"/>
              <w:jc w:val="center"/>
              <w:rPr>
                <w:rFonts w:eastAsia="Times New Roman" w:cs="Times New Roman"/>
                <w:b/>
                <w:bCs/>
                <w:color w:val="000000"/>
                <w:szCs w:val="24"/>
                <w:lang w:val="en-GB"/>
              </w:rPr>
            </w:pPr>
            <w:r w:rsidRPr="00BD271D">
              <w:rPr>
                <w:rFonts w:eastAsia="Times New Roman" w:cs="Times New Roman"/>
                <w:b/>
                <w:bCs/>
                <w:color w:val="000000"/>
                <w:szCs w:val="24"/>
                <w:lang w:val="en-GB"/>
              </w:rPr>
              <w:t>Cash Flow</w:t>
            </w:r>
          </w:p>
        </w:tc>
        <w:tc>
          <w:tcPr>
            <w:tcW w:w="1530" w:type="dxa"/>
            <w:tcBorders>
              <w:top w:val="single" w:sz="4" w:space="0" w:color="auto"/>
              <w:left w:val="nil"/>
              <w:bottom w:val="single" w:sz="4" w:space="0" w:color="auto"/>
              <w:right w:val="single" w:sz="4" w:space="0" w:color="auto"/>
            </w:tcBorders>
            <w:shd w:val="clear" w:color="auto" w:fill="auto"/>
            <w:noWrap/>
            <w:hideMark/>
          </w:tcPr>
          <w:p w14:paraId="78462FB7" w14:textId="77777777" w:rsidR="00D13FB7" w:rsidRPr="00BD271D" w:rsidRDefault="00D13FB7" w:rsidP="00D13FB7">
            <w:pPr>
              <w:spacing w:after="0" w:line="240" w:lineRule="auto"/>
              <w:jc w:val="center"/>
              <w:rPr>
                <w:rFonts w:eastAsia="Times New Roman" w:cs="Times New Roman"/>
                <w:b/>
                <w:bCs/>
                <w:color w:val="000000"/>
                <w:szCs w:val="24"/>
                <w:lang w:val="en-GB"/>
              </w:rPr>
            </w:pPr>
            <w:r w:rsidRPr="00BD271D">
              <w:rPr>
                <w:rFonts w:eastAsia="Times New Roman" w:cs="Times New Roman"/>
                <w:b/>
                <w:bCs/>
                <w:color w:val="000000"/>
                <w:szCs w:val="24"/>
                <w:lang w:val="en-GB"/>
              </w:rPr>
              <w:t>Cumulative Cash Flow</w:t>
            </w:r>
          </w:p>
        </w:tc>
      </w:tr>
      <w:tr w:rsidR="00D13FB7" w:rsidRPr="00BD271D" w14:paraId="76EF3D4C" w14:textId="77777777" w:rsidTr="00DF33B9">
        <w:trPr>
          <w:trHeight w:val="315"/>
          <w:jc w:val="center"/>
        </w:trPr>
        <w:tc>
          <w:tcPr>
            <w:tcW w:w="2065" w:type="dxa"/>
            <w:tcBorders>
              <w:top w:val="nil"/>
              <w:left w:val="single" w:sz="4" w:space="0" w:color="auto"/>
              <w:bottom w:val="single" w:sz="4" w:space="0" w:color="auto"/>
              <w:right w:val="single" w:sz="4" w:space="0" w:color="auto"/>
            </w:tcBorders>
            <w:shd w:val="clear" w:color="auto" w:fill="auto"/>
            <w:noWrap/>
            <w:hideMark/>
          </w:tcPr>
          <w:p w14:paraId="48AF39B4" w14:textId="77777777" w:rsidR="00D13FB7" w:rsidRPr="00BD271D" w:rsidRDefault="00D13FB7" w:rsidP="00D13FB7">
            <w:pPr>
              <w:spacing w:after="0" w:line="240" w:lineRule="auto"/>
              <w:jc w:val="left"/>
              <w:rPr>
                <w:rFonts w:eastAsia="Times New Roman" w:cs="Times New Roman"/>
                <w:color w:val="000000"/>
                <w:szCs w:val="24"/>
                <w:lang w:val="en-GB"/>
              </w:rPr>
            </w:pPr>
            <w:r w:rsidRPr="00BD271D">
              <w:rPr>
                <w:rFonts w:eastAsia="Times New Roman" w:cs="Times New Roman"/>
                <w:color w:val="000000"/>
                <w:szCs w:val="24"/>
                <w:lang w:val="en-GB"/>
              </w:rPr>
              <w:t>1</w:t>
            </w:r>
          </w:p>
        </w:tc>
        <w:tc>
          <w:tcPr>
            <w:tcW w:w="990" w:type="dxa"/>
            <w:tcBorders>
              <w:top w:val="nil"/>
              <w:left w:val="nil"/>
              <w:bottom w:val="single" w:sz="4" w:space="0" w:color="auto"/>
              <w:right w:val="single" w:sz="4" w:space="0" w:color="auto"/>
            </w:tcBorders>
            <w:shd w:val="clear" w:color="auto" w:fill="auto"/>
            <w:noWrap/>
            <w:hideMark/>
          </w:tcPr>
          <w:p w14:paraId="054579C6" w14:textId="77777777" w:rsidR="00D13FB7" w:rsidRPr="00BD271D" w:rsidRDefault="00D13FB7" w:rsidP="00D13FB7">
            <w:pPr>
              <w:spacing w:after="0" w:line="240" w:lineRule="auto"/>
              <w:jc w:val="center"/>
              <w:rPr>
                <w:rFonts w:eastAsia="Times New Roman" w:cs="Times New Roman"/>
                <w:color w:val="000000"/>
                <w:szCs w:val="24"/>
                <w:lang w:val="en-GB"/>
              </w:rPr>
            </w:pPr>
            <w:r w:rsidRPr="00BD271D">
              <w:rPr>
                <w:rFonts w:eastAsia="Times New Roman" w:cs="Times New Roman"/>
                <w:color w:val="000000"/>
                <w:szCs w:val="24"/>
                <w:lang w:val="en-GB"/>
              </w:rPr>
              <w:t>25</w:t>
            </w:r>
          </w:p>
        </w:tc>
        <w:tc>
          <w:tcPr>
            <w:tcW w:w="1530" w:type="dxa"/>
            <w:tcBorders>
              <w:top w:val="nil"/>
              <w:left w:val="nil"/>
              <w:bottom w:val="single" w:sz="4" w:space="0" w:color="auto"/>
              <w:right w:val="single" w:sz="4" w:space="0" w:color="auto"/>
            </w:tcBorders>
            <w:shd w:val="clear" w:color="auto" w:fill="auto"/>
            <w:noWrap/>
            <w:hideMark/>
          </w:tcPr>
          <w:p w14:paraId="555D4A10" w14:textId="77777777" w:rsidR="00D13FB7" w:rsidRPr="00BD271D" w:rsidRDefault="00D13FB7" w:rsidP="00D13FB7">
            <w:pPr>
              <w:spacing w:after="0" w:line="240" w:lineRule="auto"/>
              <w:jc w:val="center"/>
              <w:rPr>
                <w:rFonts w:eastAsia="Times New Roman" w:cs="Times New Roman"/>
                <w:color w:val="000000"/>
                <w:szCs w:val="24"/>
                <w:lang w:val="en-GB"/>
              </w:rPr>
            </w:pPr>
            <w:r w:rsidRPr="00BD271D">
              <w:rPr>
                <w:rFonts w:eastAsia="Times New Roman" w:cs="Times New Roman"/>
                <w:color w:val="000000"/>
                <w:szCs w:val="24"/>
                <w:lang w:val="en-GB"/>
              </w:rPr>
              <w:t>25</w:t>
            </w:r>
          </w:p>
        </w:tc>
      </w:tr>
      <w:tr w:rsidR="00D13FB7" w:rsidRPr="00BD271D" w14:paraId="1C95D217" w14:textId="77777777" w:rsidTr="00DF33B9">
        <w:trPr>
          <w:trHeight w:val="315"/>
          <w:jc w:val="center"/>
        </w:trPr>
        <w:tc>
          <w:tcPr>
            <w:tcW w:w="2065" w:type="dxa"/>
            <w:tcBorders>
              <w:top w:val="nil"/>
              <w:left w:val="single" w:sz="4" w:space="0" w:color="auto"/>
              <w:bottom w:val="single" w:sz="4" w:space="0" w:color="auto"/>
              <w:right w:val="single" w:sz="4" w:space="0" w:color="auto"/>
            </w:tcBorders>
            <w:shd w:val="clear" w:color="auto" w:fill="auto"/>
            <w:noWrap/>
            <w:hideMark/>
          </w:tcPr>
          <w:p w14:paraId="530F859E" w14:textId="77777777" w:rsidR="00D13FB7" w:rsidRPr="00BD271D" w:rsidRDefault="00D13FB7" w:rsidP="00D13FB7">
            <w:pPr>
              <w:spacing w:after="0" w:line="240" w:lineRule="auto"/>
              <w:jc w:val="left"/>
              <w:rPr>
                <w:rFonts w:eastAsia="Times New Roman" w:cs="Times New Roman"/>
                <w:color w:val="000000"/>
                <w:szCs w:val="24"/>
                <w:lang w:val="en-GB"/>
              </w:rPr>
            </w:pPr>
            <w:r w:rsidRPr="00BD271D">
              <w:rPr>
                <w:rFonts w:eastAsia="Times New Roman" w:cs="Times New Roman"/>
                <w:color w:val="000000"/>
                <w:szCs w:val="24"/>
                <w:lang w:val="en-GB"/>
              </w:rPr>
              <w:t>2</w:t>
            </w:r>
          </w:p>
        </w:tc>
        <w:tc>
          <w:tcPr>
            <w:tcW w:w="990" w:type="dxa"/>
            <w:tcBorders>
              <w:top w:val="nil"/>
              <w:left w:val="nil"/>
              <w:bottom w:val="single" w:sz="4" w:space="0" w:color="auto"/>
              <w:right w:val="single" w:sz="4" w:space="0" w:color="auto"/>
            </w:tcBorders>
            <w:shd w:val="clear" w:color="auto" w:fill="auto"/>
            <w:noWrap/>
            <w:hideMark/>
          </w:tcPr>
          <w:p w14:paraId="1585E5BA" w14:textId="77777777" w:rsidR="00D13FB7" w:rsidRPr="00BD271D" w:rsidRDefault="00D13FB7" w:rsidP="00D13FB7">
            <w:pPr>
              <w:spacing w:after="0" w:line="240" w:lineRule="auto"/>
              <w:jc w:val="center"/>
              <w:rPr>
                <w:rFonts w:eastAsia="Times New Roman" w:cs="Times New Roman"/>
                <w:color w:val="000000"/>
                <w:szCs w:val="24"/>
                <w:lang w:val="en-GB"/>
              </w:rPr>
            </w:pPr>
            <w:r w:rsidRPr="00BD271D">
              <w:rPr>
                <w:rFonts w:eastAsia="Times New Roman" w:cs="Times New Roman"/>
                <w:color w:val="000000"/>
                <w:szCs w:val="24"/>
                <w:lang w:val="en-GB"/>
              </w:rPr>
              <w:t>30</w:t>
            </w:r>
          </w:p>
        </w:tc>
        <w:tc>
          <w:tcPr>
            <w:tcW w:w="1530" w:type="dxa"/>
            <w:tcBorders>
              <w:top w:val="nil"/>
              <w:left w:val="nil"/>
              <w:bottom w:val="single" w:sz="4" w:space="0" w:color="auto"/>
              <w:right w:val="single" w:sz="4" w:space="0" w:color="auto"/>
            </w:tcBorders>
            <w:shd w:val="clear" w:color="auto" w:fill="auto"/>
            <w:noWrap/>
            <w:hideMark/>
          </w:tcPr>
          <w:p w14:paraId="4CCAD68E" w14:textId="77777777" w:rsidR="00D13FB7" w:rsidRPr="00BD271D" w:rsidRDefault="00D13FB7" w:rsidP="00D13FB7">
            <w:pPr>
              <w:spacing w:after="0" w:line="240" w:lineRule="auto"/>
              <w:jc w:val="center"/>
              <w:rPr>
                <w:rFonts w:eastAsia="Times New Roman" w:cs="Times New Roman"/>
                <w:color w:val="000000"/>
                <w:szCs w:val="24"/>
                <w:lang w:val="en-GB"/>
              </w:rPr>
            </w:pPr>
            <w:r w:rsidRPr="00BD271D">
              <w:rPr>
                <w:rFonts w:eastAsia="Times New Roman" w:cs="Times New Roman"/>
                <w:color w:val="000000"/>
                <w:szCs w:val="24"/>
                <w:lang w:val="en-GB"/>
              </w:rPr>
              <w:t>55</w:t>
            </w:r>
          </w:p>
        </w:tc>
      </w:tr>
      <w:tr w:rsidR="00D13FB7" w:rsidRPr="00BD271D" w14:paraId="03DED202" w14:textId="77777777" w:rsidTr="00DF33B9">
        <w:trPr>
          <w:trHeight w:val="315"/>
          <w:jc w:val="center"/>
        </w:trPr>
        <w:tc>
          <w:tcPr>
            <w:tcW w:w="2065" w:type="dxa"/>
            <w:tcBorders>
              <w:top w:val="nil"/>
              <w:left w:val="single" w:sz="4" w:space="0" w:color="auto"/>
              <w:bottom w:val="single" w:sz="4" w:space="0" w:color="auto"/>
              <w:right w:val="single" w:sz="4" w:space="0" w:color="auto"/>
            </w:tcBorders>
            <w:shd w:val="clear" w:color="auto" w:fill="auto"/>
            <w:noWrap/>
            <w:hideMark/>
          </w:tcPr>
          <w:p w14:paraId="3AA9814A" w14:textId="77777777" w:rsidR="00D13FB7" w:rsidRPr="00BD271D" w:rsidRDefault="00D13FB7" w:rsidP="00D13FB7">
            <w:pPr>
              <w:spacing w:after="0" w:line="240" w:lineRule="auto"/>
              <w:jc w:val="left"/>
              <w:rPr>
                <w:rFonts w:eastAsia="Times New Roman" w:cs="Times New Roman"/>
                <w:color w:val="000000"/>
                <w:szCs w:val="24"/>
                <w:lang w:val="en-GB"/>
              </w:rPr>
            </w:pPr>
            <w:r w:rsidRPr="00BD271D">
              <w:rPr>
                <w:rFonts w:eastAsia="Times New Roman" w:cs="Times New Roman"/>
                <w:color w:val="000000"/>
                <w:szCs w:val="24"/>
                <w:lang w:val="en-GB"/>
              </w:rPr>
              <w:t>3</w:t>
            </w:r>
          </w:p>
        </w:tc>
        <w:tc>
          <w:tcPr>
            <w:tcW w:w="990" w:type="dxa"/>
            <w:tcBorders>
              <w:top w:val="nil"/>
              <w:left w:val="nil"/>
              <w:bottom w:val="single" w:sz="4" w:space="0" w:color="auto"/>
              <w:right w:val="single" w:sz="4" w:space="0" w:color="auto"/>
            </w:tcBorders>
            <w:shd w:val="clear" w:color="auto" w:fill="auto"/>
            <w:noWrap/>
            <w:hideMark/>
          </w:tcPr>
          <w:p w14:paraId="13D1D1EC" w14:textId="77777777" w:rsidR="00D13FB7" w:rsidRPr="00BD271D" w:rsidRDefault="00D13FB7" w:rsidP="00D13FB7">
            <w:pPr>
              <w:spacing w:after="0" w:line="240" w:lineRule="auto"/>
              <w:jc w:val="center"/>
              <w:rPr>
                <w:rFonts w:eastAsia="Times New Roman" w:cs="Times New Roman"/>
                <w:color w:val="000000"/>
                <w:szCs w:val="24"/>
                <w:lang w:val="en-GB"/>
              </w:rPr>
            </w:pPr>
            <w:r w:rsidRPr="00BD271D">
              <w:rPr>
                <w:rFonts w:eastAsia="Times New Roman" w:cs="Times New Roman"/>
                <w:color w:val="000000"/>
                <w:szCs w:val="24"/>
                <w:lang w:val="en-GB"/>
              </w:rPr>
              <w:t>35</w:t>
            </w:r>
          </w:p>
        </w:tc>
        <w:tc>
          <w:tcPr>
            <w:tcW w:w="1530" w:type="dxa"/>
            <w:tcBorders>
              <w:top w:val="nil"/>
              <w:left w:val="nil"/>
              <w:bottom w:val="single" w:sz="4" w:space="0" w:color="auto"/>
              <w:right w:val="single" w:sz="4" w:space="0" w:color="auto"/>
            </w:tcBorders>
            <w:shd w:val="clear" w:color="auto" w:fill="auto"/>
            <w:noWrap/>
            <w:hideMark/>
          </w:tcPr>
          <w:p w14:paraId="736EFCA2" w14:textId="77777777" w:rsidR="00D13FB7" w:rsidRPr="00BD271D" w:rsidRDefault="00D13FB7" w:rsidP="00D13FB7">
            <w:pPr>
              <w:spacing w:after="0" w:line="240" w:lineRule="auto"/>
              <w:jc w:val="center"/>
              <w:rPr>
                <w:rFonts w:eastAsia="Times New Roman" w:cs="Times New Roman"/>
                <w:color w:val="000000"/>
                <w:szCs w:val="24"/>
                <w:lang w:val="en-GB"/>
              </w:rPr>
            </w:pPr>
            <w:r w:rsidRPr="00BD271D">
              <w:rPr>
                <w:rFonts w:eastAsia="Times New Roman" w:cs="Times New Roman"/>
                <w:color w:val="000000"/>
                <w:szCs w:val="24"/>
                <w:lang w:val="en-GB"/>
              </w:rPr>
              <w:t>85</w:t>
            </w:r>
          </w:p>
        </w:tc>
      </w:tr>
      <w:tr w:rsidR="00D13FB7" w:rsidRPr="00BD271D" w14:paraId="4F69C82A" w14:textId="77777777" w:rsidTr="00DF33B9">
        <w:trPr>
          <w:trHeight w:val="315"/>
          <w:jc w:val="center"/>
        </w:trPr>
        <w:tc>
          <w:tcPr>
            <w:tcW w:w="2065" w:type="dxa"/>
            <w:tcBorders>
              <w:top w:val="nil"/>
              <w:left w:val="single" w:sz="4" w:space="0" w:color="auto"/>
              <w:bottom w:val="single" w:sz="4" w:space="0" w:color="auto"/>
              <w:right w:val="single" w:sz="4" w:space="0" w:color="auto"/>
            </w:tcBorders>
            <w:shd w:val="clear" w:color="auto" w:fill="auto"/>
            <w:noWrap/>
            <w:hideMark/>
          </w:tcPr>
          <w:p w14:paraId="162B53A5" w14:textId="77777777" w:rsidR="00D13FB7" w:rsidRPr="00BD271D" w:rsidRDefault="00D13FB7" w:rsidP="00D13FB7">
            <w:pPr>
              <w:spacing w:after="0" w:line="240" w:lineRule="auto"/>
              <w:jc w:val="left"/>
              <w:rPr>
                <w:rFonts w:eastAsia="Times New Roman" w:cs="Times New Roman"/>
                <w:color w:val="000000"/>
                <w:szCs w:val="24"/>
                <w:lang w:val="en-GB"/>
              </w:rPr>
            </w:pPr>
            <w:r w:rsidRPr="00BD271D">
              <w:rPr>
                <w:rFonts w:eastAsia="Times New Roman" w:cs="Times New Roman"/>
                <w:color w:val="000000"/>
                <w:szCs w:val="24"/>
                <w:lang w:val="en-GB"/>
              </w:rPr>
              <w:lastRenderedPageBreak/>
              <w:t>4</w:t>
            </w:r>
          </w:p>
        </w:tc>
        <w:tc>
          <w:tcPr>
            <w:tcW w:w="990" w:type="dxa"/>
            <w:tcBorders>
              <w:top w:val="nil"/>
              <w:left w:val="nil"/>
              <w:bottom w:val="single" w:sz="4" w:space="0" w:color="auto"/>
              <w:right w:val="single" w:sz="4" w:space="0" w:color="auto"/>
            </w:tcBorders>
            <w:shd w:val="clear" w:color="auto" w:fill="auto"/>
            <w:noWrap/>
            <w:hideMark/>
          </w:tcPr>
          <w:p w14:paraId="1734AE45" w14:textId="77777777" w:rsidR="00D13FB7" w:rsidRPr="00BD271D" w:rsidRDefault="00D13FB7" w:rsidP="00D13FB7">
            <w:pPr>
              <w:spacing w:after="0" w:line="240" w:lineRule="auto"/>
              <w:jc w:val="center"/>
              <w:rPr>
                <w:rFonts w:eastAsia="Times New Roman" w:cs="Times New Roman"/>
                <w:color w:val="000000"/>
                <w:szCs w:val="24"/>
                <w:lang w:val="en-GB"/>
              </w:rPr>
            </w:pPr>
            <w:r w:rsidRPr="00BD271D">
              <w:rPr>
                <w:rFonts w:eastAsia="Times New Roman" w:cs="Times New Roman"/>
                <w:color w:val="000000"/>
                <w:szCs w:val="24"/>
                <w:lang w:val="en-GB"/>
              </w:rPr>
              <w:t>40</w:t>
            </w:r>
          </w:p>
        </w:tc>
        <w:tc>
          <w:tcPr>
            <w:tcW w:w="1530" w:type="dxa"/>
            <w:tcBorders>
              <w:top w:val="nil"/>
              <w:left w:val="nil"/>
              <w:bottom w:val="single" w:sz="4" w:space="0" w:color="auto"/>
              <w:right w:val="single" w:sz="4" w:space="0" w:color="auto"/>
            </w:tcBorders>
            <w:shd w:val="clear" w:color="auto" w:fill="auto"/>
            <w:noWrap/>
            <w:hideMark/>
          </w:tcPr>
          <w:p w14:paraId="5B0E51ED" w14:textId="77777777" w:rsidR="00D13FB7" w:rsidRPr="00BD271D" w:rsidRDefault="00D13FB7" w:rsidP="00D13FB7">
            <w:pPr>
              <w:spacing w:after="0" w:line="240" w:lineRule="auto"/>
              <w:jc w:val="center"/>
              <w:rPr>
                <w:rFonts w:eastAsia="Times New Roman" w:cs="Times New Roman"/>
                <w:color w:val="000000"/>
                <w:szCs w:val="24"/>
                <w:lang w:val="en-GB"/>
              </w:rPr>
            </w:pPr>
            <w:r w:rsidRPr="00BD271D">
              <w:rPr>
                <w:rFonts w:eastAsia="Times New Roman" w:cs="Times New Roman"/>
                <w:color w:val="000000"/>
                <w:szCs w:val="24"/>
                <w:lang w:val="en-GB"/>
              </w:rPr>
              <w:t>125</w:t>
            </w:r>
          </w:p>
        </w:tc>
      </w:tr>
      <w:tr w:rsidR="00D13FB7" w:rsidRPr="00BD271D" w14:paraId="41746615" w14:textId="77777777" w:rsidTr="00DF33B9">
        <w:trPr>
          <w:trHeight w:val="315"/>
          <w:jc w:val="center"/>
        </w:trPr>
        <w:tc>
          <w:tcPr>
            <w:tcW w:w="2065" w:type="dxa"/>
            <w:tcBorders>
              <w:top w:val="nil"/>
              <w:left w:val="single" w:sz="4" w:space="0" w:color="auto"/>
              <w:bottom w:val="single" w:sz="4" w:space="0" w:color="auto"/>
              <w:right w:val="single" w:sz="4" w:space="0" w:color="auto"/>
            </w:tcBorders>
            <w:shd w:val="clear" w:color="auto" w:fill="auto"/>
            <w:noWrap/>
            <w:hideMark/>
          </w:tcPr>
          <w:p w14:paraId="7BB04985" w14:textId="77777777" w:rsidR="00D13FB7" w:rsidRPr="00BD271D" w:rsidRDefault="00D13FB7" w:rsidP="00D13FB7">
            <w:pPr>
              <w:spacing w:after="0" w:line="240" w:lineRule="auto"/>
              <w:jc w:val="center"/>
              <w:rPr>
                <w:rFonts w:eastAsia="Times New Roman" w:cs="Times New Roman"/>
                <w:b/>
                <w:bCs/>
                <w:color w:val="000000"/>
                <w:szCs w:val="24"/>
                <w:lang w:val="en-GB"/>
              </w:rPr>
            </w:pPr>
            <w:r w:rsidRPr="00BD271D">
              <w:rPr>
                <w:rFonts w:eastAsia="Times New Roman" w:cs="Times New Roman"/>
                <w:b/>
                <w:bCs/>
                <w:color w:val="000000"/>
                <w:szCs w:val="24"/>
                <w:lang w:val="en-GB"/>
              </w:rPr>
              <w:t>Payback period</w:t>
            </w:r>
          </w:p>
        </w:tc>
        <w:tc>
          <w:tcPr>
            <w:tcW w:w="990" w:type="dxa"/>
            <w:tcBorders>
              <w:top w:val="nil"/>
              <w:left w:val="nil"/>
              <w:bottom w:val="single" w:sz="4" w:space="0" w:color="auto"/>
              <w:right w:val="single" w:sz="4" w:space="0" w:color="auto"/>
            </w:tcBorders>
            <w:shd w:val="clear" w:color="auto" w:fill="auto"/>
            <w:noWrap/>
            <w:hideMark/>
          </w:tcPr>
          <w:p w14:paraId="35017DDC" w14:textId="2756814D" w:rsidR="00D13FB7" w:rsidRPr="00BD271D" w:rsidRDefault="00D13FB7" w:rsidP="00D13FB7">
            <w:pPr>
              <w:spacing w:after="0" w:line="240" w:lineRule="auto"/>
              <w:jc w:val="center"/>
              <w:rPr>
                <w:rFonts w:eastAsia="Times New Roman" w:cs="Times New Roman"/>
                <w:b/>
                <w:bCs/>
                <w:color w:val="000000"/>
                <w:szCs w:val="24"/>
                <w:lang w:val="en-GB"/>
              </w:rPr>
            </w:pPr>
          </w:p>
        </w:tc>
        <w:tc>
          <w:tcPr>
            <w:tcW w:w="1530" w:type="dxa"/>
            <w:tcBorders>
              <w:top w:val="nil"/>
              <w:left w:val="nil"/>
              <w:bottom w:val="single" w:sz="4" w:space="0" w:color="auto"/>
              <w:right w:val="single" w:sz="4" w:space="0" w:color="auto"/>
            </w:tcBorders>
            <w:shd w:val="clear" w:color="auto" w:fill="auto"/>
            <w:noWrap/>
            <w:hideMark/>
          </w:tcPr>
          <w:p w14:paraId="15463538" w14:textId="77777777" w:rsidR="00D13FB7" w:rsidRPr="00BD271D" w:rsidRDefault="00D13FB7" w:rsidP="00D13FB7">
            <w:pPr>
              <w:spacing w:after="0" w:line="240" w:lineRule="auto"/>
              <w:jc w:val="center"/>
              <w:rPr>
                <w:rFonts w:eastAsia="Times New Roman" w:cs="Times New Roman"/>
                <w:b/>
                <w:bCs/>
                <w:color w:val="000000"/>
                <w:szCs w:val="24"/>
                <w:lang w:val="en-GB"/>
              </w:rPr>
            </w:pPr>
            <w:r w:rsidRPr="00BD271D">
              <w:rPr>
                <w:rFonts w:eastAsia="Times New Roman" w:cs="Times New Roman"/>
                <w:b/>
                <w:bCs/>
                <w:color w:val="000000"/>
                <w:szCs w:val="24"/>
                <w:lang w:val="en-GB"/>
              </w:rPr>
              <w:t>3.125</w:t>
            </w:r>
          </w:p>
        </w:tc>
      </w:tr>
    </w:tbl>
    <w:p w14:paraId="63406EDD" w14:textId="77777777" w:rsidR="005654CA" w:rsidRPr="00BD271D" w:rsidRDefault="005654CA" w:rsidP="00DF33B9">
      <w:pPr>
        <w:rPr>
          <w:rFonts w:cs="Times New Roman"/>
          <w:lang w:val="en-GB"/>
        </w:rPr>
      </w:pPr>
    </w:p>
    <w:p w14:paraId="1862C2C6" w14:textId="09D75E4D" w:rsidR="00DF33B9" w:rsidRPr="00BD271D" w:rsidRDefault="00DF33B9" w:rsidP="00DF33B9">
      <w:pPr>
        <w:rPr>
          <w:rFonts w:cs="Times New Roman"/>
          <w:lang w:val="en-GB"/>
        </w:rPr>
      </w:pPr>
      <w:r w:rsidRPr="00BD271D">
        <w:rPr>
          <w:rFonts w:cs="Times New Roman"/>
          <w:lang w:val="en-GB"/>
        </w:rPr>
        <w:t>The project manager will accept the project when the</w:t>
      </w:r>
      <w:r w:rsidR="005654CA" w:rsidRPr="00BD271D">
        <w:rPr>
          <w:rFonts w:cs="Times New Roman"/>
          <w:lang w:val="en-GB"/>
        </w:rPr>
        <w:t xml:space="preserve"> payback period</w:t>
      </w:r>
      <w:r w:rsidRPr="00BD271D">
        <w:rPr>
          <w:rFonts w:cs="Times New Roman"/>
          <w:lang w:val="en-GB"/>
        </w:rPr>
        <w:t xml:space="preserve"> is lower than it</w:t>
      </w:r>
      <w:r w:rsidR="005654CA" w:rsidRPr="00BD271D">
        <w:rPr>
          <w:rFonts w:cs="Times New Roman"/>
          <w:lang w:val="en-GB"/>
        </w:rPr>
        <w:t>s actual duration of the project</w:t>
      </w:r>
      <w:r w:rsidRPr="00BD271D">
        <w:rPr>
          <w:rFonts w:cs="Times New Roman"/>
          <w:lang w:val="en-GB"/>
        </w:rPr>
        <w:t>. In the above case, both project-A and Project-B have</w:t>
      </w:r>
      <w:r w:rsidR="005654CA" w:rsidRPr="00BD271D">
        <w:rPr>
          <w:rFonts w:cs="Times New Roman"/>
          <w:lang w:val="en-GB"/>
        </w:rPr>
        <w:t xml:space="preserve"> lower payback period than its</w:t>
      </w:r>
      <w:r w:rsidR="00B53BD5" w:rsidRPr="00BD271D">
        <w:rPr>
          <w:rFonts w:cs="Times New Roman"/>
          <w:lang w:val="en-GB"/>
        </w:rPr>
        <w:t xml:space="preserve"> actual duration of the project</w:t>
      </w:r>
      <w:r w:rsidRPr="00BD271D">
        <w:rPr>
          <w:rFonts w:cs="Times New Roman"/>
          <w:lang w:val="en-GB"/>
        </w:rPr>
        <w:t xml:space="preserve"> and these projects are viable. As these projects are mutually exclusive, the finance manager of the business </w:t>
      </w:r>
      <w:r w:rsidR="00502B25" w:rsidRPr="00BD271D">
        <w:rPr>
          <w:rFonts w:cs="Times New Roman"/>
          <w:lang w:val="en-GB"/>
        </w:rPr>
        <w:t>organisation</w:t>
      </w:r>
      <w:r w:rsidRPr="00BD271D">
        <w:rPr>
          <w:rFonts w:cs="Times New Roman"/>
          <w:lang w:val="en-GB"/>
        </w:rPr>
        <w:t xml:space="preserve"> will accept project-</w:t>
      </w:r>
      <w:r w:rsidR="00B53BD5" w:rsidRPr="00BD271D">
        <w:rPr>
          <w:rFonts w:cs="Times New Roman"/>
          <w:lang w:val="en-GB"/>
        </w:rPr>
        <w:t>B</w:t>
      </w:r>
      <w:r w:rsidRPr="00BD271D">
        <w:rPr>
          <w:rFonts w:cs="Times New Roman"/>
          <w:lang w:val="en-GB"/>
        </w:rPr>
        <w:t xml:space="preserve"> that has</w:t>
      </w:r>
      <w:r w:rsidR="00B53BD5" w:rsidRPr="00BD271D">
        <w:rPr>
          <w:rFonts w:cs="Times New Roman"/>
          <w:lang w:val="en-GB"/>
        </w:rPr>
        <w:t xml:space="preserve"> lower payback period</w:t>
      </w:r>
      <w:r w:rsidRPr="00BD271D">
        <w:rPr>
          <w:rFonts w:cs="Times New Roman"/>
          <w:lang w:val="en-GB"/>
        </w:rPr>
        <w:t xml:space="preserve"> than project-</w:t>
      </w:r>
      <w:r w:rsidR="00B53BD5" w:rsidRPr="00BD271D">
        <w:rPr>
          <w:rFonts w:cs="Times New Roman"/>
          <w:lang w:val="en-GB"/>
        </w:rPr>
        <w:t>A</w:t>
      </w:r>
      <w:r w:rsidRPr="00BD271D">
        <w:rPr>
          <w:rFonts w:cs="Times New Roman"/>
          <w:lang w:val="en-GB"/>
        </w:rPr>
        <w:t xml:space="preserve">. </w:t>
      </w:r>
    </w:p>
    <w:p w14:paraId="139B5853" w14:textId="4998267E" w:rsidR="00A252C0" w:rsidRPr="00BD271D" w:rsidRDefault="00A252C0" w:rsidP="003A7227">
      <w:pPr>
        <w:rPr>
          <w:rFonts w:cs="Times New Roman"/>
          <w:lang w:val="en-GB"/>
        </w:rPr>
      </w:pPr>
    </w:p>
    <w:p w14:paraId="56601CF5" w14:textId="4043BBDF" w:rsidR="00F157A7" w:rsidRPr="00BD271D" w:rsidRDefault="00A252C0" w:rsidP="00BD271D">
      <w:pPr>
        <w:pStyle w:val="Heading2"/>
        <w:jc w:val="center"/>
        <w:rPr>
          <w:rFonts w:cs="Times New Roman"/>
          <w:lang w:val="en-GB"/>
        </w:rPr>
      </w:pPr>
      <w:bookmarkStart w:id="25" w:name="_Toc60172427"/>
      <w:bookmarkStart w:id="26" w:name="_Toc61434636"/>
      <w:r w:rsidRPr="00BD271D">
        <w:rPr>
          <w:rFonts w:cs="Times New Roman"/>
          <w:lang w:val="en-GB"/>
        </w:rPr>
        <w:t xml:space="preserve">Advantages and </w:t>
      </w:r>
      <w:r w:rsidRPr="00BD271D">
        <w:rPr>
          <w:rFonts w:cs="Times New Roman"/>
        </w:rPr>
        <w:t>shortcomings</w:t>
      </w:r>
      <w:r w:rsidRPr="00BD271D">
        <w:rPr>
          <w:rFonts w:cs="Times New Roman"/>
          <w:lang w:val="en-GB"/>
        </w:rPr>
        <w:t xml:space="preserve"> of the Net Pr</w:t>
      </w:r>
      <w:r w:rsidR="00F157A7" w:rsidRPr="00BD271D">
        <w:rPr>
          <w:rFonts w:cs="Times New Roman"/>
          <w:lang w:val="en-GB"/>
        </w:rPr>
        <w:t>e</w:t>
      </w:r>
      <w:r w:rsidRPr="00BD271D">
        <w:rPr>
          <w:rFonts w:cs="Times New Roman"/>
          <w:lang w:val="en-GB"/>
        </w:rPr>
        <w:t>sent</w:t>
      </w:r>
      <w:r w:rsidR="00F157A7" w:rsidRPr="00BD271D">
        <w:rPr>
          <w:rFonts w:cs="Times New Roman"/>
          <w:lang w:val="en-GB"/>
        </w:rPr>
        <w:t xml:space="preserve"> Value (NPV), Payback Period (PBP), and Accounting Rate of Return (ARR)</w:t>
      </w:r>
      <w:bookmarkEnd w:id="25"/>
      <w:bookmarkEnd w:id="26"/>
    </w:p>
    <w:p w14:paraId="3468FA19" w14:textId="4DE57D32" w:rsidR="004142D0" w:rsidRPr="00BD271D" w:rsidRDefault="00702216" w:rsidP="00F157A7">
      <w:pPr>
        <w:rPr>
          <w:rFonts w:cs="Times New Roman"/>
          <w:lang w:val="en-GB"/>
        </w:rPr>
      </w:pPr>
      <w:r w:rsidRPr="00BD271D">
        <w:rPr>
          <w:rFonts w:cs="Times New Roman"/>
          <w:lang w:val="en-GB"/>
        </w:rPr>
        <w:t xml:space="preserve">The Net Present Value (NPV), </w:t>
      </w:r>
      <w:r w:rsidR="008D2011" w:rsidRPr="00BD271D">
        <w:rPr>
          <w:rFonts w:cs="Times New Roman"/>
          <w:lang w:val="en-GB"/>
        </w:rPr>
        <w:t xml:space="preserve">Payback Period (PBP), and Accounting Rate of Return (ARR) has been used by the different investors during taking </w:t>
      </w:r>
      <w:r w:rsidR="00735450" w:rsidRPr="00BD271D">
        <w:rPr>
          <w:rFonts w:cs="Times New Roman"/>
          <w:lang w:val="en-GB"/>
        </w:rPr>
        <w:t xml:space="preserve">an </w:t>
      </w:r>
      <w:r w:rsidR="008D2011" w:rsidRPr="00BD271D">
        <w:rPr>
          <w:rFonts w:cs="Times New Roman"/>
          <w:lang w:val="en-GB"/>
        </w:rPr>
        <w:t>investment</w:t>
      </w:r>
      <w:r w:rsidR="00735450" w:rsidRPr="00BD271D">
        <w:rPr>
          <w:rFonts w:cs="Times New Roman"/>
          <w:lang w:val="en-GB"/>
        </w:rPr>
        <w:t>-</w:t>
      </w:r>
      <w:r w:rsidR="008D2011" w:rsidRPr="00BD271D">
        <w:rPr>
          <w:rFonts w:cs="Times New Roman"/>
          <w:lang w:val="en-GB"/>
        </w:rPr>
        <w:t xml:space="preserve">related decision. These </w:t>
      </w:r>
      <w:r w:rsidR="005F4220" w:rsidRPr="00BD271D">
        <w:rPr>
          <w:rFonts w:cs="Times New Roman"/>
          <w:lang w:val="en-GB"/>
        </w:rPr>
        <w:t xml:space="preserve">mentioned investment appraisal tools are not provided </w:t>
      </w:r>
      <w:r w:rsidR="00735450" w:rsidRPr="00BD271D">
        <w:rPr>
          <w:rFonts w:cs="Times New Roman"/>
          <w:lang w:val="en-GB"/>
        </w:rPr>
        <w:t xml:space="preserve">with the </w:t>
      </w:r>
      <w:r w:rsidR="005F4220" w:rsidRPr="00BD271D">
        <w:rPr>
          <w:rFonts w:cs="Times New Roman"/>
          <w:lang w:val="en-GB"/>
        </w:rPr>
        <w:t xml:space="preserve">same result to take </w:t>
      </w:r>
      <w:r w:rsidR="00735450" w:rsidRPr="00BD271D">
        <w:rPr>
          <w:rFonts w:cs="Times New Roman"/>
          <w:lang w:val="en-GB"/>
        </w:rPr>
        <w:t xml:space="preserve">an </w:t>
      </w:r>
      <w:r w:rsidR="005F4220" w:rsidRPr="00BD271D">
        <w:rPr>
          <w:rFonts w:cs="Times New Roman"/>
          <w:lang w:val="en-GB"/>
        </w:rPr>
        <w:t xml:space="preserve">investment decision. These investment </w:t>
      </w:r>
      <w:r w:rsidR="004142D0" w:rsidRPr="00BD271D">
        <w:rPr>
          <w:rFonts w:cs="Times New Roman"/>
          <w:lang w:val="en-GB"/>
        </w:rPr>
        <w:t>appraisal tools have some advantages and disadvantages</w:t>
      </w:r>
      <w:r w:rsidR="00F74A0D" w:rsidRPr="00BD271D">
        <w:rPr>
          <w:rFonts w:cs="Times New Roman"/>
          <w:lang w:val="en-GB"/>
        </w:rPr>
        <w:t xml:space="preserve"> (Block, 2019)</w:t>
      </w:r>
      <w:r w:rsidR="004142D0" w:rsidRPr="00BD271D">
        <w:rPr>
          <w:rFonts w:cs="Times New Roman"/>
          <w:lang w:val="en-GB"/>
        </w:rPr>
        <w:t>. These advantages and disadvantages are discussed below:</w:t>
      </w:r>
    </w:p>
    <w:p w14:paraId="7800C33F" w14:textId="77777777" w:rsidR="00BD271D" w:rsidRPr="00BD271D" w:rsidRDefault="00BD271D" w:rsidP="00F157A7">
      <w:pPr>
        <w:rPr>
          <w:rFonts w:cs="Times New Roman"/>
          <w:lang w:val="en-GB"/>
        </w:rPr>
      </w:pPr>
    </w:p>
    <w:p w14:paraId="5195DE11" w14:textId="77777777" w:rsidR="004142D0" w:rsidRPr="00BD271D" w:rsidRDefault="004142D0" w:rsidP="00BD271D">
      <w:pPr>
        <w:jc w:val="center"/>
        <w:rPr>
          <w:rFonts w:cs="Times New Roman"/>
          <w:b/>
          <w:bCs/>
          <w:u w:val="single"/>
          <w:lang w:val="en-GB"/>
        </w:rPr>
      </w:pPr>
      <w:r w:rsidRPr="00BD271D">
        <w:rPr>
          <w:rFonts w:cs="Times New Roman"/>
          <w:b/>
          <w:bCs/>
          <w:u w:val="single"/>
          <w:lang w:val="en-GB"/>
        </w:rPr>
        <w:t>Advantages of the Net Present Value (NPV):</w:t>
      </w:r>
    </w:p>
    <w:p w14:paraId="45DFBD2E" w14:textId="504F5128" w:rsidR="00DA26DF" w:rsidRPr="00BD271D" w:rsidRDefault="004142D0" w:rsidP="00F157A7">
      <w:pPr>
        <w:rPr>
          <w:rFonts w:cs="Times New Roman"/>
          <w:lang w:val="en-GB"/>
        </w:rPr>
      </w:pPr>
      <w:r w:rsidRPr="00BD271D">
        <w:rPr>
          <w:rFonts w:cs="Times New Roman"/>
          <w:lang w:val="en-GB"/>
        </w:rPr>
        <w:t>The value of the money has been decreased over time and decision</w:t>
      </w:r>
      <w:r w:rsidR="00735450" w:rsidRPr="00BD271D">
        <w:rPr>
          <w:rFonts w:cs="Times New Roman"/>
          <w:lang w:val="en-GB"/>
        </w:rPr>
        <w:t>-</w:t>
      </w:r>
      <w:r w:rsidRPr="00BD271D">
        <w:rPr>
          <w:rFonts w:cs="Times New Roman"/>
          <w:lang w:val="en-GB"/>
        </w:rPr>
        <w:t>makers have to</w:t>
      </w:r>
      <w:r w:rsidR="001C53AB" w:rsidRPr="00BD271D">
        <w:rPr>
          <w:rFonts w:cs="Times New Roman"/>
          <w:lang w:val="en-GB"/>
        </w:rPr>
        <w:t xml:space="preserve"> discount the future cash</w:t>
      </w:r>
      <w:r w:rsidR="00735450" w:rsidRPr="00BD271D">
        <w:rPr>
          <w:rFonts w:cs="Times New Roman"/>
          <w:lang w:val="en-GB"/>
        </w:rPr>
        <w:t xml:space="preserve"> </w:t>
      </w:r>
      <w:r w:rsidR="001C53AB" w:rsidRPr="00BD271D">
        <w:rPr>
          <w:rFonts w:cs="Times New Roman"/>
          <w:lang w:val="en-GB"/>
        </w:rPr>
        <w:t xml:space="preserve">flow from the investment. The concept of the NPV has incorporated the time value of money during making </w:t>
      </w:r>
      <w:r w:rsidR="00735450" w:rsidRPr="00BD271D">
        <w:rPr>
          <w:rFonts w:cs="Times New Roman"/>
          <w:lang w:val="en-GB"/>
        </w:rPr>
        <w:t xml:space="preserve">an </w:t>
      </w:r>
      <w:r w:rsidR="001C53AB" w:rsidRPr="00BD271D">
        <w:rPr>
          <w:rFonts w:cs="Times New Roman"/>
          <w:lang w:val="en-GB"/>
        </w:rPr>
        <w:t>investment decision</w:t>
      </w:r>
      <w:r w:rsidR="00F74A0D" w:rsidRPr="00BD271D">
        <w:rPr>
          <w:rFonts w:cs="Times New Roman"/>
          <w:lang w:val="en-GB"/>
        </w:rPr>
        <w:t xml:space="preserve"> (Bodie, Merton and Thibierge, 2011)</w:t>
      </w:r>
      <w:r w:rsidR="001C53AB" w:rsidRPr="00BD271D">
        <w:rPr>
          <w:rFonts w:cs="Times New Roman"/>
          <w:lang w:val="en-GB"/>
        </w:rPr>
        <w:t>.</w:t>
      </w:r>
      <w:r w:rsidR="0022035D" w:rsidRPr="00BD271D">
        <w:rPr>
          <w:rFonts w:cs="Times New Roman"/>
          <w:lang w:val="en-GB"/>
        </w:rPr>
        <w:t xml:space="preserve"> Furthermore, the rate of the cost of the capital has been adjusted with economic growth and inflation rate during </w:t>
      </w:r>
      <w:r w:rsidR="00735450" w:rsidRPr="00BD271D">
        <w:rPr>
          <w:rFonts w:cs="Times New Roman"/>
          <w:lang w:val="en-GB"/>
        </w:rPr>
        <w:lastRenderedPageBreak/>
        <w:t xml:space="preserve">the </w:t>
      </w:r>
      <w:r w:rsidR="0022035D" w:rsidRPr="00BD271D">
        <w:rPr>
          <w:rFonts w:cs="Times New Roman"/>
          <w:lang w:val="en-GB"/>
        </w:rPr>
        <w:t>calculation of the present value. The problem of the time difference and unconventional cash flow has been removed</w:t>
      </w:r>
      <w:r w:rsidR="00DA26DF" w:rsidRPr="00BD271D">
        <w:rPr>
          <w:rFonts w:cs="Times New Roman"/>
          <w:lang w:val="en-GB"/>
        </w:rPr>
        <w:t xml:space="preserve"> by applying of the NPV concept during investment decision making. </w:t>
      </w:r>
    </w:p>
    <w:p w14:paraId="0DE93C62" w14:textId="77777777" w:rsidR="00BD271D" w:rsidRPr="00BD271D" w:rsidRDefault="00BD271D" w:rsidP="00F157A7">
      <w:pPr>
        <w:rPr>
          <w:rFonts w:cs="Times New Roman"/>
          <w:lang w:val="en-GB"/>
        </w:rPr>
      </w:pPr>
    </w:p>
    <w:p w14:paraId="704E6005" w14:textId="7478C50A" w:rsidR="00DA26DF" w:rsidRPr="00BD271D" w:rsidRDefault="00DA26DF" w:rsidP="00BD271D">
      <w:pPr>
        <w:jc w:val="center"/>
        <w:rPr>
          <w:rFonts w:cs="Times New Roman"/>
          <w:b/>
          <w:bCs/>
          <w:u w:val="single"/>
          <w:lang w:val="en-GB"/>
        </w:rPr>
      </w:pPr>
      <w:r w:rsidRPr="00BD271D">
        <w:rPr>
          <w:rFonts w:cs="Times New Roman"/>
          <w:b/>
          <w:bCs/>
          <w:u w:val="single"/>
          <w:lang w:val="en-GB"/>
        </w:rPr>
        <w:t xml:space="preserve">Disadvantages of the </w:t>
      </w:r>
      <w:r w:rsidR="00002170" w:rsidRPr="00BD271D">
        <w:rPr>
          <w:rFonts w:cs="Times New Roman"/>
          <w:b/>
          <w:bCs/>
          <w:u w:val="single"/>
          <w:lang w:val="en-GB"/>
        </w:rPr>
        <w:t>Net Present Value (</w:t>
      </w:r>
      <w:r w:rsidRPr="00BD271D">
        <w:rPr>
          <w:rFonts w:cs="Times New Roman"/>
          <w:b/>
          <w:bCs/>
          <w:u w:val="single"/>
          <w:lang w:val="en-GB"/>
        </w:rPr>
        <w:t>NPV</w:t>
      </w:r>
      <w:r w:rsidR="00002170" w:rsidRPr="00BD271D">
        <w:rPr>
          <w:rFonts w:cs="Times New Roman"/>
          <w:b/>
          <w:bCs/>
          <w:u w:val="single"/>
          <w:lang w:val="en-GB"/>
        </w:rPr>
        <w:t>)</w:t>
      </w:r>
      <w:r w:rsidRPr="00BD271D">
        <w:rPr>
          <w:rFonts w:cs="Times New Roman"/>
          <w:b/>
          <w:bCs/>
          <w:u w:val="single"/>
          <w:lang w:val="en-GB"/>
        </w:rPr>
        <w:t>:</w:t>
      </w:r>
    </w:p>
    <w:p w14:paraId="582C11E2" w14:textId="56F44C2A" w:rsidR="00002170" w:rsidRPr="00BD271D" w:rsidRDefault="00002170" w:rsidP="00F157A7">
      <w:pPr>
        <w:rPr>
          <w:rFonts w:cs="Times New Roman"/>
          <w:lang w:val="en-GB"/>
        </w:rPr>
      </w:pPr>
      <w:r w:rsidRPr="00BD271D">
        <w:rPr>
          <w:rFonts w:cs="Times New Roman"/>
          <w:lang w:val="en-GB"/>
        </w:rPr>
        <w:t xml:space="preserve">Although NPV has some advantages during making </w:t>
      </w:r>
      <w:r w:rsidR="00735450" w:rsidRPr="00BD271D">
        <w:rPr>
          <w:rFonts w:cs="Times New Roman"/>
          <w:lang w:val="en-GB"/>
        </w:rPr>
        <w:t xml:space="preserve">an </w:t>
      </w:r>
      <w:r w:rsidRPr="00BD271D">
        <w:rPr>
          <w:rFonts w:cs="Times New Roman"/>
          <w:lang w:val="en-GB"/>
        </w:rPr>
        <w:t xml:space="preserve">investment decision, it has some </w:t>
      </w:r>
      <w:r w:rsidR="00F74A0D" w:rsidRPr="00BD271D">
        <w:rPr>
          <w:rFonts w:cs="Times New Roman"/>
          <w:lang w:val="en-GB"/>
        </w:rPr>
        <w:t xml:space="preserve">disadvantages </w:t>
      </w:r>
      <w:r w:rsidR="00F74A0D" w:rsidRPr="00BD271D">
        <w:rPr>
          <w:rFonts w:cs="Times New Roman"/>
          <w:b/>
          <w:bCs/>
          <w:lang w:val="en-GB"/>
        </w:rPr>
        <w:t>(</w:t>
      </w:r>
      <w:r w:rsidR="00F74A0D" w:rsidRPr="00BD271D">
        <w:rPr>
          <w:rFonts w:cs="Times New Roman"/>
          <w:lang w:val="en-GB"/>
        </w:rPr>
        <w:t>Gebran Harb, Ver</w:t>
      </w:r>
      <w:r w:rsidR="0066245F" w:rsidRPr="00BD271D">
        <w:rPr>
          <w:rFonts w:cs="Times New Roman"/>
          <w:lang w:val="en-GB"/>
        </w:rPr>
        <w:t>ys</w:t>
      </w:r>
      <w:r w:rsidR="00F74A0D" w:rsidRPr="00BD271D">
        <w:rPr>
          <w:rFonts w:cs="Times New Roman"/>
          <w:lang w:val="en-GB"/>
        </w:rPr>
        <w:t>henko, Masset and Murat, 2014)</w:t>
      </w:r>
      <w:r w:rsidRPr="00BD271D">
        <w:rPr>
          <w:rFonts w:cs="Times New Roman"/>
          <w:lang w:val="en-GB"/>
        </w:rPr>
        <w:t>. The decision</w:t>
      </w:r>
      <w:r w:rsidR="00735450" w:rsidRPr="00BD271D">
        <w:rPr>
          <w:rFonts w:cs="Times New Roman"/>
          <w:lang w:val="en-GB"/>
        </w:rPr>
        <w:t>-</w:t>
      </w:r>
      <w:r w:rsidRPr="00BD271D">
        <w:rPr>
          <w:rFonts w:cs="Times New Roman"/>
          <w:lang w:val="en-GB"/>
        </w:rPr>
        <w:t>makers need to calculate the operating cash flow</w:t>
      </w:r>
      <w:r w:rsidR="00C9464C" w:rsidRPr="00BD271D">
        <w:rPr>
          <w:rFonts w:cs="Times New Roman"/>
          <w:lang w:val="en-GB"/>
        </w:rPr>
        <w:t xml:space="preserve"> subject to consideration of the all-relevant cost during </w:t>
      </w:r>
      <w:r w:rsidR="00735450" w:rsidRPr="00BD271D">
        <w:rPr>
          <w:rFonts w:cs="Times New Roman"/>
          <w:lang w:val="en-GB"/>
        </w:rPr>
        <w:t xml:space="preserve">the </w:t>
      </w:r>
      <w:r w:rsidR="00C9464C" w:rsidRPr="00BD271D">
        <w:rPr>
          <w:rFonts w:cs="Times New Roman"/>
          <w:lang w:val="en-GB"/>
        </w:rPr>
        <w:t xml:space="preserve">calculation of the NPV. Furthermore, it has required sufficient time to calculate NPV because it has some complexity. The </w:t>
      </w:r>
      <w:r w:rsidR="00430EF8" w:rsidRPr="00BD271D">
        <w:rPr>
          <w:rFonts w:cs="Times New Roman"/>
          <w:lang w:val="en-GB"/>
        </w:rPr>
        <w:t>consideration of the inflation rate and economic growth during determining relevant cash</w:t>
      </w:r>
      <w:r w:rsidR="00735450" w:rsidRPr="00BD271D">
        <w:rPr>
          <w:rFonts w:cs="Times New Roman"/>
          <w:lang w:val="en-GB"/>
        </w:rPr>
        <w:t xml:space="preserve"> </w:t>
      </w:r>
      <w:r w:rsidR="00430EF8" w:rsidRPr="00BD271D">
        <w:rPr>
          <w:rFonts w:cs="Times New Roman"/>
          <w:lang w:val="en-GB"/>
        </w:rPr>
        <w:t xml:space="preserve">flow and cost of capital was not </w:t>
      </w:r>
      <w:r w:rsidR="00735450" w:rsidRPr="00BD271D">
        <w:rPr>
          <w:rFonts w:cs="Times New Roman"/>
          <w:lang w:val="en-GB"/>
        </w:rPr>
        <w:t xml:space="preserve">an </w:t>
      </w:r>
      <w:r w:rsidR="00430EF8" w:rsidRPr="00BD271D">
        <w:rPr>
          <w:rFonts w:cs="Times New Roman"/>
          <w:lang w:val="en-GB"/>
        </w:rPr>
        <w:t xml:space="preserve">easy task at all. </w:t>
      </w:r>
      <w:r w:rsidR="00C9464C" w:rsidRPr="00BD271D">
        <w:rPr>
          <w:rFonts w:cs="Times New Roman"/>
          <w:lang w:val="en-GB"/>
        </w:rPr>
        <w:t xml:space="preserve">  </w:t>
      </w:r>
      <w:r w:rsidRPr="00BD271D">
        <w:rPr>
          <w:rFonts w:cs="Times New Roman"/>
          <w:lang w:val="en-GB"/>
        </w:rPr>
        <w:t xml:space="preserve">   </w:t>
      </w:r>
    </w:p>
    <w:p w14:paraId="75674F4B" w14:textId="4240AAA8" w:rsidR="004142D0" w:rsidRPr="00BD271D" w:rsidRDefault="0022035D" w:rsidP="00F157A7">
      <w:pPr>
        <w:rPr>
          <w:rFonts w:cs="Times New Roman"/>
          <w:lang w:val="en-GB"/>
        </w:rPr>
      </w:pPr>
      <w:r w:rsidRPr="00BD271D">
        <w:rPr>
          <w:rFonts w:cs="Times New Roman"/>
          <w:lang w:val="en-GB"/>
        </w:rPr>
        <w:t xml:space="preserve"> </w:t>
      </w:r>
      <w:r w:rsidR="004142D0" w:rsidRPr="00BD271D">
        <w:rPr>
          <w:rFonts w:cs="Times New Roman"/>
          <w:lang w:val="en-GB"/>
        </w:rPr>
        <w:t xml:space="preserve"> </w:t>
      </w:r>
    </w:p>
    <w:p w14:paraId="018B1DD3" w14:textId="5CED4963" w:rsidR="00F157A7" w:rsidRPr="00BD271D" w:rsidRDefault="001D1219" w:rsidP="00BD271D">
      <w:pPr>
        <w:jc w:val="center"/>
        <w:rPr>
          <w:rFonts w:cs="Times New Roman"/>
          <w:b/>
          <w:bCs/>
          <w:u w:val="single"/>
          <w:lang w:val="en-GB"/>
        </w:rPr>
      </w:pPr>
      <w:r w:rsidRPr="00BD271D">
        <w:rPr>
          <w:rFonts w:cs="Times New Roman"/>
          <w:b/>
          <w:bCs/>
          <w:u w:val="single"/>
          <w:lang w:val="en-GB"/>
        </w:rPr>
        <w:t>Advantages of the payback period:</w:t>
      </w:r>
    </w:p>
    <w:p w14:paraId="38904FB9" w14:textId="47BE2EB4" w:rsidR="001D1219" w:rsidRPr="00BD271D" w:rsidRDefault="001D1219" w:rsidP="00F157A7">
      <w:pPr>
        <w:rPr>
          <w:rFonts w:cs="Times New Roman"/>
          <w:lang w:val="en-GB"/>
        </w:rPr>
      </w:pPr>
      <w:r w:rsidRPr="00BD271D">
        <w:rPr>
          <w:rFonts w:cs="Times New Roman"/>
          <w:lang w:val="en-GB"/>
        </w:rPr>
        <w:t>The investors can know the required time to recover its initial investment during</w:t>
      </w:r>
      <w:r w:rsidR="009A4664" w:rsidRPr="00BD271D">
        <w:rPr>
          <w:rFonts w:cs="Times New Roman"/>
          <w:lang w:val="en-GB"/>
        </w:rPr>
        <w:t xml:space="preserve"> decision making by calculation and interpretation of the payback period. The investors have not required to consider the relevant cost of the investment and inflation rate to calculate the payback period. Th</w:t>
      </w:r>
      <w:r w:rsidR="002509D7" w:rsidRPr="00BD271D">
        <w:rPr>
          <w:rFonts w:cs="Times New Roman"/>
          <w:lang w:val="en-GB"/>
        </w:rPr>
        <w:t>e decision</w:t>
      </w:r>
      <w:r w:rsidR="00735450" w:rsidRPr="00BD271D">
        <w:rPr>
          <w:rFonts w:cs="Times New Roman"/>
          <w:lang w:val="en-GB"/>
        </w:rPr>
        <w:t>-</w:t>
      </w:r>
      <w:r w:rsidR="002509D7" w:rsidRPr="00BD271D">
        <w:rPr>
          <w:rFonts w:cs="Times New Roman"/>
          <w:lang w:val="en-GB"/>
        </w:rPr>
        <w:t xml:space="preserve">makers have not required to so much time to calculate </w:t>
      </w:r>
      <w:r w:rsidR="00735450" w:rsidRPr="00BD271D">
        <w:rPr>
          <w:rFonts w:cs="Times New Roman"/>
          <w:lang w:val="en-GB"/>
        </w:rPr>
        <w:t xml:space="preserve">the </w:t>
      </w:r>
      <w:r w:rsidR="002509D7" w:rsidRPr="00BD271D">
        <w:rPr>
          <w:rFonts w:cs="Times New Roman"/>
          <w:lang w:val="en-GB"/>
        </w:rPr>
        <w:t>payback period.</w:t>
      </w:r>
      <w:r w:rsidR="008B1B3F" w:rsidRPr="00BD271D">
        <w:rPr>
          <w:rFonts w:cs="Times New Roman"/>
          <w:lang w:val="en-GB"/>
        </w:rPr>
        <w:t xml:space="preserve"> When the investors have required to recover its initial investment, the application of the payback period has provided</w:t>
      </w:r>
      <w:r w:rsidR="009772B1" w:rsidRPr="00BD271D">
        <w:rPr>
          <w:rFonts w:cs="Times New Roman"/>
          <w:lang w:val="en-GB"/>
        </w:rPr>
        <w:t xml:space="preserve"> more fruitful result</w:t>
      </w:r>
      <w:r w:rsidR="00502B25" w:rsidRPr="00BD271D">
        <w:rPr>
          <w:rFonts w:cs="Times New Roman"/>
          <w:lang w:val="en-GB"/>
        </w:rPr>
        <w:t xml:space="preserve"> (Hand, 2010)</w:t>
      </w:r>
      <w:r w:rsidR="009772B1" w:rsidRPr="00BD271D">
        <w:rPr>
          <w:rFonts w:cs="Times New Roman"/>
          <w:lang w:val="en-GB"/>
        </w:rPr>
        <w:t xml:space="preserve">.  </w:t>
      </w:r>
      <w:r w:rsidR="002509D7" w:rsidRPr="00BD271D">
        <w:rPr>
          <w:rFonts w:cs="Times New Roman"/>
          <w:lang w:val="en-GB"/>
        </w:rPr>
        <w:t xml:space="preserve"> </w:t>
      </w:r>
      <w:r w:rsidR="009A4664" w:rsidRPr="00BD271D">
        <w:rPr>
          <w:rFonts w:cs="Times New Roman"/>
          <w:lang w:val="en-GB"/>
        </w:rPr>
        <w:t xml:space="preserve"> </w:t>
      </w:r>
      <w:r w:rsidRPr="00BD271D">
        <w:rPr>
          <w:rFonts w:cs="Times New Roman"/>
          <w:lang w:val="en-GB"/>
        </w:rPr>
        <w:t xml:space="preserve"> </w:t>
      </w:r>
    </w:p>
    <w:p w14:paraId="66128495" w14:textId="77777777" w:rsidR="00BD271D" w:rsidRPr="00BD271D" w:rsidRDefault="00BD271D" w:rsidP="00F157A7">
      <w:pPr>
        <w:rPr>
          <w:rFonts w:cs="Times New Roman"/>
          <w:lang w:val="en-GB"/>
        </w:rPr>
      </w:pPr>
    </w:p>
    <w:p w14:paraId="77AEB44D" w14:textId="6F75361F" w:rsidR="001638DA" w:rsidRPr="00BD271D" w:rsidRDefault="001638DA" w:rsidP="00BD271D">
      <w:pPr>
        <w:jc w:val="center"/>
        <w:rPr>
          <w:rFonts w:cs="Times New Roman"/>
          <w:b/>
          <w:bCs/>
          <w:u w:val="single"/>
          <w:lang w:val="en-GB"/>
        </w:rPr>
      </w:pPr>
      <w:r w:rsidRPr="00BD271D">
        <w:rPr>
          <w:rFonts w:cs="Times New Roman"/>
          <w:b/>
          <w:bCs/>
          <w:u w:val="single"/>
          <w:lang w:val="en-GB"/>
        </w:rPr>
        <w:t>Disadvantages of the payback period:</w:t>
      </w:r>
    </w:p>
    <w:p w14:paraId="62E59541" w14:textId="77777777" w:rsidR="00BD271D" w:rsidRPr="00BD271D" w:rsidRDefault="001638DA" w:rsidP="00F157A7">
      <w:pPr>
        <w:rPr>
          <w:rFonts w:cs="Times New Roman"/>
          <w:lang w:val="en-GB"/>
        </w:rPr>
      </w:pPr>
      <w:r w:rsidRPr="00BD271D">
        <w:rPr>
          <w:rFonts w:cs="Times New Roman"/>
          <w:lang w:val="en-GB"/>
        </w:rPr>
        <w:lastRenderedPageBreak/>
        <w:t>Like Net Present Value (NPV), the payback period has some disadvantages and shortcomings that lead to mak</w:t>
      </w:r>
      <w:r w:rsidR="00735450" w:rsidRPr="00BD271D">
        <w:rPr>
          <w:rFonts w:cs="Times New Roman"/>
          <w:lang w:val="en-GB"/>
        </w:rPr>
        <w:t>ing</w:t>
      </w:r>
      <w:r w:rsidRPr="00BD271D">
        <w:rPr>
          <w:rFonts w:cs="Times New Roman"/>
          <w:lang w:val="en-GB"/>
        </w:rPr>
        <w:t xml:space="preserve"> </w:t>
      </w:r>
      <w:r w:rsidR="00735450" w:rsidRPr="00BD271D">
        <w:rPr>
          <w:rFonts w:cs="Times New Roman"/>
          <w:lang w:val="en-GB"/>
        </w:rPr>
        <w:t xml:space="preserve">the </w:t>
      </w:r>
      <w:r w:rsidRPr="00BD271D">
        <w:rPr>
          <w:rFonts w:cs="Times New Roman"/>
          <w:lang w:val="en-GB"/>
        </w:rPr>
        <w:t>wrong investment decision.</w:t>
      </w:r>
      <w:r w:rsidR="00E01FCD" w:rsidRPr="00BD271D">
        <w:rPr>
          <w:rFonts w:cs="Times New Roman"/>
          <w:lang w:val="en-GB"/>
        </w:rPr>
        <w:t xml:space="preserve"> The investors have not required to consider the time value of the money to calculate </w:t>
      </w:r>
      <w:r w:rsidR="00735450" w:rsidRPr="00BD271D">
        <w:rPr>
          <w:rFonts w:cs="Times New Roman"/>
          <w:lang w:val="en-GB"/>
        </w:rPr>
        <w:t xml:space="preserve">the </w:t>
      </w:r>
      <w:r w:rsidR="00E01FCD" w:rsidRPr="00BD271D">
        <w:rPr>
          <w:rFonts w:cs="Times New Roman"/>
          <w:lang w:val="en-GB"/>
        </w:rPr>
        <w:t>payback period. In this regard, the investment decision has not reflected all factors of the investment and economic condition. As the relevant cost of the investment has not been considered, the</w:t>
      </w:r>
      <w:r w:rsidR="007701A3" w:rsidRPr="00BD271D">
        <w:rPr>
          <w:rFonts w:cs="Times New Roman"/>
          <w:lang w:val="en-GB"/>
        </w:rPr>
        <w:t xml:space="preserve"> investment decision may be wrong. </w:t>
      </w:r>
      <w:r w:rsidR="00E01FCD" w:rsidRPr="00BD271D">
        <w:rPr>
          <w:rFonts w:cs="Times New Roman"/>
          <w:lang w:val="en-GB"/>
        </w:rPr>
        <w:t xml:space="preserve">    </w:t>
      </w:r>
    </w:p>
    <w:p w14:paraId="6238522E" w14:textId="7EAA35F9" w:rsidR="001638DA" w:rsidRPr="00BD271D" w:rsidRDefault="00E01FCD" w:rsidP="00F157A7">
      <w:pPr>
        <w:rPr>
          <w:rFonts w:cs="Times New Roman"/>
          <w:lang w:val="en-GB"/>
        </w:rPr>
      </w:pPr>
      <w:r w:rsidRPr="00BD271D">
        <w:rPr>
          <w:rFonts w:cs="Times New Roman"/>
          <w:lang w:val="en-GB"/>
        </w:rPr>
        <w:t xml:space="preserve">  </w:t>
      </w:r>
      <w:r w:rsidR="001638DA" w:rsidRPr="00BD271D">
        <w:rPr>
          <w:rFonts w:cs="Times New Roman"/>
          <w:lang w:val="en-GB"/>
        </w:rPr>
        <w:t xml:space="preserve">    </w:t>
      </w:r>
    </w:p>
    <w:p w14:paraId="5F948D63" w14:textId="77777777" w:rsidR="007701A3" w:rsidRPr="00BD271D" w:rsidRDefault="007701A3" w:rsidP="00BD271D">
      <w:pPr>
        <w:jc w:val="center"/>
        <w:rPr>
          <w:rFonts w:cs="Times New Roman"/>
          <w:b/>
          <w:bCs/>
          <w:u w:val="single"/>
          <w:lang w:val="en-GB"/>
        </w:rPr>
      </w:pPr>
      <w:r w:rsidRPr="00BD271D">
        <w:rPr>
          <w:rFonts w:cs="Times New Roman"/>
          <w:b/>
          <w:bCs/>
          <w:u w:val="single"/>
          <w:lang w:val="en-GB"/>
        </w:rPr>
        <w:t>Advantages of the Accounting rate of the return (ARR):</w:t>
      </w:r>
    </w:p>
    <w:p w14:paraId="7E1B3CD4" w14:textId="10C97D77" w:rsidR="007701A3" w:rsidRPr="00BD271D" w:rsidRDefault="007701A3" w:rsidP="007701A3">
      <w:pPr>
        <w:rPr>
          <w:rFonts w:cs="Times New Roman"/>
          <w:lang w:val="en-GB"/>
        </w:rPr>
      </w:pPr>
      <w:r w:rsidRPr="00BD271D">
        <w:rPr>
          <w:rFonts w:cs="Times New Roman"/>
          <w:lang w:val="en-GB"/>
        </w:rPr>
        <w:t>The investors can know the required rate of return on its initial investment during decision making by calculation and interpretation of the</w:t>
      </w:r>
      <w:r w:rsidR="00116922" w:rsidRPr="00BD271D">
        <w:rPr>
          <w:rFonts w:cs="Times New Roman"/>
          <w:lang w:val="en-GB"/>
        </w:rPr>
        <w:t xml:space="preserve"> Accounting Rate of Return (ARR)</w:t>
      </w:r>
      <w:r w:rsidRPr="00BD271D">
        <w:rPr>
          <w:rFonts w:cs="Times New Roman"/>
          <w:lang w:val="en-GB"/>
        </w:rPr>
        <w:t xml:space="preserve">. The investors have not required to consider the relevant cost of the investment and inflation rate to calculate the </w:t>
      </w:r>
      <w:r w:rsidR="00116922" w:rsidRPr="00BD271D">
        <w:rPr>
          <w:rFonts w:cs="Times New Roman"/>
          <w:lang w:val="en-GB"/>
        </w:rPr>
        <w:t>Accounting Rate of Return (ARR)</w:t>
      </w:r>
      <w:r w:rsidRPr="00BD271D">
        <w:rPr>
          <w:rFonts w:cs="Times New Roman"/>
          <w:lang w:val="en-GB"/>
        </w:rPr>
        <w:t>. The decision</w:t>
      </w:r>
      <w:r w:rsidR="00735450" w:rsidRPr="00BD271D">
        <w:rPr>
          <w:rFonts w:cs="Times New Roman"/>
          <w:lang w:val="en-GB"/>
        </w:rPr>
        <w:t>-</w:t>
      </w:r>
      <w:r w:rsidRPr="00BD271D">
        <w:rPr>
          <w:rFonts w:cs="Times New Roman"/>
          <w:lang w:val="en-GB"/>
        </w:rPr>
        <w:t xml:space="preserve">makers have not required to so much time to calculate </w:t>
      </w:r>
      <w:r w:rsidR="00735450" w:rsidRPr="00BD271D">
        <w:rPr>
          <w:rFonts w:cs="Times New Roman"/>
          <w:lang w:val="en-GB"/>
        </w:rPr>
        <w:t xml:space="preserve">the </w:t>
      </w:r>
      <w:r w:rsidR="00116922" w:rsidRPr="00BD271D">
        <w:rPr>
          <w:rFonts w:cs="Times New Roman"/>
          <w:lang w:val="en-GB"/>
        </w:rPr>
        <w:t>Accounting Rate of Return (ARR)</w:t>
      </w:r>
      <w:r w:rsidRPr="00BD271D">
        <w:rPr>
          <w:rFonts w:cs="Times New Roman"/>
          <w:lang w:val="en-GB"/>
        </w:rPr>
        <w:t>. When the investors have required to</w:t>
      </w:r>
      <w:r w:rsidR="00116922" w:rsidRPr="00BD271D">
        <w:rPr>
          <w:rFonts w:cs="Times New Roman"/>
          <w:lang w:val="en-GB"/>
        </w:rPr>
        <w:t xml:space="preserve"> determine </w:t>
      </w:r>
      <w:r w:rsidR="00735450" w:rsidRPr="00BD271D">
        <w:rPr>
          <w:rFonts w:cs="Times New Roman"/>
          <w:lang w:val="en-GB"/>
        </w:rPr>
        <w:t xml:space="preserve">the </w:t>
      </w:r>
      <w:r w:rsidR="00116922" w:rsidRPr="00BD271D">
        <w:rPr>
          <w:rFonts w:cs="Times New Roman"/>
          <w:lang w:val="en-GB"/>
        </w:rPr>
        <w:t xml:space="preserve">appropriate rate of return on </w:t>
      </w:r>
      <w:r w:rsidRPr="00BD271D">
        <w:rPr>
          <w:rFonts w:cs="Times New Roman"/>
          <w:lang w:val="en-GB"/>
        </w:rPr>
        <w:t xml:space="preserve">its initial investment, the application of the </w:t>
      </w:r>
      <w:r w:rsidR="00116922" w:rsidRPr="00BD271D">
        <w:rPr>
          <w:rFonts w:cs="Times New Roman"/>
          <w:lang w:val="en-GB"/>
        </w:rPr>
        <w:t>Accounting Rate of Return (ARR)</w:t>
      </w:r>
      <w:r w:rsidRPr="00BD271D">
        <w:rPr>
          <w:rFonts w:cs="Times New Roman"/>
          <w:lang w:val="en-GB"/>
        </w:rPr>
        <w:t xml:space="preserve"> has provided more fruitful result</w:t>
      </w:r>
      <w:r w:rsidR="00502B25" w:rsidRPr="00BD271D">
        <w:rPr>
          <w:rFonts w:cs="Times New Roman"/>
          <w:lang w:val="en-GB"/>
        </w:rPr>
        <w:t xml:space="preserve"> (Hays, 2018)</w:t>
      </w:r>
      <w:r w:rsidRPr="00BD271D">
        <w:rPr>
          <w:rFonts w:cs="Times New Roman"/>
          <w:lang w:val="en-GB"/>
        </w:rPr>
        <w:t xml:space="preserve">.     </w:t>
      </w:r>
    </w:p>
    <w:p w14:paraId="7257A794" w14:textId="75F9866D" w:rsidR="001D1219" w:rsidRPr="00BD271D" w:rsidRDefault="001D1219" w:rsidP="00F157A7">
      <w:pPr>
        <w:rPr>
          <w:rFonts w:cs="Times New Roman"/>
          <w:lang w:val="en-GB"/>
        </w:rPr>
      </w:pPr>
    </w:p>
    <w:p w14:paraId="579A4C7B" w14:textId="3B17006C" w:rsidR="006474D6" w:rsidRPr="00BD271D" w:rsidRDefault="006474D6" w:rsidP="00BD271D">
      <w:pPr>
        <w:jc w:val="center"/>
        <w:rPr>
          <w:rFonts w:cs="Times New Roman"/>
          <w:b/>
          <w:bCs/>
          <w:u w:val="single"/>
          <w:lang w:val="en-GB"/>
        </w:rPr>
      </w:pPr>
      <w:r w:rsidRPr="00BD271D">
        <w:rPr>
          <w:rFonts w:cs="Times New Roman"/>
          <w:b/>
          <w:bCs/>
          <w:u w:val="single"/>
          <w:lang w:val="en-GB"/>
        </w:rPr>
        <w:t>Disadvantages of the Accounting Rate of the Return (ARR):</w:t>
      </w:r>
    </w:p>
    <w:p w14:paraId="7FA13F42" w14:textId="723FA732" w:rsidR="00FA7DE7" w:rsidRPr="00BD271D" w:rsidRDefault="00FA7DE7" w:rsidP="00FA7DE7">
      <w:pPr>
        <w:rPr>
          <w:rFonts w:cs="Times New Roman"/>
          <w:lang w:val="en-GB"/>
        </w:rPr>
      </w:pPr>
      <w:r w:rsidRPr="00BD271D">
        <w:rPr>
          <w:rFonts w:cs="Times New Roman"/>
          <w:lang w:val="en-GB"/>
        </w:rPr>
        <w:t>Like Net Present Value (NPV)</w:t>
      </w:r>
      <w:r w:rsidR="008407F8" w:rsidRPr="00BD271D">
        <w:rPr>
          <w:rFonts w:cs="Times New Roman"/>
          <w:lang w:val="en-GB"/>
        </w:rPr>
        <w:t xml:space="preserve"> and </w:t>
      </w:r>
      <w:r w:rsidR="00735450" w:rsidRPr="00BD271D">
        <w:rPr>
          <w:rFonts w:cs="Times New Roman"/>
          <w:lang w:val="en-GB"/>
        </w:rPr>
        <w:t xml:space="preserve">the </w:t>
      </w:r>
      <w:r w:rsidR="008407F8" w:rsidRPr="00BD271D">
        <w:rPr>
          <w:rFonts w:cs="Times New Roman"/>
          <w:lang w:val="en-GB"/>
        </w:rPr>
        <w:t>payback period</w:t>
      </w:r>
      <w:r w:rsidRPr="00BD271D">
        <w:rPr>
          <w:rFonts w:cs="Times New Roman"/>
          <w:lang w:val="en-GB"/>
        </w:rPr>
        <w:t>, the</w:t>
      </w:r>
      <w:r w:rsidR="008407F8" w:rsidRPr="00BD271D">
        <w:rPr>
          <w:rFonts w:cs="Times New Roman"/>
          <w:lang w:val="en-GB"/>
        </w:rPr>
        <w:t xml:space="preserve"> Accounting Rate of Return (ARR) </w:t>
      </w:r>
      <w:r w:rsidRPr="00BD271D">
        <w:rPr>
          <w:rFonts w:cs="Times New Roman"/>
          <w:lang w:val="en-GB"/>
        </w:rPr>
        <w:t>has some disadvantages and shortcomings that lead to mak</w:t>
      </w:r>
      <w:r w:rsidR="00735450" w:rsidRPr="00BD271D">
        <w:rPr>
          <w:rFonts w:cs="Times New Roman"/>
          <w:lang w:val="en-GB"/>
        </w:rPr>
        <w:t>ing</w:t>
      </w:r>
      <w:r w:rsidRPr="00BD271D">
        <w:rPr>
          <w:rFonts w:cs="Times New Roman"/>
          <w:lang w:val="en-GB"/>
        </w:rPr>
        <w:t xml:space="preserve"> </w:t>
      </w:r>
      <w:r w:rsidR="00735450" w:rsidRPr="00BD271D">
        <w:rPr>
          <w:rFonts w:cs="Times New Roman"/>
          <w:lang w:val="en-GB"/>
        </w:rPr>
        <w:t xml:space="preserve">the </w:t>
      </w:r>
      <w:r w:rsidRPr="00BD271D">
        <w:rPr>
          <w:rFonts w:cs="Times New Roman"/>
          <w:lang w:val="en-GB"/>
        </w:rPr>
        <w:t xml:space="preserve">wrong investment decision. The investors have not required to consider the time value of the money to </w:t>
      </w:r>
      <w:r w:rsidR="00735450" w:rsidRPr="00BD271D">
        <w:rPr>
          <w:rFonts w:cs="Times New Roman"/>
          <w:lang w:val="en-GB"/>
        </w:rPr>
        <w:t>C</w:t>
      </w:r>
      <w:r w:rsidRPr="00BD271D">
        <w:rPr>
          <w:rFonts w:cs="Times New Roman"/>
          <w:lang w:val="en-GB"/>
        </w:rPr>
        <w:t>alculate</w:t>
      </w:r>
      <w:r w:rsidR="008407F8" w:rsidRPr="00BD271D">
        <w:rPr>
          <w:rFonts w:cs="Times New Roman"/>
          <w:lang w:val="en-GB"/>
        </w:rPr>
        <w:t xml:space="preserve"> </w:t>
      </w:r>
      <w:r w:rsidR="00735450" w:rsidRPr="00BD271D">
        <w:rPr>
          <w:rFonts w:cs="Times New Roman"/>
          <w:lang w:val="en-GB"/>
        </w:rPr>
        <w:t xml:space="preserve">the </w:t>
      </w:r>
      <w:r w:rsidR="008407F8" w:rsidRPr="00BD271D">
        <w:rPr>
          <w:rFonts w:cs="Times New Roman"/>
          <w:lang w:val="en-GB"/>
        </w:rPr>
        <w:t>Accounting Rate of Return (ARR)</w:t>
      </w:r>
      <w:r w:rsidRPr="00BD271D">
        <w:rPr>
          <w:rFonts w:cs="Times New Roman"/>
          <w:lang w:val="en-GB"/>
        </w:rPr>
        <w:t>. In this regard, the investment decision has not reflected all factors of the investment and economic condition. As the relevant cost of the investment has not been considered, the investment decision may be wrong</w:t>
      </w:r>
      <w:r w:rsidR="00502B25" w:rsidRPr="00BD271D">
        <w:rPr>
          <w:rFonts w:cs="Times New Roman"/>
          <w:lang w:val="en-GB"/>
        </w:rPr>
        <w:t xml:space="preserve"> (Phylaktis, 2014)</w:t>
      </w:r>
      <w:r w:rsidRPr="00BD271D">
        <w:rPr>
          <w:rFonts w:cs="Times New Roman"/>
          <w:lang w:val="en-GB"/>
        </w:rPr>
        <w:t xml:space="preserve">.           </w:t>
      </w:r>
    </w:p>
    <w:p w14:paraId="7DF87B99" w14:textId="1EAD42D7" w:rsidR="00A45D4E" w:rsidRPr="00BD271D" w:rsidRDefault="006D1140" w:rsidP="003A7227">
      <w:pPr>
        <w:rPr>
          <w:rFonts w:cs="Times New Roman"/>
          <w:lang w:val="en-GB"/>
        </w:rPr>
      </w:pPr>
      <w:r w:rsidRPr="00BD271D">
        <w:rPr>
          <w:rFonts w:cs="Times New Roman"/>
          <w:lang w:val="en-GB"/>
        </w:rPr>
        <w:lastRenderedPageBreak/>
        <w:t xml:space="preserve">The good financial and investment decision has not only considered financial factors but also considered non-financial factors. Without consideration of the non-financial factors, the </w:t>
      </w:r>
      <w:r w:rsidR="00A45D4E" w:rsidRPr="00BD271D">
        <w:rPr>
          <w:rFonts w:cs="Times New Roman"/>
          <w:lang w:val="en-GB"/>
        </w:rPr>
        <w:t>investment decision may no</w:t>
      </w:r>
      <w:r w:rsidR="00502B25" w:rsidRPr="00BD271D">
        <w:rPr>
          <w:rFonts w:cs="Times New Roman"/>
          <w:lang w:val="en-GB"/>
        </w:rPr>
        <w:t>t</w:t>
      </w:r>
      <w:r w:rsidR="00A45D4E" w:rsidRPr="00BD271D">
        <w:rPr>
          <w:rFonts w:cs="Times New Roman"/>
          <w:lang w:val="en-GB"/>
        </w:rPr>
        <w:t xml:space="preserve"> be prudent</w:t>
      </w:r>
      <w:r w:rsidR="00502B25" w:rsidRPr="00BD271D">
        <w:rPr>
          <w:rFonts w:cs="Times New Roman"/>
          <w:lang w:val="en-GB"/>
        </w:rPr>
        <w:t xml:space="preserve"> (Topsacalian, Teulié, Helfer and Orsoni, 2015)</w:t>
      </w:r>
      <w:r w:rsidR="00A45D4E" w:rsidRPr="00BD271D">
        <w:rPr>
          <w:rFonts w:cs="Times New Roman"/>
          <w:lang w:val="en-GB"/>
        </w:rPr>
        <w:t>. The following non-financial factors should be considered by investors during investment decision making:</w:t>
      </w:r>
    </w:p>
    <w:p w14:paraId="400C06F3" w14:textId="77777777" w:rsidR="00810969" w:rsidRPr="00BD271D" w:rsidRDefault="00A45D4E" w:rsidP="00D33C3C">
      <w:pPr>
        <w:pStyle w:val="ListParagraph"/>
        <w:numPr>
          <w:ilvl w:val="0"/>
          <w:numId w:val="1"/>
        </w:numPr>
        <w:rPr>
          <w:rFonts w:cs="Times New Roman"/>
          <w:lang w:val="en-GB"/>
        </w:rPr>
      </w:pPr>
      <w:r w:rsidRPr="00BD271D">
        <w:rPr>
          <w:rFonts w:cs="Times New Roman"/>
          <w:lang w:val="en-GB"/>
        </w:rPr>
        <w:t>Political factors</w:t>
      </w:r>
    </w:p>
    <w:p w14:paraId="1626F06A" w14:textId="77777777" w:rsidR="00810969" w:rsidRPr="00BD271D" w:rsidRDefault="00810969" w:rsidP="00D33C3C">
      <w:pPr>
        <w:pStyle w:val="ListParagraph"/>
        <w:numPr>
          <w:ilvl w:val="0"/>
          <w:numId w:val="1"/>
        </w:numPr>
        <w:rPr>
          <w:rFonts w:cs="Times New Roman"/>
          <w:lang w:val="en-GB"/>
        </w:rPr>
      </w:pPr>
      <w:r w:rsidRPr="00BD271D">
        <w:rPr>
          <w:rFonts w:cs="Times New Roman"/>
          <w:lang w:val="en-GB"/>
        </w:rPr>
        <w:t>Technological factors</w:t>
      </w:r>
    </w:p>
    <w:p w14:paraId="5A6B18F1" w14:textId="77777777" w:rsidR="00810969" w:rsidRPr="00BD271D" w:rsidRDefault="00810969" w:rsidP="00D33C3C">
      <w:pPr>
        <w:pStyle w:val="ListParagraph"/>
        <w:numPr>
          <w:ilvl w:val="0"/>
          <w:numId w:val="1"/>
        </w:numPr>
        <w:rPr>
          <w:rFonts w:cs="Times New Roman"/>
          <w:lang w:val="en-GB"/>
        </w:rPr>
      </w:pPr>
      <w:r w:rsidRPr="00BD271D">
        <w:rPr>
          <w:rFonts w:cs="Times New Roman"/>
          <w:lang w:val="en-GB"/>
        </w:rPr>
        <w:t>Business environment of the country</w:t>
      </w:r>
    </w:p>
    <w:p w14:paraId="79B89A3F" w14:textId="77777777" w:rsidR="00810969" w:rsidRPr="00BD271D" w:rsidRDefault="00810969" w:rsidP="00D33C3C">
      <w:pPr>
        <w:pStyle w:val="ListParagraph"/>
        <w:numPr>
          <w:ilvl w:val="0"/>
          <w:numId w:val="1"/>
        </w:numPr>
        <w:rPr>
          <w:rFonts w:cs="Times New Roman"/>
          <w:lang w:val="en-GB"/>
        </w:rPr>
      </w:pPr>
      <w:r w:rsidRPr="00BD271D">
        <w:rPr>
          <w:rFonts w:cs="Times New Roman"/>
          <w:lang w:val="en-GB"/>
        </w:rPr>
        <w:t>Technological factors</w:t>
      </w:r>
    </w:p>
    <w:p w14:paraId="1EDDE659" w14:textId="4491FE5F" w:rsidR="00810969" w:rsidRPr="00BD271D" w:rsidRDefault="00735450" w:rsidP="00D33C3C">
      <w:pPr>
        <w:pStyle w:val="ListParagraph"/>
        <w:numPr>
          <w:ilvl w:val="0"/>
          <w:numId w:val="1"/>
        </w:numPr>
        <w:rPr>
          <w:rFonts w:cs="Times New Roman"/>
          <w:lang w:val="en-GB"/>
        </w:rPr>
      </w:pPr>
      <w:r w:rsidRPr="00BD271D">
        <w:rPr>
          <w:rFonts w:cs="Times New Roman"/>
          <w:lang w:val="en-GB"/>
        </w:rPr>
        <w:t>The s</w:t>
      </w:r>
      <w:r w:rsidR="00810969" w:rsidRPr="00BD271D">
        <w:rPr>
          <w:rFonts w:cs="Times New Roman"/>
          <w:lang w:val="en-GB"/>
        </w:rPr>
        <w:t>kill of the human resources</w:t>
      </w:r>
    </w:p>
    <w:p w14:paraId="740FE50E" w14:textId="1846FDF3" w:rsidR="00810969" w:rsidRPr="00BD271D" w:rsidRDefault="00D33C3C" w:rsidP="00D33C3C">
      <w:pPr>
        <w:pStyle w:val="ListParagraph"/>
        <w:numPr>
          <w:ilvl w:val="0"/>
          <w:numId w:val="1"/>
        </w:numPr>
        <w:rPr>
          <w:rFonts w:cs="Times New Roman"/>
          <w:lang w:val="en-GB"/>
        </w:rPr>
      </w:pPr>
      <w:r w:rsidRPr="00BD271D">
        <w:rPr>
          <w:rFonts w:cs="Times New Roman"/>
          <w:lang w:val="en-GB"/>
        </w:rPr>
        <w:t>Availability of the human resources</w:t>
      </w:r>
    </w:p>
    <w:p w14:paraId="76891057" w14:textId="40860722" w:rsidR="00D33C3C" w:rsidRPr="00BD271D" w:rsidRDefault="00D33C3C" w:rsidP="00D33C3C">
      <w:pPr>
        <w:pStyle w:val="ListParagraph"/>
        <w:numPr>
          <w:ilvl w:val="0"/>
          <w:numId w:val="1"/>
        </w:numPr>
        <w:rPr>
          <w:rFonts w:cs="Times New Roman"/>
          <w:lang w:val="en-GB"/>
        </w:rPr>
      </w:pPr>
      <w:r w:rsidRPr="00BD271D">
        <w:rPr>
          <w:rFonts w:cs="Times New Roman"/>
          <w:lang w:val="en-GB"/>
        </w:rPr>
        <w:t>Legal factors of the country</w:t>
      </w:r>
    </w:p>
    <w:p w14:paraId="0F944D68" w14:textId="476A5943" w:rsidR="002542D9" w:rsidRPr="00BD271D" w:rsidRDefault="002542D9" w:rsidP="003A7227">
      <w:pPr>
        <w:rPr>
          <w:rFonts w:cs="Times New Roman"/>
          <w:lang w:val="en-GB"/>
        </w:rPr>
      </w:pPr>
    </w:p>
    <w:p w14:paraId="55EF27F2" w14:textId="5FA51207" w:rsidR="002542D9" w:rsidRPr="00BD271D" w:rsidRDefault="002542D9" w:rsidP="00735450">
      <w:pPr>
        <w:pStyle w:val="Heading1"/>
        <w:rPr>
          <w:rFonts w:cs="Times New Roman"/>
          <w:lang w:val="en-GB"/>
        </w:rPr>
      </w:pPr>
      <w:bookmarkStart w:id="27" w:name="_Toc60172428"/>
      <w:bookmarkStart w:id="28" w:name="_Toc61434637"/>
      <w:r w:rsidRPr="00BD271D">
        <w:rPr>
          <w:rFonts w:cs="Times New Roman"/>
          <w:lang w:val="en-GB"/>
        </w:rPr>
        <w:t>Conclusion</w:t>
      </w:r>
      <w:bookmarkEnd w:id="27"/>
      <w:bookmarkEnd w:id="28"/>
    </w:p>
    <w:p w14:paraId="3FCB8EE5" w14:textId="644B2E90" w:rsidR="00502B25" w:rsidRPr="00BD271D" w:rsidRDefault="00D46360" w:rsidP="003A7227">
      <w:pPr>
        <w:rPr>
          <w:rFonts w:cs="Times New Roman"/>
          <w:lang w:val="en-GB"/>
        </w:rPr>
      </w:pPr>
      <w:r w:rsidRPr="00BD271D">
        <w:rPr>
          <w:rFonts w:cs="Times New Roman"/>
          <w:lang w:val="en-GB"/>
        </w:rPr>
        <w:t>The lower payable turnover ratio has stated that the company is more efficient to util</w:t>
      </w:r>
      <w:r w:rsidR="0066245F" w:rsidRPr="00BD271D">
        <w:rPr>
          <w:rFonts w:cs="Times New Roman"/>
          <w:lang w:val="en-GB"/>
        </w:rPr>
        <w:t>is</w:t>
      </w:r>
      <w:r w:rsidRPr="00BD271D">
        <w:rPr>
          <w:rFonts w:cs="Times New Roman"/>
          <w:lang w:val="en-GB"/>
        </w:rPr>
        <w:t>e its payable amount</w:t>
      </w:r>
      <w:r w:rsidR="00735450" w:rsidRPr="00BD271D">
        <w:rPr>
          <w:rFonts w:cs="Times New Roman"/>
          <w:lang w:val="en-GB"/>
        </w:rPr>
        <w:t>. This below-average of the quick ratio indicates that the GlaxoSmithKline had more current liabilities than current assets except for inventories in those periods. Furthermore, the industry average of the quick ratio was 0.59:1 for the pharmaceuticals industry but the GlaxoSmithKline cannot reach this industry average in the period 2017, 2018 and 2019. To ensure sustainable business growth and sound financial position, the finance manager of the GlaxoSmithKline should take appropriate action to reduce involvement on the use of long-term debt.</w:t>
      </w:r>
    </w:p>
    <w:p w14:paraId="4D51F508" w14:textId="5C32239F" w:rsidR="00502B25" w:rsidRPr="00BD271D" w:rsidRDefault="00502B25" w:rsidP="003A7227">
      <w:pPr>
        <w:rPr>
          <w:rFonts w:cs="Times New Roman"/>
          <w:lang w:val="en-GB"/>
        </w:rPr>
      </w:pPr>
    </w:p>
    <w:p w14:paraId="76DC717F" w14:textId="77777777" w:rsidR="00502B25" w:rsidRPr="00BD271D" w:rsidRDefault="00502B25" w:rsidP="00502B25">
      <w:pPr>
        <w:pStyle w:val="Heading1"/>
        <w:rPr>
          <w:rFonts w:cs="Times New Roman"/>
          <w:sz w:val="36"/>
          <w:lang w:val="en-GB"/>
        </w:rPr>
      </w:pPr>
      <w:bookmarkStart w:id="29" w:name="_Toc60172429"/>
      <w:bookmarkStart w:id="30" w:name="_Toc61434638"/>
      <w:r w:rsidRPr="00BD271D">
        <w:rPr>
          <w:rFonts w:cs="Times New Roman"/>
          <w:lang w:val="en-GB"/>
        </w:rPr>
        <w:t>References</w:t>
      </w:r>
      <w:bookmarkEnd w:id="29"/>
      <w:bookmarkEnd w:id="30"/>
    </w:p>
    <w:p w14:paraId="01FB0AB4" w14:textId="77777777" w:rsidR="00502B25" w:rsidRPr="00BD271D" w:rsidRDefault="00502B25" w:rsidP="0066245F">
      <w:pPr>
        <w:pStyle w:val="NormalWeb"/>
        <w:spacing w:before="0" w:beforeAutospacing="0" w:after="180" w:afterAutospacing="0" w:line="360" w:lineRule="auto"/>
        <w:ind w:left="450" w:hanging="450"/>
        <w:jc w:val="both"/>
        <w:rPr>
          <w:color w:val="000000"/>
          <w:lang w:val="en-GB"/>
        </w:rPr>
      </w:pPr>
      <w:r w:rsidRPr="00BD271D">
        <w:rPr>
          <w:color w:val="000000"/>
          <w:lang w:val="en-GB"/>
        </w:rPr>
        <w:t>Ananthan, B., Appannaiah, H. and Reddy, P., 2010. </w:t>
      </w:r>
      <w:r w:rsidRPr="00BD271D">
        <w:rPr>
          <w:i/>
          <w:iCs/>
          <w:color w:val="000000"/>
          <w:lang w:val="en-GB"/>
        </w:rPr>
        <w:t>Business Management</w:t>
      </w:r>
      <w:r w:rsidRPr="00BD271D">
        <w:rPr>
          <w:color w:val="000000"/>
          <w:lang w:val="en-GB"/>
        </w:rPr>
        <w:t>. New Delhi: Himalaya Pub. House.</w:t>
      </w:r>
    </w:p>
    <w:p w14:paraId="16D64EB8" w14:textId="77777777" w:rsidR="00502B25" w:rsidRPr="00BD271D" w:rsidRDefault="00502B25" w:rsidP="0066245F">
      <w:pPr>
        <w:pStyle w:val="NormalWeb"/>
        <w:spacing w:before="0" w:beforeAutospacing="0" w:after="180" w:afterAutospacing="0" w:line="360" w:lineRule="auto"/>
        <w:ind w:left="450" w:hanging="450"/>
        <w:jc w:val="both"/>
        <w:rPr>
          <w:color w:val="000000"/>
          <w:lang w:val="en-GB"/>
        </w:rPr>
      </w:pPr>
      <w:r w:rsidRPr="00BD271D">
        <w:rPr>
          <w:color w:val="000000"/>
          <w:lang w:val="en-GB"/>
        </w:rPr>
        <w:t>Block, S., 2019. </w:t>
      </w:r>
      <w:r w:rsidRPr="00BD271D">
        <w:rPr>
          <w:i/>
          <w:iCs/>
          <w:color w:val="000000"/>
          <w:lang w:val="en-GB"/>
        </w:rPr>
        <w:t>Foundations Of Financial Management</w:t>
      </w:r>
      <w:r w:rsidRPr="00BD271D">
        <w:rPr>
          <w:color w:val="000000"/>
          <w:lang w:val="en-GB"/>
        </w:rPr>
        <w:t>. New York: McGraw-Hill.</w:t>
      </w:r>
    </w:p>
    <w:p w14:paraId="3696AC95" w14:textId="77777777" w:rsidR="00502B25" w:rsidRPr="00BD271D" w:rsidRDefault="00502B25" w:rsidP="0066245F">
      <w:pPr>
        <w:pStyle w:val="NormalWeb"/>
        <w:spacing w:before="0" w:beforeAutospacing="0" w:after="180" w:afterAutospacing="0" w:line="360" w:lineRule="auto"/>
        <w:ind w:left="450" w:hanging="450"/>
        <w:jc w:val="both"/>
        <w:rPr>
          <w:color w:val="000000"/>
          <w:lang w:val="en-GB"/>
        </w:rPr>
      </w:pPr>
      <w:r w:rsidRPr="00BD271D">
        <w:rPr>
          <w:color w:val="000000"/>
          <w:lang w:val="en-GB"/>
        </w:rPr>
        <w:t>Bodie, Z., Merton, R. and Thibierge, C., 2011. </w:t>
      </w:r>
      <w:r w:rsidRPr="00BD271D">
        <w:rPr>
          <w:i/>
          <w:iCs/>
          <w:color w:val="000000"/>
          <w:lang w:val="en-GB"/>
        </w:rPr>
        <w:t>Finance</w:t>
      </w:r>
      <w:r w:rsidRPr="00BD271D">
        <w:rPr>
          <w:color w:val="000000"/>
          <w:lang w:val="en-GB"/>
        </w:rPr>
        <w:t>. Paris: Pearson Education France.</w:t>
      </w:r>
    </w:p>
    <w:p w14:paraId="4D67A266" w14:textId="1EB0CAC8" w:rsidR="00502B25" w:rsidRPr="00BD271D" w:rsidRDefault="00502B25" w:rsidP="0066245F">
      <w:pPr>
        <w:pStyle w:val="NormalWeb"/>
        <w:spacing w:before="0" w:beforeAutospacing="0" w:after="180" w:afterAutospacing="0" w:line="360" w:lineRule="auto"/>
        <w:ind w:left="450" w:hanging="450"/>
        <w:jc w:val="both"/>
        <w:rPr>
          <w:color w:val="000000"/>
          <w:lang w:val="en-GB"/>
        </w:rPr>
      </w:pPr>
      <w:r w:rsidRPr="00BD271D">
        <w:rPr>
          <w:color w:val="000000"/>
          <w:lang w:val="en-GB"/>
        </w:rPr>
        <w:t>Gebran Harb, E., Ver</w:t>
      </w:r>
      <w:r w:rsidR="0066245F" w:rsidRPr="00BD271D">
        <w:rPr>
          <w:color w:val="000000"/>
          <w:lang w:val="en-GB"/>
        </w:rPr>
        <w:t>ys</w:t>
      </w:r>
      <w:r w:rsidRPr="00BD271D">
        <w:rPr>
          <w:color w:val="000000"/>
          <w:lang w:val="en-GB"/>
        </w:rPr>
        <w:t>henko, I., Masset, A. and Murat, P., 2014. </w:t>
      </w:r>
      <w:r w:rsidRPr="00BD271D">
        <w:rPr>
          <w:i/>
          <w:iCs/>
          <w:color w:val="000000"/>
          <w:lang w:val="en-GB"/>
        </w:rPr>
        <w:t>Finance</w:t>
      </w:r>
      <w:r w:rsidRPr="00BD271D">
        <w:rPr>
          <w:color w:val="000000"/>
          <w:lang w:val="en-GB"/>
        </w:rPr>
        <w:t xml:space="preserve">. Paris: </w:t>
      </w:r>
      <w:proofErr w:type="spellStart"/>
      <w:r w:rsidRPr="00BD271D">
        <w:rPr>
          <w:color w:val="000000"/>
          <w:lang w:val="en-GB"/>
        </w:rPr>
        <w:t>Dunod</w:t>
      </w:r>
      <w:proofErr w:type="spellEnd"/>
      <w:r w:rsidRPr="00BD271D">
        <w:rPr>
          <w:color w:val="000000"/>
          <w:lang w:val="en-GB"/>
        </w:rPr>
        <w:t>.</w:t>
      </w:r>
    </w:p>
    <w:p w14:paraId="1BCE0DD4" w14:textId="77777777" w:rsidR="00502B25" w:rsidRPr="00BD271D" w:rsidRDefault="00502B25" w:rsidP="0066245F">
      <w:pPr>
        <w:pStyle w:val="NormalWeb"/>
        <w:spacing w:before="0" w:beforeAutospacing="0" w:after="180" w:afterAutospacing="0" w:line="360" w:lineRule="auto"/>
        <w:ind w:left="450" w:hanging="450"/>
        <w:jc w:val="both"/>
        <w:rPr>
          <w:color w:val="000000"/>
          <w:lang w:val="en-GB"/>
        </w:rPr>
      </w:pPr>
      <w:r w:rsidRPr="00BD271D">
        <w:rPr>
          <w:color w:val="000000"/>
          <w:lang w:val="en-GB"/>
        </w:rPr>
        <w:t>Hand, D., 2010. </w:t>
      </w:r>
      <w:r w:rsidRPr="00BD271D">
        <w:rPr>
          <w:i/>
          <w:iCs/>
          <w:color w:val="000000"/>
          <w:lang w:val="en-GB"/>
        </w:rPr>
        <w:t>Statistics</w:t>
      </w:r>
      <w:r w:rsidRPr="00BD271D">
        <w:rPr>
          <w:color w:val="000000"/>
          <w:lang w:val="en-GB"/>
        </w:rPr>
        <w:t>. New York: Sterling.</w:t>
      </w:r>
    </w:p>
    <w:p w14:paraId="4AF551A3" w14:textId="37FE8C15" w:rsidR="00502B25" w:rsidRPr="00BD271D" w:rsidRDefault="00502B25" w:rsidP="0066245F">
      <w:pPr>
        <w:pStyle w:val="NormalWeb"/>
        <w:spacing w:before="0" w:beforeAutospacing="0" w:after="180" w:afterAutospacing="0" w:line="360" w:lineRule="auto"/>
        <w:ind w:left="450" w:hanging="450"/>
        <w:jc w:val="both"/>
        <w:rPr>
          <w:color w:val="000000"/>
          <w:lang w:val="en-GB"/>
        </w:rPr>
      </w:pPr>
      <w:r w:rsidRPr="00BD271D">
        <w:rPr>
          <w:color w:val="000000"/>
          <w:lang w:val="en-GB"/>
        </w:rPr>
        <w:t>Hays, W., 2018. </w:t>
      </w:r>
      <w:r w:rsidRPr="00BD271D">
        <w:rPr>
          <w:i/>
          <w:iCs/>
          <w:color w:val="000000"/>
          <w:lang w:val="en-GB"/>
        </w:rPr>
        <w:t>Statistics</w:t>
      </w:r>
      <w:r w:rsidRPr="00BD271D">
        <w:rPr>
          <w:color w:val="000000"/>
          <w:lang w:val="en-GB"/>
        </w:rPr>
        <w:t>. Belmont, Calif.: Wadsworth/Thomson Learning.</w:t>
      </w:r>
    </w:p>
    <w:p w14:paraId="4049A8F7" w14:textId="77777777" w:rsidR="00502B25" w:rsidRPr="00BD271D" w:rsidRDefault="00502B25" w:rsidP="0066245F">
      <w:pPr>
        <w:pStyle w:val="NormalWeb"/>
        <w:spacing w:before="0" w:beforeAutospacing="0" w:after="180" w:afterAutospacing="0" w:line="360" w:lineRule="auto"/>
        <w:ind w:left="450" w:hanging="450"/>
        <w:jc w:val="both"/>
        <w:rPr>
          <w:color w:val="000000"/>
          <w:lang w:val="en-GB"/>
        </w:rPr>
      </w:pPr>
      <w:r w:rsidRPr="00BD271D">
        <w:rPr>
          <w:color w:val="000000"/>
          <w:lang w:val="en-GB"/>
        </w:rPr>
        <w:t>McCune, S., 2010. </w:t>
      </w:r>
      <w:r w:rsidRPr="00BD271D">
        <w:rPr>
          <w:i/>
          <w:iCs/>
          <w:color w:val="000000"/>
          <w:lang w:val="en-GB"/>
        </w:rPr>
        <w:t>Statistics</w:t>
      </w:r>
      <w:r w:rsidRPr="00BD271D">
        <w:rPr>
          <w:color w:val="000000"/>
          <w:lang w:val="en-GB"/>
        </w:rPr>
        <w:t>. New York: McGraw-Hill.</w:t>
      </w:r>
    </w:p>
    <w:p w14:paraId="64E3E1E5" w14:textId="2ECF8ADB" w:rsidR="00502B25" w:rsidRPr="00BD271D" w:rsidRDefault="00502B25" w:rsidP="0066245F">
      <w:pPr>
        <w:pStyle w:val="NormalWeb"/>
        <w:spacing w:before="0" w:beforeAutospacing="0" w:after="180" w:afterAutospacing="0" w:line="360" w:lineRule="auto"/>
        <w:ind w:left="450" w:hanging="450"/>
        <w:jc w:val="both"/>
        <w:rPr>
          <w:color w:val="000000"/>
          <w:lang w:val="en-GB"/>
        </w:rPr>
      </w:pPr>
      <w:proofErr w:type="spellStart"/>
      <w:r w:rsidRPr="00BD271D">
        <w:rPr>
          <w:i/>
          <w:iCs/>
          <w:color w:val="000000"/>
          <w:lang w:val="en-GB"/>
        </w:rPr>
        <w:t>Glaxosmithkline</w:t>
      </w:r>
      <w:proofErr w:type="spellEnd"/>
      <w:r w:rsidRPr="00BD271D">
        <w:rPr>
          <w:i/>
          <w:iCs/>
          <w:color w:val="000000"/>
          <w:lang w:val="en-GB"/>
        </w:rPr>
        <w:t xml:space="preserve"> Biologicals SA FLUARIX QUADRIVALENT 2020/2021-</w:t>
      </w:r>
      <w:r w:rsidRPr="00BD271D">
        <w:rPr>
          <w:color w:val="000000"/>
          <w:lang w:val="en-GB"/>
        </w:rPr>
        <w:t>. [online] Available at: &lt;https://dailymed.nlm.nih.gov/dailymed/getFile.cfm?setid=ebeb1c66-deab-4358-a5c0-d4f58c8d8ae7&amp;name=ebeb1c66-deab-4358-a5c0-d4f58c8d8ae7&gt; [Accessed 2020].</w:t>
      </w:r>
    </w:p>
    <w:p w14:paraId="155E0A0D" w14:textId="77777777" w:rsidR="00502B25" w:rsidRPr="00BD271D" w:rsidRDefault="00502B25" w:rsidP="0066245F">
      <w:pPr>
        <w:pStyle w:val="NormalWeb"/>
        <w:spacing w:before="0" w:beforeAutospacing="0" w:after="180" w:afterAutospacing="0" w:line="360" w:lineRule="auto"/>
        <w:ind w:left="450" w:hanging="450"/>
        <w:jc w:val="both"/>
        <w:rPr>
          <w:color w:val="000000"/>
          <w:lang w:val="en-GB"/>
        </w:rPr>
      </w:pPr>
      <w:r w:rsidRPr="00BD271D">
        <w:rPr>
          <w:color w:val="000000"/>
          <w:lang w:val="en-GB"/>
        </w:rPr>
        <w:t>Narayana Reddy, P., Appannaiah, H. and Sathyaprasad, B., 2010. </w:t>
      </w:r>
      <w:r w:rsidRPr="00BD271D">
        <w:rPr>
          <w:i/>
          <w:iCs/>
          <w:color w:val="000000"/>
          <w:lang w:val="en-GB"/>
        </w:rPr>
        <w:t>Business Management</w:t>
      </w:r>
      <w:r w:rsidRPr="00BD271D">
        <w:rPr>
          <w:color w:val="000000"/>
          <w:lang w:val="en-GB"/>
        </w:rPr>
        <w:t>. Mumbai India: Himalaya Pub. House.</w:t>
      </w:r>
    </w:p>
    <w:p w14:paraId="53B451DD" w14:textId="77777777" w:rsidR="00502B25" w:rsidRPr="00BD271D" w:rsidRDefault="00502B25" w:rsidP="0066245F">
      <w:pPr>
        <w:pStyle w:val="NormalWeb"/>
        <w:spacing w:before="0" w:beforeAutospacing="0" w:after="180" w:afterAutospacing="0" w:line="360" w:lineRule="auto"/>
        <w:ind w:left="450" w:hanging="450"/>
        <w:jc w:val="both"/>
        <w:rPr>
          <w:color w:val="000000"/>
          <w:lang w:val="en-GB"/>
        </w:rPr>
      </w:pPr>
      <w:r w:rsidRPr="00BD271D">
        <w:rPr>
          <w:color w:val="000000"/>
          <w:lang w:val="en-GB"/>
        </w:rPr>
        <w:t>Phylaktis, K., 2014. </w:t>
      </w:r>
      <w:r w:rsidRPr="00BD271D">
        <w:rPr>
          <w:i/>
          <w:iCs/>
          <w:color w:val="000000"/>
          <w:lang w:val="en-GB"/>
        </w:rPr>
        <w:t>Finance</w:t>
      </w:r>
      <w:r w:rsidRPr="00BD271D">
        <w:rPr>
          <w:color w:val="000000"/>
          <w:lang w:val="en-GB"/>
        </w:rPr>
        <w:t>. Elsevier Science.</w:t>
      </w:r>
    </w:p>
    <w:p w14:paraId="47B56D84" w14:textId="77777777" w:rsidR="00502B25" w:rsidRPr="00BD271D" w:rsidRDefault="00502B25" w:rsidP="0066245F">
      <w:pPr>
        <w:pStyle w:val="NormalWeb"/>
        <w:spacing w:before="0" w:beforeAutospacing="0" w:after="180" w:afterAutospacing="0" w:line="360" w:lineRule="auto"/>
        <w:ind w:left="450" w:hanging="450"/>
        <w:jc w:val="both"/>
        <w:rPr>
          <w:color w:val="000000"/>
          <w:lang w:val="en-GB"/>
        </w:rPr>
      </w:pPr>
      <w:r w:rsidRPr="00BD271D">
        <w:rPr>
          <w:color w:val="000000"/>
          <w:lang w:val="en-GB"/>
        </w:rPr>
        <w:t>Topsacalian, P., Teulié, J., Helfer, J. and Orsoni, J., 2015. </w:t>
      </w:r>
      <w:r w:rsidRPr="00BD271D">
        <w:rPr>
          <w:i/>
          <w:iCs/>
          <w:color w:val="000000"/>
          <w:lang w:val="en-GB"/>
        </w:rPr>
        <w:t>Finance</w:t>
      </w:r>
      <w:r w:rsidRPr="00BD271D">
        <w:rPr>
          <w:color w:val="000000"/>
          <w:lang w:val="en-GB"/>
        </w:rPr>
        <w:t xml:space="preserve">. Paris: </w:t>
      </w:r>
      <w:proofErr w:type="spellStart"/>
      <w:r w:rsidRPr="00BD271D">
        <w:rPr>
          <w:color w:val="000000"/>
          <w:lang w:val="en-GB"/>
        </w:rPr>
        <w:t>Vuibert</w:t>
      </w:r>
      <w:proofErr w:type="spellEnd"/>
      <w:r w:rsidRPr="00BD271D">
        <w:rPr>
          <w:color w:val="000000"/>
          <w:lang w:val="en-GB"/>
        </w:rPr>
        <w:t>.</w:t>
      </w:r>
    </w:p>
    <w:p w14:paraId="16373FD1" w14:textId="77777777" w:rsidR="00502B25" w:rsidRPr="00BD271D" w:rsidRDefault="00502B25" w:rsidP="0066245F">
      <w:pPr>
        <w:pStyle w:val="NormalWeb"/>
        <w:spacing w:before="0" w:beforeAutospacing="0" w:after="180" w:afterAutospacing="0" w:line="360" w:lineRule="auto"/>
        <w:ind w:left="450" w:hanging="450"/>
        <w:jc w:val="both"/>
        <w:rPr>
          <w:color w:val="000000"/>
          <w:lang w:val="en-GB"/>
        </w:rPr>
      </w:pPr>
      <w:r w:rsidRPr="00BD271D">
        <w:rPr>
          <w:color w:val="000000"/>
          <w:lang w:val="en-GB"/>
        </w:rPr>
        <w:t>Ward, A., 2020. </w:t>
      </w:r>
      <w:r w:rsidRPr="00BD271D">
        <w:rPr>
          <w:i/>
          <w:iCs/>
          <w:color w:val="000000"/>
          <w:lang w:val="en-GB"/>
        </w:rPr>
        <w:t>Finance</w:t>
      </w:r>
      <w:r w:rsidRPr="00BD271D">
        <w:rPr>
          <w:color w:val="000000"/>
          <w:lang w:val="en-GB"/>
        </w:rPr>
        <w:t>. Dublin: Chartered Accountants Ireland.</w:t>
      </w:r>
    </w:p>
    <w:p w14:paraId="0A8D844D" w14:textId="77777777" w:rsidR="00502B25" w:rsidRPr="0066245F" w:rsidRDefault="00502B25" w:rsidP="0066245F">
      <w:pPr>
        <w:spacing w:line="360" w:lineRule="auto"/>
        <w:rPr>
          <w:lang w:val="en-GB"/>
        </w:rPr>
      </w:pPr>
    </w:p>
    <w:sectPr w:rsidR="00502B25" w:rsidRPr="0066245F" w:rsidSect="004A510F">
      <w:footerReference w:type="default" r:id="rId1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7FB7FC1" w14:textId="77777777" w:rsidR="007015CC" w:rsidRDefault="007015CC" w:rsidP="004A510F">
      <w:pPr>
        <w:spacing w:after="0" w:line="240" w:lineRule="auto"/>
      </w:pPr>
      <w:r>
        <w:separator/>
      </w:r>
    </w:p>
  </w:endnote>
  <w:endnote w:type="continuationSeparator" w:id="0">
    <w:p w14:paraId="40203B71" w14:textId="77777777" w:rsidR="007015CC" w:rsidRDefault="007015CC" w:rsidP="004A51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24755181"/>
      <w:docPartObj>
        <w:docPartGallery w:val="Page Numbers (Bottom of Page)"/>
        <w:docPartUnique/>
      </w:docPartObj>
    </w:sdtPr>
    <w:sdtEndPr/>
    <w:sdtContent>
      <w:p w14:paraId="6CEA71E0" w14:textId="48E335D3" w:rsidR="004A510F" w:rsidRDefault="004A510F">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1CCA2C10" w14:textId="77777777" w:rsidR="004A510F" w:rsidRDefault="004A51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547C340" w14:textId="77777777" w:rsidR="007015CC" w:rsidRDefault="007015CC" w:rsidP="004A510F">
      <w:pPr>
        <w:spacing w:after="0" w:line="240" w:lineRule="auto"/>
      </w:pPr>
      <w:r>
        <w:separator/>
      </w:r>
    </w:p>
  </w:footnote>
  <w:footnote w:type="continuationSeparator" w:id="0">
    <w:p w14:paraId="47296B0D" w14:textId="77777777" w:rsidR="007015CC" w:rsidRDefault="007015CC" w:rsidP="004A51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0CB6FA2"/>
    <w:multiLevelType w:val="hybridMultilevel"/>
    <w:tmpl w:val="ECFAE9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YzMzQ3MTAzNLQ0NDRU0lEKTi0uzszPAykwqQUA19JQPCwAAAA="/>
  </w:docVars>
  <w:rsids>
    <w:rsidRoot w:val="004A110F"/>
    <w:rsid w:val="00002170"/>
    <w:rsid w:val="00007B7A"/>
    <w:rsid w:val="0002244C"/>
    <w:rsid w:val="00051C61"/>
    <w:rsid w:val="00063D47"/>
    <w:rsid w:val="00085469"/>
    <w:rsid w:val="000A4F8D"/>
    <w:rsid w:val="000A7824"/>
    <w:rsid w:val="000B0CC2"/>
    <w:rsid w:val="000B4E2A"/>
    <w:rsid w:val="000E6418"/>
    <w:rsid w:val="00102D5B"/>
    <w:rsid w:val="00116922"/>
    <w:rsid w:val="001212E7"/>
    <w:rsid w:val="001301D6"/>
    <w:rsid w:val="0014449F"/>
    <w:rsid w:val="00156D81"/>
    <w:rsid w:val="001638DA"/>
    <w:rsid w:val="00195E82"/>
    <w:rsid w:val="001A2F99"/>
    <w:rsid w:val="001B2F08"/>
    <w:rsid w:val="001C1F67"/>
    <w:rsid w:val="001C53AB"/>
    <w:rsid w:val="001D1219"/>
    <w:rsid w:val="001D4232"/>
    <w:rsid w:val="001D6E5B"/>
    <w:rsid w:val="001E0430"/>
    <w:rsid w:val="0022035D"/>
    <w:rsid w:val="002509D7"/>
    <w:rsid w:val="002542D9"/>
    <w:rsid w:val="0025520F"/>
    <w:rsid w:val="00274919"/>
    <w:rsid w:val="00290207"/>
    <w:rsid w:val="00294649"/>
    <w:rsid w:val="002B69E8"/>
    <w:rsid w:val="002E4F71"/>
    <w:rsid w:val="002F06DA"/>
    <w:rsid w:val="00301348"/>
    <w:rsid w:val="0030135E"/>
    <w:rsid w:val="00313586"/>
    <w:rsid w:val="003432ED"/>
    <w:rsid w:val="00350AA5"/>
    <w:rsid w:val="00351E95"/>
    <w:rsid w:val="0037355A"/>
    <w:rsid w:val="0038133A"/>
    <w:rsid w:val="00381BDB"/>
    <w:rsid w:val="003930E9"/>
    <w:rsid w:val="00393D2A"/>
    <w:rsid w:val="0039545C"/>
    <w:rsid w:val="003A7227"/>
    <w:rsid w:val="003B7640"/>
    <w:rsid w:val="003D6433"/>
    <w:rsid w:val="003F1888"/>
    <w:rsid w:val="00407AD5"/>
    <w:rsid w:val="004142D0"/>
    <w:rsid w:val="00417F5C"/>
    <w:rsid w:val="004210F6"/>
    <w:rsid w:val="0042424F"/>
    <w:rsid w:val="00430EF8"/>
    <w:rsid w:val="00444EE0"/>
    <w:rsid w:val="00472BA8"/>
    <w:rsid w:val="00474002"/>
    <w:rsid w:val="004A110F"/>
    <w:rsid w:val="004A510F"/>
    <w:rsid w:val="004A78CA"/>
    <w:rsid w:val="004C1FA8"/>
    <w:rsid w:val="004E009A"/>
    <w:rsid w:val="004E4D38"/>
    <w:rsid w:val="004F0D34"/>
    <w:rsid w:val="00502B25"/>
    <w:rsid w:val="0051581B"/>
    <w:rsid w:val="00516A68"/>
    <w:rsid w:val="00544EB6"/>
    <w:rsid w:val="005654CA"/>
    <w:rsid w:val="0057202E"/>
    <w:rsid w:val="005725CC"/>
    <w:rsid w:val="0058073B"/>
    <w:rsid w:val="0059019D"/>
    <w:rsid w:val="005E2464"/>
    <w:rsid w:val="005E58F4"/>
    <w:rsid w:val="005F4220"/>
    <w:rsid w:val="006003AE"/>
    <w:rsid w:val="00600E39"/>
    <w:rsid w:val="00603204"/>
    <w:rsid w:val="00603307"/>
    <w:rsid w:val="00604EBE"/>
    <w:rsid w:val="00616EFC"/>
    <w:rsid w:val="006333F4"/>
    <w:rsid w:val="006474D6"/>
    <w:rsid w:val="0066245F"/>
    <w:rsid w:val="00662813"/>
    <w:rsid w:val="006A0840"/>
    <w:rsid w:val="006B411F"/>
    <w:rsid w:val="006B5EFD"/>
    <w:rsid w:val="006D1140"/>
    <w:rsid w:val="007015CC"/>
    <w:rsid w:val="00702216"/>
    <w:rsid w:val="00735450"/>
    <w:rsid w:val="00737B38"/>
    <w:rsid w:val="00756769"/>
    <w:rsid w:val="007701A3"/>
    <w:rsid w:val="0077056F"/>
    <w:rsid w:val="007833E3"/>
    <w:rsid w:val="007851B1"/>
    <w:rsid w:val="007D2A79"/>
    <w:rsid w:val="007F0342"/>
    <w:rsid w:val="007F36CE"/>
    <w:rsid w:val="007F4190"/>
    <w:rsid w:val="008014A4"/>
    <w:rsid w:val="00810969"/>
    <w:rsid w:val="00814A84"/>
    <w:rsid w:val="00822161"/>
    <w:rsid w:val="00835DE6"/>
    <w:rsid w:val="008407F8"/>
    <w:rsid w:val="00844645"/>
    <w:rsid w:val="00850BDE"/>
    <w:rsid w:val="00850DF3"/>
    <w:rsid w:val="008A5C74"/>
    <w:rsid w:val="008B1B3F"/>
    <w:rsid w:val="008C5278"/>
    <w:rsid w:val="008D2011"/>
    <w:rsid w:val="0090670E"/>
    <w:rsid w:val="00946E5A"/>
    <w:rsid w:val="009709B6"/>
    <w:rsid w:val="009772B1"/>
    <w:rsid w:val="009A062A"/>
    <w:rsid w:val="009A4664"/>
    <w:rsid w:val="009C6A0F"/>
    <w:rsid w:val="00A01966"/>
    <w:rsid w:val="00A03145"/>
    <w:rsid w:val="00A15C38"/>
    <w:rsid w:val="00A252C0"/>
    <w:rsid w:val="00A45D4E"/>
    <w:rsid w:val="00A463A9"/>
    <w:rsid w:val="00A94E59"/>
    <w:rsid w:val="00A958FC"/>
    <w:rsid w:val="00AA3B7D"/>
    <w:rsid w:val="00AA3CEC"/>
    <w:rsid w:val="00AA775A"/>
    <w:rsid w:val="00AC01FF"/>
    <w:rsid w:val="00AC3E75"/>
    <w:rsid w:val="00AD05DF"/>
    <w:rsid w:val="00AE1775"/>
    <w:rsid w:val="00B168BD"/>
    <w:rsid w:val="00B53BD5"/>
    <w:rsid w:val="00B74794"/>
    <w:rsid w:val="00B84465"/>
    <w:rsid w:val="00BC56E7"/>
    <w:rsid w:val="00BC6E95"/>
    <w:rsid w:val="00BD271D"/>
    <w:rsid w:val="00C0398B"/>
    <w:rsid w:val="00C11141"/>
    <w:rsid w:val="00C169C2"/>
    <w:rsid w:val="00C377DB"/>
    <w:rsid w:val="00C54D70"/>
    <w:rsid w:val="00C601F7"/>
    <w:rsid w:val="00C62435"/>
    <w:rsid w:val="00C85B37"/>
    <w:rsid w:val="00C9464C"/>
    <w:rsid w:val="00CD1C68"/>
    <w:rsid w:val="00CE008C"/>
    <w:rsid w:val="00CE43ED"/>
    <w:rsid w:val="00CE6A6A"/>
    <w:rsid w:val="00CF277B"/>
    <w:rsid w:val="00CF6E20"/>
    <w:rsid w:val="00D068D5"/>
    <w:rsid w:val="00D13FB7"/>
    <w:rsid w:val="00D33C3C"/>
    <w:rsid w:val="00D37189"/>
    <w:rsid w:val="00D46360"/>
    <w:rsid w:val="00D846B7"/>
    <w:rsid w:val="00DA1374"/>
    <w:rsid w:val="00DA26DF"/>
    <w:rsid w:val="00DD5136"/>
    <w:rsid w:val="00DF33B9"/>
    <w:rsid w:val="00E01FCD"/>
    <w:rsid w:val="00E04BB1"/>
    <w:rsid w:val="00E16332"/>
    <w:rsid w:val="00E32A84"/>
    <w:rsid w:val="00E37616"/>
    <w:rsid w:val="00E573ED"/>
    <w:rsid w:val="00E602F6"/>
    <w:rsid w:val="00E71A53"/>
    <w:rsid w:val="00EC735C"/>
    <w:rsid w:val="00F010DD"/>
    <w:rsid w:val="00F036FF"/>
    <w:rsid w:val="00F157A7"/>
    <w:rsid w:val="00F32C89"/>
    <w:rsid w:val="00F42388"/>
    <w:rsid w:val="00F44F3E"/>
    <w:rsid w:val="00F5741B"/>
    <w:rsid w:val="00F575E3"/>
    <w:rsid w:val="00F63141"/>
    <w:rsid w:val="00F74A0D"/>
    <w:rsid w:val="00F8319A"/>
    <w:rsid w:val="00FA4C53"/>
    <w:rsid w:val="00FA7DE7"/>
    <w:rsid w:val="00FB4920"/>
    <w:rsid w:val="00FF58FF"/>
    <w:rsid w:val="00FF795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6314C4"/>
  <w15:chartTrackingRefBased/>
  <w15:docId w15:val="{F9824207-4433-4B3F-892B-BEDC812A5F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0840"/>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66245F"/>
    <w:pPr>
      <w:keepNext/>
      <w:keepLines/>
      <w:spacing w:before="240" w:after="0"/>
      <w:jc w:val="center"/>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66245F"/>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245F"/>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66245F"/>
    <w:rPr>
      <w:rFonts w:ascii="Times New Roman" w:eastAsiaTheme="majorEastAsia" w:hAnsi="Times New Roman" w:cstheme="majorBidi"/>
      <w:b/>
      <w:sz w:val="28"/>
      <w:szCs w:val="26"/>
    </w:rPr>
  </w:style>
  <w:style w:type="paragraph" w:styleId="ListParagraph">
    <w:name w:val="List Paragraph"/>
    <w:basedOn w:val="Normal"/>
    <w:uiPriority w:val="34"/>
    <w:qFormat/>
    <w:rsid w:val="00D33C3C"/>
    <w:pPr>
      <w:ind w:left="720"/>
      <w:contextualSpacing/>
    </w:pPr>
  </w:style>
  <w:style w:type="paragraph" w:styleId="Caption">
    <w:name w:val="caption"/>
    <w:basedOn w:val="Normal"/>
    <w:next w:val="Normal"/>
    <w:uiPriority w:val="35"/>
    <w:unhideWhenUsed/>
    <w:qFormat/>
    <w:rsid w:val="00600E39"/>
    <w:pPr>
      <w:spacing w:after="200" w:line="240" w:lineRule="auto"/>
    </w:pPr>
    <w:rPr>
      <w:i/>
      <w:iCs/>
      <w:color w:val="44546A" w:themeColor="text2"/>
      <w:sz w:val="18"/>
      <w:szCs w:val="18"/>
    </w:rPr>
  </w:style>
  <w:style w:type="character" w:styleId="Strong">
    <w:name w:val="Strong"/>
    <w:basedOn w:val="DefaultParagraphFont"/>
    <w:uiPriority w:val="22"/>
    <w:qFormat/>
    <w:rsid w:val="00F74A0D"/>
    <w:rPr>
      <w:b/>
      <w:bCs/>
    </w:rPr>
  </w:style>
  <w:style w:type="character" w:customStyle="1" w:styleId="selectable">
    <w:name w:val="selectable"/>
    <w:basedOn w:val="DefaultParagraphFont"/>
    <w:rsid w:val="00F74A0D"/>
  </w:style>
  <w:style w:type="paragraph" w:styleId="NormalWeb">
    <w:name w:val="Normal (Web)"/>
    <w:basedOn w:val="Normal"/>
    <w:uiPriority w:val="99"/>
    <w:semiHidden/>
    <w:unhideWhenUsed/>
    <w:rsid w:val="00502B25"/>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unhideWhenUsed/>
    <w:qFormat/>
    <w:rsid w:val="00502B25"/>
    <w:pPr>
      <w:spacing w:line="259" w:lineRule="auto"/>
      <w:jc w:val="left"/>
      <w:outlineLvl w:val="9"/>
    </w:pPr>
    <w:rPr>
      <w:rFonts w:asciiTheme="majorHAnsi" w:hAnsiTheme="majorHAnsi"/>
      <w:b w:val="0"/>
    </w:rPr>
  </w:style>
  <w:style w:type="paragraph" w:styleId="TOC2">
    <w:name w:val="toc 2"/>
    <w:basedOn w:val="Normal"/>
    <w:next w:val="Normal"/>
    <w:autoRedefine/>
    <w:uiPriority w:val="39"/>
    <w:unhideWhenUsed/>
    <w:rsid w:val="00502B25"/>
    <w:pPr>
      <w:spacing w:before="120" w:after="0"/>
      <w:ind w:left="240"/>
      <w:jc w:val="left"/>
    </w:pPr>
    <w:rPr>
      <w:rFonts w:asciiTheme="minorHAnsi" w:hAnsiTheme="minorHAnsi" w:cstheme="minorHAnsi"/>
      <w:b/>
      <w:bCs/>
      <w:sz w:val="22"/>
    </w:rPr>
  </w:style>
  <w:style w:type="paragraph" w:styleId="TOC1">
    <w:name w:val="toc 1"/>
    <w:basedOn w:val="Normal"/>
    <w:next w:val="Normal"/>
    <w:autoRedefine/>
    <w:uiPriority w:val="39"/>
    <w:unhideWhenUsed/>
    <w:rsid w:val="00502B25"/>
    <w:pPr>
      <w:spacing w:before="120" w:after="0"/>
      <w:jc w:val="left"/>
    </w:pPr>
    <w:rPr>
      <w:rFonts w:asciiTheme="minorHAnsi" w:hAnsiTheme="minorHAnsi" w:cstheme="minorHAnsi"/>
      <w:b/>
      <w:bCs/>
      <w:i/>
      <w:iCs/>
      <w:szCs w:val="24"/>
    </w:rPr>
  </w:style>
  <w:style w:type="paragraph" w:styleId="TOC3">
    <w:name w:val="toc 3"/>
    <w:basedOn w:val="Normal"/>
    <w:next w:val="Normal"/>
    <w:autoRedefine/>
    <w:uiPriority w:val="39"/>
    <w:unhideWhenUsed/>
    <w:rsid w:val="00502B25"/>
    <w:pPr>
      <w:spacing w:after="0"/>
      <w:ind w:left="480"/>
      <w:jc w:val="left"/>
    </w:pPr>
    <w:rPr>
      <w:rFonts w:asciiTheme="minorHAnsi" w:hAnsiTheme="minorHAnsi" w:cstheme="minorHAnsi"/>
      <w:sz w:val="20"/>
      <w:szCs w:val="20"/>
    </w:rPr>
  </w:style>
  <w:style w:type="character" w:styleId="Hyperlink">
    <w:name w:val="Hyperlink"/>
    <w:basedOn w:val="DefaultParagraphFont"/>
    <w:uiPriority w:val="99"/>
    <w:unhideWhenUsed/>
    <w:rsid w:val="00502B25"/>
    <w:rPr>
      <w:color w:val="0563C1" w:themeColor="hyperlink"/>
      <w:u w:val="single"/>
    </w:rPr>
  </w:style>
  <w:style w:type="paragraph" w:styleId="Header">
    <w:name w:val="header"/>
    <w:basedOn w:val="Normal"/>
    <w:link w:val="HeaderChar"/>
    <w:uiPriority w:val="99"/>
    <w:unhideWhenUsed/>
    <w:rsid w:val="004A510F"/>
    <w:pPr>
      <w:tabs>
        <w:tab w:val="center" w:pos="4680"/>
        <w:tab w:val="right" w:pos="9360"/>
      </w:tabs>
      <w:spacing w:after="0" w:line="240" w:lineRule="auto"/>
    </w:pPr>
  </w:style>
  <w:style w:type="character" w:customStyle="1" w:styleId="HeaderChar">
    <w:name w:val="Header Char"/>
    <w:basedOn w:val="DefaultParagraphFont"/>
    <w:link w:val="Header"/>
    <w:uiPriority w:val="99"/>
    <w:rsid w:val="004A510F"/>
    <w:rPr>
      <w:rFonts w:ascii="Times New Roman" w:hAnsi="Times New Roman"/>
      <w:sz w:val="24"/>
    </w:rPr>
  </w:style>
  <w:style w:type="paragraph" w:styleId="Footer">
    <w:name w:val="footer"/>
    <w:basedOn w:val="Normal"/>
    <w:link w:val="FooterChar"/>
    <w:uiPriority w:val="99"/>
    <w:unhideWhenUsed/>
    <w:rsid w:val="004A510F"/>
    <w:pPr>
      <w:tabs>
        <w:tab w:val="center" w:pos="4680"/>
        <w:tab w:val="right" w:pos="9360"/>
      </w:tabs>
      <w:spacing w:after="0" w:line="240" w:lineRule="auto"/>
    </w:pPr>
  </w:style>
  <w:style w:type="character" w:customStyle="1" w:styleId="FooterChar">
    <w:name w:val="Footer Char"/>
    <w:basedOn w:val="DefaultParagraphFont"/>
    <w:link w:val="Footer"/>
    <w:uiPriority w:val="99"/>
    <w:rsid w:val="004A510F"/>
    <w:rPr>
      <w:rFonts w:ascii="Times New Roman" w:hAnsi="Times New Roman"/>
      <w:sz w:val="24"/>
    </w:rPr>
  </w:style>
  <w:style w:type="paragraph" w:styleId="NoSpacing">
    <w:name w:val="No Spacing"/>
    <w:link w:val="NoSpacingChar"/>
    <w:uiPriority w:val="1"/>
    <w:qFormat/>
    <w:rsid w:val="004A510F"/>
    <w:pPr>
      <w:spacing w:after="0" w:line="240" w:lineRule="auto"/>
    </w:pPr>
    <w:rPr>
      <w:rFonts w:eastAsiaTheme="minorEastAsia"/>
    </w:rPr>
  </w:style>
  <w:style w:type="character" w:customStyle="1" w:styleId="NoSpacingChar">
    <w:name w:val="No Spacing Char"/>
    <w:basedOn w:val="DefaultParagraphFont"/>
    <w:link w:val="NoSpacing"/>
    <w:uiPriority w:val="1"/>
    <w:rsid w:val="004A510F"/>
    <w:rPr>
      <w:rFonts w:eastAsiaTheme="minorEastAsia"/>
    </w:rPr>
  </w:style>
  <w:style w:type="paragraph" w:styleId="TOC4">
    <w:name w:val="toc 4"/>
    <w:basedOn w:val="Normal"/>
    <w:next w:val="Normal"/>
    <w:autoRedefine/>
    <w:uiPriority w:val="39"/>
    <w:semiHidden/>
    <w:unhideWhenUsed/>
    <w:rsid w:val="00BD271D"/>
    <w:pPr>
      <w:spacing w:after="0"/>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BD271D"/>
    <w:pPr>
      <w:spacing w:after="0"/>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BD271D"/>
    <w:pPr>
      <w:spacing w:after="0"/>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BD271D"/>
    <w:pPr>
      <w:spacing w:after="0"/>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BD271D"/>
    <w:pPr>
      <w:spacing w:after="0"/>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BD271D"/>
    <w:pPr>
      <w:spacing w:after="0"/>
      <w:ind w:left="1920"/>
      <w:jc w:val="left"/>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120643">
      <w:bodyDiv w:val="1"/>
      <w:marLeft w:val="0"/>
      <w:marRight w:val="0"/>
      <w:marTop w:val="0"/>
      <w:marBottom w:val="0"/>
      <w:divBdr>
        <w:top w:val="none" w:sz="0" w:space="0" w:color="auto"/>
        <w:left w:val="none" w:sz="0" w:space="0" w:color="auto"/>
        <w:bottom w:val="none" w:sz="0" w:space="0" w:color="auto"/>
        <w:right w:val="none" w:sz="0" w:space="0" w:color="auto"/>
      </w:divBdr>
    </w:div>
    <w:div w:id="52891581">
      <w:bodyDiv w:val="1"/>
      <w:marLeft w:val="0"/>
      <w:marRight w:val="0"/>
      <w:marTop w:val="0"/>
      <w:marBottom w:val="0"/>
      <w:divBdr>
        <w:top w:val="none" w:sz="0" w:space="0" w:color="auto"/>
        <w:left w:val="none" w:sz="0" w:space="0" w:color="auto"/>
        <w:bottom w:val="none" w:sz="0" w:space="0" w:color="auto"/>
        <w:right w:val="none" w:sz="0" w:space="0" w:color="auto"/>
      </w:divBdr>
    </w:div>
    <w:div w:id="395208001">
      <w:bodyDiv w:val="1"/>
      <w:marLeft w:val="0"/>
      <w:marRight w:val="0"/>
      <w:marTop w:val="0"/>
      <w:marBottom w:val="0"/>
      <w:divBdr>
        <w:top w:val="none" w:sz="0" w:space="0" w:color="auto"/>
        <w:left w:val="none" w:sz="0" w:space="0" w:color="auto"/>
        <w:bottom w:val="none" w:sz="0" w:space="0" w:color="auto"/>
        <w:right w:val="none" w:sz="0" w:space="0" w:color="auto"/>
      </w:divBdr>
    </w:div>
    <w:div w:id="753629667">
      <w:bodyDiv w:val="1"/>
      <w:marLeft w:val="0"/>
      <w:marRight w:val="0"/>
      <w:marTop w:val="0"/>
      <w:marBottom w:val="0"/>
      <w:divBdr>
        <w:top w:val="none" w:sz="0" w:space="0" w:color="auto"/>
        <w:left w:val="none" w:sz="0" w:space="0" w:color="auto"/>
        <w:bottom w:val="none" w:sz="0" w:space="0" w:color="auto"/>
        <w:right w:val="none" w:sz="0" w:space="0" w:color="auto"/>
      </w:divBdr>
    </w:div>
    <w:div w:id="1453131693">
      <w:bodyDiv w:val="1"/>
      <w:marLeft w:val="0"/>
      <w:marRight w:val="0"/>
      <w:marTop w:val="0"/>
      <w:marBottom w:val="0"/>
      <w:divBdr>
        <w:top w:val="none" w:sz="0" w:space="0" w:color="auto"/>
        <w:left w:val="none" w:sz="0" w:space="0" w:color="auto"/>
        <w:bottom w:val="none" w:sz="0" w:space="0" w:color="auto"/>
        <w:right w:val="none" w:sz="0" w:space="0" w:color="auto"/>
      </w:divBdr>
    </w:div>
    <w:div w:id="1585144185">
      <w:bodyDiv w:val="1"/>
      <w:marLeft w:val="0"/>
      <w:marRight w:val="0"/>
      <w:marTop w:val="0"/>
      <w:marBottom w:val="0"/>
      <w:divBdr>
        <w:top w:val="none" w:sz="0" w:space="0" w:color="auto"/>
        <w:left w:val="none" w:sz="0" w:space="0" w:color="auto"/>
        <w:bottom w:val="none" w:sz="0" w:space="0" w:color="auto"/>
        <w:right w:val="none" w:sz="0" w:space="0" w:color="auto"/>
      </w:divBdr>
    </w:div>
    <w:div w:id="17188177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1FFCCAC-7EFF-4CB5-B324-058D13076370}" type="doc">
      <dgm:prSet loTypeId="urn:microsoft.com/office/officeart/2005/8/layout/cycle6" loCatId="cycle" qsTypeId="urn:microsoft.com/office/officeart/2005/8/quickstyle/simple1" qsCatId="simple" csTypeId="urn:microsoft.com/office/officeart/2005/8/colors/accent0_1" csCatId="mainScheme" phldr="1"/>
      <dgm:spPr/>
      <dgm:t>
        <a:bodyPr/>
        <a:lstStyle/>
        <a:p>
          <a:endParaRPr lang="en-US"/>
        </a:p>
      </dgm:t>
    </dgm:pt>
    <dgm:pt modelId="{C547894B-0D9A-4F80-A80B-041B7FCA0CA5}">
      <dgm:prSet phldrT="[Text]" custT="1"/>
      <dgm:spPr/>
      <dgm:t>
        <a:bodyPr/>
        <a:lstStyle/>
        <a:p>
          <a:r>
            <a:rPr lang="en-US" sz="1200">
              <a:solidFill>
                <a:sysClr val="windowText" lastClr="000000"/>
              </a:solidFill>
              <a:latin typeface="Times New Roman" panose="02020603050405020304" pitchFamily="18" charset="0"/>
              <a:cs typeface="Times New Roman" panose="02020603050405020304" pitchFamily="18" charset="0"/>
            </a:rPr>
            <a:t>Pfiser</a:t>
          </a:r>
        </a:p>
      </dgm:t>
    </dgm:pt>
    <dgm:pt modelId="{33567D28-B466-4A48-AC09-03B8D5543509}" type="parTrans" cxnId="{68E22B7D-2F9B-4887-8610-42A53137CD0D}">
      <dgm:prSet/>
      <dgm:spPr/>
      <dgm:t>
        <a:bodyPr/>
        <a:lstStyle/>
        <a:p>
          <a:endParaRPr lang="en-US" sz="1200">
            <a:solidFill>
              <a:sysClr val="windowText" lastClr="000000"/>
            </a:solidFill>
            <a:latin typeface="Times New Roman" panose="02020603050405020304" pitchFamily="18" charset="0"/>
            <a:cs typeface="Times New Roman" panose="02020603050405020304" pitchFamily="18" charset="0"/>
          </a:endParaRPr>
        </a:p>
      </dgm:t>
    </dgm:pt>
    <dgm:pt modelId="{353A9856-29BE-47FD-B2E9-18697946B5A0}" type="sibTrans" cxnId="{68E22B7D-2F9B-4887-8610-42A53137CD0D}">
      <dgm:prSet/>
      <dgm:spPr/>
      <dgm:t>
        <a:bodyPr/>
        <a:lstStyle/>
        <a:p>
          <a:endParaRPr lang="en-US" sz="1200">
            <a:solidFill>
              <a:sysClr val="windowText" lastClr="000000"/>
            </a:solidFill>
            <a:latin typeface="Times New Roman" panose="02020603050405020304" pitchFamily="18" charset="0"/>
            <a:cs typeface="Times New Roman" panose="02020603050405020304" pitchFamily="18" charset="0"/>
          </a:endParaRPr>
        </a:p>
      </dgm:t>
    </dgm:pt>
    <dgm:pt modelId="{550B1562-0E74-4298-AFA5-6B0B117D1FB6}">
      <dgm:prSet phldrT="[Text]" custT="1"/>
      <dgm:spPr/>
      <dgm:t>
        <a:bodyPr/>
        <a:lstStyle/>
        <a:p>
          <a:r>
            <a:rPr lang="en-US" sz="1200">
              <a:solidFill>
                <a:sysClr val="windowText" lastClr="000000"/>
              </a:solidFill>
              <a:latin typeface="Times New Roman" panose="02020603050405020304" pitchFamily="18" charset="0"/>
              <a:cs typeface="Times New Roman" panose="02020603050405020304" pitchFamily="18" charset="0"/>
            </a:rPr>
            <a:t>Merck &amp; Co</a:t>
          </a:r>
        </a:p>
      </dgm:t>
    </dgm:pt>
    <dgm:pt modelId="{06C379FD-2AA7-498B-B918-1EA4AE9C74F6}" type="parTrans" cxnId="{E666C5A5-F345-49C0-9927-9CDBA495A2CE}">
      <dgm:prSet/>
      <dgm:spPr/>
      <dgm:t>
        <a:bodyPr/>
        <a:lstStyle/>
        <a:p>
          <a:endParaRPr lang="en-US" sz="1200">
            <a:solidFill>
              <a:sysClr val="windowText" lastClr="000000"/>
            </a:solidFill>
            <a:latin typeface="Times New Roman" panose="02020603050405020304" pitchFamily="18" charset="0"/>
            <a:cs typeface="Times New Roman" panose="02020603050405020304" pitchFamily="18" charset="0"/>
          </a:endParaRPr>
        </a:p>
      </dgm:t>
    </dgm:pt>
    <dgm:pt modelId="{F3A4F843-1985-4C85-A303-1AF8B16D344B}" type="sibTrans" cxnId="{E666C5A5-F345-49C0-9927-9CDBA495A2CE}">
      <dgm:prSet/>
      <dgm:spPr/>
      <dgm:t>
        <a:bodyPr/>
        <a:lstStyle/>
        <a:p>
          <a:endParaRPr lang="en-US" sz="1200">
            <a:solidFill>
              <a:sysClr val="windowText" lastClr="000000"/>
            </a:solidFill>
            <a:latin typeface="Times New Roman" panose="02020603050405020304" pitchFamily="18" charset="0"/>
            <a:cs typeface="Times New Roman" panose="02020603050405020304" pitchFamily="18" charset="0"/>
          </a:endParaRPr>
        </a:p>
      </dgm:t>
    </dgm:pt>
    <dgm:pt modelId="{810FC0EB-E05E-495A-9631-80EF9D774208}">
      <dgm:prSet phldrT="[Text]" custT="1"/>
      <dgm:spPr/>
      <dgm:t>
        <a:bodyPr/>
        <a:lstStyle/>
        <a:p>
          <a:r>
            <a:rPr lang="en-US" sz="1200">
              <a:solidFill>
                <a:sysClr val="windowText" lastClr="000000"/>
              </a:solidFill>
              <a:latin typeface="Times New Roman" panose="02020603050405020304" pitchFamily="18" charset="0"/>
              <a:cs typeface="Times New Roman" panose="02020603050405020304" pitchFamily="18" charset="0"/>
            </a:rPr>
            <a:t>Amgen</a:t>
          </a:r>
        </a:p>
      </dgm:t>
    </dgm:pt>
    <dgm:pt modelId="{43BFC045-4337-4D1D-8A91-21D94E0BE78A}" type="parTrans" cxnId="{5C4C04A8-8A2A-44FE-9349-50FFA512CA35}">
      <dgm:prSet/>
      <dgm:spPr/>
      <dgm:t>
        <a:bodyPr/>
        <a:lstStyle/>
        <a:p>
          <a:endParaRPr lang="en-US" sz="1200">
            <a:solidFill>
              <a:sysClr val="windowText" lastClr="000000"/>
            </a:solidFill>
            <a:latin typeface="Times New Roman" panose="02020603050405020304" pitchFamily="18" charset="0"/>
            <a:cs typeface="Times New Roman" panose="02020603050405020304" pitchFamily="18" charset="0"/>
          </a:endParaRPr>
        </a:p>
      </dgm:t>
    </dgm:pt>
    <dgm:pt modelId="{67D8D6A8-067B-418B-9AF2-376A24D2874F}" type="sibTrans" cxnId="{5C4C04A8-8A2A-44FE-9349-50FFA512CA35}">
      <dgm:prSet/>
      <dgm:spPr/>
      <dgm:t>
        <a:bodyPr/>
        <a:lstStyle/>
        <a:p>
          <a:endParaRPr lang="en-US" sz="1200">
            <a:solidFill>
              <a:sysClr val="windowText" lastClr="000000"/>
            </a:solidFill>
            <a:latin typeface="Times New Roman" panose="02020603050405020304" pitchFamily="18" charset="0"/>
            <a:cs typeface="Times New Roman" panose="02020603050405020304" pitchFamily="18" charset="0"/>
          </a:endParaRPr>
        </a:p>
      </dgm:t>
    </dgm:pt>
    <dgm:pt modelId="{DC733527-8475-48E7-8A6B-E9F8E08BEB02}">
      <dgm:prSet phldrT="[Text]" custT="1"/>
      <dgm:spPr/>
      <dgm:t>
        <a:bodyPr/>
        <a:lstStyle/>
        <a:p>
          <a:r>
            <a:rPr lang="en-US" sz="1200">
              <a:solidFill>
                <a:sysClr val="windowText" lastClr="000000"/>
              </a:solidFill>
              <a:latin typeface="Times New Roman" panose="02020603050405020304" pitchFamily="18" charset="0"/>
              <a:cs typeface="Times New Roman" panose="02020603050405020304" pitchFamily="18" charset="0"/>
            </a:rPr>
            <a:t>Vivus</a:t>
          </a:r>
        </a:p>
      </dgm:t>
    </dgm:pt>
    <dgm:pt modelId="{595D1FD1-44B8-46ED-BE51-0EC6007EB11D}" type="parTrans" cxnId="{D210CCC5-6DC5-41A3-9429-FB60D43F4322}">
      <dgm:prSet/>
      <dgm:spPr/>
      <dgm:t>
        <a:bodyPr/>
        <a:lstStyle/>
        <a:p>
          <a:endParaRPr lang="en-US" sz="1200">
            <a:solidFill>
              <a:sysClr val="windowText" lastClr="000000"/>
            </a:solidFill>
            <a:latin typeface="Times New Roman" panose="02020603050405020304" pitchFamily="18" charset="0"/>
            <a:cs typeface="Times New Roman" panose="02020603050405020304" pitchFamily="18" charset="0"/>
          </a:endParaRPr>
        </a:p>
      </dgm:t>
    </dgm:pt>
    <dgm:pt modelId="{5FCAD25E-967A-4251-B00A-B171DF057C30}" type="sibTrans" cxnId="{D210CCC5-6DC5-41A3-9429-FB60D43F4322}">
      <dgm:prSet/>
      <dgm:spPr/>
      <dgm:t>
        <a:bodyPr/>
        <a:lstStyle/>
        <a:p>
          <a:endParaRPr lang="en-US" sz="1200">
            <a:solidFill>
              <a:sysClr val="windowText" lastClr="000000"/>
            </a:solidFill>
            <a:latin typeface="Times New Roman" panose="02020603050405020304" pitchFamily="18" charset="0"/>
            <a:cs typeface="Times New Roman" panose="02020603050405020304" pitchFamily="18" charset="0"/>
          </a:endParaRPr>
        </a:p>
      </dgm:t>
    </dgm:pt>
    <dgm:pt modelId="{5056DF52-A6B8-45C2-B650-E7C3D77B97A1}">
      <dgm:prSet phldrT="[Text]" custT="1"/>
      <dgm:spPr/>
      <dgm:t>
        <a:bodyPr/>
        <a:lstStyle/>
        <a:p>
          <a:r>
            <a:rPr lang="en-US" sz="1200">
              <a:solidFill>
                <a:sysClr val="windowText" lastClr="000000"/>
              </a:solidFill>
              <a:latin typeface="Times New Roman" panose="02020603050405020304" pitchFamily="18" charset="0"/>
              <a:cs typeface="Times New Roman" panose="02020603050405020304" pitchFamily="18" charset="0"/>
            </a:rPr>
            <a:t>Sanofi</a:t>
          </a:r>
        </a:p>
      </dgm:t>
    </dgm:pt>
    <dgm:pt modelId="{4BCD2344-02A5-4AA8-A5DE-30D186D77F5C}" type="parTrans" cxnId="{A080B3E6-4957-4950-81B2-DBF8ADC26394}">
      <dgm:prSet/>
      <dgm:spPr/>
      <dgm:t>
        <a:bodyPr/>
        <a:lstStyle/>
        <a:p>
          <a:endParaRPr lang="en-US" sz="1200">
            <a:solidFill>
              <a:sysClr val="windowText" lastClr="000000"/>
            </a:solidFill>
            <a:latin typeface="Times New Roman" panose="02020603050405020304" pitchFamily="18" charset="0"/>
            <a:cs typeface="Times New Roman" panose="02020603050405020304" pitchFamily="18" charset="0"/>
          </a:endParaRPr>
        </a:p>
      </dgm:t>
    </dgm:pt>
    <dgm:pt modelId="{ACF49558-08EA-44E9-BD02-8242C2EA3019}" type="sibTrans" cxnId="{A080B3E6-4957-4950-81B2-DBF8ADC26394}">
      <dgm:prSet/>
      <dgm:spPr/>
      <dgm:t>
        <a:bodyPr/>
        <a:lstStyle/>
        <a:p>
          <a:endParaRPr lang="en-US" sz="1200">
            <a:solidFill>
              <a:sysClr val="windowText" lastClr="000000"/>
            </a:solidFill>
            <a:latin typeface="Times New Roman" panose="02020603050405020304" pitchFamily="18" charset="0"/>
            <a:cs typeface="Times New Roman" panose="02020603050405020304" pitchFamily="18" charset="0"/>
          </a:endParaRPr>
        </a:p>
      </dgm:t>
    </dgm:pt>
    <dgm:pt modelId="{4DDC9787-AF16-47A8-A6F9-076FF9B7553B}" type="pres">
      <dgm:prSet presAssocID="{01FFCCAC-7EFF-4CB5-B324-058D13076370}" presName="cycle" presStyleCnt="0">
        <dgm:presLayoutVars>
          <dgm:dir/>
          <dgm:resizeHandles val="exact"/>
        </dgm:presLayoutVars>
      </dgm:prSet>
      <dgm:spPr/>
    </dgm:pt>
    <dgm:pt modelId="{1F6F35CE-28DF-4AA7-9F82-E7EDFAE6C1F5}" type="pres">
      <dgm:prSet presAssocID="{C547894B-0D9A-4F80-A80B-041B7FCA0CA5}" presName="node" presStyleLbl="node1" presStyleIdx="0" presStyleCnt="5">
        <dgm:presLayoutVars>
          <dgm:bulletEnabled val="1"/>
        </dgm:presLayoutVars>
      </dgm:prSet>
      <dgm:spPr/>
    </dgm:pt>
    <dgm:pt modelId="{A2E012EA-94DC-48D9-84ED-AE5A2582AF47}" type="pres">
      <dgm:prSet presAssocID="{C547894B-0D9A-4F80-A80B-041B7FCA0CA5}" presName="spNode" presStyleCnt="0"/>
      <dgm:spPr/>
    </dgm:pt>
    <dgm:pt modelId="{192CB2E6-B6DB-40C5-8C95-0CECB9E71189}" type="pres">
      <dgm:prSet presAssocID="{353A9856-29BE-47FD-B2E9-18697946B5A0}" presName="sibTrans" presStyleLbl="sibTrans1D1" presStyleIdx="0" presStyleCnt="5"/>
      <dgm:spPr/>
    </dgm:pt>
    <dgm:pt modelId="{C6E6F635-4042-4BB9-922C-9F87ED2EC650}" type="pres">
      <dgm:prSet presAssocID="{550B1562-0E74-4298-AFA5-6B0B117D1FB6}" presName="node" presStyleLbl="node1" presStyleIdx="1" presStyleCnt="5">
        <dgm:presLayoutVars>
          <dgm:bulletEnabled val="1"/>
        </dgm:presLayoutVars>
      </dgm:prSet>
      <dgm:spPr/>
    </dgm:pt>
    <dgm:pt modelId="{8CB0209D-A0DF-4525-9172-C6674DFFCE9B}" type="pres">
      <dgm:prSet presAssocID="{550B1562-0E74-4298-AFA5-6B0B117D1FB6}" presName="spNode" presStyleCnt="0"/>
      <dgm:spPr/>
    </dgm:pt>
    <dgm:pt modelId="{6B45C807-D6B1-4D48-944F-B9F2928F816A}" type="pres">
      <dgm:prSet presAssocID="{F3A4F843-1985-4C85-A303-1AF8B16D344B}" presName="sibTrans" presStyleLbl="sibTrans1D1" presStyleIdx="1" presStyleCnt="5"/>
      <dgm:spPr/>
    </dgm:pt>
    <dgm:pt modelId="{BB10C417-5806-4A86-8A0B-26738579C573}" type="pres">
      <dgm:prSet presAssocID="{810FC0EB-E05E-495A-9631-80EF9D774208}" presName="node" presStyleLbl="node1" presStyleIdx="2" presStyleCnt="5">
        <dgm:presLayoutVars>
          <dgm:bulletEnabled val="1"/>
        </dgm:presLayoutVars>
      </dgm:prSet>
      <dgm:spPr/>
    </dgm:pt>
    <dgm:pt modelId="{CD59A3F8-FB33-47F6-A34A-00577113F68B}" type="pres">
      <dgm:prSet presAssocID="{810FC0EB-E05E-495A-9631-80EF9D774208}" presName="spNode" presStyleCnt="0"/>
      <dgm:spPr/>
    </dgm:pt>
    <dgm:pt modelId="{F57ED9D4-5CAA-45F8-B1E0-54D8DE83CC20}" type="pres">
      <dgm:prSet presAssocID="{67D8D6A8-067B-418B-9AF2-376A24D2874F}" presName="sibTrans" presStyleLbl="sibTrans1D1" presStyleIdx="2" presStyleCnt="5"/>
      <dgm:spPr/>
    </dgm:pt>
    <dgm:pt modelId="{0B2C2E92-3BB6-4D07-8748-1C6D4585EADD}" type="pres">
      <dgm:prSet presAssocID="{DC733527-8475-48E7-8A6B-E9F8E08BEB02}" presName="node" presStyleLbl="node1" presStyleIdx="3" presStyleCnt="5">
        <dgm:presLayoutVars>
          <dgm:bulletEnabled val="1"/>
        </dgm:presLayoutVars>
      </dgm:prSet>
      <dgm:spPr/>
    </dgm:pt>
    <dgm:pt modelId="{8F2EB27C-C475-4932-AF8F-E3833C62C741}" type="pres">
      <dgm:prSet presAssocID="{DC733527-8475-48E7-8A6B-E9F8E08BEB02}" presName="spNode" presStyleCnt="0"/>
      <dgm:spPr/>
    </dgm:pt>
    <dgm:pt modelId="{381A53A2-C18C-4768-AECD-14CA5F2F3F61}" type="pres">
      <dgm:prSet presAssocID="{5FCAD25E-967A-4251-B00A-B171DF057C30}" presName="sibTrans" presStyleLbl="sibTrans1D1" presStyleIdx="3" presStyleCnt="5"/>
      <dgm:spPr/>
    </dgm:pt>
    <dgm:pt modelId="{05824030-A29C-4A93-B1BB-8A0338024FE4}" type="pres">
      <dgm:prSet presAssocID="{5056DF52-A6B8-45C2-B650-E7C3D77B97A1}" presName="node" presStyleLbl="node1" presStyleIdx="4" presStyleCnt="5">
        <dgm:presLayoutVars>
          <dgm:bulletEnabled val="1"/>
        </dgm:presLayoutVars>
      </dgm:prSet>
      <dgm:spPr/>
    </dgm:pt>
    <dgm:pt modelId="{245D285C-C9CC-4E42-957B-D64952D51724}" type="pres">
      <dgm:prSet presAssocID="{5056DF52-A6B8-45C2-B650-E7C3D77B97A1}" presName="spNode" presStyleCnt="0"/>
      <dgm:spPr/>
    </dgm:pt>
    <dgm:pt modelId="{C6268E19-6EF6-49B4-B7E4-9D9DBBDCE599}" type="pres">
      <dgm:prSet presAssocID="{ACF49558-08EA-44E9-BD02-8242C2EA3019}" presName="sibTrans" presStyleLbl="sibTrans1D1" presStyleIdx="4" presStyleCnt="5"/>
      <dgm:spPr/>
    </dgm:pt>
  </dgm:ptLst>
  <dgm:cxnLst>
    <dgm:cxn modelId="{F6049D2D-859D-4777-8EE2-14FB0B2AC9B6}" type="presOf" srcId="{810FC0EB-E05E-495A-9631-80EF9D774208}" destId="{BB10C417-5806-4A86-8A0B-26738579C573}" srcOrd="0" destOrd="0" presId="urn:microsoft.com/office/officeart/2005/8/layout/cycle6"/>
    <dgm:cxn modelId="{DE5C9163-3C99-4D73-8259-5FA3EFFA325C}" type="presOf" srcId="{01FFCCAC-7EFF-4CB5-B324-058D13076370}" destId="{4DDC9787-AF16-47A8-A6F9-076FF9B7553B}" srcOrd="0" destOrd="0" presId="urn:microsoft.com/office/officeart/2005/8/layout/cycle6"/>
    <dgm:cxn modelId="{B4785071-A23F-4408-BE40-6D1E9C8B6C07}" type="presOf" srcId="{67D8D6A8-067B-418B-9AF2-376A24D2874F}" destId="{F57ED9D4-5CAA-45F8-B1E0-54D8DE83CC20}" srcOrd="0" destOrd="0" presId="urn:microsoft.com/office/officeart/2005/8/layout/cycle6"/>
    <dgm:cxn modelId="{FCA1E472-5890-452C-A5C3-30CA6D7306A5}" type="presOf" srcId="{5FCAD25E-967A-4251-B00A-B171DF057C30}" destId="{381A53A2-C18C-4768-AECD-14CA5F2F3F61}" srcOrd="0" destOrd="0" presId="urn:microsoft.com/office/officeart/2005/8/layout/cycle6"/>
    <dgm:cxn modelId="{64D2E573-0013-49AC-B726-E2758590C84F}" type="presOf" srcId="{DC733527-8475-48E7-8A6B-E9F8E08BEB02}" destId="{0B2C2E92-3BB6-4D07-8748-1C6D4585EADD}" srcOrd="0" destOrd="0" presId="urn:microsoft.com/office/officeart/2005/8/layout/cycle6"/>
    <dgm:cxn modelId="{0D513875-1A77-471D-9898-5E3919A57944}" type="presOf" srcId="{F3A4F843-1985-4C85-A303-1AF8B16D344B}" destId="{6B45C807-D6B1-4D48-944F-B9F2928F816A}" srcOrd="0" destOrd="0" presId="urn:microsoft.com/office/officeart/2005/8/layout/cycle6"/>
    <dgm:cxn modelId="{85599D79-4A6E-4775-9CFA-67B60FEED4B7}" type="presOf" srcId="{C547894B-0D9A-4F80-A80B-041B7FCA0CA5}" destId="{1F6F35CE-28DF-4AA7-9F82-E7EDFAE6C1F5}" srcOrd="0" destOrd="0" presId="urn:microsoft.com/office/officeart/2005/8/layout/cycle6"/>
    <dgm:cxn modelId="{68E22B7D-2F9B-4887-8610-42A53137CD0D}" srcId="{01FFCCAC-7EFF-4CB5-B324-058D13076370}" destId="{C547894B-0D9A-4F80-A80B-041B7FCA0CA5}" srcOrd="0" destOrd="0" parTransId="{33567D28-B466-4A48-AC09-03B8D5543509}" sibTransId="{353A9856-29BE-47FD-B2E9-18697946B5A0}"/>
    <dgm:cxn modelId="{5AD11F8D-99EE-4B36-83D7-774E2DB04524}" type="presOf" srcId="{ACF49558-08EA-44E9-BD02-8242C2EA3019}" destId="{C6268E19-6EF6-49B4-B7E4-9D9DBBDCE599}" srcOrd="0" destOrd="0" presId="urn:microsoft.com/office/officeart/2005/8/layout/cycle6"/>
    <dgm:cxn modelId="{A94C7A9C-82B2-4406-87AF-1C14D89D74A9}" type="presOf" srcId="{5056DF52-A6B8-45C2-B650-E7C3D77B97A1}" destId="{05824030-A29C-4A93-B1BB-8A0338024FE4}" srcOrd="0" destOrd="0" presId="urn:microsoft.com/office/officeart/2005/8/layout/cycle6"/>
    <dgm:cxn modelId="{E666C5A5-F345-49C0-9927-9CDBA495A2CE}" srcId="{01FFCCAC-7EFF-4CB5-B324-058D13076370}" destId="{550B1562-0E74-4298-AFA5-6B0B117D1FB6}" srcOrd="1" destOrd="0" parTransId="{06C379FD-2AA7-498B-B918-1EA4AE9C74F6}" sibTransId="{F3A4F843-1985-4C85-A303-1AF8B16D344B}"/>
    <dgm:cxn modelId="{5C4C04A8-8A2A-44FE-9349-50FFA512CA35}" srcId="{01FFCCAC-7EFF-4CB5-B324-058D13076370}" destId="{810FC0EB-E05E-495A-9631-80EF9D774208}" srcOrd="2" destOrd="0" parTransId="{43BFC045-4337-4D1D-8A91-21D94E0BE78A}" sibTransId="{67D8D6A8-067B-418B-9AF2-376A24D2874F}"/>
    <dgm:cxn modelId="{3609E1BF-FBF3-4935-89D0-B698B4FE5D4D}" type="presOf" srcId="{550B1562-0E74-4298-AFA5-6B0B117D1FB6}" destId="{C6E6F635-4042-4BB9-922C-9F87ED2EC650}" srcOrd="0" destOrd="0" presId="urn:microsoft.com/office/officeart/2005/8/layout/cycle6"/>
    <dgm:cxn modelId="{D210CCC5-6DC5-41A3-9429-FB60D43F4322}" srcId="{01FFCCAC-7EFF-4CB5-B324-058D13076370}" destId="{DC733527-8475-48E7-8A6B-E9F8E08BEB02}" srcOrd="3" destOrd="0" parTransId="{595D1FD1-44B8-46ED-BE51-0EC6007EB11D}" sibTransId="{5FCAD25E-967A-4251-B00A-B171DF057C30}"/>
    <dgm:cxn modelId="{A080B3E6-4957-4950-81B2-DBF8ADC26394}" srcId="{01FFCCAC-7EFF-4CB5-B324-058D13076370}" destId="{5056DF52-A6B8-45C2-B650-E7C3D77B97A1}" srcOrd="4" destOrd="0" parTransId="{4BCD2344-02A5-4AA8-A5DE-30D186D77F5C}" sibTransId="{ACF49558-08EA-44E9-BD02-8242C2EA3019}"/>
    <dgm:cxn modelId="{23DD95F6-4757-4561-9C86-9B279A03EF3D}" type="presOf" srcId="{353A9856-29BE-47FD-B2E9-18697946B5A0}" destId="{192CB2E6-B6DB-40C5-8C95-0CECB9E71189}" srcOrd="0" destOrd="0" presId="urn:microsoft.com/office/officeart/2005/8/layout/cycle6"/>
    <dgm:cxn modelId="{BA685864-3E13-49DD-8D3D-E757BE29CDB2}" type="presParOf" srcId="{4DDC9787-AF16-47A8-A6F9-076FF9B7553B}" destId="{1F6F35CE-28DF-4AA7-9F82-E7EDFAE6C1F5}" srcOrd="0" destOrd="0" presId="urn:microsoft.com/office/officeart/2005/8/layout/cycle6"/>
    <dgm:cxn modelId="{268D31F9-CEC5-49D6-AB9A-DBC8EA61EE3E}" type="presParOf" srcId="{4DDC9787-AF16-47A8-A6F9-076FF9B7553B}" destId="{A2E012EA-94DC-48D9-84ED-AE5A2582AF47}" srcOrd="1" destOrd="0" presId="urn:microsoft.com/office/officeart/2005/8/layout/cycle6"/>
    <dgm:cxn modelId="{60014335-7501-4B6D-A7E2-195EF3CC2FDB}" type="presParOf" srcId="{4DDC9787-AF16-47A8-A6F9-076FF9B7553B}" destId="{192CB2E6-B6DB-40C5-8C95-0CECB9E71189}" srcOrd="2" destOrd="0" presId="urn:microsoft.com/office/officeart/2005/8/layout/cycle6"/>
    <dgm:cxn modelId="{E1725C37-D293-41CF-B77B-476D8FF081D4}" type="presParOf" srcId="{4DDC9787-AF16-47A8-A6F9-076FF9B7553B}" destId="{C6E6F635-4042-4BB9-922C-9F87ED2EC650}" srcOrd="3" destOrd="0" presId="urn:microsoft.com/office/officeart/2005/8/layout/cycle6"/>
    <dgm:cxn modelId="{BBF756BA-02F4-4FC1-B84E-99A36B20AD1D}" type="presParOf" srcId="{4DDC9787-AF16-47A8-A6F9-076FF9B7553B}" destId="{8CB0209D-A0DF-4525-9172-C6674DFFCE9B}" srcOrd="4" destOrd="0" presId="urn:microsoft.com/office/officeart/2005/8/layout/cycle6"/>
    <dgm:cxn modelId="{3944FE56-26D1-4EA2-9146-349996D11FF0}" type="presParOf" srcId="{4DDC9787-AF16-47A8-A6F9-076FF9B7553B}" destId="{6B45C807-D6B1-4D48-944F-B9F2928F816A}" srcOrd="5" destOrd="0" presId="urn:microsoft.com/office/officeart/2005/8/layout/cycle6"/>
    <dgm:cxn modelId="{C56E715E-C5D9-4C4F-9A01-8C20C9A54119}" type="presParOf" srcId="{4DDC9787-AF16-47A8-A6F9-076FF9B7553B}" destId="{BB10C417-5806-4A86-8A0B-26738579C573}" srcOrd="6" destOrd="0" presId="urn:microsoft.com/office/officeart/2005/8/layout/cycle6"/>
    <dgm:cxn modelId="{5D379050-0BD4-4277-8E83-1A4C5BC8FD0E}" type="presParOf" srcId="{4DDC9787-AF16-47A8-A6F9-076FF9B7553B}" destId="{CD59A3F8-FB33-47F6-A34A-00577113F68B}" srcOrd="7" destOrd="0" presId="urn:microsoft.com/office/officeart/2005/8/layout/cycle6"/>
    <dgm:cxn modelId="{69D0F3DD-C641-43E9-9B1B-7A1923583597}" type="presParOf" srcId="{4DDC9787-AF16-47A8-A6F9-076FF9B7553B}" destId="{F57ED9D4-5CAA-45F8-B1E0-54D8DE83CC20}" srcOrd="8" destOrd="0" presId="urn:microsoft.com/office/officeart/2005/8/layout/cycle6"/>
    <dgm:cxn modelId="{EEB89FA1-3096-4702-83DB-DC5B216D56E5}" type="presParOf" srcId="{4DDC9787-AF16-47A8-A6F9-076FF9B7553B}" destId="{0B2C2E92-3BB6-4D07-8748-1C6D4585EADD}" srcOrd="9" destOrd="0" presId="urn:microsoft.com/office/officeart/2005/8/layout/cycle6"/>
    <dgm:cxn modelId="{E0EFD5D5-40F7-4D31-AC57-48E0819A0236}" type="presParOf" srcId="{4DDC9787-AF16-47A8-A6F9-076FF9B7553B}" destId="{8F2EB27C-C475-4932-AF8F-E3833C62C741}" srcOrd="10" destOrd="0" presId="urn:microsoft.com/office/officeart/2005/8/layout/cycle6"/>
    <dgm:cxn modelId="{9BE9121C-9535-4EFF-9857-8BD3AED9651B}" type="presParOf" srcId="{4DDC9787-AF16-47A8-A6F9-076FF9B7553B}" destId="{381A53A2-C18C-4768-AECD-14CA5F2F3F61}" srcOrd="11" destOrd="0" presId="urn:microsoft.com/office/officeart/2005/8/layout/cycle6"/>
    <dgm:cxn modelId="{450C132D-E7D2-4060-B86E-F946D76CD238}" type="presParOf" srcId="{4DDC9787-AF16-47A8-A6F9-076FF9B7553B}" destId="{05824030-A29C-4A93-B1BB-8A0338024FE4}" srcOrd="12" destOrd="0" presId="urn:microsoft.com/office/officeart/2005/8/layout/cycle6"/>
    <dgm:cxn modelId="{95DE3494-401E-4E1C-86E2-C4ACFFDF511E}" type="presParOf" srcId="{4DDC9787-AF16-47A8-A6F9-076FF9B7553B}" destId="{245D285C-C9CC-4E42-957B-D64952D51724}" srcOrd="13" destOrd="0" presId="urn:microsoft.com/office/officeart/2005/8/layout/cycle6"/>
    <dgm:cxn modelId="{2B0A5697-E475-4B61-8DC2-907249D9F1E0}" type="presParOf" srcId="{4DDC9787-AF16-47A8-A6F9-076FF9B7553B}" destId="{C6268E19-6EF6-49B4-B7E4-9D9DBBDCE599}" srcOrd="14" destOrd="0" presId="urn:microsoft.com/office/officeart/2005/8/layout/cycle6"/>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F6F35CE-28DF-4AA7-9F82-E7EDFAE6C1F5}">
      <dsp:nvSpPr>
        <dsp:cNvPr id="0" name=""/>
        <dsp:cNvSpPr/>
      </dsp:nvSpPr>
      <dsp:spPr>
        <a:xfrm>
          <a:off x="2218134" y="1154"/>
          <a:ext cx="1050131" cy="682585"/>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solidFill>
                <a:sysClr val="windowText" lastClr="000000"/>
              </a:solidFill>
              <a:latin typeface="Times New Roman" panose="02020603050405020304" pitchFamily="18" charset="0"/>
              <a:cs typeface="Times New Roman" panose="02020603050405020304" pitchFamily="18" charset="0"/>
            </a:rPr>
            <a:t>Pfiser</a:t>
          </a:r>
        </a:p>
      </dsp:txBody>
      <dsp:txXfrm>
        <a:off x="2251455" y="34475"/>
        <a:ext cx="983489" cy="615943"/>
      </dsp:txXfrm>
    </dsp:sp>
    <dsp:sp modelId="{192CB2E6-B6DB-40C5-8C95-0CECB9E71189}">
      <dsp:nvSpPr>
        <dsp:cNvPr id="0" name=""/>
        <dsp:cNvSpPr/>
      </dsp:nvSpPr>
      <dsp:spPr>
        <a:xfrm>
          <a:off x="1377808" y="342446"/>
          <a:ext cx="2730783" cy="2730783"/>
        </a:xfrm>
        <a:custGeom>
          <a:avLst/>
          <a:gdLst/>
          <a:ahLst/>
          <a:cxnLst/>
          <a:rect l="0" t="0" r="0" b="0"/>
          <a:pathLst>
            <a:path>
              <a:moveTo>
                <a:pt x="1897692" y="108033"/>
              </a:moveTo>
              <a:arcTo wR="1365391" hR="1365391" stAng="17576717" swAng="1964424"/>
            </a:path>
          </a:pathLst>
        </a:custGeom>
        <a:noFill/>
        <a:ln w="6350" cap="flat" cmpd="sng" algn="ctr">
          <a:solidFill>
            <a:schemeClr val="dk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C6E6F635-4042-4BB9-922C-9F87ED2EC650}">
      <dsp:nvSpPr>
        <dsp:cNvPr id="0" name=""/>
        <dsp:cNvSpPr/>
      </dsp:nvSpPr>
      <dsp:spPr>
        <a:xfrm>
          <a:off x="3516699" y="944616"/>
          <a:ext cx="1050131" cy="682585"/>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solidFill>
                <a:sysClr val="windowText" lastClr="000000"/>
              </a:solidFill>
              <a:latin typeface="Times New Roman" panose="02020603050405020304" pitchFamily="18" charset="0"/>
              <a:cs typeface="Times New Roman" panose="02020603050405020304" pitchFamily="18" charset="0"/>
            </a:rPr>
            <a:t>Merck &amp; Co</a:t>
          </a:r>
        </a:p>
      </dsp:txBody>
      <dsp:txXfrm>
        <a:off x="3550020" y="977937"/>
        <a:ext cx="983489" cy="615943"/>
      </dsp:txXfrm>
    </dsp:sp>
    <dsp:sp modelId="{6B45C807-D6B1-4D48-944F-B9F2928F816A}">
      <dsp:nvSpPr>
        <dsp:cNvPr id="0" name=""/>
        <dsp:cNvSpPr/>
      </dsp:nvSpPr>
      <dsp:spPr>
        <a:xfrm>
          <a:off x="1377808" y="342446"/>
          <a:ext cx="2730783" cy="2730783"/>
        </a:xfrm>
        <a:custGeom>
          <a:avLst/>
          <a:gdLst/>
          <a:ahLst/>
          <a:cxnLst/>
          <a:rect l="0" t="0" r="0" b="0"/>
          <a:pathLst>
            <a:path>
              <a:moveTo>
                <a:pt x="2728889" y="1293491"/>
              </a:moveTo>
              <a:arcTo wR="1365391" hR="1365391" stAng="21418887" swAng="2198521"/>
            </a:path>
          </a:pathLst>
        </a:custGeom>
        <a:noFill/>
        <a:ln w="6350" cap="flat" cmpd="sng" algn="ctr">
          <a:solidFill>
            <a:schemeClr val="dk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BB10C417-5806-4A86-8A0B-26738579C573}">
      <dsp:nvSpPr>
        <dsp:cNvPr id="0" name=""/>
        <dsp:cNvSpPr/>
      </dsp:nvSpPr>
      <dsp:spPr>
        <a:xfrm>
          <a:off x="3020691" y="2471170"/>
          <a:ext cx="1050131" cy="682585"/>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solidFill>
                <a:sysClr val="windowText" lastClr="000000"/>
              </a:solidFill>
              <a:latin typeface="Times New Roman" panose="02020603050405020304" pitchFamily="18" charset="0"/>
              <a:cs typeface="Times New Roman" panose="02020603050405020304" pitchFamily="18" charset="0"/>
            </a:rPr>
            <a:t>Amgen</a:t>
          </a:r>
        </a:p>
      </dsp:txBody>
      <dsp:txXfrm>
        <a:off x="3054012" y="2504491"/>
        <a:ext cx="983489" cy="615943"/>
      </dsp:txXfrm>
    </dsp:sp>
    <dsp:sp modelId="{F57ED9D4-5CAA-45F8-B1E0-54D8DE83CC20}">
      <dsp:nvSpPr>
        <dsp:cNvPr id="0" name=""/>
        <dsp:cNvSpPr/>
      </dsp:nvSpPr>
      <dsp:spPr>
        <a:xfrm>
          <a:off x="1377808" y="342446"/>
          <a:ext cx="2730783" cy="2730783"/>
        </a:xfrm>
        <a:custGeom>
          <a:avLst/>
          <a:gdLst/>
          <a:ahLst/>
          <a:cxnLst/>
          <a:rect l="0" t="0" r="0" b="0"/>
          <a:pathLst>
            <a:path>
              <a:moveTo>
                <a:pt x="1637447" y="2703405"/>
              </a:moveTo>
              <a:arcTo wR="1365391" hR="1365391" stAng="4710411" swAng="1379177"/>
            </a:path>
          </a:pathLst>
        </a:custGeom>
        <a:noFill/>
        <a:ln w="6350" cap="flat" cmpd="sng" algn="ctr">
          <a:solidFill>
            <a:schemeClr val="dk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0B2C2E92-3BB6-4D07-8748-1C6D4585EADD}">
      <dsp:nvSpPr>
        <dsp:cNvPr id="0" name=""/>
        <dsp:cNvSpPr/>
      </dsp:nvSpPr>
      <dsp:spPr>
        <a:xfrm>
          <a:off x="1415577" y="2471170"/>
          <a:ext cx="1050131" cy="682585"/>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solidFill>
                <a:sysClr val="windowText" lastClr="000000"/>
              </a:solidFill>
              <a:latin typeface="Times New Roman" panose="02020603050405020304" pitchFamily="18" charset="0"/>
              <a:cs typeface="Times New Roman" panose="02020603050405020304" pitchFamily="18" charset="0"/>
            </a:rPr>
            <a:t>Vivus</a:t>
          </a:r>
        </a:p>
      </dsp:txBody>
      <dsp:txXfrm>
        <a:off x="1448898" y="2504491"/>
        <a:ext cx="983489" cy="615943"/>
      </dsp:txXfrm>
    </dsp:sp>
    <dsp:sp modelId="{381A53A2-C18C-4768-AECD-14CA5F2F3F61}">
      <dsp:nvSpPr>
        <dsp:cNvPr id="0" name=""/>
        <dsp:cNvSpPr/>
      </dsp:nvSpPr>
      <dsp:spPr>
        <a:xfrm>
          <a:off x="1377808" y="342446"/>
          <a:ext cx="2730783" cy="2730783"/>
        </a:xfrm>
        <a:custGeom>
          <a:avLst/>
          <a:gdLst/>
          <a:ahLst/>
          <a:cxnLst/>
          <a:rect l="0" t="0" r="0" b="0"/>
          <a:pathLst>
            <a:path>
              <a:moveTo>
                <a:pt x="228437" y="2121453"/>
              </a:moveTo>
              <a:arcTo wR="1365391" hR="1365391" stAng="8782592" swAng="2198521"/>
            </a:path>
          </a:pathLst>
        </a:custGeom>
        <a:noFill/>
        <a:ln w="6350" cap="flat" cmpd="sng" algn="ctr">
          <a:solidFill>
            <a:schemeClr val="dk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05824030-A29C-4A93-B1BB-8A0338024FE4}">
      <dsp:nvSpPr>
        <dsp:cNvPr id="0" name=""/>
        <dsp:cNvSpPr/>
      </dsp:nvSpPr>
      <dsp:spPr>
        <a:xfrm>
          <a:off x="919569" y="944616"/>
          <a:ext cx="1050131" cy="682585"/>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solidFill>
                <a:sysClr val="windowText" lastClr="000000"/>
              </a:solidFill>
              <a:latin typeface="Times New Roman" panose="02020603050405020304" pitchFamily="18" charset="0"/>
              <a:cs typeface="Times New Roman" panose="02020603050405020304" pitchFamily="18" charset="0"/>
            </a:rPr>
            <a:t>Sanofi</a:t>
          </a:r>
        </a:p>
      </dsp:txBody>
      <dsp:txXfrm>
        <a:off x="952890" y="977937"/>
        <a:ext cx="983489" cy="615943"/>
      </dsp:txXfrm>
    </dsp:sp>
    <dsp:sp modelId="{C6268E19-6EF6-49B4-B7E4-9D9DBBDCE599}">
      <dsp:nvSpPr>
        <dsp:cNvPr id="0" name=""/>
        <dsp:cNvSpPr/>
      </dsp:nvSpPr>
      <dsp:spPr>
        <a:xfrm>
          <a:off x="1377808" y="342446"/>
          <a:ext cx="2730783" cy="2730783"/>
        </a:xfrm>
        <a:custGeom>
          <a:avLst/>
          <a:gdLst/>
          <a:ahLst/>
          <a:cxnLst/>
          <a:rect l="0" t="0" r="0" b="0"/>
          <a:pathLst>
            <a:path>
              <a:moveTo>
                <a:pt x="237636" y="595675"/>
              </a:moveTo>
              <a:arcTo wR="1365391" hR="1365391" stAng="12858860" swAng="1964424"/>
            </a:path>
          </a:pathLst>
        </a:custGeom>
        <a:noFill/>
        <a:ln w="6350" cap="flat" cmpd="sng" algn="ctr">
          <a:solidFill>
            <a:schemeClr val="dk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58DF30-AC96-4766-B459-36661F8A7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21</Pages>
  <Words>4314</Words>
  <Characters>24590</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Financial Management</vt:lpstr>
    </vt:vector>
  </TitlesOfParts>
  <Company/>
  <LinksUpToDate>false</LinksUpToDate>
  <CharactersWithSpaces>28847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Management</dc:title>
  <dc:subject/>
  <dc:creator>Sirhan Ali</dc:creator>
  <cp:keywords/>
  <dc:description/>
  <cp:lastModifiedBy>sijjila ali</cp:lastModifiedBy>
  <cp:revision>5</cp:revision>
  <dcterms:created xsi:type="dcterms:W3CDTF">2020-12-30T23:03:00Z</dcterms:created>
  <dcterms:modified xsi:type="dcterms:W3CDTF">2021-01-13T12:50:00Z</dcterms:modified>
</cp:coreProperties>
</file>