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E7B85" w:rsidR="7F5816EF" w:rsidP="08A38BE2" w:rsidRDefault="7F5816EF" w14:paraId="356E87AD" w14:textId="5F34D9CD">
      <w:pPr>
        <w:pStyle w:val="Heading1"/>
        <w:spacing w:before="322" w:after="322" w:line="360" w:lineRule="auto"/>
        <w:rPr>
          <w:rFonts w:ascii="Arial" w:hAnsi="Arial" w:eastAsia="Arial" w:cs="Arial"/>
          <w:b/>
          <w:bCs/>
          <w:color w:val="000000" w:themeColor="text1"/>
          <w:sz w:val="48"/>
          <w:szCs w:val="48"/>
        </w:rPr>
      </w:pPr>
    </w:p>
    <w:p w:rsidR="7F5816EF" w:rsidP="08A38BE2" w:rsidRDefault="1AE49AA5" w14:paraId="6D5BE378" w14:textId="7366F90E">
      <w:pPr>
        <w:shd w:val="clear" w:color="auto" w:fill="F5F5F5"/>
        <w:spacing w:after="0" w:line="360" w:lineRule="auto"/>
        <w:jc w:val="center"/>
        <w:rPr>
          <w:rFonts w:ascii="Arial" w:hAnsi="Arial" w:eastAsia="Arial" w:cs="Arial"/>
          <w:sz w:val="40"/>
          <w:szCs w:val="40"/>
        </w:rPr>
      </w:pPr>
      <w:r w:rsidRPr="08A38BE2">
        <w:rPr>
          <w:rFonts w:ascii="Arial" w:hAnsi="Arial" w:eastAsia="Arial" w:cs="Arial"/>
          <w:b/>
          <w:bCs/>
          <w:sz w:val="40"/>
          <w:szCs w:val="40"/>
          <w:vertAlign w:val="superscript"/>
        </w:rPr>
        <w:t xml:space="preserve">Name: Rufaro Godfrey Chingarande </w:t>
      </w:r>
      <w:r w:rsidR="7F5816EF">
        <w:br/>
      </w:r>
      <w:r w:rsidRPr="08A38BE2">
        <w:rPr>
          <w:rFonts w:ascii="Arial" w:hAnsi="Arial" w:eastAsia="Arial" w:cs="Arial"/>
          <w:b/>
          <w:bCs/>
          <w:sz w:val="40"/>
          <w:szCs w:val="40"/>
          <w:vertAlign w:val="superscript"/>
        </w:rPr>
        <w:t>Student ID: 2432014</w:t>
      </w:r>
    </w:p>
    <w:p w:rsidR="7F5816EF" w:rsidP="08A38BE2" w:rsidRDefault="1AE49AA5" w14:paraId="760603B5" w14:textId="64439CFC">
      <w:pPr>
        <w:shd w:val="clear" w:color="auto" w:fill="F5F5F5"/>
        <w:spacing w:after="0" w:line="360" w:lineRule="auto"/>
        <w:jc w:val="center"/>
        <w:rPr>
          <w:rFonts w:ascii="Arial" w:hAnsi="Arial" w:eastAsia="Arial" w:cs="Arial"/>
          <w:b/>
          <w:bCs/>
          <w:sz w:val="40"/>
          <w:szCs w:val="40"/>
          <w:vertAlign w:val="superscript"/>
        </w:rPr>
      </w:pPr>
      <w:r w:rsidRPr="08A38BE2">
        <w:rPr>
          <w:rFonts w:ascii="Arial" w:hAnsi="Arial" w:eastAsia="Arial" w:cs="Arial"/>
          <w:b/>
          <w:bCs/>
          <w:sz w:val="40"/>
          <w:szCs w:val="40"/>
          <w:vertAlign w:val="superscript"/>
        </w:rPr>
        <w:t xml:space="preserve">Course </w:t>
      </w:r>
      <w:r w:rsidRPr="08A38BE2" w:rsidR="787E7481">
        <w:rPr>
          <w:rFonts w:ascii="Arial" w:hAnsi="Arial" w:eastAsia="Arial" w:cs="Arial"/>
          <w:b/>
          <w:bCs/>
          <w:sz w:val="40"/>
          <w:szCs w:val="40"/>
          <w:vertAlign w:val="superscript"/>
        </w:rPr>
        <w:t>model: LCHS</w:t>
      </w:r>
      <w:r w:rsidRPr="08A38BE2">
        <w:rPr>
          <w:rFonts w:ascii="Arial" w:hAnsi="Arial" w:eastAsia="Arial" w:cs="Arial"/>
          <w:b/>
          <w:bCs/>
          <w:sz w:val="40"/>
          <w:szCs w:val="40"/>
          <w:vertAlign w:val="superscript"/>
        </w:rPr>
        <w:t>4010</w:t>
      </w:r>
    </w:p>
    <w:p w:rsidR="7F5816EF" w:rsidP="08A38BE2" w:rsidRDefault="414CED12" w14:paraId="6F7BD535" w14:textId="71B84A6A">
      <w:pPr>
        <w:shd w:val="clear" w:color="auto" w:fill="F5F5F5"/>
        <w:spacing w:after="0" w:line="360" w:lineRule="auto"/>
        <w:jc w:val="center"/>
        <w:rPr>
          <w:rFonts w:ascii="Arial" w:hAnsi="Arial" w:eastAsia="Arial" w:cs="Arial"/>
          <w:b/>
          <w:bCs/>
          <w:sz w:val="40"/>
          <w:szCs w:val="40"/>
          <w:vertAlign w:val="superscript"/>
        </w:rPr>
      </w:pPr>
      <w:r w:rsidRPr="08A38BE2">
        <w:rPr>
          <w:rFonts w:ascii="Arial" w:hAnsi="Arial" w:eastAsia="Arial" w:cs="Arial"/>
          <w:b/>
          <w:bCs/>
          <w:sz w:val="40"/>
          <w:szCs w:val="40"/>
          <w:vertAlign w:val="superscript"/>
        </w:rPr>
        <w:t xml:space="preserve"> </w:t>
      </w:r>
      <w:r w:rsidRPr="08A38BE2" w:rsidR="0AA9022C">
        <w:rPr>
          <w:rFonts w:ascii="Arial" w:hAnsi="Arial" w:eastAsia="Arial" w:cs="Arial"/>
          <w:b/>
          <w:bCs/>
          <w:sz w:val="40"/>
          <w:szCs w:val="40"/>
          <w:vertAlign w:val="superscript"/>
        </w:rPr>
        <w:t>Module</w:t>
      </w:r>
      <w:r w:rsidRPr="08A38BE2">
        <w:rPr>
          <w:rFonts w:ascii="Arial" w:hAnsi="Arial" w:eastAsia="Arial" w:cs="Arial"/>
          <w:b/>
          <w:bCs/>
          <w:sz w:val="40"/>
          <w:szCs w:val="40"/>
          <w:vertAlign w:val="superscript"/>
        </w:rPr>
        <w:t>: Psychology in health and social care</w:t>
      </w:r>
    </w:p>
    <w:p w:rsidR="7F5816EF" w:rsidP="08A38BE2" w:rsidRDefault="1AE49AA5" w14:paraId="676D4C8C" w14:textId="7186A40C">
      <w:pPr>
        <w:shd w:val="clear" w:color="auto" w:fill="F5F5F5"/>
        <w:spacing w:after="0" w:line="360" w:lineRule="auto"/>
        <w:jc w:val="center"/>
        <w:rPr>
          <w:rFonts w:ascii="Arial" w:hAnsi="Arial" w:eastAsia="Arial" w:cs="Arial"/>
          <w:b/>
          <w:bCs/>
          <w:sz w:val="40"/>
          <w:szCs w:val="40"/>
          <w:vertAlign w:val="superscript"/>
        </w:rPr>
      </w:pPr>
      <w:r w:rsidRPr="08A38BE2">
        <w:rPr>
          <w:rFonts w:ascii="Arial" w:hAnsi="Arial" w:eastAsia="Arial" w:cs="Arial"/>
          <w:b/>
          <w:bCs/>
          <w:sz w:val="40"/>
          <w:szCs w:val="40"/>
          <w:vertAlign w:val="superscript"/>
        </w:rPr>
        <w:t>Lecturer: HELEN PARSONS</w:t>
      </w:r>
    </w:p>
    <w:p w:rsidR="7F5816EF" w:rsidP="08A38BE2" w:rsidRDefault="05905127" w14:paraId="1C28F035" w14:textId="4DBC9A73">
      <w:pPr>
        <w:shd w:val="clear" w:color="auto" w:fill="F5F5F5"/>
        <w:spacing w:after="0" w:line="360" w:lineRule="auto"/>
        <w:jc w:val="center"/>
        <w:rPr>
          <w:rFonts w:ascii="Arial" w:hAnsi="Arial" w:eastAsia="Arial" w:cs="Arial"/>
          <w:b/>
          <w:bCs/>
          <w:sz w:val="40"/>
          <w:szCs w:val="40"/>
          <w:vertAlign w:val="superscript"/>
        </w:rPr>
      </w:pPr>
      <w:r w:rsidRPr="08A38BE2">
        <w:rPr>
          <w:rFonts w:ascii="Arial" w:hAnsi="Arial" w:eastAsia="Arial" w:cs="Arial"/>
          <w:b/>
          <w:bCs/>
          <w:sz w:val="40"/>
          <w:szCs w:val="40"/>
          <w:vertAlign w:val="superscript"/>
        </w:rPr>
        <w:t>Assignment Title: Bibliography and report</w:t>
      </w:r>
    </w:p>
    <w:p w:rsidR="7F5816EF" w:rsidP="08A38BE2" w:rsidRDefault="7F5816EF" w14:paraId="1075C923" w14:textId="3FECF61D">
      <w:pPr>
        <w:shd w:val="clear" w:color="auto" w:fill="F5F5F5"/>
        <w:spacing w:after="0" w:line="360" w:lineRule="auto"/>
        <w:jc w:val="center"/>
        <w:rPr>
          <w:rFonts w:ascii="Arial" w:hAnsi="Arial" w:eastAsia="Arial" w:cs="Arial"/>
          <w:b/>
          <w:bCs/>
          <w:sz w:val="40"/>
          <w:szCs w:val="40"/>
          <w:vertAlign w:val="superscript"/>
        </w:rPr>
      </w:pPr>
    </w:p>
    <w:p w:rsidR="7F5816EF" w:rsidP="08A38BE2" w:rsidRDefault="7F5816EF" w14:paraId="49D6DB5E" w14:textId="2C814BF6">
      <w:pPr>
        <w:spacing w:line="360" w:lineRule="auto"/>
      </w:pPr>
    </w:p>
    <w:p w:rsidR="7F5816EF" w:rsidP="08A38BE2" w:rsidRDefault="7F5816EF" w14:paraId="15CC4A59" w14:textId="7CAFC2AB">
      <w:pPr>
        <w:pStyle w:val="Heading1"/>
        <w:spacing w:before="322" w:after="322" w:line="360" w:lineRule="auto"/>
        <w:rPr>
          <w:rFonts w:ascii="Arial" w:hAnsi="Arial" w:eastAsia="Arial" w:cs="Arial"/>
          <w:b/>
          <w:bCs/>
          <w:sz w:val="48"/>
          <w:szCs w:val="48"/>
        </w:rPr>
      </w:pPr>
    </w:p>
    <w:p w:rsidR="7F5816EF" w:rsidP="08A38BE2" w:rsidRDefault="7F5816EF" w14:paraId="2EF79C6E" w14:textId="52ED8D64">
      <w:pPr>
        <w:pStyle w:val="Heading1"/>
        <w:spacing w:before="322" w:after="322" w:line="360" w:lineRule="auto"/>
        <w:rPr>
          <w:rFonts w:ascii="Arial" w:hAnsi="Arial" w:eastAsia="Arial" w:cs="Arial"/>
          <w:b/>
          <w:bCs/>
          <w:sz w:val="48"/>
          <w:szCs w:val="48"/>
        </w:rPr>
      </w:pPr>
    </w:p>
    <w:p w:rsidR="005927A0" w:rsidP="005927A0" w:rsidRDefault="005927A0" w14:paraId="5A852EF5" w14:textId="77777777"/>
    <w:p w:rsidR="005927A0" w:rsidP="005927A0" w:rsidRDefault="005927A0" w14:paraId="58844DC8" w14:textId="77777777"/>
    <w:p w:rsidRPr="005927A0" w:rsidR="005927A0" w:rsidP="005927A0" w:rsidRDefault="005927A0" w14:paraId="77177BD6" w14:textId="77777777"/>
    <w:p w:rsidRPr="005927A0" w:rsidR="7F5816EF" w:rsidP="08A38BE2" w:rsidRDefault="7CF784B6" w14:paraId="7121DBA8" w14:textId="49373AB1">
      <w:pPr>
        <w:pStyle w:val="Heading1"/>
        <w:spacing w:before="322" w:after="322" w:line="360" w:lineRule="auto"/>
        <w:rPr>
          <w:rFonts w:ascii="Arial" w:hAnsi="Arial" w:eastAsia="Arial" w:cs="Arial"/>
          <w:b/>
          <w:bCs/>
          <w:color w:val="000000" w:themeColor="text1"/>
          <w:sz w:val="48"/>
          <w:szCs w:val="48"/>
        </w:rPr>
      </w:pPr>
      <w:r w:rsidRPr="005927A0">
        <w:rPr>
          <w:rFonts w:ascii="Arial" w:hAnsi="Arial" w:eastAsia="Arial" w:cs="Arial"/>
          <w:b/>
          <w:bCs/>
          <w:color w:val="000000" w:themeColor="text1"/>
          <w:sz w:val="48"/>
          <w:szCs w:val="48"/>
        </w:rPr>
        <w:lastRenderedPageBreak/>
        <w:t>Part A: Annotated Bibliography</w:t>
      </w:r>
    </w:p>
    <w:p w:rsidRPr="005927A0" w:rsidR="7F5816EF" w:rsidP="08A38BE2" w:rsidRDefault="7CF784B6" w14:paraId="377B4317" w14:textId="03709E07">
      <w:pPr>
        <w:pStyle w:val="Heading2"/>
        <w:numPr>
          <w:ilvl w:val="0"/>
          <w:numId w:val="4"/>
        </w:numPr>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Positive Psychology &amp; Ageing</w:t>
      </w:r>
    </w:p>
    <w:p w:rsidRPr="005927A0" w:rsidR="7F5816EF" w:rsidP="6E78FAD8" w:rsidRDefault="7CF784B6" w14:paraId="60C43710" w14:textId="39062E64">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 Kunzmann, U., Kappes, C. and </w:t>
      </w:r>
      <w:r w:rsidRPr="6E78FAD8" w:rsidR="2087D8BE">
        <w:rPr>
          <w:rFonts w:ascii="Arial" w:hAnsi="Arial" w:eastAsia="Arial" w:cs="Arial"/>
          <w:color w:val="000000" w:themeColor="text1" w:themeTint="FF" w:themeShade="FF"/>
          <w:sz w:val="22"/>
          <w:szCs w:val="22"/>
        </w:rPr>
        <w:t>Wrosch</w:t>
      </w:r>
      <w:r w:rsidRPr="6E78FAD8" w:rsidR="2087D8BE">
        <w:rPr>
          <w:rFonts w:ascii="Arial" w:hAnsi="Arial" w:eastAsia="Arial" w:cs="Arial"/>
          <w:color w:val="000000" w:themeColor="text1" w:themeTint="FF" w:themeShade="FF"/>
          <w:sz w:val="22"/>
          <w:szCs w:val="22"/>
        </w:rPr>
        <w:t xml:space="preserve">, C. (2020) ‘Emotional ageing: Recent findings and future trends’, </w:t>
      </w:r>
      <w:r w:rsidRPr="6E78FAD8" w:rsidR="2087D8BE">
        <w:rPr>
          <w:rFonts w:ascii="Arial" w:hAnsi="Arial" w:eastAsia="Arial" w:cs="Arial"/>
          <w:i w:val="1"/>
          <w:iCs w:val="1"/>
          <w:color w:val="000000" w:themeColor="text1" w:themeTint="FF" w:themeShade="FF"/>
          <w:sz w:val="22"/>
          <w:szCs w:val="22"/>
        </w:rPr>
        <w:t>The Journals of Gerontology: Series B</w:t>
      </w:r>
      <w:r w:rsidRPr="6E78FAD8" w:rsidR="2087D8BE">
        <w:rPr>
          <w:rFonts w:ascii="Arial" w:hAnsi="Arial" w:eastAsia="Arial" w:cs="Arial"/>
          <w:color w:val="000000" w:themeColor="text1" w:themeTint="FF" w:themeShade="FF"/>
          <w:sz w:val="22"/>
          <w:szCs w:val="22"/>
        </w:rPr>
        <w:t>, 75(2), pp. 303–312.</w:t>
      </w:r>
    </w:p>
    <w:p w:rsidRPr="005927A0" w:rsidR="7F5816EF" w:rsidP="6E78FAD8" w:rsidRDefault="7CF784B6" w14:paraId="61CC61D0" w14:textId="0F49666F">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Kunzmann, Kappes and </w:t>
      </w:r>
      <w:r w:rsidRPr="6E78FAD8" w:rsidR="2087D8BE">
        <w:rPr>
          <w:rFonts w:ascii="Arial" w:hAnsi="Arial" w:eastAsia="Arial" w:cs="Arial"/>
          <w:color w:val="000000" w:themeColor="text1" w:themeTint="FF" w:themeShade="FF"/>
          <w:sz w:val="22"/>
          <w:szCs w:val="22"/>
        </w:rPr>
        <w:t>Wrosch</w:t>
      </w:r>
      <w:r w:rsidRPr="6E78FAD8" w:rsidR="2087D8BE">
        <w:rPr>
          <w:rFonts w:ascii="Arial" w:hAnsi="Arial" w:eastAsia="Arial" w:cs="Arial"/>
          <w:color w:val="000000" w:themeColor="text1" w:themeTint="FF" w:themeShade="FF"/>
          <w:sz w:val="22"/>
          <w:szCs w:val="22"/>
        </w:rPr>
        <w:t xml:space="preserve"> (2020) review contemporary research on emotional ageing, arguing that older adults often </w:t>
      </w:r>
      <w:r w:rsidRPr="6E78FAD8" w:rsidR="2087D8BE">
        <w:rPr>
          <w:rFonts w:ascii="Arial" w:hAnsi="Arial" w:eastAsia="Arial" w:cs="Arial"/>
          <w:color w:val="000000" w:themeColor="text1" w:themeTint="FF" w:themeShade="FF"/>
          <w:sz w:val="22"/>
          <w:szCs w:val="22"/>
        </w:rPr>
        <w:t>demonstrate</w:t>
      </w:r>
      <w:r w:rsidRPr="6E78FAD8" w:rsidR="2087D8BE">
        <w:rPr>
          <w:rFonts w:ascii="Arial" w:hAnsi="Arial" w:eastAsia="Arial" w:cs="Arial"/>
          <w:color w:val="000000" w:themeColor="text1" w:themeTint="FF" w:themeShade="FF"/>
          <w:sz w:val="22"/>
          <w:szCs w:val="22"/>
        </w:rPr>
        <w:t xml:space="preserve"> enhanced emotional stability, improved emotion regulation, and a stronger orientation toward meaningful goals. Drawing on positive psychology and socioemotional selectivity theory, they highlight that wellbeing in later life is shaped by selective engagement in emotionally rewarding activities, adaptive coping strategies, and prioritisation of close social relationships. The authors also note that older adults tend to experience fewer negative emotions and show greater resilience when navigating stressors.</w:t>
      </w:r>
    </w:p>
    <w:p w:rsidRPr="005927A0" w:rsidR="7F5816EF" w:rsidP="6E78FAD8" w:rsidRDefault="7CF784B6" w14:paraId="1B9C062E" w14:textId="5F77C83C">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This article is highly relevant to health and social care because it challenges deficit‑based assumptions about ageing. For older adults in residential care, the findings support the development of wellbeing programmes that emphasise emotional meaning, autonomy, and positive social interaction. Activities such as reminiscence therapy, small‑group discussions, and strengths‑based goal setting align well with the article’s conclusions (Kunzmann, Kappes and </w:t>
      </w:r>
      <w:r w:rsidRPr="6E78FAD8" w:rsidR="2087D8BE">
        <w:rPr>
          <w:rFonts w:ascii="Arial" w:hAnsi="Arial" w:eastAsia="Arial" w:cs="Arial"/>
          <w:color w:val="000000" w:themeColor="text1" w:themeTint="FF" w:themeShade="FF"/>
          <w:sz w:val="22"/>
          <w:szCs w:val="22"/>
        </w:rPr>
        <w:t>Wrosch</w:t>
      </w:r>
      <w:r w:rsidRPr="6E78FAD8" w:rsidR="2087D8BE">
        <w:rPr>
          <w:rFonts w:ascii="Arial" w:hAnsi="Arial" w:eastAsia="Arial" w:cs="Arial"/>
          <w:color w:val="000000" w:themeColor="text1" w:themeTint="FF" w:themeShade="FF"/>
          <w:sz w:val="22"/>
          <w:szCs w:val="22"/>
        </w:rPr>
        <w:t xml:space="preserve">, 2020). A limitation is that the research focuses </w:t>
      </w:r>
      <w:r w:rsidRPr="6E78FAD8" w:rsidR="2025C403">
        <w:rPr>
          <w:rFonts w:ascii="Arial" w:hAnsi="Arial" w:eastAsia="Arial" w:cs="Arial"/>
          <w:color w:val="000000" w:themeColor="text1" w:themeTint="FF" w:themeShade="FF"/>
          <w:sz w:val="22"/>
          <w:szCs w:val="22"/>
        </w:rPr>
        <w:t>on</w:t>
      </w:r>
      <w:r w:rsidRPr="6E78FAD8" w:rsidR="2087D8BE">
        <w:rPr>
          <w:rFonts w:ascii="Arial" w:hAnsi="Arial" w:eastAsia="Arial" w:cs="Arial"/>
          <w:color w:val="000000" w:themeColor="text1" w:themeTint="FF" w:themeShade="FF"/>
          <w:sz w:val="22"/>
          <w:szCs w:val="22"/>
        </w:rPr>
        <w:t xml:space="preserve"> cognitively healthy older adults, offering limited insight into those with dementia or complex mental health needs. Despite this, the article provides a strong theoretical foundation for designing emotionally supportive environments in care homes.</w:t>
      </w:r>
    </w:p>
    <w:p w:rsidRPr="005927A0" w:rsidR="7F5816EF" w:rsidP="08A38BE2" w:rsidRDefault="7CF784B6" w14:paraId="552EFC05" w14:textId="35E7C699">
      <w:pPr>
        <w:pStyle w:val="Heading2"/>
        <w:numPr>
          <w:ilvl w:val="0"/>
          <w:numId w:val="4"/>
        </w:numPr>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Havighurst’s Activity Theory &amp; Engagement</w:t>
      </w:r>
      <w:r w:rsidRPr="005927A0" w:rsidR="795F2317">
        <w:rPr>
          <w:rFonts w:ascii="Arial" w:hAnsi="Arial" w:eastAsia="Arial" w:cs="Arial"/>
          <w:b/>
          <w:bCs/>
          <w:color w:val="000000" w:themeColor="text1"/>
          <w:sz w:val="36"/>
          <w:szCs w:val="36"/>
        </w:rPr>
        <w:t xml:space="preserve"> </w:t>
      </w:r>
    </w:p>
    <w:p w:rsidRPr="005927A0" w:rsidR="7F5816EF" w:rsidP="6E78FAD8" w:rsidRDefault="7CF784B6" w14:paraId="330F51DE" w14:textId="6ACF4196">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Nimrod, G. (2020) ‘Aging well in the digital age: Technology use and engagement in later life’, </w:t>
      </w:r>
      <w:r w:rsidRPr="6E78FAD8" w:rsidR="2087D8BE">
        <w:rPr>
          <w:rFonts w:ascii="Arial" w:hAnsi="Arial" w:eastAsia="Arial" w:cs="Arial"/>
          <w:i w:val="1"/>
          <w:iCs w:val="1"/>
          <w:color w:val="000000" w:themeColor="text1" w:themeTint="FF" w:themeShade="FF"/>
          <w:sz w:val="22"/>
          <w:szCs w:val="22"/>
        </w:rPr>
        <w:t>The Gerontologist</w:t>
      </w:r>
      <w:r w:rsidRPr="6E78FAD8" w:rsidR="2087D8BE">
        <w:rPr>
          <w:rFonts w:ascii="Arial" w:hAnsi="Arial" w:eastAsia="Arial" w:cs="Arial"/>
          <w:color w:val="000000" w:themeColor="text1" w:themeTint="FF" w:themeShade="FF"/>
          <w:sz w:val="22"/>
          <w:szCs w:val="22"/>
        </w:rPr>
        <w:t>, 60(2), pp. 145–154.</w:t>
      </w:r>
    </w:p>
    <w:p w:rsidRPr="005927A0" w:rsidR="7F5816EF" w:rsidP="6E78FAD8" w:rsidRDefault="7CF784B6" w14:paraId="1AF75E42" w14:textId="71F10DE8">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Nimrod (2020) explores how digital engagement supports active ageing, drawing implicitly on Havighurst’s Activity Theory by </w:t>
      </w:r>
      <w:r w:rsidRPr="6E78FAD8" w:rsidR="2087D8BE">
        <w:rPr>
          <w:rFonts w:ascii="Arial" w:hAnsi="Arial" w:eastAsia="Arial" w:cs="Arial"/>
          <w:color w:val="000000" w:themeColor="text1" w:themeTint="FF" w:themeShade="FF"/>
          <w:sz w:val="22"/>
          <w:szCs w:val="22"/>
        </w:rPr>
        <w:t>demonstrating</w:t>
      </w:r>
      <w:r w:rsidRPr="6E78FAD8" w:rsidR="2087D8BE">
        <w:rPr>
          <w:rFonts w:ascii="Arial" w:hAnsi="Arial" w:eastAsia="Arial" w:cs="Arial"/>
          <w:color w:val="000000" w:themeColor="text1" w:themeTint="FF" w:themeShade="FF"/>
          <w:sz w:val="22"/>
          <w:szCs w:val="22"/>
        </w:rPr>
        <w:t xml:space="preserve"> that continued participation in meaningful activities contributes to life satisfaction. The study shows that older adults who use digital technologies for social connection, leisure, and learning report higher wellbeing and reduced loneliness. The article also </w:t>
      </w:r>
      <w:r w:rsidRPr="6E78FAD8" w:rsidR="2087D8BE">
        <w:rPr>
          <w:rFonts w:ascii="Arial" w:hAnsi="Arial" w:eastAsia="Arial" w:cs="Arial"/>
          <w:color w:val="000000" w:themeColor="text1" w:themeTint="FF" w:themeShade="FF"/>
          <w:sz w:val="22"/>
          <w:szCs w:val="22"/>
        </w:rPr>
        <w:t>identifies</w:t>
      </w:r>
      <w:r w:rsidRPr="6E78FAD8" w:rsidR="2087D8BE">
        <w:rPr>
          <w:rFonts w:ascii="Arial" w:hAnsi="Arial" w:eastAsia="Arial" w:cs="Arial"/>
          <w:color w:val="000000" w:themeColor="text1" w:themeTint="FF" w:themeShade="FF"/>
        </w:rPr>
        <w:t xml:space="preserve"> </w:t>
      </w:r>
      <w:r w:rsidRPr="6E78FAD8" w:rsidR="2087D8BE">
        <w:rPr>
          <w:rFonts w:ascii="Arial" w:hAnsi="Arial" w:eastAsia="Arial" w:cs="Arial"/>
          <w:color w:val="000000" w:themeColor="text1" w:themeTint="FF" w:themeShade="FF"/>
          <w:sz w:val="22"/>
          <w:szCs w:val="22"/>
        </w:rPr>
        <w:t>barriers such as digital literacy, accessibility, and confidence, which can limit participation for some older adults.</w:t>
      </w:r>
    </w:p>
    <w:p w:rsidRPr="005927A0" w:rsidR="7F5816EF" w:rsidP="6E78FAD8" w:rsidRDefault="7CF784B6" w14:paraId="7E19A2A7" w14:textId="4DE5A751">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The article is directly applicable to residential care settings, where digital exclusion is common. It provides evidence that structured digital activities</w:t>
      </w:r>
      <w:r w:rsidRPr="6E78FAD8" w:rsidR="7367F8D7">
        <w:rPr>
          <w:rFonts w:ascii="Arial" w:hAnsi="Arial" w:eastAsia="Arial" w:cs="Arial"/>
          <w:color w:val="000000" w:themeColor="text1" w:themeTint="FF" w:themeShade="FF"/>
          <w:sz w:val="22"/>
          <w:szCs w:val="22"/>
        </w:rPr>
        <w:t xml:space="preserve"> s</w:t>
      </w:r>
      <w:r w:rsidRPr="6E78FAD8" w:rsidR="2087D8BE">
        <w:rPr>
          <w:rFonts w:ascii="Arial" w:hAnsi="Arial" w:eastAsia="Arial" w:cs="Arial"/>
          <w:color w:val="000000" w:themeColor="text1" w:themeTint="FF" w:themeShade="FF"/>
          <w:sz w:val="22"/>
          <w:szCs w:val="22"/>
        </w:rPr>
        <w:t>uch as video calls with family, online quizzes, or virtual museum tours</w:t>
      </w:r>
      <w:r w:rsidRPr="6E78FAD8" w:rsidR="0EDCD9A9">
        <w:rPr>
          <w:rFonts w:ascii="Arial" w:hAnsi="Arial" w:eastAsia="Arial" w:cs="Arial"/>
          <w:color w:val="000000" w:themeColor="text1" w:themeTint="FF" w:themeShade="FF"/>
          <w:sz w:val="22"/>
          <w:szCs w:val="22"/>
        </w:rPr>
        <w:t xml:space="preserve"> </w:t>
      </w:r>
      <w:r w:rsidRPr="6E78FAD8" w:rsidR="2087D8BE">
        <w:rPr>
          <w:rFonts w:ascii="Arial" w:hAnsi="Arial" w:eastAsia="Arial" w:cs="Arial"/>
          <w:color w:val="000000" w:themeColor="text1" w:themeTint="FF" w:themeShade="FF"/>
          <w:sz w:val="22"/>
          <w:szCs w:val="22"/>
        </w:rPr>
        <w:t xml:space="preserve">can enhance engagement and reduce social isolation among older residents (Nimrod, 2020). This aligns strongly with Activity Theory, which emphasises the importance of </w:t>
      </w:r>
      <w:r w:rsidRPr="6E78FAD8" w:rsidR="2087D8BE">
        <w:rPr>
          <w:rFonts w:ascii="Arial" w:hAnsi="Arial" w:eastAsia="Arial" w:cs="Arial"/>
          <w:color w:val="000000" w:themeColor="text1" w:themeTint="FF" w:themeShade="FF"/>
          <w:sz w:val="22"/>
          <w:szCs w:val="22"/>
        </w:rPr>
        <w:t>maintaining</w:t>
      </w:r>
      <w:r w:rsidRPr="6E78FAD8" w:rsidR="2087D8BE">
        <w:rPr>
          <w:rFonts w:ascii="Arial" w:hAnsi="Arial" w:eastAsia="Arial" w:cs="Arial"/>
          <w:color w:val="000000" w:themeColor="text1" w:themeTint="FF" w:themeShade="FF"/>
          <w:sz w:val="22"/>
          <w:szCs w:val="22"/>
        </w:rPr>
        <w:t xml:space="preserve"> roles and activities despite age‑related changes. However, the article assumes access to technological infrastructure that many care homes lack, and it does not fully address the needs of residents with sensory or cognitive impairments. Even so, it offers </w:t>
      </w:r>
      <w:r w:rsidRPr="6E78FAD8" w:rsidR="0D625E33">
        <w:rPr>
          <w:rFonts w:ascii="Arial" w:hAnsi="Arial" w:eastAsia="Arial" w:cs="Arial"/>
          <w:color w:val="000000" w:themeColor="text1" w:themeTint="FF" w:themeShade="FF"/>
          <w:sz w:val="22"/>
          <w:szCs w:val="22"/>
        </w:rPr>
        <w:t>contemporary evidence</w:t>
      </w:r>
      <w:r w:rsidRPr="6E78FAD8" w:rsidR="2087D8BE">
        <w:rPr>
          <w:rFonts w:ascii="Arial" w:hAnsi="Arial" w:eastAsia="Arial" w:cs="Arial"/>
          <w:color w:val="000000" w:themeColor="text1" w:themeTint="FF" w:themeShade="FF"/>
          <w:sz w:val="22"/>
          <w:szCs w:val="22"/>
        </w:rPr>
        <w:t xml:space="preserve"> base for integrating digital engagement into wellbeing programmes for older adults.</w:t>
      </w:r>
    </w:p>
    <w:p w:rsidRPr="005927A0" w:rsidR="7F5816EF" w:rsidP="08A38BE2" w:rsidRDefault="7CF784B6" w14:paraId="2F88BA81" w14:textId="026874C5">
      <w:pPr>
        <w:pStyle w:val="Heading2"/>
        <w:numPr>
          <w:ilvl w:val="0"/>
          <w:numId w:val="4"/>
        </w:numPr>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Positive Psychology, Meaning &amp; Older Adults</w:t>
      </w:r>
      <w:r w:rsidRPr="005927A0" w:rsidR="074EC66C">
        <w:rPr>
          <w:rFonts w:ascii="Arial" w:hAnsi="Arial" w:eastAsia="Arial" w:cs="Arial"/>
          <w:b/>
          <w:bCs/>
          <w:color w:val="000000" w:themeColor="text1"/>
          <w:sz w:val="36"/>
          <w:szCs w:val="36"/>
        </w:rPr>
        <w:t xml:space="preserve"> </w:t>
      </w:r>
    </w:p>
    <w:p w:rsidRPr="005927A0" w:rsidR="7F5816EF" w:rsidP="6E78FAD8" w:rsidRDefault="7CF784B6" w14:paraId="527AEEC3" w14:textId="3A046586">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Wong, P.T.P. (2021) ‘Positive ageing and meaning in life’, in Carr, D. and Moen, P. (eds.) </w:t>
      </w:r>
      <w:r w:rsidRPr="6E78FAD8" w:rsidR="2087D8BE">
        <w:rPr>
          <w:rFonts w:ascii="Arial" w:hAnsi="Arial" w:eastAsia="Arial" w:cs="Arial"/>
          <w:i w:val="1"/>
          <w:iCs w:val="1"/>
          <w:color w:val="000000" w:themeColor="text1" w:themeTint="FF" w:themeShade="FF"/>
          <w:sz w:val="22"/>
          <w:szCs w:val="22"/>
        </w:rPr>
        <w:t>Encyclopedia</w:t>
      </w:r>
      <w:r w:rsidRPr="6E78FAD8" w:rsidR="2087D8BE">
        <w:rPr>
          <w:rFonts w:ascii="Arial" w:hAnsi="Arial" w:eastAsia="Arial" w:cs="Arial"/>
          <w:i w:val="1"/>
          <w:iCs w:val="1"/>
          <w:color w:val="000000" w:themeColor="text1" w:themeTint="FF" w:themeShade="FF"/>
          <w:sz w:val="22"/>
          <w:szCs w:val="22"/>
        </w:rPr>
        <w:t xml:space="preserve"> of Gerontology and Population Ageing</w:t>
      </w:r>
      <w:r w:rsidRPr="6E78FAD8" w:rsidR="2087D8BE">
        <w:rPr>
          <w:rFonts w:ascii="Arial" w:hAnsi="Arial" w:eastAsia="Arial" w:cs="Arial"/>
          <w:color w:val="000000" w:themeColor="text1" w:themeTint="FF" w:themeShade="FF"/>
          <w:sz w:val="22"/>
          <w:szCs w:val="22"/>
        </w:rPr>
        <w:t>. Cham: Springer, pp. 1–9.</w:t>
      </w:r>
    </w:p>
    <w:p w:rsidRPr="005927A0" w:rsidR="7F5816EF" w:rsidP="6E78FAD8" w:rsidRDefault="7CF784B6" w14:paraId="582DF196" w14:textId="359488C0">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Wong (2021) presents positive ageing as a meaning‑centred process, arguing that older adults face unique developmental tasks</w:t>
      </w:r>
      <w:r w:rsidRPr="6E78FAD8" w:rsidR="21DCD118">
        <w:rPr>
          <w:rFonts w:ascii="Arial" w:hAnsi="Arial" w:eastAsia="Arial" w:cs="Arial"/>
          <w:color w:val="000000" w:themeColor="text1" w:themeTint="FF" w:themeShade="FF"/>
          <w:sz w:val="22"/>
          <w:szCs w:val="22"/>
        </w:rPr>
        <w:t xml:space="preserve"> </w:t>
      </w:r>
      <w:r w:rsidRPr="6E78FAD8" w:rsidR="2087D8BE">
        <w:rPr>
          <w:rFonts w:ascii="Arial" w:hAnsi="Arial" w:eastAsia="Arial" w:cs="Arial"/>
          <w:color w:val="000000" w:themeColor="text1" w:themeTint="FF" w:themeShade="FF"/>
          <w:sz w:val="22"/>
          <w:szCs w:val="22"/>
        </w:rPr>
        <w:t>such as coping with bereavement, retirement, and physical decline</w:t>
      </w:r>
      <w:r w:rsidRPr="6E78FAD8" w:rsidR="64E74D1A">
        <w:rPr>
          <w:rFonts w:ascii="Arial" w:hAnsi="Arial" w:eastAsia="Arial" w:cs="Arial"/>
          <w:color w:val="000000" w:themeColor="text1" w:themeTint="FF" w:themeShade="FF"/>
          <w:sz w:val="22"/>
          <w:szCs w:val="22"/>
        </w:rPr>
        <w:t xml:space="preserve"> </w:t>
      </w:r>
      <w:r w:rsidRPr="6E78FAD8" w:rsidR="2087D8BE">
        <w:rPr>
          <w:rFonts w:ascii="Arial" w:hAnsi="Arial" w:eastAsia="Arial" w:cs="Arial"/>
          <w:color w:val="000000" w:themeColor="text1" w:themeTint="FF" w:themeShade="FF"/>
          <w:sz w:val="22"/>
          <w:szCs w:val="22"/>
        </w:rPr>
        <w:t xml:space="preserve">that require adaptive meaning‑making strategies. He emphasises that later life can be a period of psychological growth, wisdom, and renewed purpose when individuals are supported to reinterpret losses and </w:t>
      </w:r>
      <w:r w:rsidRPr="6E78FAD8" w:rsidR="2087D8BE">
        <w:rPr>
          <w:rFonts w:ascii="Arial" w:hAnsi="Arial" w:eastAsia="Arial" w:cs="Arial"/>
          <w:color w:val="000000" w:themeColor="text1" w:themeTint="FF" w:themeShade="FF"/>
          <w:sz w:val="22"/>
          <w:szCs w:val="22"/>
        </w:rPr>
        <w:t>maintain</w:t>
      </w:r>
      <w:r w:rsidRPr="6E78FAD8" w:rsidR="2087D8BE">
        <w:rPr>
          <w:rFonts w:ascii="Arial" w:hAnsi="Arial" w:eastAsia="Arial" w:cs="Arial"/>
          <w:color w:val="000000" w:themeColor="text1" w:themeTint="FF" w:themeShade="FF"/>
          <w:sz w:val="22"/>
          <w:szCs w:val="22"/>
        </w:rPr>
        <w:t xml:space="preserve"> a sense of contribution. Meaning for older adults is often derived from relationships, generativity, spirituality, and engagement in valued roles. Wong also highlights that wellbeing in later life is not simply the absence of illness but the presence of psychological strengths such as acceptance, gratitude, and life review.</w:t>
      </w:r>
    </w:p>
    <w:p w:rsidRPr="005927A0" w:rsidR="7F5816EF" w:rsidP="6E78FAD8" w:rsidRDefault="7CF784B6" w14:paraId="6D0F0F9C" w14:textId="1ADE54FF">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This chapter is highly relevant to residential care because it reframes older adults as capable of continued psychological development. In care homes, where loss of autonomy and identity is common, Wong’s emphasis on meaning provides a powerful framework for designing interventions that support purpose and dignity. Life‑story work, reminiscence groups, and opportunities for residents to mentor younger staff or volunteers align directly with Wong’s principles (Wong, 2021). A limitation is that the chapter is theoretical and offers limited practical guidance for residents with advanced dementia or severe communication difficulties. Nevertheless, it provides a strong conceptual foundation for strengths‑based, person‑centred care that promotes psychological wellbeing in older adults.</w:t>
      </w:r>
    </w:p>
    <w:p w:rsidRPr="005927A0" w:rsidR="7F5816EF" w:rsidP="08A38BE2" w:rsidRDefault="7CF784B6" w14:paraId="2B386B28" w14:textId="24E142FB">
      <w:pPr>
        <w:pStyle w:val="Heading2"/>
        <w:numPr>
          <w:ilvl w:val="0"/>
          <w:numId w:val="4"/>
        </w:numPr>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Havighurst’s Activity Theory &amp; Older‑Adult Learning</w:t>
      </w:r>
      <w:r w:rsidRPr="005927A0" w:rsidR="3A23E4A8">
        <w:rPr>
          <w:rFonts w:ascii="Arial" w:hAnsi="Arial" w:eastAsia="Arial" w:cs="Arial"/>
          <w:b/>
          <w:bCs/>
          <w:color w:val="000000" w:themeColor="text1"/>
          <w:sz w:val="36"/>
          <w:szCs w:val="36"/>
        </w:rPr>
        <w:t xml:space="preserve"> </w:t>
      </w:r>
    </w:p>
    <w:p w:rsidRPr="005927A0" w:rsidR="7F5816EF" w:rsidP="6E78FAD8" w:rsidRDefault="7CF784B6" w14:paraId="624B784C" w14:textId="40B5DC30">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Boulton-Lewis, </w:t>
      </w:r>
      <w:bookmarkStart w:name="_Int_0BRwPYSI" w:id="0"/>
      <w:r w:rsidRPr="6E78FAD8" w:rsidR="2087D8BE">
        <w:rPr>
          <w:rFonts w:ascii="Arial" w:hAnsi="Arial" w:eastAsia="Arial" w:cs="Arial"/>
          <w:color w:val="000000" w:themeColor="text1" w:themeTint="FF" w:themeShade="FF"/>
          <w:sz w:val="22"/>
          <w:szCs w:val="22"/>
        </w:rPr>
        <w:t>G.</w:t>
      </w:r>
      <w:bookmarkEnd w:id="0"/>
      <w:r w:rsidRPr="6E78FAD8" w:rsidR="2087D8BE">
        <w:rPr>
          <w:rFonts w:ascii="Arial" w:hAnsi="Arial" w:eastAsia="Arial" w:cs="Arial"/>
          <w:color w:val="000000" w:themeColor="text1" w:themeTint="FF" w:themeShade="FF"/>
          <w:sz w:val="22"/>
          <w:szCs w:val="22"/>
        </w:rPr>
        <w:t xml:space="preserve"> and Tam, M. (2019) ‘Active ageing, learning and participation’, in Formosa, M. (ed.) </w:t>
      </w:r>
      <w:r w:rsidRPr="6E78FAD8" w:rsidR="2087D8BE">
        <w:rPr>
          <w:rFonts w:ascii="Arial" w:hAnsi="Arial" w:eastAsia="Arial" w:cs="Arial"/>
          <w:i w:val="1"/>
          <w:iCs w:val="1"/>
          <w:color w:val="000000" w:themeColor="text1" w:themeTint="FF" w:themeShade="FF"/>
          <w:sz w:val="22"/>
          <w:szCs w:val="22"/>
        </w:rPr>
        <w:t>The University of the Third Age and Active Ageing</w:t>
      </w:r>
      <w:r w:rsidRPr="6E78FAD8" w:rsidR="2087D8BE">
        <w:rPr>
          <w:rFonts w:ascii="Arial" w:hAnsi="Arial" w:eastAsia="Arial" w:cs="Arial"/>
          <w:color w:val="000000" w:themeColor="text1" w:themeTint="FF" w:themeShade="FF"/>
          <w:sz w:val="22"/>
          <w:szCs w:val="22"/>
        </w:rPr>
        <w:t>. Cham: Springer, pp. 17–32.</w:t>
      </w:r>
    </w:p>
    <w:p w:rsidRPr="005927A0" w:rsidR="7F5816EF" w:rsidP="6E78FAD8" w:rsidRDefault="7CF784B6" w14:paraId="1B6E7A43" w14:textId="1BCB131B">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 xml:space="preserve">Boulton‑Lewis and Tam (2019) revisit Havighurst’s Activity Theory by examining how older adults </w:t>
      </w:r>
      <w:r w:rsidRPr="6E78FAD8" w:rsidR="2087D8BE">
        <w:rPr>
          <w:rFonts w:ascii="Arial" w:hAnsi="Arial" w:eastAsia="Arial" w:cs="Arial"/>
          <w:color w:val="000000" w:themeColor="text1" w:themeTint="FF" w:themeShade="FF"/>
          <w:sz w:val="22"/>
          <w:szCs w:val="22"/>
        </w:rPr>
        <w:t>benefit</w:t>
      </w:r>
      <w:r w:rsidRPr="6E78FAD8" w:rsidR="2087D8BE">
        <w:rPr>
          <w:rFonts w:ascii="Arial" w:hAnsi="Arial" w:eastAsia="Arial" w:cs="Arial"/>
          <w:color w:val="000000" w:themeColor="text1" w:themeTint="FF" w:themeShade="FF"/>
          <w:sz w:val="22"/>
          <w:szCs w:val="22"/>
        </w:rPr>
        <w:t xml:space="preserve"> from continued participation in learning, social roles, and community engagement. They argue that active ageing involves </w:t>
      </w:r>
      <w:r w:rsidRPr="6E78FAD8" w:rsidR="2087D8BE">
        <w:rPr>
          <w:rFonts w:ascii="Arial" w:hAnsi="Arial" w:eastAsia="Arial" w:cs="Arial"/>
          <w:color w:val="000000" w:themeColor="text1" w:themeTint="FF" w:themeShade="FF"/>
          <w:sz w:val="22"/>
          <w:szCs w:val="22"/>
        </w:rPr>
        <w:t>maintaining</w:t>
      </w:r>
      <w:r w:rsidRPr="6E78FAD8" w:rsidR="2087D8BE">
        <w:rPr>
          <w:rFonts w:ascii="Arial" w:hAnsi="Arial" w:eastAsia="Arial" w:cs="Arial"/>
          <w:color w:val="000000" w:themeColor="text1" w:themeTint="FF" w:themeShade="FF"/>
          <w:sz w:val="22"/>
          <w:szCs w:val="22"/>
        </w:rPr>
        <w:t xml:space="preserve"> cognitive stimulation, social identity, and a sense of competence. The chapter presents evidence that older adults who engage in structured learning</w:t>
      </w:r>
      <w:r w:rsidRPr="6E78FAD8" w:rsidR="4DB94E14">
        <w:rPr>
          <w:rFonts w:ascii="Arial" w:hAnsi="Arial" w:eastAsia="Arial" w:cs="Arial"/>
          <w:color w:val="000000" w:themeColor="text1" w:themeTint="FF" w:themeShade="FF"/>
          <w:sz w:val="22"/>
          <w:szCs w:val="22"/>
        </w:rPr>
        <w:t xml:space="preserve"> </w:t>
      </w:r>
      <w:r w:rsidRPr="6E78FAD8" w:rsidR="2087D8BE">
        <w:rPr>
          <w:rFonts w:ascii="Arial" w:hAnsi="Arial" w:eastAsia="Arial" w:cs="Arial"/>
          <w:color w:val="000000" w:themeColor="text1" w:themeTint="FF" w:themeShade="FF"/>
          <w:sz w:val="22"/>
          <w:szCs w:val="22"/>
        </w:rPr>
        <w:t>such as community classes, creative workshops, or intergenerational programmes</w:t>
      </w:r>
      <w:r w:rsidRPr="6E78FAD8" w:rsidR="51B1D262">
        <w:rPr>
          <w:rFonts w:ascii="Arial" w:hAnsi="Arial" w:eastAsia="Arial" w:cs="Arial"/>
          <w:color w:val="000000" w:themeColor="text1" w:themeTint="FF" w:themeShade="FF"/>
          <w:sz w:val="22"/>
          <w:szCs w:val="22"/>
        </w:rPr>
        <w:t xml:space="preserve"> </w:t>
      </w:r>
      <w:r w:rsidRPr="6E78FAD8" w:rsidR="2087D8BE">
        <w:rPr>
          <w:rFonts w:ascii="Arial" w:hAnsi="Arial" w:eastAsia="Arial" w:cs="Arial"/>
          <w:color w:val="000000" w:themeColor="text1" w:themeTint="FF" w:themeShade="FF"/>
          <w:sz w:val="22"/>
          <w:szCs w:val="22"/>
        </w:rPr>
        <w:t xml:space="preserve">experience improved cognitive functioning, enhanced self‑esteem, and stronger social networks. Learning in later life supports identity continuity, helping older adults </w:t>
      </w:r>
      <w:r w:rsidRPr="6E78FAD8" w:rsidR="2087D8BE">
        <w:rPr>
          <w:rFonts w:ascii="Arial" w:hAnsi="Arial" w:eastAsia="Arial" w:cs="Arial"/>
          <w:color w:val="000000" w:themeColor="text1" w:themeTint="FF" w:themeShade="FF"/>
          <w:sz w:val="22"/>
          <w:szCs w:val="22"/>
        </w:rPr>
        <w:t>maintain</w:t>
      </w:r>
      <w:r w:rsidRPr="6E78FAD8" w:rsidR="2087D8BE">
        <w:rPr>
          <w:rFonts w:ascii="Arial" w:hAnsi="Arial" w:eastAsia="Arial" w:cs="Arial"/>
          <w:color w:val="000000" w:themeColor="text1" w:themeTint="FF" w:themeShade="FF"/>
          <w:sz w:val="22"/>
          <w:szCs w:val="22"/>
        </w:rPr>
        <w:t xml:space="preserve"> a sense of who they are despite retirement, bereavement, or health changes.</w:t>
      </w:r>
    </w:p>
    <w:p w:rsidRPr="005927A0" w:rsidR="08A38BE2" w:rsidP="6E78FAD8" w:rsidRDefault="7CF784B6" w14:paraId="11BFEC63" w14:textId="5AF6BE19">
      <w:pPr>
        <w:spacing w:before="240" w:after="240" w:line="360" w:lineRule="auto"/>
        <w:rPr>
          <w:rFonts w:ascii="Arial" w:hAnsi="Arial" w:eastAsia="Arial" w:cs="Arial"/>
          <w:color w:val="000000" w:themeColor="text1"/>
          <w:sz w:val="22"/>
          <w:szCs w:val="22"/>
        </w:rPr>
      </w:pPr>
      <w:r w:rsidRPr="6E78FAD8" w:rsidR="2087D8BE">
        <w:rPr>
          <w:rFonts w:ascii="Arial" w:hAnsi="Arial" w:eastAsia="Arial" w:cs="Arial"/>
          <w:color w:val="000000" w:themeColor="text1" w:themeTint="FF" w:themeShade="FF"/>
          <w:sz w:val="22"/>
          <w:szCs w:val="22"/>
        </w:rPr>
        <w:t>Although the chapter focuses on community</w:t>
      </w:r>
      <w:r w:rsidRPr="6E78FAD8" w:rsidR="2087D8BE">
        <w:rPr>
          <w:rFonts w:ascii="Arial" w:hAnsi="Arial" w:eastAsia="Arial" w:cs="Arial"/>
          <w:color w:val="000000" w:themeColor="text1" w:themeTint="FF" w:themeShade="FF"/>
          <w:sz w:val="22"/>
          <w:szCs w:val="22"/>
        </w:rPr>
        <w:t>‑</w:t>
      </w:r>
      <w:r w:rsidRPr="6E78FAD8" w:rsidR="2087D8BE">
        <w:rPr>
          <w:rFonts w:ascii="Arial" w:hAnsi="Arial" w:eastAsia="Arial" w:cs="Arial"/>
          <w:color w:val="000000" w:themeColor="text1" w:themeTint="FF" w:themeShade="FF"/>
          <w:sz w:val="22"/>
          <w:szCs w:val="22"/>
        </w:rPr>
        <w:t>dwelling older adults, its principles are highly transferable to residential care. Many care homes rely on passive entertainment, which does not align with Activity Theory’s emphasis on meaningful, role</w:t>
      </w:r>
      <w:r w:rsidRPr="6E78FAD8" w:rsidR="2087D8BE">
        <w:rPr>
          <w:rFonts w:ascii="Arial" w:hAnsi="Arial" w:eastAsia="Arial" w:cs="Arial"/>
          <w:color w:val="000000" w:themeColor="text1" w:themeTint="FF" w:themeShade="FF"/>
          <w:sz w:val="22"/>
          <w:szCs w:val="22"/>
        </w:rPr>
        <w:t>‑</w:t>
      </w:r>
      <w:r w:rsidRPr="6E78FAD8" w:rsidR="2087D8BE">
        <w:rPr>
          <w:rFonts w:ascii="Arial" w:hAnsi="Arial" w:eastAsia="Arial" w:cs="Arial"/>
          <w:color w:val="000000" w:themeColor="text1" w:themeTint="FF" w:themeShade="FF"/>
          <w:sz w:val="22"/>
          <w:szCs w:val="22"/>
        </w:rPr>
        <w:t xml:space="preserve">based activity. The chapter provides a strong theoretical justification for designing cognitively stimulating programmes such as digital skills sessions, creative </w:t>
      </w:r>
      <w:r w:rsidRPr="6E78FAD8" w:rsidR="2087D8BE">
        <w:rPr>
          <w:rFonts w:ascii="Arial" w:hAnsi="Arial" w:eastAsia="Arial" w:cs="Arial"/>
          <w:color w:val="000000" w:themeColor="text1" w:themeTint="FF" w:themeShade="FF"/>
          <w:sz w:val="22"/>
          <w:szCs w:val="22"/>
        </w:rPr>
        <w:t>writing groups, or music appreciation classes (Boulton</w:t>
      </w:r>
      <w:r w:rsidRPr="6E78FAD8" w:rsidR="2087D8BE">
        <w:rPr>
          <w:rFonts w:ascii="Arial" w:hAnsi="Arial" w:eastAsia="Arial" w:cs="Arial"/>
          <w:color w:val="000000" w:themeColor="text1" w:themeTint="FF" w:themeShade="FF"/>
          <w:sz w:val="22"/>
          <w:szCs w:val="22"/>
        </w:rPr>
        <w:t>‑</w:t>
      </w:r>
      <w:r w:rsidRPr="6E78FAD8" w:rsidR="2087D8BE">
        <w:rPr>
          <w:rFonts w:ascii="Arial" w:hAnsi="Arial" w:eastAsia="Arial" w:cs="Arial"/>
          <w:color w:val="000000" w:themeColor="text1" w:themeTint="FF" w:themeShade="FF"/>
          <w:sz w:val="22"/>
          <w:szCs w:val="22"/>
        </w:rPr>
        <w:t>Lewis and Tam, 2019). A limitation is that the chapter assumes a level of independence that may not reflect the realities of frail residents or those with dementia. Staff may require training to adapt learning activities to different cognitive levels. Nonetheless, the chapter reinforces the importance of viewing older adults as capable learners and active participants, supporting a culture of empowerment within care settings.</w:t>
      </w:r>
    </w:p>
    <w:p w:rsidRPr="005927A0" w:rsidR="08A38BE2" w:rsidP="6E78FAD8" w:rsidRDefault="08A38BE2" w14:paraId="296D81EE" w14:textId="7AD99558">
      <w:pPr>
        <w:spacing w:line="360" w:lineRule="auto"/>
        <w:rPr>
          <w:rFonts w:ascii="Arial" w:hAnsi="Arial" w:eastAsia="Arial" w:cs="Arial"/>
          <w:color w:val="000000" w:themeColor="text1"/>
          <w:sz w:val="22"/>
          <w:szCs w:val="22"/>
        </w:rPr>
      </w:pPr>
    </w:p>
    <w:p w:rsidR="6E78FAD8" w:rsidP="6E78FAD8" w:rsidRDefault="6E78FAD8" w14:paraId="6AC97940" w14:textId="0322EE7E">
      <w:pPr>
        <w:pStyle w:val="Heading1"/>
        <w:spacing w:before="322" w:after="322" w:line="360" w:lineRule="auto"/>
        <w:rPr>
          <w:rFonts w:ascii="Arial" w:hAnsi="Arial" w:eastAsia="Arial" w:cs="Arial"/>
          <w:b w:val="1"/>
          <w:bCs w:val="1"/>
          <w:color w:val="000000" w:themeColor="text1" w:themeTint="FF" w:themeShade="FF"/>
          <w:sz w:val="48"/>
          <w:szCs w:val="48"/>
        </w:rPr>
      </w:pPr>
    </w:p>
    <w:p w:rsidRPr="005927A0" w:rsidR="51E0E740" w:rsidP="08A38BE2" w:rsidRDefault="51E0E740" w14:paraId="619F04A6" w14:textId="558D8D06">
      <w:pPr>
        <w:pStyle w:val="Heading1"/>
        <w:spacing w:before="322" w:after="322"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48"/>
          <w:szCs w:val="48"/>
        </w:rPr>
        <w:t xml:space="preserve">Part B: Short Report </w:t>
      </w:r>
    </w:p>
    <w:p w:rsidRPr="005927A0" w:rsidR="51E0E740" w:rsidP="08A38BE2" w:rsidRDefault="51E0E740" w14:paraId="507278B9" w14:textId="0109793E">
      <w:pPr>
        <w:pStyle w:val="Heading1"/>
        <w:spacing w:before="322" w:after="322"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Introduction</w:t>
      </w:r>
    </w:p>
    <w:p w:rsidRPr="005927A0" w:rsidR="51E0E740" w:rsidP="6E78FAD8" w:rsidRDefault="51E0E740" w14:paraId="079D93EF" w14:textId="7D66B8B3">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Older adults living in residential care often experience major life transitions, including loss of independence, reduced social roles, and changes in identity. These transitions can negatively affect psychological wellbeing if not supported through meaningful engagement. Havighurst’s Activity Theory provides a valuable framework for understanding how continued participation in purposeful activities can promote wellbeing in later life. The theory proposes that older adults </w:t>
      </w:r>
      <w:r w:rsidRPr="6E78FAD8" w:rsidR="08124324">
        <w:rPr>
          <w:rFonts w:ascii="Arial" w:hAnsi="Arial" w:eastAsia="Arial" w:cs="Arial"/>
          <w:color w:val="000000" w:themeColor="text1" w:themeTint="FF" w:themeShade="FF"/>
          <w:sz w:val="22"/>
          <w:szCs w:val="22"/>
        </w:rPr>
        <w:t>maintain</w:t>
      </w:r>
      <w:r w:rsidRPr="6E78FAD8" w:rsidR="08124324">
        <w:rPr>
          <w:rFonts w:ascii="Arial" w:hAnsi="Arial" w:eastAsia="Arial" w:cs="Arial"/>
          <w:color w:val="000000" w:themeColor="text1" w:themeTint="FF" w:themeShade="FF"/>
          <w:sz w:val="22"/>
          <w:szCs w:val="22"/>
        </w:rPr>
        <w:t xml:space="preserve"> life satisfaction when they </w:t>
      </w:r>
      <w:r w:rsidRPr="6E78FAD8" w:rsidR="08124324">
        <w:rPr>
          <w:rFonts w:ascii="Arial" w:hAnsi="Arial" w:eastAsia="Arial" w:cs="Arial"/>
          <w:color w:val="000000" w:themeColor="text1" w:themeTint="FF" w:themeShade="FF"/>
          <w:sz w:val="22"/>
          <w:szCs w:val="22"/>
        </w:rPr>
        <w:t>remain</w:t>
      </w:r>
      <w:r w:rsidRPr="6E78FAD8" w:rsidR="08124324">
        <w:rPr>
          <w:rFonts w:ascii="Arial" w:hAnsi="Arial" w:eastAsia="Arial" w:cs="Arial"/>
          <w:color w:val="000000" w:themeColor="text1" w:themeTint="FF" w:themeShade="FF"/>
          <w:sz w:val="22"/>
          <w:szCs w:val="22"/>
        </w:rPr>
        <w:t xml:space="preserve"> active, socially connected, and engaged in meaningful roles (Boulton‑Lewis and Tam, 2019). This report outlines how Activity Theory can be applied in residential care, </w:t>
      </w:r>
      <w:r w:rsidRPr="6E78FAD8" w:rsidR="08124324">
        <w:rPr>
          <w:rFonts w:ascii="Arial" w:hAnsi="Arial" w:eastAsia="Arial" w:cs="Arial"/>
          <w:color w:val="000000" w:themeColor="text1" w:themeTint="FF" w:themeShade="FF"/>
          <w:sz w:val="22"/>
          <w:szCs w:val="22"/>
        </w:rPr>
        <w:t>provides</w:t>
      </w:r>
      <w:r w:rsidRPr="6E78FAD8" w:rsidR="08124324">
        <w:rPr>
          <w:rFonts w:ascii="Arial" w:hAnsi="Arial" w:eastAsia="Arial" w:cs="Arial"/>
          <w:color w:val="000000" w:themeColor="text1" w:themeTint="FF" w:themeShade="FF"/>
          <w:sz w:val="22"/>
          <w:szCs w:val="22"/>
        </w:rPr>
        <w:t xml:space="preserve"> a real‑world case example, and discusses a key challenge and strategy for implementation.</w:t>
      </w:r>
    </w:p>
    <w:p w:rsidRPr="005927A0" w:rsidR="51E0E740" w:rsidP="08A38BE2" w:rsidRDefault="51E0E740" w14:paraId="6E0F208C" w14:textId="00475C2D">
      <w:pPr>
        <w:pStyle w:val="Heading2"/>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Applying Activity Theory in Residential Care</w:t>
      </w:r>
    </w:p>
    <w:p w:rsidRPr="005927A0" w:rsidR="51E0E740" w:rsidP="6E78FAD8" w:rsidRDefault="51E0E740" w14:paraId="2B3CC59C" w14:textId="5AAE00E6">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Activity Theory argues that successful ageing involves </w:t>
      </w:r>
      <w:r w:rsidRPr="6E78FAD8" w:rsidR="08124324">
        <w:rPr>
          <w:rFonts w:ascii="Arial" w:hAnsi="Arial" w:eastAsia="Arial" w:cs="Arial"/>
          <w:color w:val="000000" w:themeColor="text1" w:themeTint="FF" w:themeShade="FF"/>
          <w:sz w:val="22"/>
          <w:szCs w:val="22"/>
        </w:rPr>
        <w:t>maintaining</w:t>
      </w:r>
      <w:r w:rsidRPr="6E78FAD8" w:rsidR="08124324">
        <w:rPr>
          <w:rFonts w:ascii="Arial" w:hAnsi="Arial" w:eastAsia="Arial" w:cs="Arial"/>
          <w:color w:val="000000" w:themeColor="text1" w:themeTint="FF" w:themeShade="FF"/>
          <w:sz w:val="22"/>
          <w:szCs w:val="22"/>
        </w:rPr>
        <w:t xml:space="preserve"> the activities, roles, and social interactions that were important earlier in life. When older adults lose these roles</w:t>
      </w:r>
      <w:r w:rsidRPr="6E78FAD8" w:rsidR="4ECAAADD">
        <w:rPr>
          <w:rFonts w:ascii="Arial" w:hAnsi="Arial" w:eastAsia="Arial" w:cs="Arial"/>
          <w:color w:val="000000" w:themeColor="text1" w:themeTint="FF" w:themeShade="FF"/>
          <w:sz w:val="22"/>
          <w:szCs w:val="22"/>
        </w:rPr>
        <w:t xml:space="preserve"> </w:t>
      </w:r>
      <w:r w:rsidRPr="6E78FAD8" w:rsidR="08124324">
        <w:rPr>
          <w:rFonts w:ascii="Arial" w:hAnsi="Arial" w:eastAsia="Arial" w:cs="Arial"/>
          <w:color w:val="000000" w:themeColor="text1" w:themeTint="FF" w:themeShade="FF"/>
          <w:sz w:val="22"/>
          <w:szCs w:val="22"/>
        </w:rPr>
        <w:t>such as employment, community involvement, or family responsibilities</w:t>
      </w:r>
      <w:r w:rsidRPr="6E78FAD8" w:rsidR="4ECAAADD">
        <w:rPr>
          <w:rFonts w:ascii="Arial" w:hAnsi="Arial" w:eastAsia="Arial" w:cs="Arial"/>
          <w:color w:val="000000" w:themeColor="text1" w:themeTint="FF" w:themeShade="FF"/>
          <w:sz w:val="22"/>
          <w:szCs w:val="22"/>
        </w:rPr>
        <w:t xml:space="preserve"> </w:t>
      </w:r>
      <w:r w:rsidRPr="6E78FAD8" w:rsidR="08124324">
        <w:rPr>
          <w:rFonts w:ascii="Arial" w:hAnsi="Arial" w:eastAsia="Arial" w:cs="Arial"/>
          <w:color w:val="000000" w:themeColor="text1" w:themeTint="FF" w:themeShade="FF"/>
          <w:sz w:val="22"/>
          <w:szCs w:val="22"/>
        </w:rPr>
        <w:t xml:space="preserve">care settings must </w:t>
      </w:r>
      <w:r w:rsidRPr="6E78FAD8" w:rsidR="08124324">
        <w:rPr>
          <w:rFonts w:ascii="Arial" w:hAnsi="Arial" w:eastAsia="Arial" w:cs="Arial"/>
          <w:color w:val="000000" w:themeColor="text1" w:themeTint="FF" w:themeShade="FF"/>
          <w:sz w:val="22"/>
          <w:szCs w:val="22"/>
        </w:rPr>
        <w:t>provide</w:t>
      </w:r>
      <w:r w:rsidRPr="6E78FAD8" w:rsidR="08124324">
        <w:rPr>
          <w:rFonts w:ascii="Arial" w:hAnsi="Arial" w:eastAsia="Arial" w:cs="Arial"/>
          <w:color w:val="000000" w:themeColor="text1" w:themeTint="FF" w:themeShade="FF"/>
          <w:sz w:val="22"/>
          <w:szCs w:val="22"/>
        </w:rPr>
        <w:t xml:space="preserve"> alternative opportunities that fulfil similar psychological needs (Nimrod, 2020).</w:t>
      </w:r>
    </w:p>
    <w:p w:rsidRPr="005927A0" w:rsidR="51E0E740" w:rsidP="6E78FAD8" w:rsidRDefault="51E0E740" w14:paraId="207DB3A4" w14:textId="295A33D1">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In residential care, Activity Theory can be applied through structured programmes that promote autonomy, cognitive stimulation, social participation, and identity </w:t>
      </w:r>
      <w:r w:rsidRPr="6E78FAD8" w:rsidR="08124324">
        <w:rPr>
          <w:rFonts w:ascii="Arial" w:hAnsi="Arial" w:eastAsia="Arial" w:cs="Arial"/>
          <w:color w:val="000000" w:themeColor="text1" w:themeTint="FF" w:themeShade="FF"/>
          <w:sz w:val="22"/>
          <w:szCs w:val="22"/>
        </w:rPr>
        <w:t xml:space="preserve">continuity. Research shows that older adults </w:t>
      </w:r>
      <w:r w:rsidRPr="6E78FAD8" w:rsidR="08124324">
        <w:rPr>
          <w:rFonts w:ascii="Arial" w:hAnsi="Arial" w:eastAsia="Arial" w:cs="Arial"/>
          <w:color w:val="000000" w:themeColor="text1" w:themeTint="FF" w:themeShade="FF"/>
          <w:sz w:val="22"/>
          <w:szCs w:val="22"/>
        </w:rPr>
        <w:t>benefit</w:t>
      </w:r>
      <w:r w:rsidRPr="6E78FAD8" w:rsidR="08124324">
        <w:rPr>
          <w:rFonts w:ascii="Arial" w:hAnsi="Arial" w:eastAsia="Arial" w:cs="Arial"/>
          <w:color w:val="000000" w:themeColor="text1" w:themeTint="FF" w:themeShade="FF"/>
          <w:sz w:val="22"/>
          <w:szCs w:val="22"/>
        </w:rPr>
        <w:t xml:space="preserve"> from activities that support competence, purpose, and social connection (Kunzmann, Kappes and </w:t>
      </w:r>
      <w:r w:rsidRPr="6E78FAD8" w:rsidR="08124324">
        <w:rPr>
          <w:rFonts w:ascii="Arial" w:hAnsi="Arial" w:eastAsia="Arial" w:cs="Arial"/>
          <w:color w:val="000000" w:themeColor="text1" w:themeTint="FF" w:themeShade="FF"/>
          <w:sz w:val="22"/>
          <w:szCs w:val="22"/>
        </w:rPr>
        <w:t>Wrosch</w:t>
      </w:r>
      <w:r w:rsidRPr="6E78FAD8" w:rsidR="08124324">
        <w:rPr>
          <w:rFonts w:ascii="Arial" w:hAnsi="Arial" w:eastAsia="Arial" w:cs="Arial"/>
          <w:color w:val="000000" w:themeColor="text1" w:themeTint="FF" w:themeShade="FF"/>
          <w:sz w:val="22"/>
          <w:szCs w:val="22"/>
        </w:rPr>
        <w:t>, 2020). Examples include:</w:t>
      </w:r>
    </w:p>
    <w:p w:rsidRPr="005927A0" w:rsidR="51E0E740" w:rsidP="6E78FAD8" w:rsidRDefault="51E0E740" w14:paraId="00FAAC83" w14:textId="58567DD7">
      <w:pPr>
        <w:pStyle w:val="ListParagraph"/>
        <w:numPr>
          <w:ilvl w:val="0"/>
          <w:numId w:val="2"/>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Learning‑based activities, such as digital skills sessions, creative writing, or music appreciation, which support cognitive functioning and self‑esteem (Boulton‑Lewis and Tam, 2019).</w:t>
      </w:r>
    </w:p>
    <w:p w:rsidRPr="005927A0" w:rsidR="51E0E740" w:rsidP="6E78FAD8" w:rsidRDefault="51E0E740" w14:paraId="29EAA764" w14:textId="0234C2CE">
      <w:pPr>
        <w:pStyle w:val="ListParagraph"/>
        <w:numPr>
          <w:ilvl w:val="0"/>
          <w:numId w:val="2"/>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Social engagement opportunities, such as group discussions, intergenerational projects, or resident‑led clubs, which help </w:t>
      </w:r>
      <w:r w:rsidRPr="6E78FAD8" w:rsidR="08124324">
        <w:rPr>
          <w:rFonts w:ascii="Arial" w:hAnsi="Arial" w:eastAsia="Arial" w:cs="Arial"/>
          <w:color w:val="000000" w:themeColor="text1" w:themeTint="FF" w:themeShade="FF"/>
          <w:sz w:val="22"/>
          <w:szCs w:val="22"/>
        </w:rPr>
        <w:t>maintain</w:t>
      </w:r>
      <w:r w:rsidRPr="6E78FAD8" w:rsidR="08124324">
        <w:rPr>
          <w:rFonts w:ascii="Arial" w:hAnsi="Arial" w:eastAsia="Arial" w:cs="Arial"/>
          <w:color w:val="000000" w:themeColor="text1" w:themeTint="FF" w:themeShade="FF"/>
          <w:sz w:val="22"/>
          <w:szCs w:val="22"/>
        </w:rPr>
        <w:t xml:space="preserve"> social identity and reduce loneliness (Wong, 2021).</w:t>
      </w:r>
    </w:p>
    <w:p w:rsidRPr="005927A0" w:rsidR="51E0E740" w:rsidP="6E78FAD8" w:rsidRDefault="51E0E740" w14:paraId="68BD098F" w14:textId="7C6E4887">
      <w:pPr>
        <w:pStyle w:val="ListParagraph"/>
        <w:numPr>
          <w:ilvl w:val="0"/>
          <w:numId w:val="2"/>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Role‑based activities, such as giving residents responsibilities within the home (e.g., welcoming new residents, leading a hobby group), which reinforce purpose and competence.</w:t>
      </w:r>
    </w:p>
    <w:p w:rsidRPr="005927A0" w:rsidR="51E0E740" w:rsidP="6E78FAD8" w:rsidRDefault="51E0E740" w14:paraId="3B0FEC0E" w14:textId="22D32515">
      <w:pPr>
        <w:pStyle w:val="ListParagraph"/>
        <w:numPr>
          <w:ilvl w:val="0"/>
          <w:numId w:val="2"/>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Personalised activity planning, ensuring that activities reflect </w:t>
      </w:r>
      <w:r w:rsidRPr="6E78FAD8" w:rsidR="111D13B1">
        <w:rPr>
          <w:rFonts w:ascii="Arial" w:hAnsi="Arial" w:eastAsia="Arial" w:cs="Arial"/>
          <w:color w:val="000000" w:themeColor="text1" w:themeTint="FF" w:themeShade="FF"/>
          <w:sz w:val="22"/>
          <w:szCs w:val="22"/>
        </w:rPr>
        <w:t>residents</w:t>
      </w:r>
      <w:r w:rsidRPr="6E78FAD8" w:rsidR="08124324">
        <w:rPr>
          <w:rFonts w:ascii="Arial" w:hAnsi="Arial" w:eastAsia="Arial" w:cs="Arial"/>
          <w:color w:val="000000" w:themeColor="text1" w:themeTint="FF" w:themeShade="FF"/>
          <w:sz w:val="22"/>
          <w:szCs w:val="22"/>
        </w:rPr>
        <w:t xml:space="preserve"> past interests, cultural backgrounds, and personal values.</w:t>
      </w:r>
    </w:p>
    <w:p w:rsidRPr="005927A0" w:rsidR="51E0E740" w:rsidP="6E78FAD8" w:rsidRDefault="51E0E740" w14:paraId="14A12A2F" w14:textId="10663BD9">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Recent research emphasises that meaningful engagement is more effective than passive entertainment in promoting wellbeing among older adults (Kahana et al., 2020). By embedding these principles into daily practice, care homes can create environments where older adults feel valued, capable, and connected.</w:t>
      </w:r>
    </w:p>
    <w:p w:rsidRPr="005927A0" w:rsidR="51E0E740" w:rsidP="08A38BE2" w:rsidRDefault="51E0E740" w14:paraId="081A2512" w14:textId="774C855F">
      <w:pPr>
        <w:pStyle w:val="Heading2"/>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Case Example: Applying Activity Theory in Practice</w:t>
      </w:r>
    </w:p>
    <w:p w:rsidRPr="005927A0" w:rsidR="51E0E740" w:rsidP="6E78FAD8" w:rsidRDefault="51E0E740" w14:paraId="3F5AE28A" w14:textId="5B23A803">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Mrs Patel, an 82‑year‑old resident, moved into a care home following a fall. Before admission, she was an active member of her local community centre, where she taught basic computer skills to older adults. After moving into residential care, she reported feeling “useless” and disconnected from her </w:t>
      </w:r>
      <w:r w:rsidRPr="6E78FAD8" w:rsidR="08124324">
        <w:rPr>
          <w:rFonts w:ascii="Arial" w:hAnsi="Arial" w:eastAsia="Arial" w:cs="Arial"/>
          <w:color w:val="000000" w:themeColor="text1" w:themeTint="FF" w:themeShade="FF"/>
          <w:sz w:val="22"/>
          <w:szCs w:val="22"/>
        </w:rPr>
        <w:t>previous</w:t>
      </w:r>
      <w:r w:rsidRPr="6E78FAD8" w:rsidR="08124324">
        <w:rPr>
          <w:rFonts w:ascii="Arial" w:hAnsi="Arial" w:eastAsia="Arial" w:cs="Arial"/>
          <w:color w:val="000000" w:themeColor="text1" w:themeTint="FF" w:themeShade="FF"/>
          <w:sz w:val="22"/>
          <w:szCs w:val="22"/>
        </w:rPr>
        <w:t xml:space="preserve"> identity.</w:t>
      </w:r>
    </w:p>
    <w:p w:rsidRPr="005927A0" w:rsidR="51E0E740" w:rsidP="6E78FAD8" w:rsidRDefault="51E0E740" w14:paraId="0834FB49" w14:textId="084D3677">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Using Activity Theory, staff recognised that Mrs Patel’s wellbeing was </w:t>
      </w:r>
      <w:r w:rsidRPr="6E78FAD8" w:rsidR="2289F995">
        <w:rPr>
          <w:rFonts w:ascii="Arial" w:hAnsi="Arial" w:eastAsia="Arial" w:cs="Arial"/>
          <w:color w:val="000000" w:themeColor="text1" w:themeTint="FF" w:themeShade="FF"/>
          <w:sz w:val="22"/>
          <w:szCs w:val="22"/>
        </w:rPr>
        <w:t>linked</w:t>
      </w:r>
      <w:r w:rsidRPr="6E78FAD8" w:rsidR="08124324">
        <w:rPr>
          <w:rFonts w:ascii="Arial" w:hAnsi="Arial" w:eastAsia="Arial" w:cs="Arial"/>
          <w:color w:val="000000" w:themeColor="text1" w:themeTint="FF" w:themeShade="FF"/>
          <w:sz w:val="22"/>
          <w:szCs w:val="22"/>
        </w:rPr>
        <w:t xml:space="preserve"> to her </w:t>
      </w:r>
      <w:r w:rsidRPr="6E78FAD8" w:rsidR="08124324">
        <w:rPr>
          <w:rFonts w:ascii="Arial" w:hAnsi="Arial" w:eastAsia="Arial" w:cs="Arial"/>
          <w:color w:val="000000" w:themeColor="text1" w:themeTint="FF" w:themeShade="FF"/>
          <w:sz w:val="22"/>
          <w:szCs w:val="22"/>
        </w:rPr>
        <w:t>previous</w:t>
      </w:r>
      <w:r w:rsidRPr="6E78FAD8" w:rsidR="08124324">
        <w:rPr>
          <w:rFonts w:ascii="Arial" w:hAnsi="Arial" w:eastAsia="Arial" w:cs="Arial"/>
          <w:color w:val="000000" w:themeColor="text1" w:themeTint="FF" w:themeShade="FF"/>
          <w:sz w:val="22"/>
          <w:szCs w:val="22"/>
        </w:rPr>
        <w:t xml:space="preserve"> role as a teacher and community contributor. The care team introduced a weekly digital skills group, inviting residents to learn how to use tablets for video calls, games, and online browsing. Mrs Patel was asked if she would like to help co‑</w:t>
      </w:r>
      <w:r w:rsidRPr="6E78FAD8" w:rsidR="08124324">
        <w:rPr>
          <w:rFonts w:ascii="Arial" w:hAnsi="Arial" w:eastAsia="Arial" w:cs="Arial"/>
          <w:color w:val="000000" w:themeColor="text1" w:themeTint="FF" w:themeShade="FF"/>
          <w:sz w:val="22"/>
          <w:szCs w:val="22"/>
        </w:rPr>
        <w:t>facilitate</w:t>
      </w:r>
      <w:r w:rsidRPr="6E78FAD8" w:rsidR="08124324">
        <w:rPr>
          <w:rFonts w:ascii="Arial" w:hAnsi="Arial" w:eastAsia="Arial" w:cs="Arial"/>
          <w:color w:val="000000" w:themeColor="text1" w:themeTint="FF" w:themeShade="FF"/>
          <w:sz w:val="22"/>
          <w:szCs w:val="22"/>
        </w:rPr>
        <w:t xml:space="preserve"> the sessions.</w:t>
      </w:r>
    </w:p>
    <w:p w:rsidRPr="005927A0" w:rsidR="51E0E740" w:rsidP="6E78FAD8" w:rsidRDefault="51E0E740" w14:paraId="4FB5AD06" w14:textId="167F8F7D">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Over several weeks, staff </w:t>
      </w:r>
      <w:r w:rsidRPr="6E78FAD8" w:rsidR="08124324">
        <w:rPr>
          <w:rFonts w:ascii="Arial" w:hAnsi="Arial" w:eastAsia="Arial" w:cs="Arial"/>
          <w:color w:val="000000" w:themeColor="text1" w:themeTint="FF" w:themeShade="FF"/>
          <w:sz w:val="22"/>
          <w:szCs w:val="22"/>
        </w:rPr>
        <w:t>observed</w:t>
      </w:r>
      <w:r w:rsidRPr="6E78FAD8" w:rsidR="08124324">
        <w:rPr>
          <w:rFonts w:ascii="Arial" w:hAnsi="Arial" w:eastAsia="Arial" w:cs="Arial"/>
          <w:color w:val="000000" w:themeColor="text1" w:themeTint="FF" w:themeShade="FF"/>
          <w:sz w:val="22"/>
          <w:szCs w:val="22"/>
        </w:rPr>
        <w:t xml:space="preserve"> significant improvements in her mood, confidence, and social engagement. She regained a sense of purpose, formed new friendships, and became more physically active as she moved around the home to support others. Other residents also benefited, reporting increased confidence with technology and greater connection with family members through video calls.</w:t>
      </w:r>
    </w:p>
    <w:p w:rsidRPr="005927A0" w:rsidR="51E0E740" w:rsidP="6E78FAD8" w:rsidRDefault="51E0E740" w14:paraId="0E29CC55" w14:textId="1A14CFD3">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This example </w:t>
      </w:r>
      <w:r w:rsidRPr="6E78FAD8" w:rsidR="08124324">
        <w:rPr>
          <w:rFonts w:ascii="Arial" w:hAnsi="Arial" w:eastAsia="Arial" w:cs="Arial"/>
          <w:color w:val="000000" w:themeColor="text1" w:themeTint="FF" w:themeShade="FF"/>
          <w:sz w:val="22"/>
          <w:szCs w:val="22"/>
        </w:rPr>
        <w:t>demonstrates</w:t>
      </w:r>
      <w:r w:rsidRPr="6E78FAD8" w:rsidR="08124324">
        <w:rPr>
          <w:rFonts w:ascii="Arial" w:hAnsi="Arial" w:eastAsia="Arial" w:cs="Arial"/>
          <w:color w:val="000000" w:themeColor="text1" w:themeTint="FF" w:themeShade="FF"/>
          <w:sz w:val="22"/>
          <w:szCs w:val="22"/>
        </w:rPr>
        <w:t xml:space="preserve"> how Activity Theory can be operationalised to support identity continuity, autonomy, and psychological wellbeing. It also highlights the importance of recognising </w:t>
      </w:r>
      <w:r w:rsidRPr="6E78FAD8" w:rsidR="20084DC2">
        <w:rPr>
          <w:rFonts w:ascii="Arial" w:hAnsi="Arial" w:eastAsia="Arial" w:cs="Arial"/>
          <w:color w:val="000000" w:themeColor="text1" w:themeTint="FF" w:themeShade="FF"/>
          <w:sz w:val="22"/>
          <w:szCs w:val="22"/>
        </w:rPr>
        <w:t>residents</w:t>
      </w:r>
      <w:r w:rsidRPr="6E78FAD8" w:rsidR="08124324">
        <w:rPr>
          <w:rFonts w:ascii="Arial" w:hAnsi="Arial" w:eastAsia="Arial" w:cs="Arial"/>
          <w:color w:val="000000" w:themeColor="text1" w:themeTint="FF" w:themeShade="FF"/>
          <w:sz w:val="22"/>
          <w:szCs w:val="22"/>
        </w:rPr>
        <w:t xml:space="preserve"> past roles and integrating them into meaningful activities within the care environment.</w:t>
      </w:r>
    </w:p>
    <w:p w:rsidRPr="005927A0" w:rsidR="51E0E740" w:rsidP="08A38BE2" w:rsidRDefault="51E0E740" w14:paraId="5E93541E" w14:textId="17B08B69">
      <w:pPr>
        <w:pStyle w:val="Heading2"/>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Challenge: Limited Staff Time and Resources</w:t>
      </w:r>
    </w:p>
    <w:p w:rsidRPr="005927A0" w:rsidR="51E0E740" w:rsidP="6E78FAD8" w:rsidRDefault="51E0E740" w14:paraId="426AA200" w14:textId="4B11F07C">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A major challenge in applying Activity Theory in residential care is the limited time, staffing levels, and resources available to deliver meaningful activities consistently. Care staff often prioritise essential physical care tasks, leaving limited capacity for personalised engagement. This can result in activity programmes that rely on passive entertainment rather than stimulating, role‑based participation (Kahana et al., 2020).</w:t>
      </w:r>
    </w:p>
    <w:p w:rsidRPr="005927A0" w:rsidR="51E0E740" w:rsidP="6E78FAD8" w:rsidRDefault="51E0E740" w14:paraId="4078F872" w14:textId="431F0019">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Additionally, some residents may require one‑to‑one support to </w:t>
      </w:r>
      <w:r w:rsidRPr="6E78FAD8" w:rsidR="08124324">
        <w:rPr>
          <w:rFonts w:ascii="Arial" w:hAnsi="Arial" w:eastAsia="Arial" w:cs="Arial"/>
          <w:color w:val="000000" w:themeColor="text1" w:themeTint="FF" w:themeShade="FF"/>
          <w:sz w:val="22"/>
          <w:szCs w:val="22"/>
        </w:rPr>
        <w:t>participate</w:t>
      </w:r>
      <w:r w:rsidRPr="6E78FAD8" w:rsidR="08124324">
        <w:rPr>
          <w:rFonts w:ascii="Arial" w:hAnsi="Arial" w:eastAsia="Arial" w:cs="Arial"/>
          <w:color w:val="000000" w:themeColor="text1" w:themeTint="FF" w:themeShade="FF"/>
          <w:sz w:val="22"/>
          <w:szCs w:val="22"/>
        </w:rPr>
        <w:t xml:space="preserve"> due to cognitive impairment, sensory loss, or mobility difficulties. Without adequate staffing, these residents risk exclusion from activities that could significantly enhance their wellbeing.</w:t>
      </w:r>
    </w:p>
    <w:p w:rsidRPr="005927A0" w:rsidR="51E0E740" w:rsidP="08A38BE2" w:rsidRDefault="51E0E740" w14:paraId="351F3A76" w14:textId="2F829758">
      <w:pPr>
        <w:pStyle w:val="Heading2"/>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Strategy to Overcome the Challenge</w:t>
      </w:r>
    </w:p>
    <w:p w:rsidRPr="005927A0" w:rsidR="51E0E740" w:rsidP="6E78FAD8" w:rsidRDefault="51E0E740" w14:paraId="7ECA19DA" w14:textId="522A45AF">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A practical strategy is to adopt a whole‑home approach to activity provision, where meaningful engagement is seen as everyone’s responsibility, not just the activity </w:t>
      </w:r>
      <w:r w:rsidRPr="6E78FAD8" w:rsidR="6C99C6C2">
        <w:rPr>
          <w:rFonts w:ascii="Arial" w:hAnsi="Arial" w:eastAsia="Arial" w:cs="Arial"/>
          <w:color w:val="000000" w:themeColor="text1" w:themeTint="FF" w:themeShade="FF"/>
          <w:sz w:val="22"/>
          <w:szCs w:val="22"/>
        </w:rPr>
        <w:t>coordinators</w:t>
      </w:r>
      <w:r w:rsidRPr="6E78FAD8" w:rsidR="08124324">
        <w:rPr>
          <w:rFonts w:ascii="Arial" w:hAnsi="Arial" w:eastAsia="Arial" w:cs="Arial"/>
          <w:color w:val="000000" w:themeColor="text1" w:themeTint="FF" w:themeShade="FF"/>
          <w:sz w:val="22"/>
          <w:szCs w:val="22"/>
        </w:rPr>
        <w:t>. This includes:</w:t>
      </w:r>
    </w:p>
    <w:p w:rsidRPr="005927A0" w:rsidR="51E0E740" w:rsidP="6E78FAD8" w:rsidRDefault="51E0E740" w14:paraId="7CF23CED" w14:textId="7972E018">
      <w:pPr>
        <w:pStyle w:val="ListParagraph"/>
        <w:numPr>
          <w:ilvl w:val="0"/>
          <w:numId w:val="1"/>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Training all staff (care assistants, domestic staff, kitchen staff) in the principles of Activity Theory and person‑centred engagement.</w:t>
      </w:r>
    </w:p>
    <w:p w:rsidRPr="005927A0" w:rsidR="51E0E740" w:rsidP="6E78FAD8" w:rsidRDefault="51E0E740" w14:paraId="16A552A2" w14:textId="4416BDE8">
      <w:pPr>
        <w:pStyle w:val="ListParagraph"/>
        <w:numPr>
          <w:ilvl w:val="0"/>
          <w:numId w:val="1"/>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Embedding micro‑activities into daily routines, such as involving residents in menu choices, folding laundry, setting tables, or sharing cultural stories.</w:t>
      </w:r>
    </w:p>
    <w:p w:rsidRPr="005927A0" w:rsidR="51E0E740" w:rsidP="6E78FAD8" w:rsidRDefault="51E0E740" w14:paraId="5F54596A" w14:textId="0D3E6E44">
      <w:pPr>
        <w:pStyle w:val="ListParagraph"/>
        <w:numPr>
          <w:ilvl w:val="0"/>
          <w:numId w:val="1"/>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Using volunteers, family members, and community partners to support group activities and intergenerational projects.</w:t>
      </w:r>
    </w:p>
    <w:p w:rsidRPr="005927A0" w:rsidR="51E0E740" w:rsidP="6E78FAD8" w:rsidRDefault="51E0E740" w14:paraId="1B0F76F2" w14:textId="4BE074CA">
      <w:pPr>
        <w:pStyle w:val="ListParagraph"/>
        <w:numPr>
          <w:ilvl w:val="0"/>
          <w:numId w:val="1"/>
        </w:num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Developing resident‑led activities, reducing reliance on staff time while empowering older adults to take ownership of their social environment.</w:t>
      </w:r>
    </w:p>
    <w:p w:rsidRPr="005927A0" w:rsidR="51E0E740" w:rsidP="6E78FAD8" w:rsidRDefault="51E0E740" w14:paraId="78C6454E" w14:textId="29503835">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This approach ensures that meaningful engagement becomes part of everyday life rather than an isolated scheduled event, making Activity Theory more achievable within resource‑limited settings.</w:t>
      </w:r>
    </w:p>
    <w:p w:rsidRPr="005927A0" w:rsidR="51E0E740" w:rsidP="08A38BE2" w:rsidRDefault="51E0E740" w14:paraId="72F2EB1D" w14:textId="564A0147">
      <w:pPr>
        <w:pStyle w:val="Heading2"/>
        <w:spacing w:before="299" w:after="299" w:line="360" w:lineRule="auto"/>
        <w:rPr>
          <w:rFonts w:ascii="Arial" w:hAnsi="Arial" w:eastAsia="Arial" w:cs="Arial"/>
          <w:b/>
          <w:bCs/>
          <w:color w:val="000000" w:themeColor="text1"/>
          <w:sz w:val="36"/>
          <w:szCs w:val="36"/>
        </w:rPr>
      </w:pPr>
      <w:r w:rsidRPr="005927A0">
        <w:rPr>
          <w:rFonts w:ascii="Arial" w:hAnsi="Arial" w:eastAsia="Arial" w:cs="Arial"/>
          <w:b/>
          <w:bCs/>
          <w:color w:val="000000" w:themeColor="text1"/>
          <w:sz w:val="36"/>
          <w:szCs w:val="36"/>
        </w:rPr>
        <w:t>Conclusion</w:t>
      </w:r>
    </w:p>
    <w:p w:rsidRPr="005927A0" w:rsidR="51E0E740" w:rsidP="08A38BE2" w:rsidRDefault="51E0E740" w14:paraId="6965AE99" w14:textId="6B008003">
      <w:pPr>
        <w:spacing w:before="240" w:after="240" w:line="360" w:lineRule="auto"/>
        <w:rPr>
          <w:rFonts w:ascii="Arial" w:hAnsi="Arial" w:eastAsia="Arial" w:cs="Arial"/>
          <w:color w:val="000000" w:themeColor="text1"/>
        </w:rPr>
      </w:pPr>
      <w:r w:rsidRPr="6E78FAD8" w:rsidR="08124324">
        <w:rPr>
          <w:rFonts w:ascii="Arial" w:hAnsi="Arial" w:eastAsia="Arial" w:cs="Arial"/>
          <w:color w:val="000000" w:themeColor="text1" w:themeTint="FF" w:themeShade="FF"/>
        </w:rPr>
        <w:t xml:space="preserve">Havighurst’s Activity Theory offers a powerful framework for promoting psychological wellbeing among older adults in residential care. By supporting continued engagement in meaningful, identity‑affirming activities, care homes can enhance residents’ autonomy, purpose, and social connection. Although limited staff time presents a challenge, adopting a whole‑home approach ensures that meaningful activity becomes embedded in daily practice. Ultimately, applying Activity Theory can transform residential care into an environment where older adults thrive rather than simply </w:t>
      </w:r>
      <w:r w:rsidRPr="6E78FAD8" w:rsidR="08124324">
        <w:rPr>
          <w:rFonts w:ascii="Arial" w:hAnsi="Arial" w:eastAsia="Arial" w:cs="Arial"/>
          <w:color w:val="000000" w:themeColor="text1" w:themeTint="FF" w:themeShade="FF"/>
        </w:rPr>
        <w:t>reside</w:t>
      </w:r>
      <w:r w:rsidRPr="6E78FAD8" w:rsidR="08124324">
        <w:rPr>
          <w:rFonts w:ascii="Arial" w:hAnsi="Arial" w:eastAsia="Arial" w:cs="Arial"/>
          <w:color w:val="000000" w:themeColor="text1" w:themeTint="FF" w:themeShade="FF"/>
        </w:rPr>
        <w:t>.</w:t>
      </w:r>
    </w:p>
    <w:p w:rsidR="6E78FAD8" w:rsidP="6E78FAD8" w:rsidRDefault="6E78FAD8" w14:paraId="0C39766F" w14:textId="19832DEF">
      <w:pPr>
        <w:spacing w:before="240" w:after="240" w:line="360" w:lineRule="auto"/>
        <w:rPr>
          <w:rFonts w:ascii="Arial" w:hAnsi="Arial" w:eastAsia="Arial" w:cs="Arial"/>
          <w:color w:val="000000" w:themeColor="text1" w:themeTint="FF" w:themeShade="FF"/>
        </w:rPr>
      </w:pPr>
    </w:p>
    <w:p w:rsidRPr="005927A0" w:rsidR="51E0E740" w:rsidP="08A38BE2" w:rsidRDefault="51E0E740" w14:paraId="5E11F569" w14:textId="58CADB3D">
      <w:pPr>
        <w:pStyle w:val="Heading1"/>
        <w:spacing w:before="322" w:after="322" w:line="360" w:lineRule="auto"/>
        <w:rPr>
          <w:rFonts w:ascii="Arial" w:hAnsi="Arial" w:eastAsia="Arial" w:cs="Arial"/>
          <w:b/>
          <w:bCs/>
          <w:color w:val="000000" w:themeColor="text1"/>
          <w:sz w:val="48"/>
          <w:szCs w:val="48"/>
        </w:rPr>
      </w:pPr>
      <w:r w:rsidRPr="005927A0">
        <w:rPr>
          <w:rFonts w:ascii="Arial" w:hAnsi="Arial" w:eastAsia="Arial" w:cs="Arial"/>
          <w:b/>
          <w:bCs/>
          <w:color w:val="000000" w:themeColor="text1"/>
          <w:sz w:val="48"/>
          <w:szCs w:val="48"/>
        </w:rPr>
        <w:t xml:space="preserve">Reference List </w:t>
      </w:r>
    </w:p>
    <w:p w:rsidRPr="005927A0" w:rsidR="51E0E740" w:rsidP="6E78FAD8" w:rsidRDefault="51E0E740" w14:paraId="16F0262A" w14:textId="6F3AE942">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Boulton-Lewis, </w:t>
      </w:r>
      <w:r w:rsidRPr="6E78FAD8" w:rsidR="08124324">
        <w:rPr>
          <w:rFonts w:ascii="Arial" w:hAnsi="Arial" w:eastAsia="Arial" w:cs="Arial"/>
          <w:color w:val="000000" w:themeColor="text1" w:themeTint="FF" w:themeShade="FF"/>
          <w:sz w:val="22"/>
          <w:szCs w:val="22"/>
        </w:rPr>
        <w:t>G.</w:t>
      </w:r>
      <w:r w:rsidRPr="6E78FAD8" w:rsidR="08124324">
        <w:rPr>
          <w:rFonts w:ascii="Arial" w:hAnsi="Arial" w:eastAsia="Arial" w:cs="Arial"/>
          <w:color w:val="000000" w:themeColor="text1" w:themeTint="FF" w:themeShade="FF"/>
          <w:sz w:val="22"/>
          <w:szCs w:val="22"/>
        </w:rPr>
        <w:t xml:space="preserve"> and Tam, M. (2019) ‘Active ageing, learning and participation’, in Formosa, M. (ed.) </w:t>
      </w:r>
      <w:r w:rsidRPr="6E78FAD8" w:rsidR="08124324">
        <w:rPr>
          <w:rFonts w:ascii="Arial" w:hAnsi="Arial" w:eastAsia="Arial" w:cs="Arial"/>
          <w:i w:val="1"/>
          <w:iCs w:val="1"/>
          <w:color w:val="000000" w:themeColor="text1" w:themeTint="FF" w:themeShade="FF"/>
          <w:sz w:val="22"/>
          <w:szCs w:val="22"/>
        </w:rPr>
        <w:t>The University of the Third Age and Active Ageing</w:t>
      </w:r>
      <w:r w:rsidRPr="6E78FAD8" w:rsidR="08124324">
        <w:rPr>
          <w:rFonts w:ascii="Arial" w:hAnsi="Arial" w:eastAsia="Arial" w:cs="Arial"/>
          <w:color w:val="000000" w:themeColor="text1" w:themeTint="FF" w:themeShade="FF"/>
          <w:sz w:val="22"/>
          <w:szCs w:val="22"/>
        </w:rPr>
        <w:t>. Cham: Springer, pp. 17–32.</w:t>
      </w:r>
    </w:p>
    <w:p w:rsidRPr="005927A0" w:rsidR="51E0E740" w:rsidP="6E78FAD8" w:rsidRDefault="51E0E740" w14:paraId="18CD0AAD" w14:textId="57281897">
      <w:pPr>
        <w:spacing w:before="240" w:after="240" w:line="360" w:lineRule="auto"/>
        <w:rPr>
          <w:rFonts w:ascii="Arial" w:hAnsi="Arial" w:eastAsia="Arial" w:cs="Arial"/>
          <w:color w:val="000000" w:themeColor="text1"/>
          <w:sz w:val="22"/>
          <w:szCs w:val="22"/>
        </w:rPr>
      </w:pPr>
      <w:r w:rsidRPr="6E78FAD8" w:rsidR="08124324">
        <w:rPr>
          <w:rFonts w:ascii="Arial" w:hAnsi="Arial" w:eastAsia="Arial" w:cs="Arial"/>
          <w:color w:val="000000" w:themeColor="text1" w:themeTint="FF" w:themeShade="FF"/>
          <w:sz w:val="22"/>
          <w:szCs w:val="22"/>
        </w:rPr>
        <w:t xml:space="preserve">Kahana, E., Kelley-Moore, J., Kahana, B. and Brown, J. (2020) ‘Successful ageing through the continuity of meaningful activities’, </w:t>
      </w:r>
      <w:r w:rsidRPr="6E78FAD8" w:rsidR="08124324">
        <w:rPr>
          <w:rFonts w:ascii="Arial" w:hAnsi="Arial" w:eastAsia="Arial" w:cs="Arial"/>
          <w:i w:val="1"/>
          <w:iCs w:val="1"/>
          <w:color w:val="000000" w:themeColor="text1" w:themeTint="FF" w:themeShade="FF"/>
          <w:sz w:val="22"/>
          <w:szCs w:val="22"/>
        </w:rPr>
        <w:t>Journal of Applied Gerontology</w:t>
      </w:r>
      <w:r w:rsidRPr="6E78FAD8" w:rsidR="08124324">
        <w:rPr>
          <w:rFonts w:ascii="Arial" w:hAnsi="Arial" w:eastAsia="Arial" w:cs="Arial"/>
          <w:color w:val="000000" w:themeColor="text1" w:themeTint="FF" w:themeShade="FF"/>
          <w:sz w:val="22"/>
          <w:szCs w:val="22"/>
        </w:rPr>
        <w:t>, 39(7), pp. 712–721.</w:t>
      </w:r>
    </w:p>
    <w:p w:rsidRPr="005927A0" w:rsidR="51E0E740" w:rsidP="08A38BE2" w:rsidRDefault="51E0E740" w14:paraId="5231271A" w14:textId="7B884EF1">
      <w:pPr>
        <w:spacing w:before="240" w:after="240" w:line="360" w:lineRule="auto"/>
        <w:rPr>
          <w:rFonts w:ascii="Arial" w:hAnsi="Arial" w:eastAsia="Arial" w:cs="Arial"/>
          <w:color w:val="000000" w:themeColor="text1"/>
        </w:rPr>
      </w:pPr>
      <w:r w:rsidRPr="005927A0">
        <w:rPr>
          <w:rFonts w:ascii="Arial" w:hAnsi="Arial" w:eastAsia="Arial" w:cs="Arial"/>
          <w:color w:val="000000" w:themeColor="text1"/>
        </w:rPr>
        <w:t xml:space="preserve">Kunzmann, U., Kappes, C. and Wrosch, C. (2020) ‘Emotional ageing: Recent findings and future trends’, </w:t>
      </w:r>
      <w:r w:rsidRPr="005927A0">
        <w:rPr>
          <w:rFonts w:ascii="Arial" w:hAnsi="Arial" w:eastAsia="Arial" w:cs="Arial"/>
          <w:i/>
          <w:iCs/>
          <w:color w:val="000000" w:themeColor="text1"/>
        </w:rPr>
        <w:t>The Journals of Gerontology: Series B</w:t>
      </w:r>
      <w:r w:rsidRPr="005927A0">
        <w:rPr>
          <w:rFonts w:ascii="Arial" w:hAnsi="Arial" w:eastAsia="Arial" w:cs="Arial"/>
          <w:color w:val="000000" w:themeColor="text1"/>
        </w:rPr>
        <w:t>, 75(2), pp. 303–312.</w:t>
      </w:r>
    </w:p>
    <w:p w:rsidRPr="005927A0" w:rsidR="51E0E740" w:rsidP="08A38BE2" w:rsidRDefault="51E0E740" w14:paraId="5432D7F0" w14:textId="25BEEE0E">
      <w:pPr>
        <w:spacing w:before="240" w:after="240" w:line="360" w:lineRule="auto"/>
        <w:rPr>
          <w:rFonts w:ascii="Arial" w:hAnsi="Arial" w:eastAsia="Arial" w:cs="Arial"/>
          <w:color w:val="000000" w:themeColor="text1"/>
        </w:rPr>
      </w:pPr>
      <w:r w:rsidRPr="005927A0">
        <w:rPr>
          <w:rFonts w:ascii="Arial" w:hAnsi="Arial" w:eastAsia="Arial" w:cs="Arial"/>
          <w:color w:val="000000" w:themeColor="text1"/>
        </w:rPr>
        <w:lastRenderedPageBreak/>
        <w:t xml:space="preserve">Nimrod, G. (2020) ‘Aging well in the digital age: Technology use and engagement in later life’, </w:t>
      </w:r>
      <w:r w:rsidRPr="005927A0">
        <w:rPr>
          <w:rFonts w:ascii="Arial" w:hAnsi="Arial" w:eastAsia="Arial" w:cs="Arial"/>
          <w:i/>
          <w:iCs/>
          <w:color w:val="000000" w:themeColor="text1"/>
        </w:rPr>
        <w:t>The Gerontologist</w:t>
      </w:r>
      <w:r w:rsidRPr="005927A0">
        <w:rPr>
          <w:rFonts w:ascii="Arial" w:hAnsi="Arial" w:eastAsia="Arial" w:cs="Arial"/>
          <w:color w:val="000000" w:themeColor="text1"/>
        </w:rPr>
        <w:t>, 60(2), pp. 145–154.</w:t>
      </w:r>
    </w:p>
    <w:p w:rsidRPr="005927A0" w:rsidR="51E0E740" w:rsidP="08A38BE2" w:rsidRDefault="51E0E740" w14:paraId="0C124319" w14:textId="4EE7393C">
      <w:pPr>
        <w:spacing w:before="240" w:after="240" w:line="360" w:lineRule="auto"/>
        <w:rPr>
          <w:rFonts w:ascii="Arial" w:hAnsi="Arial" w:eastAsia="Arial" w:cs="Arial"/>
          <w:i/>
          <w:iCs/>
          <w:color w:val="000000" w:themeColor="text1"/>
        </w:rPr>
      </w:pPr>
      <w:r w:rsidRPr="005927A0">
        <w:rPr>
          <w:rFonts w:ascii="Arial" w:hAnsi="Arial" w:eastAsia="Arial" w:cs="Arial"/>
          <w:color w:val="000000" w:themeColor="text1"/>
        </w:rPr>
        <w:t xml:space="preserve">Wong, P.T.P. (2021) ‘Positive ageing and meaning in life’, in Carr, D. and Moen, P. (eds.) </w:t>
      </w:r>
      <w:r w:rsidRPr="005927A0">
        <w:rPr>
          <w:rFonts w:ascii="Arial" w:hAnsi="Arial" w:eastAsia="Arial" w:cs="Arial"/>
          <w:i/>
          <w:iCs/>
          <w:color w:val="000000" w:themeColor="text1"/>
        </w:rPr>
        <w:t>Encyclopedia of Gerontology and Population Ageing</w:t>
      </w:r>
    </w:p>
    <w:p w:rsidRPr="005927A0" w:rsidR="08A38BE2" w:rsidP="08A38BE2" w:rsidRDefault="08A38BE2" w14:paraId="0805CDB5" w14:textId="64338128">
      <w:pPr>
        <w:spacing w:line="360" w:lineRule="auto"/>
        <w:rPr>
          <w:rFonts w:ascii="Arial" w:hAnsi="Arial" w:eastAsia="Arial" w:cs="Arial"/>
          <w:color w:val="000000" w:themeColor="text1"/>
        </w:rPr>
      </w:pPr>
    </w:p>
    <w:sectPr w:rsidRPr="005927A0" w:rsidR="08A38BE2">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1390" w:rsidRDefault="00C91390" w14:paraId="58044E9A" w14:textId="77777777">
      <w:pPr>
        <w:spacing w:after="0" w:line="240" w:lineRule="auto"/>
      </w:pPr>
      <w:r>
        <w:separator/>
      </w:r>
    </w:p>
  </w:endnote>
  <w:endnote w:type="continuationSeparator" w:id="0">
    <w:p w:rsidR="00C91390" w:rsidRDefault="00C91390" w14:paraId="1C0CED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0000028F" w:usb1="00000002"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8A38BE2" w:rsidTr="08A38BE2" w14:paraId="47CE914B" w14:textId="77777777">
      <w:trPr>
        <w:trHeight w:val="300"/>
      </w:trPr>
      <w:tc>
        <w:tcPr>
          <w:tcW w:w="3005" w:type="dxa"/>
        </w:tcPr>
        <w:p w:rsidR="08A38BE2" w:rsidP="08A38BE2" w:rsidRDefault="08A38BE2" w14:paraId="5BE80F56" w14:textId="26EE6DEA">
          <w:pPr>
            <w:pStyle w:val="Header"/>
            <w:ind w:left="-115"/>
          </w:pPr>
        </w:p>
      </w:tc>
      <w:tc>
        <w:tcPr>
          <w:tcW w:w="3005" w:type="dxa"/>
        </w:tcPr>
        <w:p w:rsidR="08A38BE2" w:rsidP="08A38BE2" w:rsidRDefault="08A38BE2" w14:paraId="6906C818" w14:textId="716428DD">
          <w:pPr>
            <w:pStyle w:val="Header"/>
            <w:jc w:val="center"/>
          </w:pPr>
        </w:p>
      </w:tc>
      <w:tc>
        <w:tcPr>
          <w:tcW w:w="3005" w:type="dxa"/>
        </w:tcPr>
        <w:p w:rsidR="08A38BE2" w:rsidP="08A38BE2" w:rsidRDefault="08A38BE2" w14:paraId="0F5AB984" w14:textId="58DE3DCF">
          <w:pPr>
            <w:pStyle w:val="Header"/>
            <w:ind w:right="-115"/>
            <w:jc w:val="right"/>
          </w:pPr>
          <w:r>
            <w:fldChar w:fldCharType="begin"/>
          </w:r>
          <w:r>
            <w:instrText>PAGE</w:instrText>
          </w:r>
          <w:r>
            <w:fldChar w:fldCharType="separate"/>
          </w:r>
          <w:r w:rsidR="005927A0">
            <w:rPr>
              <w:noProof/>
            </w:rPr>
            <w:t>1</w:t>
          </w:r>
          <w:r>
            <w:fldChar w:fldCharType="end"/>
          </w:r>
        </w:p>
      </w:tc>
    </w:tr>
  </w:tbl>
  <w:p w:rsidR="08A38BE2" w:rsidP="08A38BE2" w:rsidRDefault="08A38BE2" w14:paraId="67927830" w14:textId="02F3D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1390" w:rsidRDefault="00C91390" w14:paraId="0CA924DC" w14:textId="77777777">
      <w:pPr>
        <w:spacing w:after="0" w:line="240" w:lineRule="auto"/>
      </w:pPr>
      <w:r>
        <w:separator/>
      </w:r>
    </w:p>
  </w:footnote>
  <w:footnote w:type="continuationSeparator" w:id="0">
    <w:p w:rsidR="00C91390" w:rsidRDefault="00C91390" w14:paraId="24CB7BC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8A38BE2" w:rsidTr="08A38BE2" w14:paraId="3378EBFC" w14:textId="77777777">
      <w:trPr>
        <w:trHeight w:val="300"/>
      </w:trPr>
      <w:tc>
        <w:tcPr>
          <w:tcW w:w="3005" w:type="dxa"/>
        </w:tcPr>
        <w:p w:rsidR="08A38BE2" w:rsidP="08A38BE2" w:rsidRDefault="08A38BE2" w14:paraId="07429D51" w14:textId="32F7AF42">
          <w:pPr>
            <w:pStyle w:val="Header"/>
            <w:ind w:left="-115"/>
          </w:pPr>
        </w:p>
      </w:tc>
      <w:tc>
        <w:tcPr>
          <w:tcW w:w="3005" w:type="dxa"/>
        </w:tcPr>
        <w:p w:rsidR="08A38BE2" w:rsidP="08A38BE2" w:rsidRDefault="08A38BE2" w14:paraId="13276B9C" w14:textId="200CD1F2">
          <w:pPr>
            <w:pStyle w:val="Header"/>
            <w:jc w:val="center"/>
          </w:pPr>
        </w:p>
      </w:tc>
      <w:tc>
        <w:tcPr>
          <w:tcW w:w="3005" w:type="dxa"/>
        </w:tcPr>
        <w:p w:rsidR="08A38BE2" w:rsidP="08A38BE2" w:rsidRDefault="08A38BE2" w14:paraId="4E2BF7C0" w14:textId="05AA1B6D">
          <w:pPr>
            <w:pStyle w:val="Header"/>
            <w:ind w:right="-115"/>
            <w:jc w:val="right"/>
          </w:pPr>
        </w:p>
      </w:tc>
    </w:tr>
  </w:tbl>
  <w:p w:rsidR="08A38BE2" w:rsidP="08A38BE2" w:rsidRDefault="08A38BE2" w14:paraId="716C55A8" w14:textId="1D554662">
    <w:pPr>
      <w:pStyle w:val="Header"/>
    </w:pPr>
  </w:p>
</w:hdr>
</file>

<file path=word/intelligence2.xml><?xml version="1.0" encoding="utf-8"?>
<int2:intelligence xmlns:int2="http://schemas.microsoft.com/office/intelligence/2020/intelligence" xmlns:oel="http://schemas.microsoft.com/office/2019/extlst">
  <int2:observations>
    <int2:textHash int2:hashCode="Jne8XCboDCEI2H" int2:id="XG02ygUL">
      <int2:state int2:value="Rejected" int2:type="spell"/>
    </int2:textHash>
    <int2:textHash int2:hashCode="mPbRzddLztFSuR" int2:id="UQuQi8u8">
      <int2:state int2:value="Rejected" int2:type="spell"/>
    </int2:textHash>
    <int2:textHash int2:hashCode="29ywOC58K0e+BG" int2:id="LxR9fWDe">
      <int2:state int2:value="Rejected" int2:type="spell"/>
    </int2:textHash>
    <int2:bookmark int2:bookmarkName="_Int_0BRwPYSI" int2:invalidationBookmarkName="" int2:hashCode="9wW4WO3XynkCj9" int2:id="bK3kVhaL">
      <int2:state int2:value="Rejected" int2:type="style"/>
    </int2:bookmark>
    <int2:entireDocument int2:id="1ypnz0Yy">
      <int2:extLst>
        <oel:ext uri="E302BA01-7950-474C-9AD3-286E660C40A8">
          <int2:similaritySummary int2:version="1" int2:runId="1773501482598" int2:tilesCheckedInThisRun="0" int2:totalNumOfTiles="52" int2:similarityAnnotationCount="0" int2:numWords="1929" int2:numFlaggedWords="0"/>
        </oel:ext>
      </int2:extLst>
    </int2:entireDocument>
  </int2:observations>
  <int2:intelligenceSettings/>
  <int2:onDemandWorkflows>
    <int2:onDemandWorkflow int2:type="SimilarityCheck" int2:paragraphVersions="7121DBA8-49373AB1 377B4317-03709E07 60C43710-39062E64 61CC61D0-0F49666F 1B9C062E-5F77C83C 552EFC05-35E7C699 330F51DE-6ACF4196 1AF75E42-71F10DE8 7E19A2A7-4DE5A751 2F88BA81-026874C5 527AEEC3-3A046586 582DF196-359488C0 6D0F0F9C-1ADE54FF 2B386B28-24E142FB 624B784C-40B5DC30 1B6E7A43-1BCB131B 659534ED-7F5ABC56 13CC7CB9-6AF2E3F1 5F67EBFE-34010AD3 38C10CE7-25F02186 1BB3242D-2BDD6222 0B144E71-0325A625 37460908-5E9FE7F2 6488D429-37B96DFA 580698F2-60E63D20 738E9BE8-4F5E73E9 1A000FA6-59F8D205 60B39A07-43DF8CD9 507278B9-6D377D9B 079D93EF-7D66B8B3 6E0F208C-00475C2D 2B3CC59C-5AAE00E6 207DB3A4-295A33D1 00FAAC83-58567DD7 29EAA764-0234C2CE 68BD098F-7C6E4887 3B0FEC0E-22D32515 14A12A2F-10663BD9 081A2512-774C855F 3F5AE28A-5B23A803 0834FB49-084D3677 4FB5AD06-167F8F7D 0E29CC55-1A14CFD3 5E93541E-17B08B69 426AA200-4B11F07C 4078F872-431F0019 351F3A76-2F829758 7ECA19DA-522A45AF 7CF23CED-7972E018 16A552A2-4416BDE8 5F54596A-0D3E6E44 1B0F76F2-4BE074CA 78C6454E-29503835 72F2EB1D-564A0147 6965AE99-6B008003 5E11F569-58CADB3D 16F0262A-6F3AE942 18CD0AAD-57281897 5231271A-7B884EF1 5432D7F0-25BEEE0E 0C124319-4EE7393C 0805CDB5-6433812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F1A73"/>
    <w:multiLevelType w:val="hybridMultilevel"/>
    <w:tmpl w:val="FFFFFFFF"/>
    <w:lvl w:ilvl="0" w:tplc="82F69C4E">
      <w:start w:val="1"/>
      <w:numFmt w:val="bullet"/>
      <w:lvlText w:val=""/>
      <w:lvlJc w:val="left"/>
      <w:pPr>
        <w:ind w:left="720" w:hanging="360"/>
      </w:pPr>
      <w:rPr>
        <w:rFonts w:hint="default" w:ascii="Symbol" w:hAnsi="Symbol"/>
      </w:rPr>
    </w:lvl>
    <w:lvl w:ilvl="1" w:tplc="F32A1862">
      <w:start w:val="1"/>
      <w:numFmt w:val="bullet"/>
      <w:lvlText w:val="o"/>
      <w:lvlJc w:val="left"/>
      <w:pPr>
        <w:ind w:left="1440" w:hanging="360"/>
      </w:pPr>
      <w:rPr>
        <w:rFonts w:hint="default" w:ascii="Courier New" w:hAnsi="Courier New"/>
      </w:rPr>
    </w:lvl>
    <w:lvl w:ilvl="2" w:tplc="EB8885BC">
      <w:start w:val="1"/>
      <w:numFmt w:val="bullet"/>
      <w:lvlText w:val=""/>
      <w:lvlJc w:val="left"/>
      <w:pPr>
        <w:ind w:left="2160" w:hanging="360"/>
      </w:pPr>
      <w:rPr>
        <w:rFonts w:hint="default" w:ascii="Wingdings" w:hAnsi="Wingdings"/>
      </w:rPr>
    </w:lvl>
    <w:lvl w:ilvl="3" w:tplc="DBB6641E">
      <w:start w:val="1"/>
      <w:numFmt w:val="bullet"/>
      <w:lvlText w:val=""/>
      <w:lvlJc w:val="left"/>
      <w:pPr>
        <w:ind w:left="2880" w:hanging="360"/>
      </w:pPr>
      <w:rPr>
        <w:rFonts w:hint="default" w:ascii="Symbol" w:hAnsi="Symbol"/>
      </w:rPr>
    </w:lvl>
    <w:lvl w:ilvl="4" w:tplc="40C8C59E">
      <w:start w:val="1"/>
      <w:numFmt w:val="bullet"/>
      <w:lvlText w:val="o"/>
      <w:lvlJc w:val="left"/>
      <w:pPr>
        <w:ind w:left="3600" w:hanging="360"/>
      </w:pPr>
      <w:rPr>
        <w:rFonts w:hint="default" w:ascii="Courier New" w:hAnsi="Courier New"/>
      </w:rPr>
    </w:lvl>
    <w:lvl w:ilvl="5" w:tplc="C53AB5FE">
      <w:start w:val="1"/>
      <w:numFmt w:val="bullet"/>
      <w:lvlText w:val=""/>
      <w:lvlJc w:val="left"/>
      <w:pPr>
        <w:ind w:left="4320" w:hanging="360"/>
      </w:pPr>
      <w:rPr>
        <w:rFonts w:hint="default" w:ascii="Wingdings" w:hAnsi="Wingdings"/>
      </w:rPr>
    </w:lvl>
    <w:lvl w:ilvl="6" w:tplc="683AFC82">
      <w:start w:val="1"/>
      <w:numFmt w:val="bullet"/>
      <w:lvlText w:val=""/>
      <w:lvlJc w:val="left"/>
      <w:pPr>
        <w:ind w:left="5040" w:hanging="360"/>
      </w:pPr>
      <w:rPr>
        <w:rFonts w:hint="default" w:ascii="Symbol" w:hAnsi="Symbol"/>
      </w:rPr>
    </w:lvl>
    <w:lvl w:ilvl="7" w:tplc="9A16C29C">
      <w:start w:val="1"/>
      <w:numFmt w:val="bullet"/>
      <w:lvlText w:val="o"/>
      <w:lvlJc w:val="left"/>
      <w:pPr>
        <w:ind w:left="5760" w:hanging="360"/>
      </w:pPr>
      <w:rPr>
        <w:rFonts w:hint="default" w:ascii="Courier New" w:hAnsi="Courier New"/>
      </w:rPr>
    </w:lvl>
    <w:lvl w:ilvl="8" w:tplc="78AE1C92">
      <w:start w:val="1"/>
      <w:numFmt w:val="bullet"/>
      <w:lvlText w:val=""/>
      <w:lvlJc w:val="left"/>
      <w:pPr>
        <w:ind w:left="6480" w:hanging="360"/>
      </w:pPr>
      <w:rPr>
        <w:rFonts w:hint="default" w:ascii="Wingdings" w:hAnsi="Wingdings"/>
      </w:rPr>
    </w:lvl>
  </w:abstractNum>
  <w:abstractNum w:abstractNumId="1" w15:restartNumberingAfterBreak="0">
    <w:nsid w:val="3F109DBD"/>
    <w:multiLevelType w:val="hybridMultilevel"/>
    <w:tmpl w:val="FFFFFFFF"/>
    <w:lvl w:ilvl="0" w:tplc="83DACB3E">
      <w:start w:val="1"/>
      <w:numFmt w:val="bullet"/>
      <w:lvlText w:val=""/>
      <w:lvlJc w:val="left"/>
      <w:pPr>
        <w:ind w:left="720" w:hanging="360"/>
      </w:pPr>
      <w:rPr>
        <w:rFonts w:hint="default" w:ascii="Symbol" w:hAnsi="Symbol"/>
      </w:rPr>
    </w:lvl>
    <w:lvl w:ilvl="1" w:tplc="814CD614">
      <w:start w:val="1"/>
      <w:numFmt w:val="bullet"/>
      <w:lvlText w:val="o"/>
      <w:lvlJc w:val="left"/>
      <w:pPr>
        <w:ind w:left="1440" w:hanging="360"/>
      </w:pPr>
      <w:rPr>
        <w:rFonts w:hint="default" w:ascii="Courier New" w:hAnsi="Courier New"/>
      </w:rPr>
    </w:lvl>
    <w:lvl w:ilvl="2" w:tplc="5CEAEDB0">
      <w:start w:val="1"/>
      <w:numFmt w:val="bullet"/>
      <w:lvlText w:val=""/>
      <w:lvlJc w:val="left"/>
      <w:pPr>
        <w:ind w:left="2160" w:hanging="360"/>
      </w:pPr>
      <w:rPr>
        <w:rFonts w:hint="default" w:ascii="Wingdings" w:hAnsi="Wingdings"/>
      </w:rPr>
    </w:lvl>
    <w:lvl w:ilvl="3" w:tplc="20108D08">
      <w:start w:val="1"/>
      <w:numFmt w:val="bullet"/>
      <w:lvlText w:val=""/>
      <w:lvlJc w:val="left"/>
      <w:pPr>
        <w:ind w:left="2880" w:hanging="360"/>
      </w:pPr>
      <w:rPr>
        <w:rFonts w:hint="default" w:ascii="Symbol" w:hAnsi="Symbol"/>
      </w:rPr>
    </w:lvl>
    <w:lvl w:ilvl="4" w:tplc="EA067CE6">
      <w:start w:val="1"/>
      <w:numFmt w:val="bullet"/>
      <w:lvlText w:val="o"/>
      <w:lvlJc w:val="left"/>
      <w:pPr>
        <w:ind w:left="3600" w:hanging="360"/>
      </w:pPr>
      <w:rPr>
        <w:rFonts w:hint="default" w:ascii="Courier New" w:hAnsi="Courier New"/>
      </w:rPr>
    </w:lvl>
    <w:lvl w:ilvl="5" w:tplc="10B2BC6A">
      <w:start w:val="1"/>
      <w:numFmt w:val="bullet"/>
      <w:lvlText w:val=""/>
      <w:lvlJc w:val="left"/>
      <w:pPr>
        <w:ind w:left="4320" w:hanging="360"/>
      </w:pPr>
      <w:rPr>
        <w:rFonts w:hint="default" w:ascii="Wingdings" w:hAnsi="Wingdings"/>
      </w:rPr>
    </w:lvl>
    <w:lvl w:ilvl="6" w:tplc="DDF6C826">
      <w:start w:val="1"/>
      <w:numFmt w:val="bullet"/>
      <w:lvlText w:val=""/>
      <w:lvlJc w:val="left"/>
      <w:pPr>
        <w:ind w:left="5040" w:hanging="360"/>
      </w:pPr>
      <w:rPr>
        <w:rFonts w:hint="default" w:ascii="Symbol" w:hAnsi="Symbol"/>
      </w:rPr>
    </w:lvl>
    <w:lvl w:ilvl="7" w:tplc="073844EE">
      <w:start w:val="1"/>
      <w:numFmt w:val="bullet"/>
      <w:lvlText w:val="o"/>
      <w:lvlJc w:val="left"/>
      <w:pPr>
        <w:ind w:left="5760" w:hanging="360"/>
      </w:pPr>
      <w:rPr>
        <w:rFonts w:hint="default" w:ascii="Courier New" w:hAnsi="Courier New"/>
      </w:rPr>
    </w:lvl>
    <w:lvl w:ilvl="8" w:tplc="BB3A5172">
      <w:start w:val="1"/>
      <w:numFmt w:val="bullet"/>
      <w:lvlText w:val=""/>
      <w:lvlJc w:val="left"/>
      <w:pPr>
        <w:ind w:left="6480" w:hanging="360"/>
      </w:pPr>
      <w:rPr>
        <w:rFonts w:hint="default" w:ascii="Wingdings" w:hAnsi="Wingdings"/>
      </w:rPr>
    </w:lvl>
  </w:abstractNum>
  <w:abstractNum w:abstractNumId="2" w15:restartNumberingAfterBreak="0">
    <w:nsid w:val="63F698E5"/>
    <w:multiLevelType w:val="hybridMultilevel"/>
    <w:tmpl w:val="FFFFFFFF"/>
    <w:lvl w:ilvl="0" w:tplc="646C1284">
      <w:start w:val="1"/>
      <w:numFmt w:val="bullet"/>
      <w:lvlText w:val=""/>
      <w:lvlJc w:val="left"/>
      <w:pPr>
        <w:ind w:left="720" w:hanging="360"/>
      </w:pPr>
      <w:rPr>
        <w:rFonts w:hint="default" w:ascii="Symbol" w:hAnsi="Symbol"/>
      </w:rPr>
    </w:lvl>
    <w:lvl w:ilvl="1" w:tplc="BA1EA6E6">
      <w:start w:val="1"/>
      <w:numFmt w:val="bullet"/>
      <w:lvlText w:val="o"/>
      <w:lvlJc w:val="left"/>
      <w:pPr>
        <w:ind w:left="1440" w:hanging="360"/>
      </w:pPr>
      <w:rPr>
        <w:rFonts w:hint="default" w:ascii="Courier New" w:hAnsi="Courier New"/>
      </w:rPr>
    </w:lvl>
    <w:lvl w:ilvl="2" w:tplc="40E4FDF8">
      <w:start w:val="1"/>
      <w:numFmt w:val="bullet"/>
      <w:lvlText w:val=""/>
      <w:lvlJc w:val="left"/>
      <w:pPr>
        <w:ind w:left="2160" w:hanging="360"/>
      </w:pPr>
      <w:rPr>
        <w:rFonts w:hint="default" w:ascii="Wingdings" w:hAnsi="Wingdings"/>
      </w:rPr>
    </w:lvl>
    <w:lvl w:ilvl="3" w:tplc="9F7271D0">
      <w:start w:val="1"/>
      <w:numFmt w:val="bullet"/>
      <w:lvlText w:val=""/>
      <w:lvlJc w:val="left"/>
      <w:pPr>
        <w:ind w:left="2880" w:hanging="360"/>
      </w:pPr>
      <w:rPr>
        <w:rFonts w:hint="default" w:ascii="Symbol" w:hAnsi="Symbol"/>
      </w:rPr>
    </w:lvl>
    <w:lvl w:ilvl="4" w:tplc="963ADDCA">
      <w:start w:val="1"/>
      <w:numFmt w:val="bullet"/>
      <w:lvlText w:val="o"/>
      <w:lvlJc w:val="left"/>
      <w:pPr>
        <w:ind w:left="3600" w:hanging="360"/>
      </w:pPr>
      <w:rPr>
        <w:rFonts w:hint="default" w:ascii="Courier New" w:hAnsi="Courier New"/>
      </w:rPr>
    </w:lvl>
    <w:lvl w:ilvl="5" w:tplc="2AD6BD24">
      <w:start w:val="1"/>
      <w:numFmt w:val="bullet"/>
      <w:lvlText w:val=""/>
      <w:lvlJc w:val="left"/>
      <w:pPr>
        <w:ind w:left="4320" w:hanging="360"/>
      </w:pPr>
      <w:rPr>
        <w:rFonts w:hint="default" w:ascii="Wingdings" w:hAnsi="Wingdings"/>
      </w:rPr>
    </w:lvl>
    <w:lvl w:ilvl="6" w:tplc="830604E6">
      <w:start w:val="1"/>
      <w:numFmt w:val="bullet"/>
      <w:lvlText w:val=""/>
      <w:lvlJc w:val="left"/>
      <w:pPr>
        <w:ind w:left="5040" w:hanging="360"/>
      </w:pPr>
      <w:rPr>
        <w:rFonts w:hint="default" w:ascii="Symbol" w:hAnsi="Symbol"/>
      </w:rPr>
    </w:lvl>
    <w:lvl w:ilvl="7" w:tplc="347E0C72">
      <w:start w:val="1"/>
      <w:numFmt w:val="bullet"/>
      <w:lvlText w:val="o"/>
      <w:lvlJc w:val="left"/>
      <w:pPr>
        <w:ind w:left="5760" w:hanging="360"/>
      </w:pPr>
      <w:rPr>
        <w:rFonts w:hint="default" w:ascii="Courier New" w:hAnsi="Courier New"/>
      </w:rPr>
    </w:lvl>
    <w:lvl w:ilvl="8" w:tplc="F37C7E22">
      <w:start w:val="1"/>
      <w:numFmt w:val="bullet"/>
      <w:lvlText w:val=""/>
      <w:lvlJc w:val="left"/>
      <w:pPr>
        <w:ind w:left="6480" w:hanging="360"/>
      </w:pPr>
      <w:rPr>
        <w:rFonts w:hint="default" w:ascii="Wingdings" w:hAnsi="Wingdings"/>
      </w:rPr>
    </w:lvl>
  </w:abstractNum>
  <w:abstractNum w:abstractNumId="3" w15:restartNumberingAfterBreak="0">
    <w:nsid w:val="652FFFEA"/>
    <w:multiLevelType w:val="hybridMultilevel"/>
    <w:tmpl w:val="FFFFFFFF"/>
    <w:lvl w:ilvl="0" w:tplc="F57AE78E">
      <w:start w:val="1"/>
      <w:numFmt w:val="decimal"/>
      <w:lvlText w:val="%1."/>
      <w:lvlJc w:val="left"/>
      <w:pPr>
        <w:ind w:left="720" w:hanging="360"/>
      </w:pPr>
    </w:lvl>
    <w:lvl w:ilvl="1" w:tplc="F27C393A">
      <w:start w:val="1"/>
      <w:numFmt w:val="lowerLetter"/>
      <w:lvlText w:val="%2."/>
      <w:lvlJc w:val="left"/>
      <w:pPr>
        <w:ind w:left="1440" w:hanging="360"/>
      </w:pPr>
    </w:lvl>
    <w:lvl w:ilvl="2" w:tplc="EBB04D12">
      <w:start w:val="1"/>
      <w:numFmt w:val="lowerRoman"/>
      <w:lvlText w:val="%3."/>
      <w:lvlJc w:val="right"/>
      <w:pPr>
        <w:ind w:left="2160" w:hanging="180"/>
      </w:pPr>
    </w:lvl>
    <w:lvl w:ilvl="3" w:tplc="2AB0047C">
      <w:start w:val="1"/>
      <w:numFmt w:val="decimal"/>
      <w:lvlText w:val="%4."/>
      <w:lvlJc w:val="left"/>
      <w:pPr>
        <w:ind w:left="2880" w:hanging="360"/>
      </w:pPr>
    </w:lvl>
    <w:lvl w:ilvl="4" w:tplc="7D0A6468">
      <w:start w:val="1"/>
      <w:numFmt w:val="lowerLetter"/>
      <w:lvlText w:val="%5."/>
      <w:lvlJc w:val="left"/>
      <w:pPr>
        <w:ind w:left="3600" w:hanging="360"/>
      </w:pPr>
    </w:lvl>
    <w:lvl w:ilvl="5" w:tplc="5666F0F0">
      <w:start w:val="1"/>
      <w:numFmt w:val="lowerRoman"/>
      <w:lvlText w:val="%6."/>
      <w:lvlJc w:val="right"/>
      <w:pPr>
        <w:ind w:left="4320" w:hanging="180"/>
      </w:pPr>
    </w:lvl>
    <w:lvl w:ilvl="6" w:tplc="E97E0E58">
      <w:start w:val="1"/>
      <w:numFmt w:val="decimal"/>
      <w:lvlText w:val="%7."/>
      <w:lvlJc w:val="left"/>
      <w:pPr>
        <w:ind w:left="5040" w:hanging="360"/>
      </w:pPr>
    </w:lvl>
    <w:lvl w:ilvl="7" w:tplc="8AE4C42C">
      <w:start w:val="1"/>
      <w:numFmt w:val="lowerLetter"/>
      <w:lvlText w:val="%8."/>
      <w:lvlJc w:val="left"/>
      <w:pPr>
        <w:ind w:left="5760" w:hanging="360"/>
      </w:pPr>
    </w:lvl>
    <w:lvl w:ilvl="8" w:tplc="831EAF98">
      <w:start w:val="1"/>
      <w:numFmt w:val="lowerRoman"/>
      <w:lvlText w:val="%9."/>
      <w:lvlJc w:val="right"/>
      <w:pPr>
        <w:ind w:left="6480" w:hanging="180"/>
      </w:pPr>
    </w:lvl>
  </w:abstractNum>
  <w:abstractNum w:abstractNumId="4" w15:restartNumberingAfterBreak="0">
    <w:nsid w:val="668A335B"/>
    <w:multiLevelType w:val="hybridMultilevel"/>
    <w:tmpl w:val="FFFFFFFF"/>
    <w:lvl w:ilvl="0" w:tplc="B7CA359C">
      <w:start w:val="1"/>
      <w:numFmt w:val="bullet"/>
      <w:lvlText w:val=""/>
      <w:lvlJc w:val="left"/>
      <w:pPr>
        <w:ind w:left="720" w:hanging="360"/>
      </w:pPr>
      <w:rPr>
        <w:rFonts w:hint="default" w:ascii="Symbol" w:hAnsi="Symbol"/>
      </w:rPr>
    </w:lvl>
    <w:lvl w:ilvl="1" w:tplc="15E2D5B0">
      <w:start w:val="1"/>
      <w:numFmt w:val="bullet"/>
      <w:lvlText w:val="o"/>
      <w:lvlJc w:val="left"/>
      <w:pPr>
        <w:ind w:left="1440" w:hanging="360"/>
      </w:pPr>
      <w:rPr>
        <w:rFonts w:hint="default" w:ascii="Courier New" w:hAnsi="Courier New"/>
      </w:rPr>
    </w:lvl>
    <w:lvl w:ilvl="2" w:tplc="4AFC2B1E">
      <w:start w:val="1"/>
      <w:numFmt w:val="bullet"/>
      <w:lvlText w:val=""/>
      <w:lvlJc w:val="left"/>
      <w:pPr>
        <w:ind w:left="2160" w:hanging="360"/>
      </w:pPr>
      <w:rPr>
        <w:rFonts w:hint="default" w:ascii="Wingdings" w:hAnsi="Wingdings"/>
      </w:rPr>
    </w:lvl>
    <w:lvl w:ilvl="3" w:tplc="845C62CE">
      <w:start w:val="1"/>
      <w:numFmt w:val="bullet"/>
      <w:lvlText w:val=""/>
      <w:lvlJc w:val="left"/>
      <w:pPr>
        <w:ind w:left="2880" w:hanging="360"/>
      </w:pPr>
      <w:rPr>
        <w:rFonts w:hint="default" w:ascii="Symbol" w:hAnsi="Symbol"/>
      </w:rPr>
    </w:lvl>
    <w:lvl w:ilvl="4" w:tplc="DAEE62CC">
      <w:start w:val="1"/>
      <w:numFmt w:val="bullet"/>
      <w:lvlText w:val="o"/>
      <w:lvlJc w:val="left"/>
      <w:pPr>
        <w:ind w:left="3600" w:hanging="360"/>
      </w:pPr>
      <w:rPr>
        <w:rFonts w:hint="default" w:ascii="Courier New" w:hAnsi="Courier New"/>
      </w:rPr>
    </w:lvl>
    <w:lvl w:ilvl="5" w:tplc="A3AA53B4">
      <w:start w:val="1"/>
      <w:numFmt w:val="bullet"/>
      <w:lvlText w:val=""/>
      <w:lvlJc w:val="left"/>
      <w:pPr>
        <w:ind w:left="4320" w:hanging="360"/>
      </w:pPr>
      <w:rPr>
        <w:rFonts w:hint="default" w:ascii="Wingdings" w:hAnsi="Wingdings"/>
      </w:rPr>
    </w:lvl>
    <w:lvl w:ilvl="6" w:tplc="7ED04F1A">
      <w:start w:val="1"/>
      <w:numFmt w:val="bullet"/>
      <w:lvlText w:val=""/>
      <w:lvlJc w:val="left"/>
      <w:pPr>
        <w:ind w:left="5040" w:hanging="360"/>
      </w:pPr>
      <w:rPr>
        <w:rFonts w:hint="default" w:ascii="Symbol" w:hAnsi="Symbol"/>
      </w:rPr>
    </w:lvl>
    <w:lvl w:ilvl="7" w:tplc="EA74FCDE">
      <w:start w:val="1"/>
      <w:numFmt w:val="bullet"/>
      <w:lvlText w:val="o"/>
      <w:lvlJc w:val="left"/>
      <w:pPr>
        <w:ind w:left="5760" w:hanging="360"/>
      </w:pPr>
      <w:rPr>
        <w:rFonts w:hint="default" w:ascii="Courier New" w:hAnsi="Courier New"/>
      </w:rPr>
    </w:lvl>
    <w:lvl w:ilvl="8" w:tplc="714CFD18">
      <w:start w:val="1"/>
      <w:numFmt w:val="bullet"/>
      <w:lvlText w:val=""/>
      <w:lvlJc w:val="left"/>
      <w:pPr>
        <w:ind w:left="6480" w:hanging="360"/>
      </w:pPr>
      <w:rPr>
        <w:rFonts w:hint="default" w:ascii="Wingdings" w:hAnsi="Wingdings"/>
      </w:rPr>
    </w:lvl>
  </w:abstractNum>
  <w:abstractNum w:abstractNumId="5" w15:restartNumberingAfterBreak="0">
    <w:nsid w:val="6B7B6CE2"/>
    <w:multiLevelType w:val="hybridMultilevel"/>
    <w:tmpl w:val="FFFFFFFF"/>
    <w:lvl w:ilvl="0" w:tplc="E768437C">
      <w:start w:val="1"/>
      <w:numFmt w:val="decimal"/>
      <w:lvlText w:val="%1."/>
      <w:lvlJc w:val="left"/>
      <w:pPr>
        <w:ind w:left="720" w:hanging="360"/>
      </w:pPr>
    </w:lvl>
    <w:lvl w:ilvl="1" w:tplc="70FE4148">
      <w:start w:val="1"/>
      <w:numFmt w:val="lowerLetter"/>
      <w:lvlText w:val="%2."/>
      <w:lvlJc w:val="left"/>
      <w:pPr>
        <w:ind w:left="1440" w:hanging="360"/>
      </w:pPr>
    </w:lvl>
    <w:lvl w:ilvl="2" w:tplc="F80202A4">
      <w:start w:val="1"/>
      <w:numFmt w:val="lowerRoman"/>
      <w:lvlText w:val="%3."/>
      <w:lvlJc w:val="right"/>
      <w:pPr>
        <w:ind w:left="2160" w:hanging="180"/>
      </w:pPr>
    </w:lvl>
    <w:lvl w:ilvl="3" w:tplc="C61A7A26">
      <w:start w:val="1"/>
      <w:numFmt w:val="decimal"/>
      <w:lvlText w:val="%4."/>
      <w:lvlJc w:val="left"/>
      <w:pPr>
        <w:ind w:left="2880" w:hanging="360"/>
      </w:pPr>
    </w:lvl>
    <w:lvl w:ilvl="4" w:tplc="937A31EC">
      <w:start w:val="1"/>
      <w:numFmt w:val="lowerLetter"/>
      <w:lvlText w:val="%5."/>
      <w:lvlJc w:val="left"/>
      <w:pPr>
        <w:ind w:left="3600" w:hanging="360"/>
      </w:pPr>
    </w:lvl>
    <w:lvl w:ilvl="5" w:tplc="85B4D3E6">
      <w:start w:val="1"/>
      <w:numFmt w:val="lowerRoman"/>
      <w:lvlText w:val="%6."/>
      <w:lvlJc w:val="right"/>
      <w:pPr>
        <w:ind w:left="4320" w:hanging="180"/>
      </w:pPr>
    </w:lvl>
    <w:lvl w:ilvl="6" w:tplc="D27099E6">
      <w:start w:val="1"/>
      <w:numFmt w:val="decimal"/>
      <w:lvlText w:val="%7."/>
      <w:lvlJc w:val="left"/>
      <w:pPr>
        <w:ind w:left="5040" w:hanging="360"/>
      </w:pPr>
    </w:lvl>
    <w:lvl w:ilvl="7" w:tplc="86D4D2FE">
      <w:start w:val="1"/>
      <w:numFmt w:val="lowerLetter"/>
      <w:lvlText w:val="%8."/>
      <w:lvlJc w:val="left"/>
      <w:pPr>
        <w:ind w:left="5760" w:hanging="360"/>
      </w:pPr>
    </w:lvl>
    <w:lvl w:ilvl="8" w:tplc="DDE892B0">
      <w:start w:val="1"/>
      <w:numFmt w:val="lowerRoman"/>
      <w:lvlText w:val="%9."/>
      <w:lvlJc w:val="right"/>
      <w:pPr>
        <w:ind w:left="6480" w:hanging="180"/>
      </w:pPr>
    </w:lvl>
  </w:abstractNum>
  <w:num w:numId="1" w16cid:durableId="1952974550">
    <w:abstractNumId w:val="4"/>
  </w:num>
  <w:num w:numId="2" w16cid:durableId="725757458">
    <w:abstractNumId w:val="1"/>
  </w:num>
  <w:num w:numId="3" w16cid:durableId="942884897">
    <w:abstractNumId w:val="5"/>
  </w:num>
  <w:num w:numId="4" w16cid:durableId="279142651">
    <w:abstractNumId w:val="3"/>
  </w:num>
  <w:num w:numId="5" w16cid:durableId="1627351649">
    <w:abstractNumId w:val="0"/>
  </w:num>
  <w:num w:numId="6" w16cid:durableId="434911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AE9B64"/>
    <w:rsid w:val="000E074D"/>
    <w:rsid w:val="002E7B85"/>
    <w:rsid w:val="005927A0"/>
    <w:rsid w:val="0085092F"/>
    <w:rsid w:val="00C91390"/>
    <w:rsid w:val="016CD828"/>
    <w:rsid w:val="01FFEBA0"/>
    <w:rsid w:val="0429CF8A"/>
    <w:rsid w:val="04C91D03"/>
    <w:rsid w:val="05905127"/>
    <w:rsid w:val="0604F4A5"/>
    <w:rsid w:val="074EC66C"/>
    <w:rsid w:val="079594C6"/>
    <w:rsid w:val="08124324"/>
    <w:rsid w:val="08A38BE2"/>
    <w:rsid w:val="0AA9022C"/>
    <w:rsid w:val="0BA0AA6E"/>
    <w:rsid w:val="0CB8E27E"/>
    <w:rsid w:val="0D625E33"/>
    <w:rsid w:val="0DD1EC9A"/>
    <w:rsid w:val="0EDCD9A9"/>
    <w:rsid w:val="0F928AB3"/>
    <w:rsid w:val="0FEA0C1D"/>
    <w:rsid w:val="111D13B1"/>
    <w:rsid w:val="118BA2E7"/>
    <w:rsid w:val="11E06C25"/>
    <w:rsid w:val="130883E1"/>
    <w:rsid w:val="13AE9B64"/>
    <w:rsid w:val="13EC0FE6"/>
    <w:rsid w:val="140429E2"/>
    <w:rsid w:val="164B2101"/>
    <w:rsid w:val="19425DE2"/>
    <w:rsid w:val="19BD4FE6"/>
    <w:rsid w:val="1AE49AA5"/>
    <w:rsid w:val="1AFE199B"/>
    <w:rsid w:val="1CFE1448"/>
    <w:rsid w:val="1D6DBFAC"/>
    <w:rsid w:val="1EAAF149"/>
    <w:rsid w:val="1F1A0FAA"/>
    <w:rsid w:val="20084DC2"/>
    <w:rsid w:val="2025C403"/>
    <w:rsid w:val="2087D8BE"/>
    <w:rsid w:val="20AAC613"/>
    <w:rsid w:val="21613524"/>
    <w:rsid w:val="21A90B9B"/>
    <w:rsid w:val="21DCD118"/>
    <w:rsid w:val="227C3F7F"/>
    <w:rsid w:val="2289F995"/>
    <w:rsid w:val="23389D8A"/>
    <w:rsid w:val="23ADB63A"/>
    <w:rsid w:val="257AEB1C"/>
    <w:rsid w:val="25ED56A9"/>
    <w:rsid w:val="26506F0F"/>
    <w:rsid w:val="279D3825"/>
    <w:rsid w:val="28356128"/>
    <w:rsid w:val="28F5E6E6"/>
    <w:rsid w:val="28FAA0F2"/>
    <w:rsid w:val="28FB63AE"/>
    <w:rsid w:val="2AF43363"/>
    <w:rsid w:val="2B6745DB"/>
    <w:rsid w:val="2BC53AE4"/>
    <w:rsid w:val="2C1E327D"/>
    <w:rsid w:val="2C8ADDD7"/>
    <w:rsid w:val="2D185402"/>
    <w:rsid w:val="2E848CAC"/>
    <w:rsid w:val="2EE49E4F"/>
    <w:rsid w:val="2EEB38BF"/>
    <w:rsid w:val="2EF36A99"/>
    <w:rsid w:val="2F50D079"/>
    <w:rsid w:val="30EEE6EB"/>
    <w:rsid w:val="315ECDF6"/>
    <w:rsid w:val="323DF702"/>
    <w:rsid w:val="33866A2A"/>
    <w:rsid w:val="339E05D3"/>
    <w:rsid w:val="3447D856"/>
    <w:rsid w:val="34704E82"/>
    <w:rsid w:val="35540BA8"/>
    <w:rsid w:val="35A6C007"/>
    <w:rsid w:val="3678C16C"/>
    <w:rsid w:val="36B5A40C"/>
    <w:rsid w:val="37B1F842"/>
    <w:rsid w:val="37D1634B"/>
    <w:rsid w:val="3863C78C"/>
    <w:rsid w:val="38E7C8F7"/>
    <w:rsid w:val="3A23E4A8"/>
    <w:rsid w:val="3A46FBB5"/>
    <w:rsid w:val="3B2A4AF9"/>
    <w:rsid w:val="3D77E7AE"/>
    <w:rsid w:val="3D92DD2C"/>
    <w:rsid w:val="3E0F2291"/>
    <w:rsid w:val="3F084CDC"/>
    <w:rsid w:val="3F9A6576"/>
    <w:rsid w:val="405CC7D9"/>
    <w:rsid w:val="414CED12"/>
    <w:rsid w:val="418299B4"/>
    <w:rsid w:val="42241542"/>
    <w:rsid w:val="44B8979D"/>
    <w:rsid w:val="45E9277A"/>
    <w:rsid w:val="46320E46"/>
    <w:rsid w:val="4697AA00"/>
    <w:rsid w:val="4AD5BD36"/>
    <w:rsid w:val="4DB94E14"/>
    <w:rsid w:val="4ECAAADD"/>
    <w:rsid w:val="4F141996"/>
    <w:rsid w:val="4F196553"/>
    <w:rsid w:val="51B1D262"/>
    <w:rsid w:val="51E0E740"/>
    <w:rsid w:val="5202686D"/>
    <w:rsid w:val="52180133"/>
    <w:rsid w:val="52D31EE4"/>
    <w:rsid w:val="52E23765"/>
    <w:rsid w:val="54A52195"/>
    <w:rsid w:val="55F8F012"/>
    <w:rsid w:val="564C2F7B"/>
    <w:rsid w:val="578CE7A1"/>
    <w:rsid w:val="58F5A2DD"/>
    <w:rsid w:val="5A276246"/>
    <w:rsid w:val="5BCF5F28"/>
    <w:rsid w:val="5D1F9D93"/>
    <w:rsid w:val="60349A3F"/>
    <w:rsid w:val="6120A19A"/>
    <w:rsid w:val="6127CDA9"/>
    <w:rsid w:val="6167A5E9"/>
    <w:rsid w:val="61697101"/>
    <w:rsid w:val="6287F7BE"/>
    <w:rsid w:val="63860C99"/>
    <w:rsid w:val="63B3227F"/>
    <w:rsid w:val="63ED1247"/>
    <w:rsid w:val="64E74D1A"/>
    <w:rsid w:val="653C9A96"/>
    <w:rsid w:val="657C6448"/>
    <w:rsid w:val="65D65E75"/>
    <w:rsid w:val="67320D8E"/>
    <w:rsid w:val="675EE3A4"/>
    <w:rsid w:val="6821B2D5"/>
    <w:rsid w:val="69ACBEFC"/>
    <w:rsid w:val="6B48D43F"/>
    <w:rsid w:val="6C063BA7"/>
    <w:rsid w:val="6C99C6C2"/>
    <w:rsid w:val="6CE3FF0E"/>
    <w:rsid w:val="6DFAB3AE"/>
    <w:rsid w:val="6E78FAD8"/>
    <w:rsid w:val="6FA2686A"/>
    <w:rsid w:val="7007E09C"/>
    <w:rsid w:val="7044BE2E"/>
    <w:rsid w:val="71BCE8BB"/>
    <w:rsid w:val="7367F8D7"/>
    <w:rsid w:val="7541951F"/>
    <w:rsid w:val="75CAB774"/>
    <w:rsid w:val="768EE30A"/>
    <w:rsid w:val="7723729A"/>
    <w:rsid w:val="77C4149E"/>
    <w:rsid w:val="787E7481"/>
    <w:rsid w:val="795F2317"/>
    <w:rsid w:val="7A52629F"/>
    <w:rsid w:val="7B7E6F1D"/>
    <w:rsid w:val="7C009595"/>
    <w:rsid w:val="7C0462C6"/>
    <w:rsid w:val="7C04A395"/>
    <w:rsid w:val="7C9732E0"/>
    <w:rsid w:val="7CF784B6"/>
    <w:rsid w:val="7D3D24F5"/>
    <w:rsid w:val="7EE47D20"/>
    <w:rsid w:val="7F5816EF"/>
    <w:rsid w:val="7FE4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9B64"/>
  <w15:chartTrackingRefBased/>
  <w15:docId w15:val="{3E3B63F2-18FE-49C8-B18E-7B72AF991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8A38B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8A38B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F581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7F5816EF"/>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F5816EF"/>
    <w:rPr>
      <w:color w:val="467886"/>
      <w:u w:val="single"/>
    </w:rPr>
  </w:style>
  <w:style w:type="paragraph" w:styleId="ListParagraph">
    <w:name w:val="List Paragraph"/>
    <w:basedOn w:val="Normal"/>
    <w:uiPriority w:val="34"/>
    <w:qFormat/>
    <w:rsid w:val="7F5816EF"/>
    <w:pPr>
      <w:ind w:left="720"/>
      <w:contextualSpacing/>
    </w:pPr>
  </w:style>
  <w:style w:type="paragraph" w:styleId="Header">
    <w:name w:val="header"/>
    <w:basedOn w:val="Normal"/>
    <w:uiPriority w:val="99"/>
    <w:unhideWhenUsed/>
    <w:rsid w:val="08A38BE2"/>
    <w:pPr>
      <w:tabs>
        <w:tab w:val="center" w:pos="4680"/>
        <w:tab w:val="right" w:pos="9360"/>
      </w:tabs>
      <w:spacing w:after="0" w:line="240" w:lineRule="auto"/>
    </w:pPr>
  </w:style>
  <w:style w:type="paragraph" w:styleId="Footer">
    <w:name w:val="footer"/>
    <w:basedOn w:val="Normal"/>
    <w:uiPriority w:val="99"/>
    <w:unhideWhenUsed/>
    <w:rsid w:val="08A38B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Muhammed Bilal - 22zakarm (HGS)</dc:creator>
  <keywords/>
  <dc:description/>
  <lastModifiedBy>Rufaro Chingarande (2432014)</lastModifiedBy>
  <revision>3</revision>
  <dcterms:created xsi:type="dcterms:W3CDTF">2026-03-14T15:41:00.0000000Z</dcterms:created>
  <dcterms:modified xsi:type="dcterms:W3CDTF">2026-03-16T12:18:07.1845060Z</dcterms:modified>
</coreProperties>
</file>