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207D0" w:rsidRPr="00BE07C5" w:rsidRDefault="00BE07C5" w:rsidP="00BE07C5">
      <w:pPr>
        <w:jc w:val="center"/>
        <w:rPr>
          <w:rFonts w:ascii="Times New Roman" w:hAnsi="Times New Roman" w:cs="Times New Roman"/>
          <w:b/>
          <w:sz w:val="36"/>
          <w:szCs w:val="36"/>
          <w:u w:val="single"/>
        </w:rPr>
      </w:pPr>
      <w:r w:rsidRPr="00BE07C5">
        <w:rPr>
          <w:rFonts w:ascii="Times New Roman" w:hAnsi="Times New Roman" w:cs="Times New Roman"/>
          <w:b/>
          <w:sz w:val="36"/>
          <w:szCs w:val="36"/>
          <w:u w:val="single"/>
        </w:rPr>
        <w:t xml:space="preserve">Report: </w:t>
      </w:r>
      <w:r w:rsidR="0022575F">
        <w:rPr>
          <w:rFonts w:ascii="Times New Roman" w:hAnsi="Times New Roman" w:cs="Times New Roman"/>
          <w:b/>
          <w:sz w:val="36"/>
          <w:szCs w:val="36"/>
          <w:u w:val="single"/>
        </w:rPr>
        <w:t xml:space="preserve">Statement by Sir </w:t>
      </w:r>
      <w:r w:rsidRPr="00BE07C5">
        <w:rPr>
          <w:rFonts w:ascii="Times New Roman" w:hAnsi="Times New Roman" w:cs="Times New Roman"/>
          <w:b/>
          <w:sz w:val="36"/>
          <w:szCs w:val="36"/>
          <w:u w:val="single"/>
        </w:rPr>
        <w:t>Edward Grey</w:t>
      </w:r>
      <w:r w:rsidR="0022575F">
        <w:rPr>
          <w:rFonts w:ascii="Times New Roman" w:hAnsi="Times New Roman" w:cs="Times New Roman"/>
          <w:b/>
          <w:sz w:val="36"/>
          <w:szCs w:val="36"/>
          <w:u w:val="single"/>
        </w:rPr>
        <w:t xml:space="preserve"> to the House of Commons 3</w:t>
      </w:r>
      <w:r w:rsidR="00926CB6">
        <w:rPr>
          <w:rFonts w:ascii="Times New Roman" w:hAnsi="Times New Roman" w:cs="Times New Roman"/>
          <w:b/>
          <w:sz w:val="36"/>
          <w:szCs w:val="36"/>
          <w:u w:val="single"/>
        </w:rPr>
        <w:t>rd</w:t>
      </w:r>
      <w:r w:rsidR="0022575F">
        <w:rPr>
          <w:rFonts w:ascii="Times New Roman" w:hAnsi="Times New Roman" w:cs="Times New Roman"/>
          <w:b/>
          <w:sz w:val="36"/>
          <w:szCs w:val="36"/>
          <w:u w:val="single"/>
        </w:rPr>
        <w:t xml:space="preserve"> August 1914</w:t>
      </w:r>
    </w:p>
    <w:p w:rsidR="00BE07C5" w:rsidRPr="00BE07C5" w:rsidRDefault="00BE07C5" w:rsidP="009404DA">
      <w:pPr>
        <w:jc w:val="both"/>
        <w:rPr>
          <w:rFonts w:ascii="Times New Roman" w:hAnsi="Times New Roman" w:cs="Times New Roman"/>
          <w:b/>
          <w:sz w:val="36"/>
          <w:szCs w:val="36"/>
          <w:u w:val="single"/>
        </w:rPr>
      </w:pPr>
    </w:p>
    <w:p w:rsidR="00BE07C5" w:rsidRDefault="0022575F" w:rsidP="009404DA">
      <w:pPr>
        <w:jc w:val="both"/>
        <w:rPr>
          <w:rFonts w:ascii="Times New Roman" w:hAnsi="Times New Roman" w:cs="Times New Roman"/>
          <w:szCs w:val="36"/>
        </w:rPr>
      </w:pPr>
      <w:r>
        <w:rPr>
          <w:rFonts w:ascii="Times New Roman" w:hAnsi="Times New Roman" w:cs="Times New Roman"/>
          <w:szCs w:val="36"/>
        </w:rPr>
        <w:t>The statement was made by Sir Edward Grey to the House of Commons to address the developing situation in Europe.</w:t>
      </w:r>
      <w:r>
        <w:rPr>
          <w:rStyle w:val="FootnoteReference"/>
          <w:rFonts w:ascii="Times New Roman" w:hAnsi="Times New Roman" w:cs="Times New Roman"/>
          <w:szCs w:val="36"/>
        </w:rPr>
        <w:footnoteReference w:id="1"/>
      </w:r>
      <w:r w:rsidR="00142050">
        <w:rPr>
          <w:rFonts w:ascii="Times New Roman" w:hAnsi="Times New Roman" w:cs="Times New Roman"/>
          <w:szCs w:val="36"/>
        </w:rPr>
        <w:t xml:space="preserve"> Sir </w:t>
      </w:r>
      <w:r w:rsidR="00306840">
        <w:rPr>
          <w:rFonts w:ascii="Times New Roman" w:hAnsi="Times New Roman" w:cs="Times New Roman"/>
          <w:szCs w:val="36"/>
        </w:rPr>
        <w:t>Edward Grey became the British Foreign Se</w:t>
      </w:r>
      <w:r w:rsidR="00142050">
        <w:rPr>
          <w:rFonts w:ascii="Times New Roman" w:hAnsi="Times New Roman" w:cs="Times New Roman"/>
          <w:szCs w:val="36"/>
        </w:rPr>
        <w:t xml:space="preserve">cretary </w:t>
      </w:r>
      <w:r w:rsidR="009E668C">
        <w:rPr>
          <w:rFonts w:ascii="Times New Roman" w:hAnsi="Times New Roman" w:cs="Times New Roman"/>
          <w:szCs w:val="36"/>
        </w:rPr>
        <w:t>at the end of 1905 and would remain until 1916, holding the office longer than anyone before him.</w:t>
      </w:r>
      <w:r w:rsidR="009E668C">
        <w:rPr>
          <w:rStyle w:val="FootnoteReference"/>
          <w:rFonts w:ascii="Times New Roman" w:hAnsi="Times New Roman" w:cs="Times New Roman"/>
          <w:szCs w:val="36"/>
        </w:rPr>
        <w:footnoteReference w:id="2"/>
      </w:r>
      <w:r w:rsidR="00A56734">
        <w:rPr>
          <w:rFonts w:ascii="Times New Roman" w:hAnsi="Times New Roman" w:cs="Times New Roman"/>
          <w:szCs w:val="36"/>
        </w:rPr>
        <w:t xml:space="preserve"> </w:t>
      </w:r>
      <w:r w:rsidR="00041488">
        <w:rPr>
          <w:rFonts w:ascii="Times New Roman" w:hAnsi="Times New Roman" w:cs="Times New Roman"/>
          <w:szCs w:val="36"/>
        </w:rPr>
        <w:t xml:space="preserve">While Sir Edward Grey was taking office, the situation in Europe was </w:t>
      </w:r>
      <w:r w:rsidR="00926CB6">
        <w:rPr>
          <w:rFonts w:ascii="Times New Roman" w:hAnsi="Times New Roman" w:cs="Times New Roman"/>
          <w:szCs w:val="36"/>
        </w:rPr>
        <w:t>already deteriorating with the Tangier crisis in 1905 , in which the German Kaiser arrived in Tangier to discuss their sovereignty from France in order to try and damage Anglo-French relations.</w:t>
      </w:r>
      <w:r w:rsidR="00926CB6">
        <w:rPr>
          <w:rStyle w:val="FootnoteReference"/>
          <w:rFonts w:ascii="Times New Roman" w:hAnsi="Times New Roman" w:cs="Times New Roman"/>
          <w:szCs w:val="36"/>
        </w:rPr>
        <w:footnoteReference w:id="3"/>
      </w:r>
      <w:r w:rsidR="00926CB6">
        <w:rPr>
          <w:rFonts w:ascii="Times New Roman" w:hAnsi="Times New Roman" w:cs="Times New Roman"/>
          <w:szCs w:val="36"/>
        </w:rPr>
        <w:t xml:space="preserve"> However, this action brought Britain and France closer together which can be seen in a statement by Sir Edward Grey to the ambassador in Paris, ‘if France is let in for a war with Germany arising out of our agreement with her about Morocco we cannot stand aside, but must take part with France’</w:t>
      </w:r>
      <w:r w:rsidR="00014730">
        <w:rPr>
          <w:rFonts w:ascii="Times New Roman" w:hAnsi="Times New Roman" w:cs="Times New Roman"/>
          <w:szCs w:val="36"/>
        </w:rPr>
        <w:t>.</w:t>
      </w:r>
      <w:r w:rsidR="00014730">
        <w:rPr>
          <w:rStyle w:val="FootnoteReference"/>
          <w:rFonts w:ascii="Times New Roman" w:hAnsi="Times New Roman" w:cs="Times New Roman"/>
          <w:szCs w:val="36"/>
        </w:rPr>
        <w:footnoteReference w:id="4"/>
      </w:r>
      <w:r w:rsidR="00D14ED4">
        <w:rPr>
          <w:rFonts w:ascii="Times New Roman" w:hAnsi="Times New Roman" w:cs="Times New Roman"/>
          <w:szCs w:val="36"/>
        </w:rPr>
        <w:t xml:space="preserve"> This statement is</w:t>
      </w:r>
      <w:r w:rsidR="008F34E1">
        <w:rPr>
          <w:rFonts w:ascii="Times New Roman" w:hAnsi="Times New Roman" w:cs="Times New Roman"/>
          <w:szCs w:val="36"/>
        </w:rPr>
        <w:t xml:space="preserve"> h</w:t>
      </w:r>
      <w:r w:rsidR="009404DA">
        <w:rPr>
          <w:rFonts w:ascii="Times New Roman" w:hAnsi="Times New Roman" w:cs="Times New Roman"/>
          <w:szCs w:val="36"/>
        </w:rPr>
        <w:t>ighly important because it showed</w:t>
      </w:r>
      <w:r w:rsidR="008F34E1">
        <w:rPr>
          <w:rFonts w:ascii="Times New Roman" w:hAnsi="Times New Roman" w:cs="Times New Roman"/>
          <w:szCs w:val="36"/>
        </w:rPr>
        <w:t xml:space="preserve"> a strong interest by Sir Edward Grey in Britain’s relations with France, </w:t>
      </w:r>
      <w:r w:rsidR="009404DA">
        <w:rPr>
          <w:rFonts w:ascii="Times New Roman" w:hAnsi="Times New Roman" w:cs="Times New Roman"/>
          <w:szCs w:val="36"/>
        </w:rPr>
        <w:t xml:space="preserve">and by extension Russia, </w:t>
      </w:r>
      <w:r w:rsidR="008F34E1">
        <w:rPr>
          <w:rFonts w:ascii="Times New Roman" w:hAnsi="Times New Roman" w:cs="Times New Roman"/>
          <w:szCs w:val="36"/>
        </w:rPr>
        <w:t>which can also be seen in his statement</w:t>
      </w:r>
      <w:r w:rsidR="003712B8">
        <w:rPr>
          <w:rFonts w:ascii="Times New Roman" w:hAnsi="Times New Roman" w:cs="Times New Roman"/>
          <w:szCs w:val="36"/>
        </w:rPr>
        <w:t xml:space="preserve">. </w:t>
      </w:r>
      <w:r w:rsidR="00A56734">
        <w:rPr>
          <w:rFonts w:ascii="Times New Roman" w:hAnsi="Times New Roman" w:cs="Times New Roman"/>
          <w:szCs w:val="36"/>
        </w:rPr>
        <w:t xml:space="preserve">The motive behind the statement was to detail the deteriorating political situation </w:t>
      </w:r>
      <w:r w:rsidR="00041488">
        <w:rPr>
          <w:rFonts w:ascii="Times New Roman" w:hAnsi="Times New Roman" w:cs="Times New Roman"/>
          <w:szCs w:val="36"/>
        </w:rPr>
        <w:t>in Europe, what Britain’s allies were doing in response t</w:t>
      </w:r>
      <w:r w:rsidR="009404DA">
        <w:rPr>
          <w:rFonts w:ascii="Times New Roman" w:hAnsi="Times New Roman" w:cs="Times New Roman"/>
          <w:szCs w:val="36"/>
        </w:rPr>
        <w:t>o this and stating that if Germany does invade Belgium, then Britain must be prepared to go to war</w:t>
      </w:r>
      <w:r w:rsidR="00041488">
        <w:rPr>
          <w:rFonts w:ascii="Times New Roman" w:hAnsi="Times New Roman" w:cs="Times New Roman"/>
          <w:szCs w:val="36"/>
        </w:rPr>
        <w:t>.</w:t>
      </w:r>
      <w:r w:rsidR="00041488">
        <w:rPr>
          <w:rStyle w:val="FootnoteReference"/>
          <w:rFonts w:ascii="Times New Roman" w:hAnsi="Times New Roman" w:cs="Times New Roman"/>
          <w:szCs w:val="36"/>
        </w:rPr>
        <w:footnoteReference w:id="5"/>
      </w:r>
      <w:r w:rsidR="00041488">
        <w:rPr>
          <w:rFonts w:ascii="Times New Roman" w:hAnsi="Times New Roman" w:cs="Times New Roman"/>
          <w:szCs w:val="36"/>
        </w:rPr>
        <w:t xml:space="preserve"> </w:t>
      </w:r>
      <w:r w:rsidR="009404DA">
        <w:rPr>
          <w:rFonts w:ascii="Times New Roman" w:hAnsi="Times New Roman" w:cs="Times New Roman"/>
          <w:szCs w:val="36"/>
        </w:rPr>
        <w:t xml:space="preserve">As previously stated, Sir Edward Grey was very much invested in the Triple-Entente, which is perhaps one of the motives for this statement, as to ensure that Britain does go to the defence of </w:t>
      </w:r>
      <w:r w:rsidR="00C56B8D">
        <w:rPr>
          <w:rFonts w:ascii="Times New Roman" w:hAnsi="Times New Roman" w:cs="Times New Roman"/>
          <w:szCs w:val="36"/>
        </w:rPr>
        <w:t xml:space="preserve">France and Belgium. However, while Sir Edward Grey strongly supported the Triple-Entente, he did much to try and secure peace between </w:t>
      </w:r>
      <w:r w:rsidR="00675335">
        <w:rPr>
          <w:rFonts w:ascii="Times New Roman" w:hAnsi="Times New Roman" w:cs="Times New Roman"/>
          <w:szCs w:val="36"/>
        </w:rPr>
        <w:t>the powers of Europe and avoided a strong positive reaction from Britain to France and Russia as to avoid indulging and eagerness for war.</w:t>
      </w:r>
      <w:r w:rsidR="00675335">
        <w:rPr>
          <w:rStyle w:val="FootnoteReference"/>
          <w:rFonts w:ascii="Times New Roman" w:hAnsi="Times New Roman" w:cs="Times New Roman"/>
          <w:szCs w:val="36"/>
        </w:rPr>
        <w:footnoteReference w:id="6"/>
      </w:r>
      <w:r w:rsidR="00675335">
        <w:rPr>
          <w:rFonts w:ascii="Times New Roman" w:hAnsi="Times New Roman" w:cs="Times New Roman"/>
          <w:szCs w:val="36"/>
        </w:rPr>
        <w:t xml:space="preserve"> </w:t>
      </w:r>
      <w:r w:rsidR="009A2CB9">
        <w:rPr>
          <w:rFonts w:ascii="Times New Roman" w:hAnsi="Times New Roman" w:cs="Times New Roman"/>
          <w:szCs w:val="36"/>
        </w:rPr>
        <w:t xml:space="preserve">However, by the end of July 1914, Sir Edward Grey had very much given up on peace as he </w:t>
      </w:r>
      <w:r w:rsidR="00CC78E6">
        <w:rPr>
          <w:rFonts w:ascii="Times New Roman" w:hAnsi="Times New Roman" w:cs="Times New Roman"/>
          <w:szCs w:val="36"/>
        </w:rPr>
        <w:t>said,</w:t>
      </w:r>
      <w:r w:rsidR="009A2CB9">
        <w:rPr>
          <w:rFonts w:ascii="Times New Roman" w:hAnsi="Times New Roman" w:cs="Times New Roman"/>
          <w:szCs w:val="36"/>
        </w:rPr>
        <w:t xml:space="preserve"> ‘we were henceforth to converse upon how we should conduct ourselves in war, no longer how war could be avoided’.</w:t>
      </w:r>
      <w:r w:rsidR="00CC78E6">
        <w:rPr>
          <w:rStyle w:val="FootnoteReference"/>
          <w:rFonts w:ascii="Times New Roman" w:hAnsi="Times New Roman" w:cs="Times New Roman"/>
          <w:szCs w:val="36"/>
        </w:rPr>
        <w:footnoteReference w:id="7"/>
      </w:r>
      <w:r w:rsidR="009A2CB9">
        <w:rPr>
          <w:rFonts w:ascii="Times New Roman" w:hAnsi="Times New Roman" w:cs="Times New Roman"/>
          <w:szCs w:val="36"/>
        </w:rPr>
        <w:t xml:space="preserve"> </w:t>
      </w:r>
      <w:r w:rsidR="00CC78E6">
        <w:rPr>
          <w:rFonts w:ascii="Times New Roman" w:hAnsi="Times New Roman" w:cs="Times New Roman"/>
          <w:szCs w:val="36"/>
        </w:rPr>
        <w:t>This was said after Sir Edward Grey received a letter from the German Chancellor attempting to achieve English neutrality.</w:t>
      </w:r>
      <w:r w:rsidR="00CC78E6">
        <w:rPr>
          <w:rStyle w:val="FootnoteReference"/>
          <w:rFonts w:ascii="Times New Roman" w:hAnsi="Times New Roman" w:cs="Times New Roman"/>
          <w:szCs w:val="36"/>
        </w:rPr>
        <w:footnoteReference w:id="8"/>
      </w:r>
      <w:r w:rsidR="00CC78E6">
        <w:rPr>
          <w:rFonts w:ascii="Times New Roman" w:hAnsi="Times New Roman" w:cs="Times New Roman"/>
          <w:szCs w:val="36"/>
        </w:rPr>
        <w:t xml:space="preserve"> </w:t>
      </w:r>
      <w:r w:rsidR="00675335">
        <w:rPr>
          <w:rFonts w:ascii="Times New Roman" w:hAnsi="Times New Roman" w:cs="Times New Roman"/>
          <w:szCs w:val="36"/>
        </w:rPr>
        <w:t>Only when the situation became uncontrollable, which it did with</w:t>
      </w:r>
      <w:r w:rsidR="00256BA9">
        <w:rPr>
          <w:rFonts w:ascii="Times New Roman" w:hAnsi="Times New Roman" w:cs="Times New Roman"/>
          <w:szCs w:val="36"/>
        </w:rPr>
        <w:t xml:space="preserve"> the German ultimatum to Belgium on 2</w:t>
      </w:r>
      <w:r w:rsidR="00256BA9" w:rsidRPr="00256BA9">
        <w:rPr>
          <w:rFonts w:ascii="Times New Roman" w:hAnsi="Times New Roman" w:cs="Times New Roman"/>
          <w:szCs w:val="36"/>
          <w:vertAlign w:val="superscript"/>
        </w:rPr>
        <w:t>nd</w:t>
      </w:r>
      <w:r w:rsidR="00256BA9">
        <w:rPr>
          <w:rFonts w:ascii="Times New Roman" w:hAnsi="Times New Roman" w:cs="Times New Roman"/>
          <w:szCs w:val="36"/>
        </w:rPr>
        <w:t xml:space="preserve"> August was he forced to give full support to the Triple-Entente.</w:t>
      </w:r>
      <w:r w:rsidR="00256BA9">
        <w:rPr>
          <w:rStyle w:val="FootnoteReference"/>
          <w:rFonts w:ascii="Times New Roman" w:hAnsi="Times New Roman" w:cs="Times New Roman"/>
          <w:szCs w:val="36"/>
        </w:rPr>
        <w:footnoteReference w:id="9"/>
      </w:r>
      <w:r w:rsidR="00256BA9">
        <w:rPr>
          <w:rFonts w:ascii="Times New Roman" w:hAnsi="Times New Roman" w:cs="Times New Roman"/>
          <w:szCs w:val="36"/>
        </w:rPr>
        <w:t xml:space="preserve"> So another motive for this statement was something of a last resort due to the failures of negotiations between the European powers.</w:t>
      </w:r>
    </w:p>
    <w:p w:rsidR="00DE2C15" w:rsidRDefault="003608D7" w:rsidP="009404DA">
      <w:pPr>
        <w:jc w:val="both"/>
        <w:rPr>
          <w:rFonts w:ascii="Times New Roman" w:hAnsi="Times New Roman" w:cs="Times New Roman"/>
          <w:szCs w:val="36"/>
        </w:rPr>
      </w:pPr>
      <w:r>
        <w:rPr>
          <w:rFonts w:ascii="Times New Roman" w:hAnsi="Times New Roman" w:cs="Times New Roman"/>
          <w:szCs w:val="36"/>
        </w:rPr>
        <w:t>The speech had a profound impact on those in the House of Commons at the time, as the Speaker James Lowther described it as ‘the most moving I ever heard in the House’.</w:t>
      </w:r>
      <w:r w:rsidR="001846F2">
        <w:rPr>
          <w:rStyle w:val="FootnoteReference"/>
          <w:rFonts w:ascii="Times New Roman" w:hAnsi="Times New Roman" w:cs="Times New Roman"/>
          <w:szCs w:val="36"/>
        </w:rPr>
        <w:footnoteReference w:id="10"/>
      </w:r>
      <w:r w:rsidR="004A042A">
        <w:rPr>
          <w:rFonts w:ascii="Times New Roman" w:hAnsi="Times New Roman" w:cs="Times New Roman"/>
          <w:szCs w:val="36"/>
        </w:rPr>
        <w:t xml:space="preserve"> </w:t>
      </w:r>
      <w:r w:rsidR="00C73917">
        <w:rPr>
          <w:rFonts w:ascii="Times New Roman" w:hAnsi="Times New Roman" w:cs="Times New Roman"/>
          <w:szCs w:val="36"/>
        </w:rPr>
        <w:t>Some described how t</w:t>
      </w:r>
      <w:r w:rsidR="00D51CF4">
        <w:rPr>
          <w:rFonts w:ascii="Times New Roman" w:hAnsi="Times New Roman" w:cs="Times New Roman"/>
          <w:szCs w:val="36"/>
        </w:rPr>
        <w:t>he Hou</w:t>
      </w:r>
      <w:r w:rsidR="00C73917">
        <w:rPr>
          <w:rFonts w:ascii="Times New Roman" w:hAnsi="Times New Roman" w:cs="Times New Roman"/>
          <w:szCs w:val="36"/>
        </w:rPr>
        <w:t xml:space="preserve">se of Commons had not been this crowded since Gladstone introduced the Second Irish Home Rule Bill in 1893, perhaps showing </w:t>
      </w:r>
      <w:r w:rsidR="00702388">
        <w:rPr>
          <w:rFonts w:ascii="Times New Roman" w:hAnsi="Times New Roman" w:cs="Times New Roman"/>
          <w:szCs w:val="36"/>
        </w:rPr>
        <w:t>grand expectations</w:t>
      </w:r>
      <w:r w:rsidR="00C73917">
        <w:rPr>
          <w:rFonts w:ascii="Times New Roman" w:hAnsi="Times New Roman" w:cs="Times New Roman"/>
          <w:szCs w:val="36"/>
        </w:rPr>
        <w:t xml:space="preserve"> from those in the British </w:t>
      </w:r>
      <w:r w:rsidR="00FF7742">
        <w:rPr>
          <w:rFonts w:ascii="Times New Roman" w:hAnsi="Times New Roman" w:cs="Times New Roman"/>
          <w:szCs w:val="36"/>
        </w:rPr>
        <w:t xml:space="preserve">government </w:t>
      </w:r>
      <w:r w:rsidR="00C73917">
        <w:rPr>
          <w:rFonts w:ascii="Times New Roman" w:hAnsi="Times New Roman" w:cs="Times New Roman"/>
          <w:szCs w:val="36"/>
        </w:rPr>
        <w:t>for what Sir Edward Grey had to say.</w:t>
      </w:r>
      <w:r w:rsidR="00702388">
        <w:rPr>
          <w:rStyle w:val="FootnoteReference"/>
          <w:rFonts w:ascii="Times New Roman" w:hAnsi="Times New Roman" w:cs="Times New Roman"/>
          <w:szCs w:val="36"/>
        </w:rPr>
        <w:footnoteReference w:id="11"/>
      </w:r>
      <w:r w:rsidR="00376033">
        <w:rPr>
          <w:rFonts w:ascii="Times New Roman" w:hAnsi="Times New Roman" w:cs="Times New Roman"/>
          <w:szCs w:val="36"/>
        </w:rPr>
        <w:t xml:space="preserve"> </w:t>
      </w:r>
      <w:r w:rsidR="00A960C2">
        <w:rPr>
          <w:rFonts w:ascii="Times New Roman" w:hAnsi="Times New Roman" w:cs="Times New Roman"/>
          <w:szCs w:val="36"/>
        </w:rPr>
        <w:t xml:space="preserve">What followed was a speech highly in favour of intervention, but also informing Parliament that they were very much free to decide on intervention as Britain had made no binding </w:t>
      </w:r>
      <w:r w:rsidR="00A960C2">
        <w:rPr>
          <w:rFonts w:ascii="Times New Roman" w:hAnsi="Times New Roman" w:cs="Times New Roman"/>
          <w:szCs w:val="36"/>
        </w:rPr>
        <w:lastRenderedPageBreak/>
        <w:t>commitments to France and Russia other than promising to protect the French coasts and shipping.</w:t>
      </w:r>
      <w:r w:rsidR="00A960C2">
        <w:rPr>
          <w:rStyle w:val="FootnoteReference"/>
          <w:rFonts w:ascii="Times New Roman" w:hAnsi="Times New Roman" w:cs="Times New Roman"/>
          <w:szCs w:val="36"/>
        </w:rPr>
        <w:footnoteReference w:id="12"/>
      </w:r>
      <w:r w:rsidR="00234822">
        <w:rPr>
          <w:rFonts w:ascii="Times New Roman" w:hAnsi="Times New Roman" w:cs="Times New Roman"/>
          <w:szCs w:val="36"/>
        </w:rPr>
        <w:t xml:space="preserve"> This admittance that Parliament was ver</w:t>
      </w:r>
      <w:r w:rsidR="002F042E">
        <w:rPr>
          <w:rFonts w:ascii="Times New Roman" w:hAnsi="Times New Roman" w:cs="Times New Roman"/>
          <w:szCs w:val="36"/>
        </w:rPr>
        <w:t>y much free to decide can be seen with ‘before I come to state to the House what our attitude is with regard to the present crisis, the House may know exactly under what obligations the Government is, or the House can said to be</w:t>
      </w:r>
      <w:r w:rsidR="00735D07">
        <w:rPr>
          <w:rFonts w:ascii="Times New Roman" w:hAnsi="Times New Roman" w:cs="Times New Roman"/>
          <w:szCs w:val="36"/>
        </w:rPr>
        <w:t>, in coming to a decision on the matter’.</w:t>
      </w:r>
      <w:r w:rsidR="00735D07">
        <w:rPr>
          <w:rStyle w:val="FootnoteReference"/>
          <w:rFonts w:ascii="Times New Roman" w:hAnsi="Times New Roman" w:cs="Times New Roman"/>
          <w:szCs w:val="36"/>
        </w:rPr>
        <w:footnoteReference w:id="13"/>
      </w:r>
      <w:r w:rsidR="00261FC4">
        <w:rPr>
          <w:rFonts w:ascii="Times New Roman" w:hAnsi="Times New Roman" w:cs="Times New Roman"/>
          <w:szCs w:val="36"/>
        </w:rPr>
        <w:t xml:space="preserve"> However, Sir Edward Grey also spoke about the Entente Britain had with France and left it to the House of Commons how far Britain was morally bound to come to the assistance of France</w:t>
      </w:r>
      <w:r w:rsidR="00BA5CAC">
        <w:rPr>
          <w:rFonts w:ascii="Times New Roman" w:hAnsi="Times New Roman" w:cs="Times New Roman"/>
          <w:szCs w:val="36"/>
        </w:rPr>
        <w:t>, referring to a sense of honour Britain owes the Entente</w:t>
      </w:r>
      <w:r w:rsidR="00261FC4">
        <w:rPr>
          <w:rFonts w:ascii="Times New Roman" w:hAnsi="Times New Roman" w:cs="Times New Roman"/>
          <w:szCs w:val="36"/>
        </w:rPr>
        <w:t>.</w:t>
      </w:r>
      <w:r w:rsidR="00261FC4">
        <w:rPr>
          <w:rStyle w:val="FootnoteReference"/>
          <w:rFonts w:ascii="Times New Roman" w:hAnsi="Times New Roman" w:cs="Times New Roman"/>
          <w:szCs w:val="36"/>
        </w:rPr>
        <w:footnoteReference w:id="14"/>
      </w:r>
      <w:r w:rsidR="00BA5CAC">
        <w:rPr>
          <w:rFonts w:ascii="Times New Roman" w:hAnsi="Times New Roman" w:cs="Times New Roman"/>
          <w:szCs w:val="36"/>
        </w:rPr>
        <w:t xml:space="preserve"> Sir Edward Grey then spoke about the situation with Belgium, and gave his view that Britain was honour bound to assist Belgium if necessary.</w:t>
      </w:r>
      <w:r w:rsidR="00BA5CAC">
        <w:rPr>
          <w:rStyle w:val="FootnoteReference"/>
          <w:rFonts w:ascii="Times New Roman" w:hAnsi="Times New Roman" w:cs="Times New Roman"/>
          <w:szCs w:val="36"/>
        </w:rPr>
        <w:footnoteReference w:id="15"/>
      </w:r>
      <w:r w:rsidR="000F5643">
        <w:rPr>
          <w:rFonts w:ascii="Times New Roman" w:hAnsi="Times New Roman" w:cs="Times New Roman"/>
          <w:szCs w:val="36"/>
        </w:rPr>
        <w:t xml:space="preserve"> He said that ‘We have an interest in the independence of Belgium which is wider than that which we may have in the literal operation of the guarantee. It is found in the answers to the question</w:t>
      </w:r>
      <w:r w:rsidR="00FA3C5F">
        <w:rPr>
          <w:rFonts w:ascii="Times New Roman" w:hAnsi="Times New Roman" w:cs="Times New Roman"/>
          <w:szCs w:val="36"/>
        </w:rPr>
        <w:t>, whether under the circumstances of the case, this country, endowed as it is with influence and power, would quietly stand by and witness the perpetration of the direst crimes that ever stained the pages of history, and thus become participators in the sin’.</w:t>
      </w:r>
      <w:r w:rsidR="00FA3C5F">
        <w:rPr>
          <w:rStyle w:val="FootnoteReference"/>
          <w:rFonts w:ascii="Times New Roman" w:hAnsi="Times New Roman" w:cs="Times New Roman"/>
          <w:szCs w:val="36"/>
        </w:rPr>
        <w:footnoteReference w:id="16"/>
      </w:r>
      <w:r w:rsidR="00AA5DE3">
        <w:rPr>
          <w:rFonts w:ascii="Times New Roman" w:hAnsi="Times New Roman" w:cs="Times New Roman"/>
          <w:szCs w:val="36"/>
        </w:rPr>
        <w:t xml:space="preserve"> However, Sir Edward Grey knew before this speech that Belgium would be a deciding factor on whether Britain joins the war or not, as can be seen with ‘the preservation of the neutrality of Belgium might be, I would not say a decisive, but an important factor in determining out attitude’ which he said on 31 July.</w:t>
      </w:r>
      <w:r w:rsidR="00AA5DE3">
        <w:rPr>
          <w:rStyle w:val="FootnoteReference"/>
          <w:rFonts w:ascii="Times New Roman" w:hAnsi="Times New Roman" w:cs="Times New Roman"/>
          <w:szCs w:val="36"/>
        </w:rPr>
        <w:footnoteReference w:id="17"/>
      </w:r>
      <w:r w:rsidR="00BF05E4">
        <w:rPr>
          <w:rFonts w:ascii="Times New Roman" w:hAnsi="Times New Roman" w:cs="Times New Roman"/>
          <w:szCs w:val="36"/>
        </w:rPr>
        <w:t xml:space="preserve"> </w:t>
      </w:r>
      <w:r w:rsidR="00A11E94">
        <w:rPr>
          <w:rFonts w:ascii="Times New Roman" w:hAnsi="Times New Roman" w:cs="Times New Roman"/>
          <w:szCs w:val="36"/>
        </w:rPr>
        <w:t>Sir Edward Grey knew that the independence of Belgium was highly important in British interests in Europe, which is perhaps why he stressed it so much.</w:t>
      </w:r>
      <w:r w:rsidR="00A11E94">
        <w:rPr>
          <w:rStyle w:val="FootnoteReference"/>
          <w:rFonts w:ascii="Times New Roman" w:hAnsi="Times New Roman" w:cs="Times New Roman"/>
          <w:szCs w:val="36"/>
        </w:rPr>
        <w:footnoteReference w:id="18"/>
      </w:r>
    </w:p>
    <w:p w:rsidR="00BD03AA" w:rsidRDefault="00266ED2" w:rsidP="009404DA">
      <w:pPr>
        <w:jc w:val="both"/>
        <w:rPr>
          <w:rFonts w:ascii="Times New Roman" w:hAnsi="Times New Roman" w:cs="Times New Roman"/>
          <w:szCs w:val="36"/>
        </w:rPr>
      </w:pPr>
      <w:r>
        <w:rPr>
          <w:rFonts w:ascii="Times New Roman" w:hAnsi="Times New Roman" w:cs="Times New Roman"/>
          <w:szCs w:val="36"/>
        </w:rPr>
        <w:t xml:space="preserve">The speech carried the </w:t>
      </w:r>
      <w:r w:rsidR="0078291D">
        <w:rPr>
          <w:rFonts w:ascii="Times New Roman" w:hAnsi="Times New Roman" w:cs="Times New Roman"/>
          <w:szCs w:val="36"/>
        </w:rPr>
        <w:t>overwhelming majority</w:t>
      </w:r>
      <w:r>
        <w:rPr>
          <w:rFonts w:ascii="Times New Roman" w:hAnsi="Times New Roman" w:cs="Times New Roman"/>
          <w:szCs w:val="36"/>
        </w:rPr>
        <w:t xml:space="preserve"> in the House of Commons</w:t>
      </w:r>
      <w:r w:rsidR="0078291D">
        <w:rPr>
          <w:rFonts w:ascii="Times New Roman" w:hAnsi="Times New Roman" w:cs="Times New Roman"/>
          <w:szCs w:val="36"/>
        </w:rPr>
        <w:t>, as can be seen how Lobby correspondent Alexander Mackintosh describes how ‘the Foreign Secretary described the situation and the obligation we had assumed. His speech was in form simple and plain, almost controversial, but so much faith was placed in his character and judgement that his words were convincing. The temper of the audience, although its silence was seldom broken, became more and more distinct as Grey proceeded, and when he sat down the Government knew that the House would be with it in armed resistance to Ger</w:t>
      </w:r>
      <w:r w:rsidR="005B0EA4">
        <w:rPr>
          <w:rFonts w:ascii="Times New Roman" w:hAnsi="Times New Roman" w:cs="Times New Roman"/>
          <w:szCs w:val="36"/>
        </w:rPr>
        <w:t>man aggression. There was no jingoism, but there was firm, solemn determination’.</w:t>
      </w:r>
      <w:r w:rsidR="005B0EA4">
        <w:rPr>
          <w:rStyle w:val="FootnoteReference"/>
          <w:rFonts w:ascii="Times New Roman" w:hAnsi="Times New Roman" w:cs="Times New Roman"/>
          <w:szCs w:val="36"/>
        </w:rPr>
        <w:footnoteReference w:id="19"/>
      </w:r>
      <w:r w:rsidR="00152CB2">
        <w:rPr>
          <w:rFonts w:ascii="Times New Roman" w:hAnsi="Times New Roman" w:cs="Times New Roman"/>
          <w:szCs w:val="36"/>
        </w:rPr>
        <w:t xml:space="preserve"> This reaction supports the idea that Sir Edwards Grey’s speech not only provided an explanation for the situation in Europe, but also supported war with Germany out of necessity and honour.</w:t>
      </w:r>
      <w:r w:rsidR="00DA09D7">
        <w:rPr>
          <w:rFonts w:ascii="Times New Roman" w:hAnsi="Times New Roman" w:cs="Times New Roman"/>
          <w:szCs w:val="36"/>
        </w:rPr>
        <w:t xml:space="preserve"> What is also interesting is how Alexander Mackintosh described that there was no jingoism</w:t>
      </w:r>
      <w:r w:rsidR="00E92505">
        <w:rPr>
          <w:rFonts w:ascii="Times New Roman" w:hAnsi="Times New Roman" w:cs="Times New Roman"/>
          <w:szCs w:val="36"/>
        </w:rPr>
        <w:t xml:space="preserve"> in his speech, which supports the idea that Sir Edward Grey was more concerned with </w:t>
      </w:r>
      <w:r w:rsidR="00B66C79">
        <w:rPr>
          <w:rFonts w:ascii="Times New Roman" w:hAnsi="Times New Roman" w:cs="Times New Roman"/>
          <w:szCs w:val="36"/>
        </w:rPr>
        <w:t>honouring the Entente and halting rather than fighting a patriotic war for King and Country. However, as previously mentioned</w:t>
      </w:r>
      <w:r w:rsidR="0010348B">
        <w:rPr>
          <w:rFonts w:ascii="Times New Roman" w:hAnsi="Times New Roman" w:cs="Times New Roman"/>
          <w:szCs w:val="36"/>
        </w:rPr>
        <w:t>,</w:t>
      </w:r>
      <w:r w:rsidR="00B66C79">
        <w:rPr>
          <w:rFonts w:ascii="Times New Roman" w:hAnsi="Times New Roman" w:cs="Times New Roman"/>
          <w:szCs w:val="36"/>
        </w:rPr>
        <w:t xml:space="preserve"> what he </w:t>
      </w:r>
      <w:r w:rsidR="007D0B21">
        <w:rPr>
          <w:rFonts w:ascii="Times New Roman" w:hAnsi="Times New Roman" w:cs="Times New Roman"/>
          <w:szCs w:val="36"/>
        </w:rPr>
        <w:t xml:space="preserve">really </w:t>
      </w:r>
      <w:r w:rsidR="004A58D4">
        <w:rPr>
          <w:rFonts w:ascii="Times New Roman" w:hAnsi="Times New Roman" w:cs="Times New Roman"/>
          <w:szCs w:val="36"/>
        </w:rPr>
        <w:t>wanted</w:t>
      </w:r>
      <w:r w:rsidR="00B66C79">
        <w:rPr>
          <w:rFonts w:ascii="Times New Roman" w:hAnsi="Times New Roman" w:cs="Times New Roman"/>
          <w:szCs w:val="36"/>
        </w:rPr>
        <w:t xml:space="preserve"> was to avoid war completely and preserve peace in Europe, </w:t>
      </w:r>
      <w:r w:rsidR="00266C7A">
        <w:rPr>
          <w:rFonts w:ascii="Times New Roman" w:hAnsi="Times New Roman" w:cs="Times New Roman"/>
          <w:szCs w:val="36"/>
        </w:rPr>
        <w:t>but after the failure of negotiations he worked to make sure Brita</w:t>
      </w:r>
      <w:r w:rsidR="0010348B">
        <w:rPr>
          <w:rFonts w:ascii="Times New Roman" w:hAnsi="Times New Roman" w:cs="Times New Roman"/>
          <w:szCs w:val="36"/>
        </w:rPr>
        <w:t>in would honour its commitments to the Entente.</w:t>
      </w:r>
      <w:r w:rsidR="007D0B21">
        <w:rPr>
          <w:rFonts w:ascii="Times New Roman" w:hAnsi="Times New Roman" w:cs="Times New Roman"/>
          <w:szCs w:val="36"/>
        </w:rPr>
        <w:t xml:space="preserve"> Another key factor in this is that Sir Edward Grey hated war, as can be seen when Permanent Under-Secretary Arthur Nicolson congratulated him on the speech, which Sir Edward Grey replied with ‘I hate war. I hate war’.</w:t>
      </w:r>
      <w:r w:rsidR="007D0B21">
        <w:rPr>
          <w:rStyle w:val="FootnoteReference"/>
          <w:rFonts w:ascii="Times New Roman" w:hAnsi="Times New Roman" w:cs="Times New Roman"/>
          <w:szCs w:val="36"/>
        </w:rPr>
        <w:footnoteReference w:id="20"/>
      </w:r>
      <w:r w:rsidR="004107E4">
        <w:rPr>
          <w:rFonts w:ascii="Times New Roman" w:hAnsi="Times New Roman" w:cs="Times New Roman"/>
          <w:szCs w:val="36"/>
        </w:rPr>
        <w:t xml:space="preserve"> This also supports the idea that </w:t>
      </w:r>
      <w:r w:rsidR="00C44EC6">
        <w:rPr>
          <w:rFonts w:ascii="Times New Roman" w:hAnsi="Times New Roman" w:cs="Times New Roman"/>
          <w:szCs w:val="36"/>
        </w:rPr>
        <w:t xml:space="preserve">Sir Edward Grey supported the war </w:t>
      </w:r>
      <w:r w:rsidR="004107E4">
        <w:rPr>
          <w:rFonts w:ascii="Times New Roman" w:hAnsi="Times New Roman" w:cs="Times New Roman"/>
          <w:szCs w:val="36"/>
        </w:rPr>
        <w:t>out of necessity and honouring the Entente</w:t>
      </w:r>
      <w:r w:rsidR="00C44EC6">
        <w:rPr>
          <w:rFonts w:ascii="Times New Roman" w:hAnsi="Times New Roman" w:cs="Times New Roman"/>
          <w:szCs w:val="36"/>
        </w:rPr>
        <w:t>, rather than jingoism or personal reasons.</w:t>
      </w:r>
    </w:p>
    <w:p w:rsidR="005D29EC" w:rsidRDefault="000E5D9A" w:rsidP="009404DA">
      <w:pPr>
        <w:jc w:val="both"/>
        <w:rPr>
          <w:rFonts w:ascii="Times New Roman" w:hAnsi="Times New Roman" w:cs="Times New Roman"/>
          <w:szCs w:val="36"/>
        </w:rPr>
      </w:pPr>
      <w:r>
        <w:rPr>
          <w:rFonts w:ascii="Times New Roman" w:hAnsi="Times New Roman" w:cs="Times New Roman"/>
          <w:szCs w:val="36"/>
        </w:rPr>
        <w:t xml:space="preserve">The speech by Sir Edward Grey stands out when compared to others from the time, however some interesting comparisons can be made between it and David Lloyd George’s Mansion House speech of </w:t>
      </w:r>
      <w:r>
        <w:rPr>
          <w:rFonts w:ascii="Times New Roman" w:hAnsi="Times New Roman" w:cs="Times New Roman"/>
          <w:szCs w:val="36"/>
        </w:rPr>
        <w:lastRenderedPageBreak/>
        <w:t>1911.</w:t>
      </w:r>
      <w:r w:rsidR="00C8758B">
        <w:rPr>
          <w:rStyle w:val="FootnoteReference"/>
          <w:rFonts w:ascii="Times New Roman" w:hAnsi="Times New Roman" w:cs="Times New Roman"/>
          <w:szCs w:val="36"/>
        </w:rPr>
        <w:footnoteReference w:id="21"/>
      </w:r>
      <w:r w:rsidR="00B11B1F">
        <w:rPr>
          <w:rFonts w:ascii="Times New Roman" w:hAnsi="Times New Roman" w:cs="Times New Roman"/>
          <w:szCs w:val="36"/>
        </w:rPr>
        <w:t xml:space="preserve"> Interestingly, both</w:t>
      </w:r>
      <w:r w:rsidR="00112D2C">
        <w:rPr>
          <w:rFonts w:ascii="Times New Roman" w:hAnsi="Times New Roman" w:cs="Times New Roman"/>
          <w:szCs w:val="36"/>
        </w:rPr>
        <w:t xml:space="preserve"> speech</w:t>
      </w:r>
      <w:r w:rsidR="009203E4">
        <w:rPr>
          <w:rFonts w:ascii="Times New Roman" w:hAnsi="Times New Roman" w:cs="Times New Roman"/>
          <w:szCs w:val="36"/>
        </w:rPr>
        <w:t>es are very much in favour of intervention if deemed necessary, but for very different reasons.</w:t>
      </w:r>
      <w:r w:rsidR="005A289E">
        <w:rPr>
          <w:rFonts w:ascii="Times New Roman" w:hAnsi="Times New Roman" w:cs="Times New Roman"/>
          <w:szCs w:val="36"/>
        </w:rPr>
        <w:t xml:space="preserve"> David Lloyd George described that ‘if a situation were to be forced upon us in which peace could only preserved by the surrender of the great and beneficent position Britain has won by centuries of</w:t>
      </w:r>
      <w:r w:rsidR="00823869">
        <w:rPr>
          <w:rFonts w:ascii="Times New Roman" w:hAnsi="Times New Roman" w:cs="Times New Roman"/>
          <w:szCs w:val="36"/>
        </w:rPr>
        <w:t xml:space="preserve"> heroism and achievement… then I say emphatically that peace at that price would be a humiliation intolerable for a great country like our to endure’ which shows that he believed, like Sir Edward Grey, that peace would not be an option if the Entente went to war, but unlike Sir Edward Grey, he believed this out of jingoism and pride rather than honouring the Entente and the failure of negotiations.</w:t>
      </w:r>
      <w:r w:rsidR="00823869">
        <w:rPr>
          <w:rStyle w:val="FootnoteReference"/>
          <w:rFonts w:ascii="Times New Roman" w:hAnsi="Times New Roman" w:cs="Times New Roman"/>
          <w:szCs w:val="36"/>
        </w:rPr>
        <w:footnoteReference w:id="22"/>
      </w:r>
      <w:r w:rsidR="00EF00A2">
        <w:rPr>
          <w:rFonts w:ascii="Times New Roman" w:hAnsi="Times New Roman" w:cs="Times New Roman"/>
          <w:szCs w:val="36"/>
        </w:rPr>
        <w:t xml:space="preserve"> One rather large difference between the two speeches is what they are a response to</w:t>
      </w:r>
      <w:r w:rsidR="002367EA">
        <w:rPr>
          <w:rFonts w:ascii="Times New Roman" w:hAnsi="Times New Roman" w:cs="Times New Roman"/>
          <w:szCs w:val="36"/>
        </w:rPr>
        <w:t>, as David Lloyd George’s speech is a response to the 1911 Agadir crisis, in which the French sent troops into Fez in order to try and establish a protectorate over the country but the Germans saw this as an opportunity to win some colonial concessions, and claimed that the French breached the 1906 Algeciras agreement.</w:t>
      </w:r>
      <w:r w:rsidR="002367EA">
        <w:rPr>
          <w:rStyle w:val="FootnoteReference"/>
          <w:rFonts w:ascii="Times New Roman" w:hAnsi="Times New Roman" w:cs="Times New Roman"/>
          <w:szCs w:val="36"/>
        </w:rPr>
        <w:footnoteReference w:id="23"/>
      </w:r>
      <w:r w:rsidR="00742585">
        <w:rPr>
          <w:rFonts w:ascii="Times New Roman" w:hAnsi="Times New Roman" w:cs="Times New Roman"/>
          <w:szCs w:val="36"/>
        </w:rPr>
        <w:t xml:space="preserve"> The situation backfired for the Germans as Austria refused even diplomatic support, while the </w:t>
      </w:r>
      <w:r w:rsidR="000476AE">
        <w:rPr>
          <w:rFonts w:ascii="Times New Roman" w:hAnsi="Times New Roman" w:cs="Times New Roman"/>
          <w:szCs w:val="36"/>
        </w:rPr>
        <w:t>British went straight to the support of France, as can be seen with David Lloyd George’s speech.</w:t>
      </w:r>
      <w:r w:rsidR="009764E3">
        <w:rPr>
          <w:rStyle w:val="FootnoteReference"/>
          <w:rFonts w:ascii="Times New Roman" w:hAnsi="Times New Roman" w:cs="Times New Roman"/>
          <w:szCs w:val="36"/>
        </w:rPr>
        <w:footnoteReference w:id="24"/>
      </w:r>
      <w:r w:rsidR="009764E3">
        <w:rPr>
          <w:rFonts w:ascii="Times New Roman" w:hAnsi="Times New Roman" w:cs="Times New Roman"/>
          <w:szCs w:val="36"/>
        </w:rPr>
        <w:t xml:space="preserve"> What this also shows is that David Lloyd George was perhaps also motivated to honour Britain’s agreement with the Entente, however this could be more out of protecting Britain’s global status and reputation rather than an actual concern for the problem the French faced.</w:t>
      </w:r>
      <w:r w:rsidR="00416ADA">
        <w:rPr>
          <w:rFonts w:ascii="Times New Roman" w:hAnsi="Times New Roman" w:cs="Times New Roman"/>
          <w:szCs w:val="36"/>
        </w:rPr>
        <w:t xml:space="preserve"> Overall, the two speeches have more in common, as both support war if necessary and</w:t>
      </w:r>
      <w:r w:rsidR="00113881">
        <w:rPr>
          <w:rFonts w:ascii="Times New Roman" w:hAnsi="Times New Roman" w:cs="Times New Roman"/>
          <w:szCs w:val="36"/>
        </w:rPr>
        <w:t xml:space="preserve">, admittedly for different </w:t>
      </w:r>
      <w:r w:rsidR="003663C6">
        <w:rPr>
          <w:rFonts w:ascii="Times New Roman" w:hAnsi="Times New Roman" w:cs="Times New Roman"/>
          <w:szCs w:val="36"/>
        </w:rPr>
        <w:t>reasons, honouring</w:t>
      </w:r>
      <w:r w:rsidR="00416ADA">
        <w:rPr>
          <w:rFonts w:ascii="Times New Roman" w:hAnsi="Times New Roman" w:cs="Times New Roman"/>
          <w:szCs w:val="36"/>
        </w:rPr>
        <w:t xml:space="preserve"> the </w:t>
      </w:r>
      <w:r w:rsidR="00113881">
        <w:rPr>
          <w:rFonts w:ascii="Times New Roman" w:hAnsi="Times New Roman" w:cs="Times New Roman"/>
          <w:szCs w:val="36"/>
        </w:rPr>
        <w:t>Entente.</w:t>
      </w:r>
    </w:p>
    <w:p w:rsidR="00FD3BC9" w:rsidRDefault="005D29EC" w:rsidP="00D26011">
      <w:pPr>
        <w:jc w:val="center"/>
        <w:rPr>
          <w:rFonts w:ascii="Times New Roman" w:hAnsi="Times New Roman" w:cs="Times New Roman"/>
          <w:b/>
          <w:sz w:val="36"/>
          <w:szCs w:val="36"/>
          <w:u w:val="single"/>
        </w:rPr>
      </w:pPr>
      <w:r>
        <w:rPr>
          <w:rFonts w:ascii="Times New Roman" w:hAnsi="Times New Roman" w:cs="Times New Roman"/>
          <w:szCs w:val="36"/>
        </w:rPr>
        <w:br w:type="page"/>
      </w:r>
      <w:r w:rsidR="00D26011">
        <w:rPr>
          <w:rFonts w:ascii="Times New Roman" w:hAnsi="Times New Roman" w:cs="Times New Roman"/>
          <w:b/>
          <w:sz w:val="36"/>
          <w:szCs w:val="36"/>
          <w:u w:val="single"/>
        </w:rPr>
        <w:lastRenderedPageBreak/>
        <w:t xml:space="preserve">Book Review: </w:t>
      </w:r>
      <w:r w:rsidR="00157CA7">
        <w:rPr>
          <w:rFonts w:ascii="Times New Roman" w:hAnsi="Times New Roman" w:cs="Times New Roman"/>
          <w:b/>
          <w:sz w:val="36"/>
          <w:szCs w:val="36"/>
          <w:u w:val="single"/>
        </w:rPr>
        <w:t>The First World War on the Home Front by Terry Charman</w:t>
      </w:r>
    </w:p>
    <w:p w:rsidR="006D0CAF" w:rsidRDefault="006D0CAF" w:rsidP="006D0CAF">
      <w:pPr>
        <w:rPr>
          <w:rFonts w:ascii="Times New Roman" w:hAnsi="Times New Roman" w:cs="Times New Roman"/>
          <w:b/>
          <w:sz w:val="36"/>
          <w:szCs w:val="36"/>
          <w:u w:val="single"/>
        </w:rPr>
      </w:pPr>
    </w:p>
    <w:p w:rsidR="006D0CAF" w:rsidRDefault="006D0CAF" w:rsidP="00223300">
      <w:pPr>
        <w:jc w:val="both"/>
        <w:rPr>
          <w:rFonts w:ascii="Times New Roman" w:hAnsi="Times New Roman" w:cs="Times New Roman"/>
          <w:szCs w:val="36"/>
        </w:rPr>
      </w:pPr>
      <w:r w:rsidRPr="003519D1">
        <w:rPr>
          <w:rFonts w:ascii="Times New Roman" w:hAnsi="Times New Roman" w:cs="Times New Roman"/>
          <w:i/>
          <w:szCs w:val="36"/>
        </w:rPr>
        <w:t>The First World War on the Home Front</w:t>
      </w:r>
      <w:r>
        <w:rPr>
          <w:rFonts w:ascii="Times New Roman" w:hAnsi="Times New Roman" w:cs="Times New Roman"/>
          <w:szCs w:val="36"/>
        </w:rPr>
        <w:t xml:space="preserve"> is </w:t>
      </w:r>
      <w:r w:rsidR="001754B8">
        <w:rPr>
          <w:rFonts w:ascii="Times New Roman" w:hAnsi="Times New Roman" w:cs="Times New Roman"/>
          <w:szCs w:val="36"/>
        </w:rPr>
        <w:t>a book written by Terry Charman discussing the history of the British home front. The intended audience for this is book is large as</w:t>
      </w:r>
      <w:r w:rsidR="00C96B8A">
        <w:rPr>
          <w:rFonts w:ascii="Times New Roman" w:hAnsi="Times New Roman" w:cs="Times New Roman"/>
          <w:szCs w:val="36"/>
        </w:rPr>
        <w:t xml:space="preserve"> it </w:t>
      </w:r>
      <w:r w:rsidR="00223300">
        <w:rPr>
          <w:rFonts w:ascii="Times New Roman" w:hAnsi="Times New Roman" w:cs="Times New Roman"/>
          <w:szCs w:val="36"/>
        </w:rPr>
        <w:t>cover</w:t>
      </w:r>
      <w:r w:rsidR="00C96B8A">
        <w:rPr>
          <w:rFonts w:ascii="Times New Roman" w:hAnsi="Times New Roman" w:cs="Times New Roman"/>
          <w:szCs w:val="36"/>
        </w:rPr>
        <w:t>s</w:t>
      </w:r>
      <w:r w:rsidR="00223300">
        <w:rPr>
          <w:rFonts w:ascii="Times New Roman" w:hAnsi="Times New Roman" w:cs="Times New Roman"/>
          <w:szCs w:val="36"/>
        </w:rPr>
        <w:t xml:space="preserve"> a lot of the history</w:t>
      </w:r>
      <w:r w:rsidR="00C96B8A">
        <w:rPr>
          <w:rFonts w:ascii="Times New Roman" w:hAnsi="Times New Roman" w:cs="Times New Roman"/>
          <w:szCs w:val="36"/>
        </w:rPr>
        <w:t xml:space="preserve"> of the home front</w:t>
      </w:r>
      <w:r w:rsidR="00223300">
        <w:rPr>
          <w:rFonts w:ascii="Times New Roman" w:hAnsi="Times New Roman" w:cs="Times New Roman"/>
          <w:szCs w:val="36"/>
        </w:rPr>
        <w:t xml:space="preserve">, ranging from the political situation in 1914 to the role of women on the home front and even the </w:t>
      </w:r>
      <w:r w:rsidR="00C96B8A">
        <w:rPr>
          <w:rFonts w:ascii="Times New Roman" w:hAnsi="Times New Roman" w:cs="Times New Roman"/>
          <w:szCs w:val="36"/>
        </w:rPr>
        <w:t>effects of the German blockade.</w:t>
      </w:r>
      <w:r w:rsidR="00C96B8A">
        <w:rPr>
          <w:rStyle w:val="FootnoteReference"/>
          <w:rFonts w:ascii="Times New Roman" w:hAnsi="Times New Roman" w:cs="Times New Roman"/>
          <w:szCs w:val="36"/>
        </w:rPr>
        <w:footnoteReference w:id="25"/>
      </w:r>
      <w:r w:rsidR="00C96B8A">
        <w:rPr>
          <w:rFonts w:ascii="Times New Roman" w:hAnsi="Times New Roman" w:cs="Times New Roman"/>
          <w:szCs w:val="36"/>
        </w:rPr>
        <w:t xml:space="preserve"> So the intended audience for this book </w:t>
      </w:r>
      <w:r w:rsidR="00F65426">
        <w:rPr>
          <w:rFonts w:ascii="Times New Roman" w:hAnsi="Times New Roman" w:cs="Times New Roman"/>
          <w:szCs w:val="36"/>
        </w:rPr>
        <w:t>are people who are</w:t>
      </w:r>
      <w:r w:rsidR="00C96B8A">
        <w:rPr>
          <w:rFonts w:ascii="Times New Roman" w:hAnsi="Times New Roman" w:cs="Times New Roman"/>
          <w:szCs w:val="36"/>
        </w:rPr>
        <w:t xml:space="preserve"> interested in all aspects of the home front.</w:t>
      </w:r>
      <w:r w:rsidR="00F65426">
        <w:rPr>
          <w:rFonts w:ascii="Times New Roman" w:hAnsi="Times New Roman" w:cs="Times New Roman"/>
          <w:szCs w:val="36"/>
        </w:rPr>
        <w:t xml:space="preserve"> No description of the author is given in the book, but what is interesting is that the book is dedicated to his </w:t>
      </w:r>
      <w:r w:rsidR="00AB20D6">
        <w:rPr>
          <w:rFonts w:ascii="Times New Roman" w:hAnsi="Times New Roman" w:cs="Times New Roman"/>
          <w:szCs w:val="36"/>
        </w:rPr>
        <w:t>grandparents, who he calls ‘two warriors on the home front 1914-1918’ which shows that because of this personal connection he has to this area of history, his approach may be different to others.</w:t>
      </w:r>
      <w:r w:rsidR="0099794D">
        <w:rPr>
          <w:rStyle w:val="FootnoteReference"/>
          <w:rFonts w:ascii="Times New Roman" w:hAnsi="Times New Roman" w:cs="Times New Roman"/>
          <w:szCs w:val="36"/>
        </w:rPr>
        <w:footnoteReference w:id="26"/>
      </w:r>
      <w:r w:rsidR="00A51B8A">
        <w:rPr>
          <w:rFonts w:ascii="Times New Roman" w:hAnsi="Times New Roman" w:cs="Times New Roman"/>
          <w:szCs w:val="36"/>
        </w:rPr>
        <w:t xml:space="preserve"> </w:t>
      </w:r>
      <w:r w:rsidR="008125C3">
        <w:rPr>
          <w:rFonts w:ascii="Times New Roman" w:hAnsi="Times New Roman" w:cs="Times New Roman"/>
          <w:szCs w:val="36"/>
        </w:rPr>
        <w:t xml:space="preserve">Terry Charman was Senior Historian </w:t>
      </w:r>
      <w:r w:rsidR="00172967">
        <w:rPr>
          <w:rFonts w:ascii="Times New Roman" w:hAnsi="Times New Roman" w:cs="Times New Roman"/>
          <w:szCs w:val="36"/>
        </w:rPr>
        <w:t>for the Imperial War Museum for 41 years and</w:t>
      </w:r>
      <w:r w:rsidR="007155E0">
        <w:rPr>
          <w:rFonts w:ascii="Times New Roman" w:hAnsi="Times New Roman" w:cs="Times New Roman"/>
          <w:szCs w:val="36"/>
        </w:rPr>
        <w:t xml:space="preserve"> is a frequent lecturer on the First and Second World War</w:t>
      </w:r>
      <w:r w:rsidR="00172967">
        <w:rPr>
          <w:rFonts w:ascii="Times New Roman" w:hAnsi="Times New Roman" w:cs="Times New Roman"/>
          <w:szCs w:val="36"/>
        </w:rPr>
        <w:t>.</w:t>
      </w:r>
      <w:r w:rsidR="0076772D">
        <w:rPr>
          <w:rStyle w:val="FootnoteReference"/>
          <w:rFonts w:ascii="Times New Roman" w:hAnsi="Times New Roman" w:cs="Times New Roman"/>
          <w:szCs w:val="36"/>
        </w:rPr>
        <w:footnoteReference w:id="27"/>
      </w:r>
      <w:r w:rsidR="00172967">
        <w:rPr>
          <w:rFonts w:ascii="Times New Roman" w:hAnsi="Times New Roman" w:cs="Times New Roman"/>
          <w:szCs w:val="36"/>
        </w:rPr>
        <w:t xml:space="preserve"> </w:t>
      </w:r>
      <w:r w:rsidR="0076772D">
        <w:rPr>
          <w:rFonts w:ascii="Times New Roman" w:hAnsi="Times New Roman" w:cs="Times New Roman"/>
          <w:szCs w:val="36"/>
        </w:rPr>
        <w:t>This position he held at the Imperial</w:t>
      </w:r>
      <w:r w:rsidR="007155E0">
        <w:rPr>
          <w:rFonts w:ascii="Times New Roman" w:hAnsi="Times New Roman" w:cs="Times New Roman"/>
          <w:szCs w:val="36"/>
        </w:rPr>
        <w:t xml:space="preserve"> War Museum, as well as his other works, show that he is most definitely can be compared to other academics, especially considering that he has done many works on the British and German home fronts throughout both World Wars</w:t>
      </w:r>
      <w:r w:rsidR="0076772D">
        <w:rPr>
          <w:rFonts w:ascii="Times New Roman" w:hAnsi="Times New Roman" w:cs="Times New Roman"/>
          <w:szCs w:val="36"/>
        </w:rPr>
        <w:t>.</w:t>
      </w:r>
      <w:r w:rsidR="007155E0">
        <w:rPr>
          <w:rStyle w:val="FootnoteReference"/>
          <w:rFonts w:ascii="Times New Roman" w:hAnsi="Times New Roman" w:cs="Times New Roman"/>
          <w:szCs w:val="36"/>
        </w:rPr>
        <w:footnoteReference w:id="28"/>
      </w:r>
      <w:r w:rsidR="0076772D">
        <w:rPr>
          <w:rFonts w:ascii="Times New Roman" w:hAnsi="Times New Roman" w:cs="Times New Roman"/>
          <w:szCs w:val="36"/>
        </w:rPr>
        <w:t xml:space="preserve"> </w:t>
      </w:r>
      <w:r w:rsidR="00CF573B">
        <w:rPr>
          <w:rFonts w:ascii="Times New Roman" w:hAnsi="Times New Roman" w:cs="Times New Roman"/>
          <w:szCs w:val="36"/>
        </w:rPr>
        <w:t xml:space="preserve">The approach Terry Charman uses when giving information is rather unusual as the focus shifts from discussing individuals to key events and statistical information. </w:t>
      </w:r>
      <w:r w:rsidR="008F5E54">
        <w:rPr>
          <w:rFonts w:ascii="Times New Roman" w:hAnsi="Times New Roman" w:cs="Times New Roman"/>
          <w:szCs w:val="36"/>
        </w:rPr>
        <w:t xml:space="preserve">There is a lot of primary source material used, which ranges from first-hand accounts, speeches, </w:t>
      </w:r>
      <w:r w:rsidR="0019080A">
        <w:rPr>
          <w:rFonts w:ascii="Times New Roman" w:hAnsi="Times New Roman" w:cs="Times New Roman"/>
          <w:szCs w:val="36"/>
        </w:rPr>
        <w:t xml:space="preserve">diary entries and newspapers. </w:t>
      </w:r>
      <w:r w:rsidR="00CF573B">
        <w:rPr>
          <w:rFonts w:ascii="Times New Roman" w:hAnsi="Times New Roman" w:cs="Times New Roman"/>
          <w:szCs w:val="36"/>
        </w:rPr>
        <w:t xml:space="preserve">This focus on individuals and </w:t>
      </w:r>
      <w:r w:rsidR="005542D1">
        <w:rPr>
          <w:rFonts w:ascii="Times New Roman" w:hAnsi="Times New Roman" w:cs="Times New Roman"/>
          <w:szCs w:val="36"/>
        </w:rPr>
        <w:t xml:space="preserve">first-hand accounts </w:t>
      </w:r>
      <w:r w:rsidR="00CF573B">
        <w:rPr>
          <w:rFonts w:ascii="Times New Roman" w:hAnsi="Times New Roman" w:cs="Times New Roman"/>
          <w:szCs w:val="36"/>
        </w:rPr>
        <w:t xml:space="preserve">during the time shows that while the author does discuss the importance of politics of the home front, </w:t>
      </w:r>
      <w:r w:rsidR="005542D1">
        <w:rPr>
          <w:rFonts w:ascii="Times New Roman" w:hAnsi="Times New Roman" w:cs="Times New Roman"/>
          <w:szCs w:val="36"/>
        </w:rPr>
        <w:t xml:space="preserve">he holds the stories of the men, women and children of the home front </w:t>
      </w:r>
      <w:r w:rsidR="00697555">
        <w:rPr>
          <w:rFonts w:ascii="Times New Roman" w:hAnsi="Times New Roman" w:cs="Times New Roman"/>
          <w:szCs w:val="36"/>
        </w:rPr>
        <w:t xml:space="preserve">at high esteem and considers </w:t>
      </w:r>
      <w:r w:rsidR="0017084C">
        <w:rPr>
          <w:rFonts w:ascii="Times New Roman" w:hAnsi="Times New Roman" w:cs="Times New Roman"/>
          <w:szCs w:val="36"/>
        </w:rPr>
        <w:t>them to be an important reason for the allied victory.</w:t>
      </w:r>
      <w:r w:rsidR="004431E9">
        <w:rPr>
          <w:rFonts w:ascii="Times New Roman" w:hAnsi="Times New Roman" w:cs="Times New Roman"/>
          <w:szCs w:val="36"/>
        </w:rPr>
        <w:t xml:space="preserve"> </w:t>
      </w:r>
      <w:r w:rsidR="008F5E54">
        <w:rPr>
          <w:rFonts w:ascii="Times New Roman" w:hAnsi="Times New Roman" w:cs="Times New Roman"/>
          <w:szCs w:val="36"/>
        </w:rPr>
        <w:t>The book was published in 2014, which was the 100-year anniversary of the start of the war and was written in partnership with the Imperial War Museum, showing that this book was most likely written for the anniversary.</w:t>
      </w:r>
      <w:r w:rsidR="008F5E54">
        <w:rPr>
          <w:rStyle w:val="FootnoteReference"/>
          <w:rFonts w:ascii="Times New Roman" w:hAnsi="Times New Roman" w:cs="Times New Roman"/>
          <w:szCs w:val="36"/>
        </w:rPr>
        <w:footnoteReference w:id="29"/>
      </w:r>
      <w:r w:rsidR="004431E9">
        <w:rPr>
          <w:rFonts w:ascii="Times New Roman" w:hAnsi="Times New Roman" w:cs="Times New Roman"/>
          <w:szCs w:val="36"/>
        </w:rPr>
        <w:t xml:space="preserve"> </w:t>
      </w:r>
      <w:r w:rsidR="006D7498">
        <w:rPr>
          <w:rFonts w:ascii="Times New Roman" w:hAnsi="Times New Roman" w:cs="Times New Roman"/>
          <w:szCs w:val="36"/>
        </w:rPr>
        <w:t>However, while the book was most likely written for the</w:t>
      </w:r>
      <w:r w:rsidR="00B15BE2">
        <w:rPr>
          <w:rFonts w:ascii="Times New Roman" w:hAnsi="Times New Roman" w:cs="Times New Roman"/>
          <w:szCs w:val="36"/>
        </w:rPr>
        <w:t xml:space="preserve"> general</w:t>
      </w:r>
      <w:r w:rsidR="006D7498">
        <w:rPr>
          <w:rFonts w:ascii="Times New Roman" w:hAnsi="Times New Roman" w:cs="Times New Roman"/>
          <w:szCs w:val="36"/>
        </w:rPr>
        <w:t xml:space="preserve"> </w:t>
      </w:r>
      <w:r w:rsidR="00B15BE2">
        <w:rPr>
          <w:rFonts w:ascii="Times New Roman" w:hAnsi="Times New Roman" w:cs="Times New Roman"/>
          <w:szCs w:val="36"/>
        </w:rPr>
        <w:t>public</w:t>
      </w:r>
      <w:r w:rsidR="006D7498">
        <w:rPr>
          <w:rFonts w:ascii="Times New Roman" w:hAnsi="Times New Roman" w:cs="Times New Roman"/>
          <w:szCs w:val="36"/>
        </w:rPr>
        <w:t xml:space="preserve">, </w:t>
      </w:r>
      <w:r w:rsidR="00437874">
        <w:rPr>
          <w:rFonts w:ascii="Times New Roman" w:hAnsi="Times New Roman" w:cs="Times New Roman"/>
          <w:szCs w:val="36"/>
        </w:rPr>
        <w:t>it also serves as an academic resource due to its level of detail and use of primary sources.</w:t>
      </w:r>
    </w:p>
    <w:p w:rsidR="005307C1" w:rsidRDefault="006D3458" w:rsidP="00223300">
      <w:pPr>
        <w:jc w:val="both"/>
        <w:rPr>
          <w:rFonts w:ascii="Times New Roman" w:hAnsi="Times New Roman" w:cs="Times New Roman"/>
          <w:szCs w:val="36"/>
        </w:rPr>
      </w:pPr>
      <w:r>
        <w:rPr>
          <w:rFonts w:ascii="Times New Roman" w:hAnsi="Times New Roman" w:cs="Times New Roman"/>
          <w:szCs w:val="36"/>
        </w:rPr>
        <w:t xml:space="preserve">The book </w:t>
      </w:r>
      <w:r w:rsidR="003519D1">
        <w:rPr>
          <w:rFonts w:ascii="Times New Roman" w:hAnsi="Times New Roman" w:cs="Times New Roman"/>
          <w:szCs w:val="36"/>
        </w:rPr>
        <w:t xml:space="preserve">has two major strengths which make it stand out when compared to other books discussing the First World War, the </w:t>
      </w:r>
      <w:r w:rsidR="002E513F">
        <w:rPr>
          <w:rFonts w:ascii="Times New Roman" w:hAnsi="Times New Roman" w:cs="Times New Roman"/>
          <w:szCs w:val="36"/>
        </w:rPr>
        <w:t xml:space="preserve">first </w:t>
      </w:r>
      <w:r w:rsidR="003519D1">
        <w:rPr>
          <w:rFonts w:ascii="Times New Roman" w:hAnsi="Times New Roman" w:cs="Times New Roman"/>
          <w:szCs w:val="36"/>
        </w:rPr>
        <w:t xml:space="preserve">being the wide area of history it covers. This can be best seen when compared with other books, such as </w:t>
      </w:r>
      <w:r w:rsidR="003519D1" w:rsidRPr="003519D1">
        <w:rPr>
          <w:rFonts w:ascii="Times New Roman" w:hAnsi="Times New Roman" w:cs="Times New Roman"/>
          <w:i/>
          <w:szCs w:val="36"/>
        </w:rPr>
        <w:t>Women at War 1914-1918</w:t>
      </w:r>
      <w:r w:rsidR="003519D1">
        <w:rPr>
          <w:rFonts w:ascii="Times New Roman" w:hAnsi="Times New Roman" w:cs="Times New Roman"/>
          <w:i/>
          <w:szCs w:val="36"/>
        </w:rPr>
        <w:t xml:space="preserve"> </w:t>
      </w:r>
      <w:r w:rsidR="003519D1">
        <w:rPr>
          <w:rFonts w:ascii="Times New Roman" w:hAnsi="Times New Roman" w:cs="Times New Roman"/>
          <w:szCs w:val="36"/>
        </w:rPr>
        <w:t>by Arthur Marwick which goes into great detail discussing the role of women on the home front, and also the development of women’s rights throughout the war</w:t>
      </w:r>
      <w:r w:rsidR="002C1359">
        <w:rPr>
          <w:rFonts w:ascii="Times New Roman" w:hAnsi="Times New Roman" w:cs="Times New Roman"/>
          <w:szCs w:val="36"/>
        </w:rPr>
        <w:t>.</w:t>
      </w:r>
      <w:r w:rsidR="002C1359">
        <w:rPr>
          <w:rStyle w:val="FootnoteReference"/>
          <w:rFonts w:ascii="Times New Roman" w:hAnsi="Times New Roman" w:cs="Times New Roman"/>
          <w:szCs w:val="36"/>
        </w:rPr>
        <w:footnoteReference w:id="30"/>
      </w:r>
      <w:r w:rsidR="00D62193">
        <w:rPr>
          <w:rFonts w:ascii="Times New Roman" w:hAnsi="Times New Roman" w:cs="Times New Roman"/>
          <w:szCs w:val="36"/>
        </w:rPr>
        <w:t xml:space="preserve"> However, the problem it faces is that it only talks about women on the home front, while </w:t>
      </w:r>
      <w:r w:rsidR="00D62193">
        <w:rPr>
          <w:rFonts w:ascii="Times New Roman" w:hAnsi="Times New Roman" w:cs="Times New Roman"/>
          <w:i/>
          <w:szCs w:val="36"/>
        </w:rPr>
        <w:t xml:space="preserve">The First World War on the Home Front </w:t>
      </w:r>
      <w:r w:rsidR="00D62193">
        <w:rPr>
          <w:rFonts w:ascii="Times New Roman" w:hAnsi="Times New Roman" w:cs="Times New Roman"/>
          <w:szCs w:val="36"/>
        </w:rPr>
        <w:t>discusses the role of women as well as many other areas of the home front with a lot of detail</w:t>
      </w:r>
      <w:r w:rsidR="00664CAF">
        <w:rPr>
          <w:rFonts w:ascii="Times New Roman" w:hAnsi="Times New Roman" w:cs="Times New Roman"/>
          <w:szCs w:val="36"/>
        </w:rPr>
        <w:t>.</w:t>
      </w:r>
      <w:r w:rsidR="00664CAF">
        <w:rPr>
          <w:rStyle w:val="FootnoteReference"/>
          <w:rFonts w:ascii="Times New Roman" w:hAnsi="Times New Roman" w:cs="Times New Roman"/>
          <w:szCs w:val="36"/>
        </w:rPr>
        <w:footnoteReference w:id="31"/>
      </w:r>
      <w:r w:rsidR="00664CAF">
        <w:rPr>
          <w:rFonts w:ascii="Times New Roman" w:hAnsi="Times New Roman" w:cs="Times New Roman"/>
          <w:szCs w:val="36"/>
        </w:rPr>
        <w:t xml:space="preserve"> </w:t>
      </w:r>
      <w:r w:rsidR="00675B5E">
        <w:rPr>
          <w:rFonts w:ascii="Times New Roman" w:hAnsi="Times New Roman" w:cs="Times New Roman"/>
          <w:szCs w:val="36"/>
        </w:rPr>
        <w:t xml:space="preserve">Another example of this is how well the book describes the politics which started the war, as the detail it gives on how </w:t>
      </w:r>
      <w:r w:rsidR="00DE1108">
        <w:rPr>
          <w:rFonts w:ascii="Times New Roman" w:hAnsi="Times New Roman" w:cs="Times New Roman"/>
          <w:szCs w:val="36"/>
        </w:rPr>
        <w:t xml:space="preserve">the war started and how </w:t>
      </w:r>
      <w:r w:rsidR="00675B5E">
        <w:rPr>
          <w:rFonts w:ascii="Times New Roman" w:hAnsi="Times New Roman" w:cs="Times New Roman"/>
          <w:szCs w:val="36"/>
        </w:rPr>
        <w:t xml:space="preserve">Britain approached </w:t>
      </w:r>
      <w:r w:rsidR="00DE1108">
        <w:rPr>
          <w:rFonts w:ascii="Times New Roman" w:hAnsi="Times New Roman" w:cs="Times New Roman"/>
          <w:szCs w:val="36"/>
        </w:rPr>
        <w:t xml:space="preserve">the war politically is better in its one chapter than some books which only discuss the origins of the war. </w:t>
      </w:r>
      <w:r w:rsidR="00664CAF">
        <w:rPr>
          <w:rFonts w:ascii="Times New Roman" w:hAnsi="Times New Roman" w:cs="Times New Roman"/>
          <w:szCs w:val="36"/>
        </w:rPr>
        <w:t xml:space="preserve">This is another strength of the book, as all the areas it covers are discussed in </w:t>
      </w:r>
      <w:r w:rsidR="00675B5E">
        <w:rPr>
          <w:rFonts w:ascii="Times New Roman" w:hAnsi="Times New Roman" w:cs="Times New Roman"/>
          <w:szCs w:val="36"/>
        </w:rPr>
        <w:t>detail</w:t>
      </w:r>
      <w:r w:rsidR="00664CAF">
        <w:rPr>
          <w:rFonts w:ascii="Times New Roman" w:hAnsi="Times New Roman" w:cs="Times New Roman"/>
          <w:szCs w:val="36"/>
        </w:rPr>
        <w:t>.</w:t>
      </w:r>
      <w:r w:rsidR="005D1533">
        <w:rPr>
          <w:rFonts w:ascii="Times New Roman" w:hAnsi="Times New Roman" w:cs="Times New Roman"/>
          <w:szCs w:val="36"/>
        </w:rPr>
        <w:t xml:space="preserve"> The vast </w:t>
      </w:r>
      <w:r w:rsidR="00050DEE">
        <w:rPr>
          <w:rFonts w:ascii="Times New Roman" w:hAnsi="Times New Roman" w:cs="Times New Roman"/>
          <w:szCs w:val="36"/>
        </w:rPr>
        <w:t>number</w:t>
      </w:r>
      <w:r w:rsidR="005D1533">
        <w:rPr>
          <w:rFonts w:ascii="Times New Roman" w:hAnsi="Times New Roman" w:cs="Times New Roman"/>
          <w:szCs w:val="36"/>
        </w:rPr>
        <w:t xml:space="preserve"> of primary sources being used means that</w:t>
      </w:r>
      <w:r w:rsidR="00050DEE">
        <w:rPr>
          <w:rFonts w:ascii="Times New Roman" w:hAnsi="Times New Roman" w:cs="Times New Roman"/>
          <w:szCs w:val="36"/>
        </w:rPr>
        <w:t xml:space="preserve"> it can give much greater detail on people and event than other books can. For example, </w:t>
      </w:r>
      <w:r w:rsidR="00C81FEC">
        <w:rPr>
          <w:rFonts w:ascii="Times New Roman" w:hAnsi="Times New Roman" w:cs="Times New Roman"/>
          <w:szCs w:val="36"/>
        </w:rPr>
        <w:t xml:space="preserve">when discussing </w:t>
      </w:r>
      <w:r w:rsidR="002372BA">
        <w:rPr>
          <w:rFonts w:ascii="Times New Roman" w:hAnsi="Times New Roman" w:cs="Times New Roman"/>
          <w:szCs w:val="36"/>
        </w:rPr>
        <w:t>the increased role of women throughout the war, he states that ‘By the time of the Armistice 220, 000 women and girls were working in Government offices, an increase of 175, 000 since August 1914’</w:t>
      </w:r>
      <w:r w:rsidR="00AA34D5">
        <w:rPr>
          <w:rFonts w:ascii="Times New Roman" w:hAnsi="Times New Roman" w:cs="Times New Roman"/>
          <w:szCs w:val="36"/>
        </w:rPr>
        <w:t xml:space="preserve"> and then follows it up with a quote from Charles </w:t>
      </w:r>
      <w:r w:rsidR="00AA34D5">
        <w:rPr>
          <w:rFonts w:ascii="Times New Roman" w:hAnsi="Times New Roman" w:cs="Times New Roman"/>
          <w:szCs w:val="36"/>
        </w:rPr>
        <w:lastRenderedPageBreak/>
        <w:t>Balston saying ‘the papers announced how the Government had taken the important</w:t>
      </w:r>
      <w:r w:rsidR="00346EF0">
        <w:rPr>
          <w:rFonts w:ascii="Times New Roman" w:hAnsi="Times New Roman" w:cs="Times New Roman"/>
          <w:szCs w:val="36"/>
        </w:rPr>
        <w:t xml:space="preserve"> step of calling upon women to register themselves for paid employment in the nation’s service to fill the vacancies where labour was insufficient or to release more men for the fighting line’.</w:t>
      </w:r>
      <w:r w:rsidR="00346EF0">
        <w:rPr>
          <w:rStyle w:val="FootnoteReference"/>
          <w:rFonts w:ascii="Times New Roman" w:hAnsi="Times New Roman" w:cs="Times New Roman"/>
          <w:szCs w:val="36"/>
        </w:rPr>
        <w:footnoteReference w:id="32"/>
      </w:r>
      <w:r w:rsidR="00346EF0">
        <w:rPr>
          <w:rFonts w:ascii="Times New Roman" w:hAnsi="Times New Roman" w:cs="Times New Roman"/>
          <w:szCs w:val="36"/>
        </w:rPr>
        <w:t xml:space="preserve"> This not only allows for a lot of different perspectives on events to be considered, but also allows for them to be discussed in great</w:t>
      </w:r>
      <w:r w:rsidR="002E513F">
        <w:rPr>
          <w:rFonts w:ascii="Times New Roman" w:hAnsi="Times New Roman" w:cs="Times New Roman"/>
          <w:szCs w:val="36"/>
        </w:rPr>
        <w:t>er</w:t>
      </w:r>
      <w:r w:rsidR="00346EF0">
        <w:rPr>
          <w:rFonts w:ascii="Times New Roman" w:hAnsi="Times New Roman" w:cs="Times New Roman"/>
          <w:szCs w:val="36"/>
        </w:rPr>
        <w:t xml:space="preserve"> detail.</w:t>
      </w:r>
      <w:r w:rsidR="002E513F">
        <w:rPr>
          <w:rFonts w:ascii="Times New Roman" w:hAnsi="Times New Roman" w:cs="Times New Roman"/>
          <w:szCs w:val="36"/>
        </w:rPr>
        <w:t xml:space="preserve"> The book also has a large bibliography, allowing people to easily find all the primary sources used.</w:t>
      </w:r>
      <w:r w:rsidR="002E513F">
        <w:rPr>
          <w:rStyle w:val="FootnoteReference"/>
          <w:rFonts w:ascii="Times New Roman" w:hAnsi="Times New Roman" w:cs="Times New Roman"/>
          <w:szCs w:val="36"/>
        </w:rPr>
        <w:footnoteReference w:id="33"/>
      </w:r>
      <w:r w:rsidR="00675B5E">
        <w:rPr>
          <w:rFonts w:ascii="Times New Roman" w:hAnsi="Times New Roman" w:cs="Times New Roman"/>
          <w:szCs w:val="36"/>
        </w:rPr>
        <w:t xml:space="preserve"> </w:t>
      </w:r>
      <w:r w:rsidR="00960771">
        <w:rPr>
          <w:rFonts w:ascii="Times New Roman" w:hAnsi="Times New Roman" w:cs="Times New Roman"/>
          <w:szCs w:val="36"/>
        </w:rPr>
        <w:t xml:space="preserve">An interesting comparison can be made between this book and </w:t>
      </w:r>
      <w:r w:rsidR="00960771">
        <w:rPr>
          <w:rFonts w:ascii="Times New Roman" w:hAnsi="Times New Roman" w:cs="Times New Roman"/>
          <w:i/>
          <w:szCs w:val="36"/>
        </w:rPr>
        <w:t xml:space="preserve">The Home Fronts </w:t>
      </w:r>
      <w:r w:rsidR="00960771">
        <w:rPr>
          <w:rFonts w:ascii="Times New Roman" w:hAnsi="Times New Roman" w:cs="Times New Roman"/>
          <w:szCs w:val="36"/>
        </w:rPr>
        <w:t>by John Williams, a book which looks at the home fronts of Britain, France and Germany.</w:t>
      </w:r>
      <w:r w:rsidR="007E4926">
        <w:rPr>
          <w:rFonts w:ascii="Times New Roman" w:hAnsi="Times New Roman" w:cs="Times New Roman"/>
          <w:szCs w:val="36"/>
        </w:rPr>
        <w:t xml:space="preserve"> </w:t>
      </w:r>
      <w:r w:rsidR="00D1334F">
        <w:rPr>
          <w:rFonts w:ascii="Times New Roman" w:hAnsi="Times New Roman" w:cs="Times New Roman"/>
          <w:szCs w:val="36"/>
        </w:rPr>
        <w:t>This book</w:t>
      </w:r>
      <w:r w:rsidR="007E4926">
        <w:rPr>
          <w:rFonts w:ascii="Times New Roman" w:hAnsi="Times New Roman" w:cs="Times New Roman"/>
          <w:szCs w:val="36"/>
        </w:rPr>
        <w:t xml:space="preserve"> compares the different nations home fronts and discusses them under the different years of the war considering production, public reaction and patriotism.</w:t>
      </w:r>
      <w:r w:rsidR="007E4926">
        <w:rPr>
          <w:rStyle w:val="FootnoteReference"/>
          <w:rFonts w:ascii="Times New Roman" w:hAnsi="Times New Roman" w:cs="Times New Roman"/>
          <w:szCs w:val="36"/>
        </w:rPr>
        <w:footnoteReference w:id="34"/>
      </w:r>
      <w:r w:rsidR="007E4926">
        <w:rPr>
          <w:rFonts w:ascii="Times New Roman" w:hAnsi="Times New Roman" w:cs="Times New Roman"/>
          <w:szCs w:val="36"/>
        </w:rPr>
        <w:t xml:space="preserve"> </w:t>
      </w:r>
      <w:r w:rsidR="00D1334F">
        <w:rPr>
          <w:rFonts w:ascii="Times New Roman" w:hAnsi="Times New Roman" w:cs="Times New Roman"/>
          <w:szCs w:val="36"/>
        </w:rPr>
        <w:t xml:space="preserve">While this book would be useful for someone comparing the different nations home fronts, one major problem it has in comparison to Terry Charman’s work is detail. While it does discuss some themes of the home front, it does not compare to Terry Charman’s book, as it discusses many more themes in much greater depth. </w:t>
      </w:r>
      <w:r w:rsidR="00A93651">
        <w:rPr>
          <w:rFonts w:ascii="Times New Roman" w:hAnsi="Times New Roman" w:cs="Times New Roman"/>
          <w:szCs w:val="36"/>
        </w:rPr>
        <w:t>However, one of the books problems is that the detail in some areas c</w:t>
      </w:r>
      <w:r w:rsidR="0004580C">
        <w:rPr>
          <w:rFonts w:ascii="Times New Roman" w:hAnsi="Times New Roman" w:cs="Times New Roman"/>
          <w:szCs w:val="36"/>
        </w:rPr>
        <w:t xml:space="preserve">an be excessive and sometimes causes </w:t>
      </w:r>
      <w:r w:rsidR="008B6960">
        <w:rPr>
          <w:rFonts w:ascii="Times New Roman" w:hAnsi="Times New Roman" w:cs="Times New Roman"/>
          <w:szCs w:val="36"/>
        </w:rPr>
        <w:t>the focus on the subject to be lost</w:t>
      </w:r>
      <w:r w:rsidR="00301419">
        <w:rPr>
          <w:rFonts w:ascii="Times New Roman" w:hAnsi="Times New Roman" w:cs="Times New Roman"/>
          <w:szCs w:val="36"/>
        </w:rPr>
        <w:t xml:space="preserve">. While this may appear to not be a problem and may </w:t>
      </w:r>
      <w:r w:rsidR="004D4055">
        <w:rPr>
          <w:rFonts w:ascii="Times New Roman" w:hAnsi="Times New Roman" w:cs="Times New Roman"/>
          <w:szCs w:val="36"/>
        </w:rPr>
        <w:t>be</w:t>
      </w:r>
      <w:r w:rsidR="006D7498">
        <w:rPr>
          <w:rFonts w:ascii="Times New Roman" w:hAnsi="Times New Roman" w:cs="Times New Roman"/>
          <w:szCs w:val="36"/>
        </w:rPr>
        <w:t xml:space="preserve"> beneficial to people reading it for academic reasons</w:t>
      </w:r>
      <w:r w:rsidR="004D4055">
        <w:rPr>
          <w:rFonts w:ascii="Times New Roman" w:hAnsi="Times New Roman" w:cs="Times New Roman"/>
          <w:szCs w:val="36"/>
        </w:rPr>
        <w:t xml:space="preserve">, it can be unnecessary. This can be seen when the author uses first-hand accounts of women discussing why they were munitions workers, as having two or three first-hand accounts is reasonable, </w:t>
      </w:r>
      <w:r w:rsidR="00CF65AF">
        <w:rPr>
          <w:rFonts w:ascii="Times New Roman" w:hAnsi="Times New Roman" w:cs="Times New Roman"/>
          <w:szCs w:val="36"/>
        </w:rPr>
        <w:t>but having seven on one page could</w:t>
      </w:r>
      <w:r w:rsidR="004D4055">
        <w:rPr>
          <w:rFonts w:ascii="Times New Roman" w:hAnsi="Times New Roman" w:cs="Times New Roman"/>
          <w:szCs w:val="36"/>
        </w:rPr>
        <w:t xml:space="preserve"> be </w:t>
      </w:r>
      <w:r w:rsidR="00CF65AF">
        <w:rPr>
          <w:rFonts w:ascii="Times New Roman" w:hAnsi="Times New Roman" w:cs="Times New Roman"/>
          <w:szCs w:val="36"/>
        </w:rPr>
        <w:t>considered excessive</w:t>
      </w:r>
      <w:r w:rsidR="004D4055">
        <w:rPr>
          <w:rFonts w:ascii="Times New Roman" w:hAnsi="Times New Roman" w:cs="Times New Roman"/>
          <w:szCs w:val="36"/>
        </w:rPr>
        <w:t>.</w:t>
      </w:r>
      <w:r w:rsidR="004D4055">
        <w:rPr>
          <w:rStyle w:val="FootnoteReference"/>
          <w:rFonts w:ascii="Times New Roman" w:hAnsi="Times New Roman" w:cs="Times New Roman"/>
          <w:szCs w:val="36"/>
        </w:rPr>
        <w:footnoteReference w:id="35"/>
      </w:r>
      <w:r w:rsidR="00722DD4">
        <w:rPr>
          <w:rFonts w:ascii="Times New Roman" w:hAnsi="Times New Roman" w:cs="Times New Roman"/>
          <w:szCs w:val="36"/>
        </w:rPr>
        <w:t xml:space="preserve"> </w:t>
      </w:r>
      <w:r w:rsidR="002800FA">
        <w:rPr>
          <w:rFonts w:ascii="Times New Roman" w:hAnsi="Times New Roman" w:cs="Times New Roman"/>
          <w:szCs w:val="36"/>
        </w:rPr>
        <w:t>This means that the context for the use of the first-hand account is overshadowed as the focus is lost an</w:t>
      </w:r>
      <w:r w:rsidR="005307C1">
        <w:rPr>
          <w:rFonts w:ascii="Times New Roman" w:hAnsi="Times New Roman" w:cs="Times New Roman"/>
          <w:szCs w:val="36"/>
        </w:rPr>
        <w:t>d the author goes on a tangent.</w:t>
      </w:r>
      <w:r w:rsidR="00A4101D">
        <w:rPr>
          <w:rFonts w:ascii="Times New Roman" w:hAnsi="Times New Roman" w:cs="Times New Roman"/>
          <w:szCs w:val="36"/>
        </w:rPr>
        <w:t xml:space="preserve"> This </w:t>
      </w:r>
      <w:r w:rsidR="007952E2">
        <w:rPr>
          <w:rFonts w:ascii="Times New Roman" w:hAnsi="Times New Roman" w:cs="Times New Roman"/>
          <w:szCs w:val="36"/>
        </w:rPr>
        <w:t>could be confusing for people who</w:t>
      </w:r>
      <w:r w:rsidR="00EA5119">
        <w:rPr>
          <w:rFonts w:ascii="Times New Roman" w:hAnsi="Times New Roman" w:cs="Times New Roman"/>
          <w:szCs w:val="36"/>
        </w:rPr>
        <w:t xml:space="preserve"> are not studying history and may not fully understand the context.</w:t>
      </w:r>
    </w:p>
    <w:p w:rsidR="00DB10B4" w:rsidRDefault="00DB10B4" w:rsidP="00223300">
      <w:pPr>
        <w:jc w:val="both"/>
        <w:rPr>
          <w:rFonts w:ascii="Times New Roman" w:hAnsi="Times New Roman" w:cs="Times New Roman"/>
          <w:szCs w:val="36"/>
        </w:rPr>
      </w:pPr>
      <w:r>
        <w:rPr>
          <w:rFonts w:ascii="Times New Roman" w:hAnsi="Times New Roman" w:cs="Times New Roman"/>
          <w:szCs w:val="36"/>
        </w:rPr>
        <w:t xml:space="preserve">Many of the books Terry Charman uses are either primary sources </w:t>
      </w:r>
      <w:r w:rsidR="003B2062">
        <w:rPr>
          <w:rFonts w:ascii="Times New Roman" w:hAnsi="Times New Roman" w:cs="Times New Roman"/>
          <w:szCs w:val="36"/>
        </w:rPr>
        <w:t xml:space="preserve">such as diaries </w:t>
      </w:r>
      <w:r>
        <w:rPr>
          <w:rFonts w:ascii="Times New Roman" w:hAnsi="Times New Roman" w:cs="Times New Roman"/>
          <w:szCs w:val="36"/>
        </w:rPr>
        <w:t>or newer books created to be a collection of primary sources with analysis. However, he does use some secondary sources which range from books about memory to general history books about the home front.</w:t>
      </w:r>
      <w:r w:rsidR="00471724">
        <w:rPr>
          <w:rFonts w:ascii="Times New Roman" w:hAnsi="Times New Roman" w:cs="Times New Roman"/>
          <w:szCs w:val="36"/>
        </w:rPr>
        <w:t xml:space="preserve"> The books Terry Charman references are relatively based around the historiography of his work, as all are based around the hist</w:t>
      </w:r>
      <w:r w:rsidR="00D13BCE">
        <w:rPr>
          <w:rFonts w:ascii="Times New Roman" w:hAnsi="Times New Roman" w:cs="Times New Roman"/>
          <w:szCs w:val="36"/>
        </w:rPr>
        <w:t xml:space="preserve">ory of the home front. It builds upon these previous works by </w:t>
      </w:r>
      <w:r w:rsidR="003A38CE">
        <w:rPr>
          <w:rFonts w:ascii="Times New Roman" w:hAnsi="Times New Roman" w:cs="Times New Roman"/>
          <w:szCs w:val="36"/>
        </w:rPr>
        <w:t>looking at more of the themes of the home f</w:t>
      </w:r>
      <w:r w:rsidR="00720296">
        <w:rPr>
          <w:rFonts w:ascii="Times New Roman" w:hAnsi="Times New Roman" w:cs="Times New Roman"/>
          <w:szCs w:val="36"/>
        </w:rPr>
        <w:t>ront in greater detail.</w:t>
      </w:r>
      <w:r w:rsidR="00C828F8">
        <w:rPr>
          <w:rFonts w:ascii="Times New Roman" w:hAnsi="Times New Roman" w:cs="Times New Roman"/>
          <w:szCs w:val="36"/>
        </w:rPr>
        <w:t xml:space="preserve"> </w:t>
      </w:r>
      <w:r w:rsidR="00A87EE3">
        <w:rPr>
          <w:rFonts w:ascii="Times New Roman" w:hAnsi="Times New Roman" w:cs="Times New Roman"/>
          <w:szCs w:val="36"/>
        </w:rPr>
        <w:t>Most of</w:t>
      </w:r>
      <w:r w:rsidR="00C828F8">
        <w:rPr>
          <w:rFonts w:ascii="Times New Roman" w:hAnsi="Times New Roman" w:cs="Times New Roman"/>
          <w:szCs w:val="36"/>
        </w:rPr>
        <w:t xml:space="preserve"> the books he uses are newer than 2000, which is a positive sign, as older works can be unreliable due to </w:t>
      </w:r>
      <w:r w:rsidR="00034BBE">
        <w:rPr>
          <w:rFonts w:ascii="Times New Roman" w:hAnsi="Times New Roman" w:cs="Times New Roman"/>
          <w:szCs w:val="36"/>
        </w:rPr>
        <w:t>additional information</w:t>
      </w:r>
      <w:r w:rsidR="00C828F8">
        <w:rPr>
          <w:rFonts w:ascii="Times New Roman" w:hAnsi="Times New Roman" w:cs="Times New Roman"/>
          <w:szCs w:val="36"/>
        </w:rPr>
        <w:t xml:space="preserve"> surfacing </w:t>
      </w:r>
      <w:r w:rsidR="00034BBE">
        <w:rPr>
          <w:rFonts w:ascii="Times New Roman" w:hAnsi="Times New Roman" w:cs="Times New Roman"/>
          <w:szCs w:val="36"/>
        </w:rPr>
        <w:t xml:space="preserve">later </w:t>
      </w:r>
      <w:r w:rsidR="00C828F8">
        <w:rPr>
          <w:rFonts w:ascii="Times New Roman" w:hAnsi="Times New Roman" w:cs="Times New Roman"/>
          <w:szCs w:val="36"/>
        </w:rPr>
        <w:t>and better books</w:t>
      </w:r>
      <w:r w:rsidR="00F12BF9">
        <w:rPr>
          <w:rFonts w:ascii="Times New Roman" w:hAnsi="Times New Roman" w:cs="Times New Roman"/>
          <w:szCs w:val="36"/>
        </w:rPr>
        <w:t xml:space="preserve"> being written.</w:t>
      </w:r>
      <w:r w:rsidR="00F12BF9">
        <w:rPr>
          <w:rStyle w:val="FootnoteReference"/>
          <w:rFonts w:ascii="Times New Roman" w:hAnsi="Times New Roman" w:cs="Times New Roman"/>
          <w:szCs w:val="36"/>
        </w:rPr>
        <w:footnoteReference w:id="36"/>
      </w:r>
    </w:p>
    <w:p w:rsidR="00034BBE" w:rsidRDefault="00714B3A" w:rsidP="00223300">
      <w:pPr>
        <w:jc w:val="both"/>
        <w:rPr>
          <w:rFonts w:ascii="Times New Roman" w:hAnsi="Times New Roman" w:cs="Times New Roman"/>
          <w:szCs w:val="36"/>
        </w:rPr>
      </w:pPr>
      <w:r>
        <w:rPr>
          <w:rFonts w:ascii="Times New Roman" w:hAnsi="Times New Roman" w:cs="Times New Roman"/>
          <w:szCs w:val="36"/>
        </w:rPr>
        <w:t>The first chapter of the book looks at the origins of the war and, as previously mentioned, does this well as it illustrates in detail how the British government reacted to the deteriorating political situation in Europe and what led Britain to join the war.</w:t>
      </w:r>
      <w:r>
        <w:rPr>
          <w:rStyle w:val="FootnoteReference"/>
          <w:rFonts w:ascii="Times New Roman" w:hAnsi="Times New Roman" w:cs="Times New Roman"/>
          <w:szCs w:val="36"/>
        </w:rPr>
        <w:footnoteReference w:id="37"/>
      </w:r>
      <w:r>
        <w:rPr>
          <w:rFonts w:ascii="Times New Roman" w:hAnsi="Times New Roman" w:cs="Times New Roman"/>
          <w:szCs w:val="36"/>
        </w:rPr>
        <w:t xml:space="preserve"> However, only at the end of the chapter does it start to discuss the British people’s reaction to war. While it does occasionally go back to discuss civilian opinion on certain events leading up to the war, its focus is the British government on the eve of war. This was most likely done deliberately as a way of making those who are unfamiliar with the start of the First World War more aware of the situation, which shows that perhaps the book was meant more for the general public. Chapters two to eight address certain themes such as recruitment/conscription, propaganda, role of women, the blockade, zeppelin raids and the development of a new home front culture. All of these chapters use an array of first-hand accounts from the civilian population with relevance to the theme the chapter discusses. While the information given in all chapters is useful, and the primary sources used are relevant to the context, there is a theme of bias throughout the book in favour of the British people being the hero, while it holds the British government at much lower esteem. The book discusses the failures and successes of the government more openly, while the discussion on the civilian population is greatly weighted in their favour. The last chapter is named ‘Victory at Last’ </w:t>
      </w:r>
      <w:r>
        <w:rPr>
          <w:rFonts w:ascii="Times New Roman" w:hAnsi="Times New Roman" w:cs="Times New Roman"/>
          <w:szCs w:val="36"/>
        </w:rPr>
        <w:lastRenderedPageBreak/>
        <w:t>but the vast majority of the chapter discusses the Russian revolution, assistance to Belgium and Belgian refugees, America’s entry into the war, production in Britain and flu epidemics, with the final few pages on the people’s reaction to the peace.</w:t>
      </w:r>
      <w:r>
        <w:rPr>
          <w:rStyle w:val="FootnoteReference"/>
          <w:rFonts w:ascii="Times New Roman" w:hAnsi="Times New Roman" w:cs="Times New Roman"/>
          <w:szCs w:val="36"/>
        </w:rPr>
        <w:footnoteReference w:id="38"/>
      </w:r>
      <w:r>
        <w:rPr>
          <w:rFonts w:ascii="Times New Roman" w:hAnsi="Times New Roman" w:cs="Times New Roman"/>
          <w:szCs w:val="36"/>
        </w:rPr>
        <w:t xml:space="preserve"> This part on the end of the war is poorly covered, lacks detail and appears to be rushed. What would have worked better is this last chapter discussing the end of the war only, with everything else it discussed having their own chapter. This failure of the last chapter gives the book a rather unimpressive finish after the majority of it being well detailed.</w:t>
      </w:r>
      <w:r w:rsidR="00EA042F">
        <w:rPr>
          <w:rFonts w:ascii="Times New Roman" w:hAnsi="Times New Roman" w:cs="Times New Roman"/>
          <w:szCs w:val="36"/>
        </w:rPr>
        <w:t xml:space="preserve"> Overall, </w:t>
      </w:r>
      <w:r w:rsidR="00B11186">
        <w:rPr>
          <w:rFonts w:ascii="Times New Roman" w:hAnsi="Times New Roman" w:cs="Times New Roman"/>
          <w:i/>
          <w:szCs w:val="36"/>
        </w:rPr>
        <w:t xml:space="preserve">The First World War on the Home Front </w:t>
      </w:r>
      <w:r w:rsidR="00B11186">
        <w:rPr>
          <w:rFonts w:ascii="Times New Roman" w:hAnsi="Times New Roman" w:cs="Times New Roman"/>
          <w:szCs w:val="36"/>
        </w:rPr>
        <w:t>is a useful resource and a good example of how primary sources can be useful in better understanding the context</w:t>
      </w:r>
      <w:r w:rsidR="00763742">
        <w:rPr>
          <w:rFonts w:ascii="Times New Roman" w:hAnsi="Times New Roman" w:cs="Times New Roman"/>
          <w:szCs w:val="36"/>
        </w:rPr>
        <w:t xml:space="preserve"> around events. While the book suffers flaws such as it can lose focus and </w:t>
      </w:r>
      <w:r w:rsidR="00F609E3">
        <w:rPr>
          <w:rFonts w:ascii="Times New Roman" w:hAnsi="Times New Roman" w:cs="Times New Roman"/>
          <w:szCs w:val="36"/>
        </w:rPr>
        <w:t xml:space="preserve">how poorly done the </w:t>
      </w:r>
      <w:r w:rsidR="00EF0EBC">
        <w:rPr>
          <w:rFonts w:ascii="Times New Roman" w:hAnsi="Times New Roman" w:cs="Times New Roman"/>
          <w:szCs w:val="36"/>
        </w:rPr>
        <w:t>concluding chapter</w:t>
      </w:r>
      <w:r w:rsidR="00DB0449">
        <w:rPr>
          <w:rFonts w:ascii="Times New Roman" w:hAnsi="Times New Roman" w:cs="Times New Roman"/>
          <w:szCs w:val="36"/>
        </w:rPr>
        <w:t xml:space="preserve"> was, the </w:t>
      </w:r>
      <w:r w:rsidR="000B26D6">
        <w:rPr>
          <w:rFonts w:ascii="Times New Roman" w:hAnsi="Times New Roman" w:cs="Times New Roman"/>
          <w:szCs w:val="36"/>
        </w:rPr>
        <w:t>number</w:t>
      </w:r>
      <w:r w:rsidR="00DB0449">
        <w:rPr>
          <w:rFonts w:ascii="Times New Roman" w:hAnsi="Times New Roman" w:cs="Times New Roman"/>
          <w:szCs w:val="36"/>
        </w:rPr>
        <w:t xml:space="preserve"> of primary sources it uses as well as its level of detail in some areas makes the book a valuable resource for understanding the home front.</w:t>
      </w:r>
    </w:p>
    <w:p w:rsidR="00034BBE" w:rsidRDefault="00034BBE">
      <w:pPr>
        <w:rPr>
          <w:rFonts w:ascii="Times New Roman" w:hAnsi="Times New Roman" w:cs="Times New Roman"/>
          <w:szCs w:val="36"/>
        </w:rPr>
      </w:pPr>
      <w:r>
        <w:rPr>
          <w:rFonts w:ascii="Times New Roman" w:hAnsi="Times New Roman" w:cs="Times New Roman"/>
          <w:szCs w:val="36"/>
        </w:rPr>
        <w:br w:type="page"/>
      </w:r>
    </w:p>
    <w:p w:rsidR="00714B3A" w:rsidRDefault="00034BBE" w:rsidP="00223300">
      <w:pPr>
        <w:jc w:val="both"/>
        <w:rPr>
          <w:rFonts w:ascii="Times New Roman" w:hAnsi="Times New Roman" w:cs="Times New Roman"/>
          <w:b/>
          <w:szCs w:val="36"/>
          <w:u w:val="single"/>
        </w:rPr>
      </w:pPr>
      <w:r>
        <w:rPr>
          <w:rFonts w:ascii="Times New Roman" w:hAnsi="Times New Roman" w:cs="Times New Roman"/>
          <w:b/>
          <w:szCs w:val="36"/>
          <w:u w:val="single"/>
        </w:rPr>
        <w:lastRenderedPageBreak/>
        <w:t>Bibliography</w:t>
      </w:r>
    </w:p>
    <w:p w:rsidR="00034BBE" w:rsidRDefault="00034BBE" w:rsidP="00223300">
      <w:pPr>
        <w:jc w:val="both"/>
        <w:rPr>
          <w:rFonts w:ascii="Times New Roman" w:hAnsi="Times New Roman" w:cs="Times New Roman"/>
          <w:b/>
          <w:szCs w:val="36"/>
          <w:u w:val="single"/>
        </w:rPr>
      </w:pPr>
      <w:r>
        <w:rPr>
          <w:rFonts w:ascii="Times New Roman" w:hAnsi="Times New Roman" w:cs="Times New Roman"/>
          <w:b/>
          <w:szCs w:val="36"/>
          <w:u w:val="single"/>
        </w:rPr>
        <w:t>Primary Sources</w:t>
      </w:r>
    </w:p>
    <w:p w:rsidR="000B26D6" w:rsidRDefault="000B26D6" w:rsidP="000B26D6">
      <w:pPr>
        <w:rPr>
          <w:rFonts w:ascii="Times New Roman" w:hAnsi="Times New Roman" w:cs="Times New Roman"/>
        </w:rPr>
      </w:pPr>
      <w:r w:rsidRPr="000B26D6">
        <w:rPr>
          <w:rFonts w:ascii="Times New Roman" w:hAnsi="Times New Roman" w:cs="Times New Roman"/>
        </w:rPr>
        <w:t xml:space="preserve">Hansard Millbank systems, Statement by Sir Edward Grey [online]. Available </w:t>
      </w:r>
      <w:hyperlink r:id="rId7" w:history="1">
        <w:r w:rsidRPr="000B26D6">
          <w:rPr>
            <w:rStyle w:val="Hyperlink"/>
            <w:rFonts w:ascii="Times New Roman" w:hAnsi="Times New Roman" w:cs="Times New Roman"/>
          </w:rPr>
          <w:t>http://hansard.millbanksystems.com/commons/1914/aug/03/statement-by-sir-edward-grey</w:t>
        </w:r>
      </w:hyperlink>
      <w:r>
        <w:rPr>
          <w:rFonts w:ascii="Times New Roman" w:hAnsi="Times New Roman" w:cs="Times New Roman"/>
        </w:rPr>
        <w:t>. (Accessed 25/10/17 - 2/11/17).</w:t>
      </w:r>
    </w:p>
    <w:p w:rsidR="000B26D6" w:rsidRDefault="000B26D6" w:rsidP="000B26D6">
      <w:pPr>
        <w:rPr>
          <w:rFonts w:ascii="Times New Roman" w:hAnsi="Times New Roman" w:cs="Times New Roman"/>
        </w:rPr>
      </w:pPr>
      <w:r w:rsidRPr="000B26D6">
        <w:rPr>
          <w:rFonts w:ascii="Times New Roman" w:hAnsi="Times New Roman" w:cs="Times New Roman"/>
        </w:rPr>
        <w:t xml:space="preserve">Wwnorton, Mansion House speech of July 1911 David Lloyd George on the Third Moroccan Crisis [online]. Available </w:t>
      </w:r>
      <w:hyperlink r:id="rId8" w:history="1">
        <w:r w:rsidRPr="000B26D6">
          <w:rPr>
            <w:rStyle w:val="Hyperlink"/>
            <w:rFonts w:ascii="Times New Roman" w:hAnsi="Times New Roman" w:cs="Times New Roman"/>
          </w:rPr>
          <w:t>http://www.wwnorton.com/college/history/ralph/workbook/ralprs32b.htm</w:t>
        </w:r>
      </w:hyperlink>
      <w:r w:rsidRPr="000B26D6">
        <w:rPr>
          <w:rFonts w:ascii="Times New Roman" w:hAnsi="Times New Roman" w:cs="Times New Roman"/>
        </w:rPr>
        <w:t>. (Accessed 3/11/17).</w:t>
      </w:r>
    </w:p>
    <w:p w:rsidR="000B26D6" w:rsidRDefault="000B26D6" w:rsidP="000B26D6">
      <w:pPr>
        <w:rPr>
          <w:rFonts w:ascii="Times New Roman" w:hAnsi="Times New Roman" w:cs="Times New Roman"/>
        </w:rPr>
      </w:pPr>
    </w:p>
    <w:p w:rsidR="000B26D6" w:rsidRDefault="000B26D6" w:rsidP="000B26D6">
      <w:pPr>
        <w:rPr>
          <w:rFonts w:ascii="Times New Roman" w:hAnsi="Times New Roman" w:cs="Times New Roman"/>
          <w:b/>
          <w:u w:val="single"/>
        </w:rPr>
      </w:pPr>
      <w:r>
        <w:rPr>
          <w:rFonts w:ascii="Times New Roman" w:hAnsi="Times New Roman" w:cs="Times New Roman"/>
          <w:b/>
          <w:u w:val="single"/>
        </w:rPr>
        <w:t>Secondary Sources</w:t>
      </w:r>
    </w:p>
    <w:p w:rsidR="000B26D6" w:rsidRDefault="00FF522F" w:rsidP="000B26D6">
      <w:pPr>
        <w:rPr>
          <w:rFonts w:ascii="Times New Roman" w:hAnsi="Times New Roman" w:cs="Times New Roman"/>
          <w:szCs w:val="36"/>
        </w:rPr>
      </w:pPr>
      <w:r>
        <w:rPr>
          <w:rFonts w:ascii="Times New Roman" w:hAnsi="Times New Roman" w:cs="Times New Roman"/>
          <w:szCs w:val="36"/>
        </w:rPr>
        <w:t xml:space="preserve">Charman, T., </w:t>
      </w:r>
      <w:r>
        <w:rPr>
          <w:rFonts w:ascii="Times New Roman" w:hAnsi="Times New Roman" w:cs="Times New Roman"/>
          <w:i/>
          <w:szCs w:val="36"/>
        </w:rPr>
        <w:t xml:space="preserve">The First World War on the Home Front </w:t>
      </w:r>
      <w:r>
        <w:rPr>
          <w:rFonts w:ascii="Times New Roman" w:hAnsi="Times New Roman" w:cs="Times New Roman"/>
          <w:szCs w:val="36"/>
        </w:rPr>
        <w:t>(London: Andre Deutsch, 2014).</w:t>
      </w:r>
    </w:p>
    <w:p w:rsidR="00FF522F" w:rsidRDefault="00FF522F" w:rsidP="000B26D6">
      <w:pPr>
        <w:rPr>
          <w:rFonts w:ascii="Times New Roman" w:hAnsi="Times New Roman" w:cs="Times New Roman"/>
          <w:szCs w:val="36"/>
        </w:rPr>
      </w:pPr>
      <w:r>
        <w:rPr>
          <w:rFonts w:ascii="Times New Roman" w:hAnsi="Times New Roman" w:cs="Times New Roman"/>
          <w:szCs w:val="36"/>
        </w:rPr>
        <w:t xml:space="preserve">Henig, R., </w:t>
      </w:r>
      <w:r>
        <w:rPr>
          <w:rFonts w:ascii="Times New Roman" w:hAnsi="Times New Roman" w:cs="Times New Roman"/>
          <w:i/>
          <w:szCs w:val="36"/>
        </w:rPr>
        <w:t xml:space="preserve">The Origins of the First World War </w:t>
      </w:r>
      <w:r>
        <w:rPr>
          <w:rFonts w:ascii="Times New Roman" w:hAnsi="Times New Roman" w:cs="Times New Roman"/>
          <w:szCs w:val="36"/>
        </w:rPr>
        <w:t>(London: Routledge, 1989).</w:t>
      </w:r>
    </w:p>
    <w:p w:rsidR="00FF522F" w:rsidRDefault="00FF522F" w:rsidP="000B26D6">
      <w:pPr>
        <w:rPr>
          <w:rFonts w:ascii="Times New Roman" w:hAnsi="Times New Roman" w:cs="Times New Roman"/>
          <w:szCs w:val="36"/>
        </w:rPr>
      </w:pPr>
      <w:r>
        <w:rPr>
          <w:rFonts w:ascii="Times New Roman" w:hAnsi="Times New Roman" w:cs="Times New Roman"/>
          <w:szCs w:val="36"/>
        </w:rPr>
        <w:t xml:space="preserve">Joll, J., </w:t>
      </w:r>
      <w:r>
        <w:rPr>
          <w:rFonts w:ascii="Times New Roman" w:hAnsi="Times New Roman" w:cs="Times New Roman"/>
          <w:i/>
          <w:szCs w:val="36"/>
        </w:rPr>
        <w:t xml:space="preserve">The Origins of the First World War </w:t>
      </w:r>
      <w:r>
        <w:rPr>
          <w:rFonts w:ascii="Times New Roman" w:hAnsi="Times New Roman" w:cs="Times New Roman"/>
          <w:szCs w:val="36"/>
        </w:rPr>
        <w:t>(Harlow: Longman Group Limited, 1984).</w:t>
      </w:r>
    </w:p>
    <w:p w:rsidR="00FF522F" w:rsidRDefault="00FF522F" w:rsidP="000B26D6">
      <w:pPr>
        <w:rPr>
          <w:rFonts w:ascii="Times New Roman" w:hAnsi="Times New Roman" w:cs="Times New Roman"/>
          <w:szCs w:val="36"/>
        </w:rPr>
      </w:pPr>
      <w:r>
        <w:rPr>
          <w:rFonts w:ascii="Times New Roman" w:hAnsi="Times New Roman" w:cs="Times New Roman"/>
          <w:szCs w:val="36"/>
        </w:rPr>
        <w:t xml:space="preserve">Marwick, A., </w:t>
      </w:r>
      <w:r>
        <w:rPr>
          <w:rFonts w:ascii="Times New Roman" w:hAnsi="Times New Roman" w:cs="Times New Roman"/>
          <w:i/>
          <w:szCs w:val="36"/>
        </w:rPr>
        <w:t xml:space="preserve">Women at War </w:t>
      </w:r>
      <w:r>
        <w:rPr>
          <w:rFonts w:ascii="Times New Roman" w:hAnsi="Times New Roman" w:cs="Times New Roman"/>
          <w:szCs w:val="36"/>
        </w:rPr>
        <w:t>(New York: Fontana Paperbacks, 1977).</w:t>
      </w:r>
    </w:p>
    <w:p w:rsidR="00C93A25" w:rsidRPr="00C93A25" w:rsidRDefault="00C93A25" w:rsidP="000B26D6">
      <w:pPr>
        <w:rPr>
          <w:rFonts w:ascii="Times New Roman" w:hAnsi="Times New Roman" w:cs="Times New Roman"/>
          <w:szCs w:val="36"/>
        </w:rPr>
      </w:pPr>
      <w:r w:rsidRPr="00C93A25">
        <w:rPr>
          <w:rFonts w:ascii="Times New Roman" w:hAnsi="Times New Roman" w:cs="Times New Roman"/>
        </w:rPr>
        <w:t xml:space="preserve">Penguin, Terry Charman [online] Available: </w:t>
      </w:r>
      <w:hyperlink r:id="rId9" w:history="1">
        <w:r w:rsidRPr="00C93A25">
          <w:rPr>
            <w:rStyle w:val="Hyperlink"/>
            <w:rFonts w:ascii="Times New Roman" w:hAnsi="Times New Roman" w:cs="Times New Roman"/>
          </w:rPr>
          <w:t>https://www.penguin.co.uk/authors/terry-charman/1063426/</w:t>
        </w:r>
      </w:hyperlink>
      <w:r w:rsidRPr="00C93A25">
        <w:rPr>
          <w:rFonts w:ascii="Times New Roman" w:hAnsi="Times New Roman" w:cs="Times New Roman"/>
        </w:rPr>
        <w:t>. (Accessed 8/11/17).</w:t>
      </w:r>
    </w:p>
    <w:p w:rsidR="00FF522F" w:rsidRDefault="00481C04" w:rsidP="000B26D6">
      <w:pPr>
        <w:rPr>
          <w:rFonts w:ascii="Times New Roman" w:hAnsi="Times New Roman" w:cs="Times New Roman"/>
          <w:szCs w:val="36"/>
        </w:rPr>
      </w:pPr>
      <w:r>
        <w:rPr>
          <w:rFonts w:ascii="Times New Roman" w:hAnsi="Times New Roman" w:cs="Times New Roman"/>
          <w:szCs w:val="36"/>
        </w:rPr>
        <w:t xml:space="preserve">Remak, J., </w:t>
      </w:r>
      <w:r>
        <w:rPr>
          <w:rFonts w:ascii="Times New Roman" w:hAnsi="Times New Roman" w:cs="Times New Roman"/>
          <w:i/>
          <w:szCs w:val="36"/>
        </w:rPr>
        <w:t xml:space="preserve">The Origins of World War 1 </w:t>
      </w:r>
      <w:r w:rsidR="00C70922">
        <w:rPr>
          <w:rFonts w:ascii="Times New Roman" w:hAnsi="Times New Roman" w:cs="Times New Roman"/>
          <w:szCs w:val="36"/>
        </w:rPr>
        <w:t>(New York: Holt, Rinehart and Winston, 1967).</w:t>
      </w:r>
    </w:p>
    <w:p w:rsidR="00C70922" w:rsidRDefault="00C70922" w:rsidP="000B26D6">
      <w:pPr>
        <w:rPr>
          <w:rFonts w:ascii="Times New Roman" w:hAnsi="Times New Roman" w:cs="Times New Roman"/>
          <w:szCs w:val="36"/>
        </w:rPr>
      </w:pPr>
      <w:r>
        <w:rPr>
          <w:rFonts w:ascii="Times New Roman" w:hAnsi="Times New Roman" w:cs="Times New Roman"/>
          <w:szCs w:val="36"/>
        </w:rPr>
        <w:t xml:space="preserve">Turner, L. F. C., </w:t>
      </w:r>
      <w:r>
        <w:rPr>
          <w:rFonts w:ascii="Times New Roman" w:hAnsi="Times New Roman" w:cs="Times New Roman"/>
          <w:i/>
          <w:szCs w:val="36"/>
        </w:rPr>
        <w:t xml:space="preserve">Origins of the First World War </w:t>
      </w:r>
      <w:r>
        <w:rPr>
          <w:rFonts w:ascii="Times New Roman" w:hAnsi="Times New Roman" w:cs="Times New Roman"/>
          <w:szCs w:val="36"/>
        </w:rPr>
        <w:t>(London: Edward Arnold, 1970).</w:t>
      </w:r>
    </w:p>
    <w:p w:rsidR="00D855FE" w:rsidRPr="00D855FE" w:rsidRDefault="00D855FE" w:rsidP="000B26D6">
      <w:pPr>
        <w:rPr>
          <w:rFonts w:ascii="Times New Roman" w:hAnsi="Times New Roman" w:cs="Times New Roman"/>
          <w:szCs w:val="36"/>
        </w:rPr>
      </w:pPr>
      <w:r>
        <w:rPr>
          <w:rFonts w:ascii="Times New Roman" w:hAnsi="Times New Roman" w:cs="Times New Roman"/>
          <w:szCs w:val="36"/>
        </w:rPr>
        <w:t xml:space="preserve">Williams, J., </w:t>
      </w:r>
      <w:r>
        <w:rPr>
          <w:rFonts w:ascii="Times New Roman" w:hAnsi="Times New Roman" w:cs="Times New Roman"/>
          <w:i/>
          <w:szCs w:val="36"/>
        </w:rPr>
        <w:t xml:space="preserve">The Home Fronts Britain, France and Germany 1914-1918 </w:t>
      </w:r>
      <w:r>
        <w:rPr>
          <w:rFonts w:ascii="Times New Roman" w:hAnsi="Times New Roman" w:cs="Times New Roman"/>
          <w:szCs w:val="36"/>
        </w:rPr>
        <w:t>(</w:t>
      </w:r>
      <w:r w:rsidR="003E02A0">
        <w:rPr>
          <w:rFonts w:ascii="Times New Roman" w:hAnsi="Times New Roman" w:cs="Times New Roman"/>
          <w:szCs w:val="36"/>
        </w:rPr>
        <w:t xml:space="preserve">London: </w:t>
      </w:r>
      <w:r w:rsidR="00997C14">
        <w:rPr>
          <w:rFonts w:ascii="Times New Roman" w:hAnsi="Times New Roman" w:cs="Times New Roman"/>
          <w:szCs w:val="36"/>
        </w:rPr>
        <w:t>Constable and Company Limited, 1972).</w:t>
      </w:r>
      <w:bookmarkStart w:id="5" w:name="_GoBack"/>
      <w:bookmarkEnd w:id="5"/>
    </w:p>
    <w:p w:rsidR="00F74B8C" w:rsidRPr="00F74B8C" w:rsidRDefault="00F74B8C" w:rsidP="000B26D6">
      <w:pPr>
        <w:rPr>
          <w:rFonts w:ascii="Times New Roman" w:hAnsi="Times New Roman" w:cs="Times New Roman"/>
          <w:szCs w:val="36"/>
        </w:rPr>
      </w:pPr>
      <w:r>
        <w:rPr>
          <w:rFonts w:ascii="Times New Roman" w:hAnsi="Times New Roman" w:cs="Times New Roman"/>
          <w:szCs w:val="36"/>
        </w:rPr>
        <w:t xml:space="preserve">Woodward, L., </w:t>
      </w:r>
      <w:r>
        <w:rPr>
          <w:rFonts w:ascii="Times New Roman" w:hAnsi="Times New Roman" w:cs="Times New Roman"/>
          <w:i/>
          <w:szCs w:val="36"/>
        </w:rPr>
        <w:t xml:space="preserve">Great Britain and the War of 1914-1918 </w:t>
      </w:r>
      <w:r>
        <w:rPr>
          <w:rFonts w:ascii="Times New Roman" w:hAnsi="Times New Roman" w:cs="Times New Roman"/>
          <w:szCs w:val="36"/>
        </w:rPr>
        <w:t>(</w:t>
      </w:r>
      <w:r w:rsidR="00EF0EBC">
        <w:rPr>
          <w:rFonts w:ascii="Times New Roman" w:hAnsi="Times New Roman" w:cs="Times New Roman"/>
          <w:szCs w:val="36"/>
        </w:rPr>
        <w:t>London: Methuen &amp; Co Ltd, 1967).</w:t>
      </w:r>
    </w:p>
    <w:sectPr w:rsidR="00F74B8C" w:rsidRPr="00F74B8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D0538" w:rsidRDefault="00AD0538" w:rsidP="0022575F">
      <w:pPr>
        <w:spacing w:after="0" w:line="240" w:lineRule="auto"/>
      </w:pPr>
      <w:r>
        <w:separator/>
      </w:r>
    </w:p>
  </w:endnote>
  <w:endnote w:type="continuationSeparator" w:id="0">
    <w:p w:rsidR="00AD0538" w:rsidRDefault="00AD0538" w:rsidP="002257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D0538" w:rsidRDefault="00AD0538" w:rsidP="0022575F">
      <w:pPr>
        <w:spacing w:after="0" w:line="240" w:lineRule="auto"/>
      </w:pPr>
      <w:r>
        <w:separator/>
      </w:r>
    </w:p>
  </w:footnote>
  <w:footnote w:type="continuationSeparator" w:id="0">
    <w:p w:rsidR="00AD0538" w:rsidRDefault="00AD0538" w:rsidP="0022575F">
      <w:pPr>
        <w:spacing w:after="0" w:line="240" w:lineRule="auto"/>
      </w:pPr>
      <w:r>
        <w:continuationSeparator/>
      </w:r>
    </w:p>
  </w:footnote>
  <w:footnote w:id="1">
    <w:p w:rsidR="00D976B9" w:rsidRDefault="00D976B9">
      <w:pPr>
        <w:pStyle w:val="FootnoteText"/>
      </w:pPr>
      <w:r>
        <w:rPr>
          <w:rStyle w:val="FootnoteReference"/>
        </w:rPr>
        <w:footnoteRef/>
      </w:r>
      <w:r>
        <w:t xml:space="preserve"> </w:t>
      </w:r>
      <w:bookmarkStart w:id="0" w:name="_Hlk498024006"/>
      <w:r>
        <w:t xml:space="preserve">Hansard Millbank systems, Statement by Sir Edward Grey [online]. Available </w:t>
      </w:r>
      <w:hyperlink r:id="rId1" w:history="1">
        <w:r w:rsidRPr="00142050">
          <w:rPr>
            <w:rStyle w:val="Hyperlink"/>
          </w:rPr>
          <w:t>http://hansard.millbanksystems.com/commons/1914/aug/03/statement-by-sir-edward-grey</w:t>
        </w:r>
      </w:hyperlink>
      <w:r>
        <w:t>. (Accessed 25/10/17).</w:t>
      </w:r>
      <w:bookmarkEnd w:id="0"/>
    </w:p>
  </w:footnote>
  <w:footnote w:id="2">
    <w:p w:rsidR="00D976B9" w:rsidRPr="009E668C" w:rsidRDefault="00D976B9">
      <w:pPr>
        <w:pStyle w:val="FootnoteText"/>
      </w:pPr>
      <w:r>
        <w:rPr>
          <w:rStyle w:val="FootnoteReference"/>
        </w:rPr>
        <w:footnoteRef/>
      </w:r>
      <w:r>
        <w:t xml:space="preserve"> J. Remak, </w:t>
      </w:r>
      <w:r>
        <w:rPr>
          <w:i/>
        </w:rPr>
        <w:t xml:space="preserve">The Origins of World War 1 </w:t>
      </w:r>
      <w:r>
        <w:t>(New York: Holt, Rinehart and Winston Inc, 1967), p. 43.</w:t>
      </w:r>
    </w:p>
  </w:footnote>
  <w:footnote w:id="3">
    <w:p w:rsidR="00D976B9" w:rsidRPr="00014730" w:rsidRDefault="00D976B9">
      <w:pPr>
        <w:pStyle w:val="FootnoteText"/>
      </w:pPr>
      <w:r>
        <w:rPr>
          <w:rStyle w:val="FootnoteReference"/>
        </w:rPr>
        <w:footnoteRef/>
      </w:r>
      <w:r>
        <w:t xml:space="preserve"> L. C. F. Turner, </w:t>
      </w:r>
      <w:r>
        <w:rPr>
          <w:i/>
        </w:rPr>
        <w:t xml:space="preserve">The Origins of the First World War </w:t>
      </w:r>
      <w:r>
        <w:t>(London: Edward Arnold Ltd, 1970), p. 3.</w:t>
      </w:r>
    </w:p>
  </w:footnote>
  <w:footnote w:id="4">
    <w:p w:rsidR="00D976B9" w:rsidRPr="008F34E1" w:rsidRDefault="00D976B9">
      <w:pPr>
        <w:pStyle w:val="FootnoteText"/>
      </w:pPr>
      <w:r>
        <w:rPr>
          <w:rStyle w:val="FootnoteReference"/>
        </w:rPr>
        <w:footnoteRef/>
      </w:r>
      <w:r>
        <w:t xml:space="preserve"> </w:t>
      </w:r>
      <w:r>
        <w:rPr>
          <w:i/>
        </w:rPr>
        <w:t>Ibid</w:t>
      </w:r>
      <w:r>
        <w:t>., p. 3.</w:t>
      </w:r>
    </w:p>
  </w:footnote>
  <w:footnote w:id="5">
    <w:p w:rsidR="00D976B9" w:rsidRDefault="00D976B9">
      <w:pPr>
        <w:pStyle w:val="FootnoteText"/>
      </w:pPr>
      <w:r>
        <w:rPr>
          <w:rStyle w:val="FootnoteReference"/>
        </w:rPr>
        <w:footnoteRef/>
      </w:r>
      <w:r>
        <w:t xml:space="preserve"> </w:t>
      </w:r>
      <w:bookmarkStart w:id="1" w:name="_Hlk497332114"/>
      <w:r>
        <w:t xml:space="preserve">Hansard Millbank systems, Statement by Sir Edward Grey [online]. Available </w:t>
      </w:r>
      <w:hyperlink r:id="rId2" w:history="1">
        <w:r w:rsidRPr="00142050">
          <w:rPr>
            <w:rStyle w:val="Hyperlink"/>
          </w:rPr>
          <w:t>http://hansard.millbanksystems.com/commons/1914/aug/03/statement-by-sir-edward-grey</w:t>
        </w:r>
      </w:hyperlink>
      <w:r>
        <w:t>. (Accessed 25/10/17).</w:t>
      </w:r>
      <w:bookmarkEnd w:id="1"/>
    </w:p>
  </w:footnote>
  <w:footnote w:id="6">
    <w:p w:rsidR="00D976B9" w:rsidRPr="00256BA9" w:rsidRDefault="00D976B9">
      <w:pPr>
        <w:pStyle w:val="FootnoteText"/>
      </w:pPr>
      <w:r>
        <w:rPr>
          <w:rStyle w:val="FootnoteReference"/>
        </w:rPr>
        <w:footnoteRef/>
      </w:r>
      <w:r>
        <w:t xml:space="preserve"> R. Henig, </w:t>
      </w:r>
      <w:r>
        <w:rPr>
          <w:i/>
        </w:rPr>
        <w:t xml:space="preserve">The Origins of the First World War </w:t>
      </w:r>
      <w:r>
        <w:t>(London: Routledge, 1989), pp. 29-30.</w:t>
      </w:r>
    </w:p>
  </w:footnote>
  <w:footnote w:id="7">
    <w:p w:rsidR="00D976B9" w:rsidRPr="00CC78E6" w:rsidRDefault="00D976B9">
      <w:pPr>
        <w:pStyle w:val="FootnoteText"/>
      </w:pPr>
      <w:r>
        <w:rPr>
          <w:rStyle w:val="FootnoteReference"/>
        </w:rPr>
        <w:footnoteRef/>
      </w:r>
      <w:r>
        <w:t xml:space="preserve"> L. Woodward, </w:t>
      </w:r>
      <w:r>
        <w:rPr>
          <w:i/>
        </w:rPr>
        <w:t xml:space="preserve">Great Britain and the War of 1914-1918 </w:t>
      </w:r>
      <w:r w:rsidR="00F74B8C">
        <w:t>(London: Methuen &amp; Co Ltd</w:t>
      </w:r>
      <w:r>
        <w:t>, 1967), p. 17.</w:t>
      </w:r>
    </w:p>
  </w:footnote>
  <w:footnote w:id="8">
    <w:p w:rsidR="00D976B9" w:rsidRPr="00CC78E6" w:rsidRDefault="00D976B9">
      <w:pPr>
        <w:pStyle w:val="FootnoteText"/>
      </w:pPr>
      <w:r>
        <w:rPr>
          <w:rStyle w:val="FootnoteReference"/>
        </w:rPr>
        <w:footnoteRef/>
      </w:r>
      <w:r>
        <w:t xml:space="preserve"> </w:t>
      </w:r>
      <w:r>
        <w:rPr>
          <w:i/>
        </w:rPr>
        <w:t>Ibid</w:t>
      </w:r>
      <w:r>
        <w:t>., p. 17.</w:t>
      </w:r>
    </w:p>
  </w:footnote>
  <w:footnote w:id="9">
    <w:p w:rsidR="00D976B9" w:rsidRPr="00755A9B" w:rsidRDefault="00D976B9">
      <w:pPr>
        <w:pStyle w:val="FootnoteText"/>
      </w:pPr>
      <w:r>
        <w:rPr>
          <w:rStyle w:val="FootnoteReference"/>
        </w:rPr>
        <w:footnoteRef/>
      </w:r>
      <w:r>
        <w:t xml:space="preserve"> </w:t>
      </w:r>
      <w:r>
        <w:rPr>
          <w:i/>
        </w:rPr>
        <w:t>Ibid</w:t>
      </w:r>
      <w:r>
        <w:t>., p. 29.</w:t>
      </w:r>
    </w:p>
  </w:footnote>
  <w:footnote w:id="10">
    <w:p w:rsidR="00D976B9" w:rsidRPr="001846F2" w:rsidRDefault="00D976B9">
      <w:pPr>
        <w:pStyle w:val="FootnoteText"/>
      </w:pPr>
      <w:r>
        <w:rPr>
          <w:rStyle w:val="FootnoteReference"/>
        </w:rPr>
        <w:footnoteRef/>
      </w:r>
      <w:r>
        <w:t xml:space="preserve"> T. Charman, </w:t>
      </w:r>
      <w:r>
        <w:rPr>
          <w:i/>
        </w:rPr>
        <w:t xml:space="preserve">The First World War on the Home Front </w:t>
      </w:r>
      <w:r>
        <w:t>(London: Andr</w:t>
      </w:r>
      <w:r>
        <w:rPr>
          <w:rFonts w:cstheme="minorHAnsi"/>
        </w:rPr>
        <w:t>é</w:t>
      </w:r>
      <w:r>
        <w:t xml:space="preserve"> Deutsch, 2015), p. 24.</w:t>
      </w:r>
    </w:p>
  </w:footnote>
  <w:footnote w:id="11">
    <w:p w:rsidR="00D976B9" w:rsidRPr="00702388" w:rsidRDefault="00D976B9">
      <w:pPr>
        <w:pStyle w:val="FootnoteText"/>
      </w:pPr>
      <w:r>
        <w:rPr>
          <w:rStyle w:val="FootnoteReference"/>
        </w:rPr>
        <w:footnoteRef/>
      </w:r>
      <w:r>
        <w:t xml:space="preserve"> </w:t>
      </w:r>
      <w:r>
        <w:rPr>
          <w:i/>
        </w:rPr>
        <w:t>Ibid</w:t>
      </w:r>
      <w:r>
        <w:t>., pp. 24-25.</w:t>
      </w:r>
    </w:p>
  </w:footnote>
  <w:footnote w:id="12">
    <w:p w:rsidR="00D976B9" w:rsidRPr="00A960C2" w:rsidRDefault="00D976B9">
      <w:pPr>
        <w:pStyle w:val="FootnoteText"/>
      </w:pPr>
      <w:r>
        <w:rPr>
          <w:rStyle w:val="FootnoteReference"/>
        </w:rPr>
        <w:footnoteRef/>
      </w:r>
      <w:r>
        <w:t xml:space="preserve"> Woodward, </w:t>
      </w:r>
      <w:r>
        <w:rPr>
          <w:i/>
        </w:rPr>
        <w:t>Great Britain and the War of 1914-1918</w:t>
      </w:r>
      <w:r>
        <w:t>, p. 24.</w:t>
      </w:r>
    </w:p>
  </w:footnote>
  <w:footnote w:id="13">
    <w:p w:rsidR="00D976B9" w:rsidRDefault="00D976B9">
      <w:pPr>
        <w:pStyle w:val="FootnoteText"/>
      </w:pPr>
      <w:r>
        <w:rPr>
          <w:rStyle w:val="FootnoteReference"/>
        </w:rPr>
        <w:footnoteRef/>
      </w:r>
      <w:r>
        <w:t xml:space="preserve"> Hansard Millbank systems, Statement by Sir Edward Grey [online]. Available </w:t>
      </w:r>
      <w:hyperlink r:id="rId3" w:history="1">
        <w:r w:rsidRPr="00142050">
          <w:rPr>
            <w:rStyle w:val="Hyperlink"/>
          </w:rPr>
          <w:t>http://hansard.millbanksystems.com/commons/1914/aug/03/statement-by-sir-edward-grey</w:t>
        </w:r>
      </w:hyperlink>
      <w:r>
        <w:t>. (Accessed 25/10/17).</w:t>
      </w:r>
    </w:p>
  </w:footnote>
  <w:footnote w:id="14">
    <w:p w:rsidR="00D976B9" w:rsidRDefault="00D976B9">
      <w:pPr>
        <w:pStyle w:val="FootnoteText"/>
      </w:pPr>
      <w:r>
        <w:rPr>
          <w:rStyle w:val="FootnoteReference"/>
        </w:rPr>
        <w:footnoteRef/>
      </w:r>
      <w:r>
        <w:t xml:space="preserve"> Woodward, </w:t>
      </w:r>
      <w:r>
        <w:rPr>
          <w:i/>
        </w:rPr>
        <w:t>Great Britain and the War of 1914-1918</w:t>
      </w:r>
      <w:r>
        <w:t>, p. 24.</w:t>
      </w:r>
    </w:p>
  </w:footnote>
  <w:footnote w:id="15">
    <w:p w:rsidR="00D976B9" w:rsidRPr="00BA5CAC" w:rsidRDefault="00D976B9">
      <w:pPr>
        <w:pStyle w:val="FootnoteText"/>
      </w:pPr>
      <w:r>
        <w:rPr>
          <w:rStyle w:val="FootnoteReference"/>
        </w:rPr>
        <w:footnoteRef/>
      </w:r>
      <w:r>
        <w:t xml:space="preserve"> </w:t>
      </w:r>
      <w:r>
        <w:rPr>
          <w:i/>
        </w:rPr>
        <w:t>Ibid</w:t>
      </w:r>
      <w:r>
        <w:t>., p. 24.</w:t>
      </w:r>
    </w:p>
  </w:footnote>
  <w:footnote w:id="16">
    <w:p w:rsidR="00D976B9" w:rsidRDefault="00D976B9">
      <w:pPr>
        <w:pStyle w:val="FootnoteText"/>
      </w:pPr>
      <w:r>
        <w:rPr>
          <w:rStyle w:val="FootnoteReference"/>
        </w:rPr>
        <w:footnoteRef/>
      </w:r>
      <w:r>
        <w:t xml:space="preserve"> Hansard Millbank systems, Statement by Sir Edward Grey [online]. Available </w:t>
      </w:r>
      <w:bookmarkStart w:id="2" w:name="_Hlk497572885"/>
      <w:r>
        <w:fldChar w:fldCharType="begin"/>
      </w:r>
      <w:r>
        <w:instrText xml:space="preserve"> HYPERLINK "http://hansard.millbanksystems.com/commons/1914/aug/03/statement-by-sir-edward-grey" </w:instrText>
      </w:r>
      <w:r>
        <w:fldChar w:fldCharType="separate"/>
      </w:r>
      <w:r w:rsidRPr="00142050">
        <w:rPr>
          <w:rStyle w:val="Hyperlink"/>
        </w:rPr>
        <w:t>http://hansard.millbanksystems.com/commons/1914/aug/03/statement-by-sir-edward-grey</w:t>
      </w:r>
      <w:r>
        <w:rPr>
          <w:rStyle w:val="Hyperlink"/>
        </w:rPr>
        <w:fldChar w:fldCharType="end"/>
      </w:r>
      <w:r>
        <w:t xml:space="preserve">. </w:t>
      </w:r>
      <w:bookmarkEnd w:id="2"/>
      <w:r>
        <w:t>(Accessed 2/11/17).</w:t>
      </w:r>
    </w:p>
  </w:footnote>
  <w:footnote w:id="17">
    <w:p w:rsidR="00D976B9" w:rsidRDefault="00D976B9">
      <w:pPr>
        <w:pStyle w:val="FootnoteText"/>
      </w:pPr>
      <w:r>
        <w:rPr>
          <w:rStyle w:val="FootnoteReference"/>
        </w:rPr>
        <w:footnoteRef/>
      </w:r>
      <w:r>
        <w:t xml:space="preserve"> Woodward, </w:t>
      </w:r>
      <w:r>
        <w:rPr>
          <w:i/>
        </w:rPr>
        <w:t>Great Britain and the War of 1914-1918</w:t>
      </w:r>
      <w:r>
        <w:t>, p. 20.</w:t>
      </w:r>
    </w:p>
  </w:footnote>
  <w:footnote w:id="18">
    <w:p w:rsidR="00D976B9" w:rsidRPr="00A11E94" w:rsidRDefault="00D976B9">
      <w:pPr>
        <w:pStyle w:val="FootnoteText"/>
      </w:pPr>
      <w:r>
        <w:rPr>
          <w:rStyle w:val="FootnoteReference"/>
        </w:rPr>
        <w:footnoteRef/>
      </w:r>
      <w:r>
        <w:t xml:space="preserve"> </w:t>
      </w:r>
      <w:r>
        <w:rPr>
          <w:i/>
        </w:rPr>
        <w:t>Ibid</w:t>
      </w:r>
      <w:r>
        <w:t>., p. 20.</w:t>
      </w:r>
    </w:p>
  </w:footnote>
  <w:footnote w:id="19">
    <w:p w:rsidR="00D976B9" w:rsidRPr="00337EED" w:rsidRDefault="00D976B9">
      <w:pPr>
        <w:pStyle w:val="FootnoteText"/>
      </w:pPr>
      <w:r>
        <w:rPr>
          <w:rStyle w:val="FootnoteReference"/>
        </w:rPr>
        <w:footnoteRef/>
      </w:r>
      <w:r>
        <w:t xml:space="preserve"> Charman, </w:t>
      </w:r>
      <w:r>
        <w:rPr>
          <w:i/>
        </w:rPr>
        <w:t>The First World War on the Home Front</w:t>
      </w:r>
      <w:r>
        <w:t>, p. 25.</w:t>
      </w:r>
    </w:p>
  </w:footnote>
  <w:footnote w:id="20">
    <w:p w:rsidR="00D976B9" w:rsidRPr="007D0B21" w:rsidRDefault="00D976B9">
      <w:pPr>
        <w:pStyle w:val="FootnoteText"/>
      </w:pPr>
      <w:r>
        <w:rPr>
          <w:rStyle w:val="FootnoteReference"/>
        </w:rPr>
        <w:footnoteRef/>
      </w:r>
      <w:r>
        <w:t xml:space="preserve"> </w:t>
      </w:r>
      <w:r>
        <w:rPr>
          <w:i/>
        </w:rPr>
        <w:t>Ibid</w:t>
      </w:r>
      <w:r>
        <w:t>., p. 25.</w:t>
      </w:r>
    </w:p>
  </w:footnote>
  <w:footnote w:id="21">
    <w:p w:rsidR="00D976B9" w:rsidRDefault="00D976B9">
      <w:pPr>
        <w:pStyle w:val="FootnoteText"/>
      </w:pPr>
      <w:r>
        <w:rPr>
          <w:rStyle w:val="FootnoteReference"/>
        </w:rPr>
        <w:footnoteRef/>
      </w:r>
      <w:r>
        <w:t xml:space="preserve"> </w:t>
      </w:r>
      <w:bookmarkStart w:id="3" w:name="_Hlk497573621"/>
      <w:r>
        <w:t xml:space="preserve">Wwnorton, Mansion House speech of July 1911 David Lloyd George on the Third Moroccan Crisis [online]. Available </w:t>
      </w:r>
      <w:hyperlink r:id="rId4" w:history="1">
        <w:r w:rsidRPr="00C8758B">
          <w:rPr>
            <w:rStyle w:val="Hyperlink"/>
          </w:rPr>
          <w:t>http://www.wwnorton.com/college/history/ralph/workbook/ralprs32b.htm</w:t>
        </w:r>
      </w:hyperlink>
      <w:r>
        <w:t>. (Accessed 3/11/17).</w:t>
      </w:r>
      <w:bookmarkEnd w:id="3"/>
    </w:p>
  </w:footnote>
  <w:footnote w:id="22">
    <w:p w:rsidR="00D976B9" w:rsidRPr="00823869" w:rsidRDefault="00D976B9">
      <w:pPr>
        <w:pStyle w:val="FootnoteText"/>
      </w:pPr>
      <w:r>
        <w:rPr>
          <w:rStyle w:val="FootnoteReference"/>
        </w:rPr>
        <w:footnoteRef/>
      </w:r>
      <w:r>
        <w:t xml:space="preserve"> </w:t>
      </w:r>
      <w:r>
        <w:rPr>
          <w:i/>
        </w:rPr>
        <w:t>Ibid</w:t>
      </w:r>
      <w:r>
        <w:t>.</w:t>
      </w:r>
    </w:p>
  </w:footnote>
  <w:footnote w:id="23">
    <w:p w:rsidR="00D976B9" w:rsidRPr="002367EA" w:rsidRDefault="00D976B9">
      <w:pPr>
        <w:pStyle w:val="FootnoteText"/>
      </w:pPr>
      <w:r>
        <w:rPr>
          <w:rStyle w:val="FootnoteReference"/>
        </w:rPr>
        <w:footnoteRef/>
      </w:r>
      <w:r>
        <w:t xml:space="preserve"> J. Joll, </w:t>
      </w:r>
      <w:r>
        <w:rPr>
          <w:i/>
        </w:rPr>
        <w:t xml:space="preserve">The Origins of the First World War </w:t>
      </w:r>
      <w:r>
        <w:t>(Harlow: Longman Group Limited, 1984), p. 48.</w:t>
      </w:r>
    </w:p>
  </w:footnote>
  <w:footnote w:id="24">
    <w:p w:rsidR="00D976B9" w:rsidRPr="009764E3" w:rsidRDefault="00D976B9">
      <w:pPr>
        <w:pStyle w:val="FootnoteText"/>
      </w:pPr>
      <w:r>
        <w:rPr>
          <w:rStyle w:val="FootnoteReference"/>
        </w:rPr>
        <w:footnoteRef/>
      </w:r>
      <w:r>
        <w:t xml:space="preserve"> </w:t>
      </w:r>
      <w:r>
        <w:rPr>
          <w:i/>
        </w:rPr>
        <w:t>Ibid</w:t>
      </w:r>
      <w:r>
        <w:t>., pp. 48-49.</w:t>
      </w:r>
    </w:p>
  </w:footnote>
  <w:footnote w:id="25">
    <w:p w:rsidR="00D976B9" w:rsidRDefault="00D976B9">
      <w:pPr>
        <w:pStyle w:val="FootnoteText"/>
      </w:pPr>
      <w:r>
        <w:rPr>
          <w:rStyle w:val="FootnoteReference"/>
        </w:rPr>
        <w:footnoteRef/>
      </w:r>
      <w:r>
        <w:t xml:space="preserve"> Charman, </w:t>
      </w:r>
      <w:r>
        <w:rPr>
          <w:i/>
        </w:rPr>
        <w:t>The First World War on the Home Front</w:t>
      </w:r>
      <w:r>
        <w:t>, p. VII.</w:t>
      </w:r>
    </w:p>
  </w:footnote>
  <w:footnote w:id="26">
    <w:p w:rsidR="00D976B9" w:rsidRPr="0099794D" w:rsidRDefault="00D976B9">
      <w:pPr>
        <w:pStyle w:val="FootnoteText"/>
      </w:pPr>
      <w:r>
        <w:rPr>
          <w:rStyle w:val="FootnoteReference"/>
        </w:rPr>
        <w:footnoteRef/>
      </w:r>
      <w:r>
        <w:t xml:space="preserve"> </w:t>
      </w:r>
      <w:r>
        <w:rPr>
          <w:i/>
        </w:rPr>
        <w:t>Ibid</w:t>
      </w:r>
      <w:r>
        <w:t>., p. V.</w:t>
      </w:r>
    </w:p>
  </w:footnote>
  <w:footnote w:id="27">
    <w:p w:rsidR="00D976B9" w:rsidRDefault="00D976B9">
      <w:pPr>
        <w:pStyle w:val="FootnoteText"/>
      </w:pPr>
      <w:r>
        <w:rPr>
          <w:rStyle w:val="FootnoteReference"/>
        </w:rPr>
        <w:footnoteRef/>
      </w:r>
      <w:r>
        <w:t xml:space="preserve"> </w:t>
      </w:r>
      <w:bookmarkStart w:id="4" w:name="_Hlk498025466"/>
      <w:r>
        <w:t xml:space="preserve">Penguin, Terry Charman [online] Available: </w:t>
      </w:r>
      <w:hyperlink r:id="rId5" w:history="1">
        <w:r w:rsidRPr="00890722">
          <w:rPr>
            <w:rStyle w:val="Hyperlink"/>
          </w:rPr>
          <w:t>https://www.penguin.co.uk/authors/terry-charman/1063426/</w:t>
        </w:r>
      </w:hyperlink>
      <w:r>
        <w:t>. (Accessed 8/11/17).</w:t>
      </w:r>
      <w:bookmarkEnd w:id="4"/>
    </w:p>
  </w:footnote>
  <w:footnote w:id="28">
    <w:p w:rsidR="00D976B9" w:rsidRPr="007155E0" w:rsidRDefault="00D976B9">
      <w:pPr>
        <w:pStyle w:val="FootnoteText"/>
      </w:pPr>
      <w:r>
        <w:rPr>
          <w:rStyle w:val="FootnoteReference"/>
        </w:rPr>
        <w:footnoteRef/>
      </w:r>
      <w:r>
        <w:t xml:space="preserve"> </w:t>
      </w:r>
      <w:r>
        <w:rPr>
          <w:i/>
        </w:rPr>
        <w:t>Ibid</w:t>
      </w:r>
      <w:r>
        <w:t>.</w:t>
      </w:r>
    </w:p>
  </w:footnote>
  <w:footnote w:id="29">
    <w:p w:rsidR="00D976B9" w:rsidRPr="008F5E54" w:rsidRDefault="00D976B9">
      <w:pPr>
        <w:pStyle w:val="FootnoteText"/>
      </w:pPr>
      <w:r>
        <w:rPr>
          <w:rStyle w:val="FootnoteReference"/>
        </w:rPr>
        <w:footnoteRef/>
      </w:r>
      <w:r>
        <w:t xml:space="preserve"> Charman, </w:t>
      </w:r>
      <w:r>
        <w:rPr>
          <w:i/>
        </w:rPr>
        <w:t xml:space="preserve">The First World War on the Home </w:t>
      </w:r>
      <w:r w:rsidRPr="00C31BF8">
        <w:t>Front</w:t>
      </w:r>
      <w:r>
        <w:t xml:space="preserve">, </w:t>
      </w:r>
      <w:r w:rsidRPr="00C31BF8">
        <w:t>p</w:t>
      </w:r>
      <w:r>
        <w:t>. IV.</w:t>
      </w:r>
    </w:p>
  </w:footnote>
  <w:footnote w:id="30">
    <w:p w:rsidR="00D976B9" w:rsidRPr="002C1359" w:rsidRDefault="00D976B9">
      <w:pPr>
        <w:pStyle w:val="FootnoteText"/>
      </w:pPr>
      <w:r>
        <w:rPr>
          <w:rStyle w:val="FootnoteReference"/>
        </w:rPr>
        <w:footnoteRef/>
      </w:r>
      <w:r>
        <w:t xml:space="preserve"> A. Marwick, </w:t>
      </w:r>
      <w:r>
        <w:rPr>
          <w:i/>
        </w:rPr>
        <w:t xml:space="preserve">Women at War 1914-1918 </w:t>
      </w:r>
      <w:r>
        <w:t>(New York: Fontana Paperbacks, 1977), p. 5.</w:t>
      </w:r>
    </w:p>
  </w:footnote>
  <w:footnote w:id="31">
    <w:p w:rsidR="00D976B9" w:rsidRDefault="00D976B9">
      <w:pPr>
        <w:pStyle w:val="FootnoteText"/>
      </w:pPr>
      <w:r>
        <w:rPr>
          <w:rStyle w:val="FootnoteReference"/>
        </w:rPr>
        <w:footnoteRef/>
      </w:r>
      <w:r>
        <w:t xml:space="preserve"> Charman, </w:t>
      </w:r>
      <w:r>
        <w:rPr>
          <w:i/>
        </w:rPr>
        <w:t>The First World War on the Home Front</w:t>
      </w:r>
      <w:r>
        <w:t>, p. VII.</w:t>
      </w:r>
    </w:p>
  </w:footnote>
  <w:footnote w:id="32">
    <w:p w:rsidR="00D976B9" w:rsidRPr="004832A4" w:rsidRDefault="00D976B9">
      <w:pPr>
        <w:pStyle w:val="FootnoteText"/>
      </w:pPr>
      <w:r>
        <w:rPr>
          <w:rStyle w:val="FootnoteReference"/>
        </w:rPr>
        <w:footnoteRef/>
      </w:r>
      <w:r>
        <w:t xml:space="preserve"> </w:t>
      </w:r>
      <w:r>
        <w:rPr>
          <w:i/>
        </w:rPr>
        <w:t>Ibid</w:t>
      </w:r>
      <w:r>
        <w:t>., p. 140.</w:t>
      </w:r>
    </w:p>
  </w:footnote>
  <w:footnote w:id="33">
    <w:p w:rsidR="00D976B9" w:rsidRPr="002E513F" w:rsidRDefault="00D976B9">
      <w:pPr>
        <w:pStyle w:val="FootnoteText"/>
      </w:pPr>
      <w:r>
        <w:rPr>
          <w:rStyle w:val="FootnoteReference"/>
        </w:rPr>
        <w:footnoteRef/>
      </w:r>
      <w:r>
        <w:t xml:space="preserve"> </w:t>
      </w:r>
      <w:r>
        <w:rPr>
          <w:i/>
        </w:rPr>
        <w:t>Ibid</w:t>
      </w:r>
      <w:r>
        <w:t>., pp. 303-304.</w:t>
      </w:r>
    </w:p>
  </w:footnote>
  <w:footnote w:id="34">
    <w:p w:rsidR="007E4926" w:rsidRPr="007E4926" w:rsidRDefault="007E4926">
      <w:pPr>
        <w:pStyle w:val="FootnoteText"/>
      </w:pPr>
      <w:r>
        <w:rPr>
          <w:rStyle w:val="FootnoteReference"/>
        </w:rPr>
        <w:footnoteRef/>
      </w:r>
      <w:r>
        <w:t xml:space="preserve"> J. Williams, </w:t>
      </w:r>
      <w:r>
        <w:rPr>
          <w:i/>
        </w:rPr>
        <w:t xml:space="preserve">The Home Fronts Britain, France &amp; Germany 1914-1918 </w:t>
      </w:r>
      <w:r>
        <w:t>(</w:t>
      </w:r>
      <w:r w:rsidR="00CB1B54">
        <w:t xml:space="preserve">London: Constable and Company Limited, 1972), pp. </w:t>
      </w:r>
      <w:r w:rsidR="00321C62">
        <w:t>IX-X.</w:t>
      </w:r>
    </w:p>
  </w:footnote>
  <w:footnote w:id="35">
    <w:p w:rsidR="00D976B9" w:rsidRPr="004D4055" w:rsidRDefault="00D976B9">
      <w:pPr>
        <w:pStyle w:val="FootnoteText"/>
      </w:pPr>
      <w:r>
        <w:rPr>
          <w:rStyle w:val="FootnoteReference"/>
        </w:rPr>
        <w:footnoteRef/>
      </w:r>
      <w:r>
        <w:t xml:space="preserve"> </w:t>
      </w:r>
      <w:r w:rsidR="0015166A">
        <w:t xml:space="preserve">Charman, </w:t>
      </w:r>
      <w:r w:rsidR="0015166A">
        <w:rPr>
          <w:i/>
        </w:rPr>
        <w:t xml:space="preserve">The First World War on the Home </w:t>
      </w:r>
      <w:r w:rsidR="0015166A" w:rsidRPr="0015166A">
        <w:t>Front</w:t>
      </w:r>
      <w:r w:rsidR="0015166A">
        <w:t xml:space="preserve">, </w:t>
      </w:r>
      <w:r w:rsidRPr="0015166A">
        <w:t>p</w:t>
      </w:r>
      <w:r>
        <w:t>. 146.</w:t>
      </w:r>
    </w:p>
  </w:footnote>
  <w:footnote w:id="36">
    <w:p w:rsidR="00F12BF9" w:rsidRPr="00F12BF9" w:rsidRDefault="00F12BF9">
      <w:pPr>
        <w:pStyle w:val="FootnoteText"/>
      </w:pPr>
      <w:r>
        <w:rPr>
          <w:rStyle w:val="FootnoteReference"/>
        </w:rPr>
        <w:footnoteRef/>
      </w:r>
      <w:r>
        <w:t xml:space="preserve"> </w:t>
      </w:r>
      <w:r>
        <w:rPr>
          <w:i/>
        </w:rPr>
        <w:t>Ibid</w:t>
      </w:r>
      <w:r>
        <w:t>., pp. 303-304.</w:t>
      </w:r>
    </w:p>
  </w:footnote>
  <w:footnote w:id="37">
    <w:p w:rsidR="00714B3A" w:rsidRPr="00397E4D" w:rsidRDefault="00714B3A" w:rsidP="00714B3A">
      <w:pPr>
        <w:pStyle w:val="FootnoteText"/>
      </w:pPr>
      <w:r>
        <w:rPr>
          <w:rStyle w:val="FootnoteReference"/>
        </w:rPr>
        <w:footnoteRef/>
      </w:r>
      <w:r>
        <w:t xml:space="preserve"> </w:t>
      </w:r>
      <w:r>
        <w:rPr>
          <w:i/>
        </w:rPr>
        <w:t>Ibid</w:t>
      </w:r>
      <w:r>
        <w:t>., pp. 1-36.</w:t>
      </w:r>
    </w:p>
  </w:footnote>
  <w:footnote w:id="38">
    <w:p w:rsidR="00714B3A" w:rsidRPr="00206146" w:rsidRDefault="00714B3A" w:rsidP="00714B3A">
      <w:pPr>
        <w:pStyle w:val="FootnoteText"/>
      </w:pPr>
      <w:r>
        <w:rPr>
          <w:rStyle w:val="FootnoteReference"/>
        </w:rPr>
        <w:footnoteRef/>
      </w:r>
      <w:r>
        <w:t xml:space="preserve"> </w:t>
      </w:r>
      <w:r>
        <w:rPr>
          <w:i/>
        </w:rPr>
        <w:t>Ibid</w:t>
      </w:r>
      <w:r>
        <w:t>., pp. 271-302.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07C5"/>
    <w:rsid w:val="00014730"/>
    <w:rsid w:val="00026EDF"/>
    <w:rsid w:val="00034BBE"/>
    <w:rsid w:val="00035B8F"/>
    <w:rsid w:val="00041488"/>
    <w:rsid w:val="00041812"/>
    <w:rsid w:val="0004580C"/>
    <w:rsid w:val="000476AE"/>
    <w:rsid w:val="00050DEE"/>
    <w:rsid w:val="00054230"/>
    <w:rsid w:val="000B26D6"/>
    <w:rsid w:val="000E31A4"/>
    <w:rsid w:val="000E5D9A"/>
    <w:rsid w:val="000F5643"/>
    <w:rsid w:val="0010348B"/>
    <w:rsid w:val="00112D2C"/>
    <w:rsid w:val="00113881"/>
    <w:rsid w:val="00124981"/>
    <w:rsid w:val="0013312E"/>
    <w:rsid w:val="00142050"/>
    <w:rsid w:val="0015166A"/>
    <w:rsid w:val="00152CB2"/>
    <w:rsid w:val="00157CA7"/>
    <w:rsid w:val="00164BE5"/>
    <w:rsid w:val="0017084C"/>
    <w:rsid w:val="00172967"/>
    <w:rsid w:val="001754B8"/>
    <w:rsid w:val="001846F2"/>
    <w:rsid w:val="0019080A"/>
    <w:rsid w:val="00206146"/>
    <w:rsid w:val="00223300"/>
    <w:rsid w:val="0022575F"/>
    <w:rsid w:val="00234822"/>
    <w:rsid w:val="002367EA"/>
    <w:rsid w:val="002372BA"/>
    <w:rsid w:val="00256BA9"/>
    <w:rsid w:val="00261FC4"/>
    <w:rsid w:val="00266C7A"/>
    <w:rsid w:val="00266ED2"/>
    <w:rsid w:val="002800FA"/>
    <w:rsid w:val="002C1359"/>
    <w:rsid w:val="002E267F"/>
    <w:rsid w:val="002E513F"/>
    <w:rsid w:val="002F042E"/>
    <w:rsid w:val="00301419"/>
    <w:rsid w:val="00306840"/>
    <w:rsid w:val="00321C62"/>
    <w:rsid w:val="00337EED"/>
    <w:rsid w:val="00346EF0"/>
    <w:rsid w:val="003519D1"/>
    <w:rsid w:val="00351A72"/>
    <w:rsid w:val="003608D7"/>
    <w:rsid w:val="003663C6"/>
    <w:rsid w:val="003712B8"/>
    <w:rsid w:val="00376033"/>
    <w:rsid w:val="00397E4D"/>
    <w:rsid w:val="003A38CE"/>
    <w:rsid w:val="003B2062"/>
    <w:rsid w:val="003D3D99"/>
    <w:rsid w:val="003E02A0"/>
    <w:rsid w:val="003F5C1E"/>
    <w:rsid w:val="00406477"/>
    <w:rsid w:val="004107E4"/>
    <w:rsid w:val="00416ADA"/>
    <w:rsid w:val="00437874"/>
    <w:rsid w:val="004431E9"/>
    <w:rsid w:val="00471724"/>
    <w:rsid w:val="00481C04"/>
    <w:rsid w:val="004832A4"/>
    <w:rsid w:val="004A042A"/>
    <w:rsid w:val="004A1C59"/>
    <w:rsid w:val="004A58D4"/>
    <w:rsid w:val="004C1521"/>
    <w:rsid w:val="004C749D"/>
    <w:rsid w:val="004D4055"/>
    <w:rsid w:val="004E61D5"/>
    <w:rsid w:val="005307C1"/>
    <w:rsid w:val="005542D1"/>
    <w:rsid w:val="005A289E"/>
    <w:rsid w:val="005B0EA4"/>
    <w:rsid w:val="005B3750"/>
    <w:rsid w:val="005C2E5F"/>
    <w:rsid w:val="005D1533"/>
    <w:rsid w:val="005D29EC"/>
    <w:rsid w:val="00664CAF"/>
    <w:rsid w:val="00675335"/>
    <w:rsid w:val="00675B5E"/>
    <w:rsid w:val="00697555"/>
    <w:rsid w:val="006D0CAF"/>
    <w:rsid w:val="006D2DDB"/>
    <w:rsid w:val="006D3458"/>
    <w:rsid w:val="006D7498"/>
    <w:rsid w:val="00702388"/>
    <w:rsid w:val="00714B3A"/>
    <w:rsid w:val="007155E0"/>
    <w:rsid w:val="00720296"/>
    <w:rsid w:val="00722DD4"/>
    <w:rsid w:val="00735D07"/>
    <w:rsid w:val="00742585"/>
    <w:rsid w:val="00755A9B"/>
    <w:rsid w:val="00763742"/>
    <w:rsid w:val="0076772D"/>
    <w:rsid w:val="007721D4"/>
    <w:rsid w:val="0078291D"/>
    <w:rsid w:val="007952E2"/>
    <w:rsid w:val="007D0B21"/>
    <w:rsid w:val="007E4926"/>
    <w:rsid w:val="007F1DD9"/>
    <w:rsid w:val="008125C3"/>
    <w:rsid w:val="008130AC"/>
    <w:rsid w:val="00823869"/>
    <w:rsid w:val="00834AE1"/>
    <w:rsid w:val="00843442"/>
    <w:rsid w:val="00890722"/>
    <w:rsid w:val="00891E24"/>
    <w:rsid w:val="00897DC5"/>
    <w:rsid w:val="008B6960"/>
    <w:rsid w:val="008E16D5"/>
    <w:rsid w:val="008F34E1"/>
    <w:rsid w:val="008F5E54"/>
    <w:rsid w:val="009203E4"/>
    <w:rsid w:val="00926CB6"/>
    <w:rsid w:val="009404DA"/>
    <w:rsid w:val="00946B51"/>
    <w:rsid w:val="00960771"/>
    <w:rsid w:val="009764E3"/>
    <w:rsid w:val="0099794D"/>
    <w:rsid w:val="00997C14"/>
    <w:rsid w:val="009A2CB9"/>
    <w:rsid w:val="009D369C"/>
    <w:rsid w:val="009E668C"/>
    <w:rsid w:val="00A11E94"/>
    <w:rsid w:val="00A4101D"/>
    <w:rsid w:val="00A51B8A"/>
    <w:rsid w:val="00A55A65"/>
    <w:rsid w:val="00A56734"/>
    <w:rsid w:val="00A6037E"/>
    <w:rsid w:val="00A87EE3"/>
    <w:rsid w:val="00A93651"/>
    <w:rsid w:val="00A960C2"/>
    <w:rsid w:val="00AA34D5"/>
    <w:rsid w:val="00AA5DE3"/>
    <w:rsid w:val="00AB20D6"/>
    <w:rsid w:val="00AC664E"/>
    <w:rsid w:val="00AD0538"/>
    <w:rsid w:val="00B11186"/>
    <w:rsid w:val="00B11B1F"/>
    <w:rsid w:val="00B15BE2"/>
    <w:rsid w:val="00B66C79"/>
    <w:rsid w:val="00B7336C"/>
    <w:rsid w:val="00BA5CAC"/>
    <w:rsid w:val="00BB42A9"/>
    <w:rsid w:val="00BD03AA"/>
    <w:rsid w:val="00BD7CD6"/>
    <w:rsid w:val="00BE07C5"/>
    <w:rsid w:val="00BF05E4"/>
    <w:rsid w:val="00C31BF8"/>
    <w:rsid w:val="00C44EC6"/>
    <w:rsid w:val="00C56B8D"/>
    <w:rsid w:val="00C70922"/>
    <w:rsid w:val="00C718C1"/>
    <w:rsid w:val="00C73917"/>
    <w:rsid w:val="00C81305"/>
    <w:rsid w:val="00C81FEC"/>
    <w:rsid w:val="00C828F8"/>
    <w:rsid w:val="00C84092"/>
    <w:rsid w:val="00C8758B"/>
    <w:rsid w:val="00C93A25"/>
    <w:rsid w:val="00C96B8A"/>
    <w:rsid w:val="00CB1B54"/>
    <w:rsid w:val="00CC78E6"/>
    <w:rsid w:val="00CF573B"/>
    <w:rsid w:val="00CF65AF"/>
    <w:rsid w:val="00D05389"/>
    <w:rsid w:val="00D1334F"/>
    <w:rsid w:val="00D13BCE"/>
    <w:rsid w:val="00D14ED4"/>
    <w:rsid w:val="00D2029E"/>
    <w:rsid w:val="00D26011"/>
    <w:rsid w:val="00D40B4F"/>
    <w:rsid w:val="00D51CF4"/>
    <w:rsid w:val="00D62193"/>
    <w:rsid w:val="00D7626D"/>
    <w:rsid w:val="00D855FE"/>
    <w:rsid w:val="00D976B9"/>
    <w:rsid w:val="00DA09D7"/>
    <w:rsid w:val="00DB0449"/>
    <w:rsid w:val="00DB10B4"/>
    <w:rsid w:val="00DC019C"/>
    <w:rsid w:val="00DC535B"/>
    <w:rsid w:val="00DE1108"/>
    <w:rsid w:val="00DE2C15"/>
    <w:rsid w:val="00E207D0"/>
    <w:rsid w:val="00E81A61"/>
    <w:rsid w:val="00E854C2"/>
    <w:rsid w:val="00E92505"/>
    <w:rsid w:val="00E94761"/>
    <w:rsid w:val="00EA042F"/>
    <w:rsid w:val="00EA5119"/>
    <w:rsid w:val="00EF00A2"/>
    <w:rsid w:val="00EF0EBC"/>
    <w:rsid w:val="00EF62E6"/>
    <w:rsid w:val="00F0124D"/>
    <w:rsid w:val="00F12BF9"/>
    <w:rsid w:val="00F609E3"/>
    <w:rsid w:val="00F65426"/>
    <w:rsid w:val="00F74B8C"/>
    <w:rsid w:val="00FA3C5F"/>
    <w:rsid w:val="00FB36D3"/>
    <w:rsid w:val="00FD3BC9"/>
    <w:rsid w:val="00FF522F"/>
    <w:rsid w:val="00FF77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3EF9419"/>
  <w15:chartTrackingRefBased/>
  <w15:docId w15:val="{8817EB1C-9E31-4728-9433-28F59FE5BC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2575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2575F"/>
    <w:rPr>
      <w:sz w:val="20"/>
      <w:szCs w:val="20"/>
    </w:rPr>
  </w:style>
  <w:style w:type="character" w:styleId="FootnoteReference">
    <w:name w:val="footnote reference"/>
    <w:basedOn w:val="DefaultParagraphFont"/>
    <w:uiPriority w:val="99"/>
    <w:semiHidden/>
    <w:unhideWhenUsed/>
    <w:rsid w:val="0022575F"/>
    <w:rPr>
      <w:vertAlign w:val="superscript"/>
    </w:rPr>
  </w:style>
  <w:style w:type="character" w:styleId="Hyperlink">
    <w:name w:val="Hyperlink"/>
    <w:basedOn w:val="DefaultParagraphFont"/>
    <w:uiPriority w:val="99"/>
    <w:unhideWhenUsed/>
    <w:rsid w:val="00142050"/>
    <w:rPr>
      <w:color w:val="0563C1" w:themeColor="hyperlink"/>
      <w:u w:val="single"/>
    </w:rPr>
  </w:style>
  <w:style w:type="character" w:styleId="UnresolvedMention">
    <w:name w:val="Unresolved Mention"/>
    <w:basedOn w:val="DefaultParagraphFont"/>
    <w:uiPriority w:val="99"/>
    <w:semiHidden/>
    <w:unhideWhenUsed/>
    <w:rsid w:val="00142050"/>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wwnorton.com/college/history/ralph/workbook/ralprs32b.htm" TargetMode="External"/><Relationship Id="rId3" Type="http://schemas.openxmlformats.org/officeDocument/2006/relationships/settings" Target="settings.xml"/><Relationship Id="rId7" Type="http://schemas.openxmlformats.org/officeDocument/2006/relationships/hyperlink" Target="http://hansard.millbanksystems.com/commons/1914/aug/03/statement-by-sir-edward-grey"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penguin.co.uk/authors/terry-charman/1063426/"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hansard.millbanksystems.com/commons/1914/aug/03/statement-by-sir-edward-grey" TargetMode="External"/><Relationship Id="rId2" Type="http://schemas.openxmlformats.org/officeDocument/2006/relationships/hyperlink" Target="http://hansard.millbanksystems.com/commons/1914/aug/03/statement-by-sir-edward-grey" TargetMode="External"/><Relationship Id="rId1" Type="http://schemas.openxmlformats.org/officeDocument/2006/relationships/hyperlink" Target="http://hansard.millbanksystems.com/commons/1914/aug/03/statement-by-sir-edward-grey" TargetMode="External"/><Relationship Id="rId5" Type="http://schemas.openxmlformats.org/officeDocument/2006/relationships/hyperlink" Target="https://www.penguin.co.uk/authors/terry-charman/1063426/" TargetMode="External"/><Relationship Id="rId4" Type="http://schemas.openxmlformats.org/officeDocument/2006/relationships/hyperlink" Target="http://www.wwnorton.com/college/history/ralph/workbook/ralprs32b.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FD0C2E-D60C-48E9-838B-2A3E4EAE6B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1237</TotalTime>
  <Pages>7</Pages>
  <Words>2798</Words>
  <Characters>15955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Gavin McGlynn</dc:creator>
  <cp:keywords/>
  <dc:description/>
  <cp:lastModifiedBy>Gavin McGlynn</cp:lastModifiedBy>
  <cp:revision>139</cp:revision>
  <dcterms:created xsi:type="dcterms:W3CDTF">2017-10-18T12:46:00Z</dcterms:created>
  <dcterms:modified xsi:type="dcterms:W3CDTF">2017-11-09T21:37:00Z</dcterms:modified>
</cp:coreProperties>
</file>