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bCs/>
          <w:color w:val="70AD47" w:themeColor="accent6"/>
        </w:rPr>
      </w:pPr>
      <w:r>
        <w:rPr>
          <w:b/>
          <w:bCs/>
          <w:color w:val="70AD47" w:themeColor="accent6"/>
        </w:rPr>
      </w:r>
    </w:p>
    <w:p>
      <w:pPr>
        <w:pStyle w:val="Normal"/>
        <w:jc w:val="center"/>
        <w:rPr>
          <w:b/>
          <w:b/>
          <w:bCs/>
          <w:color w:val="70AD47" w:themeColor="accent6"/>
        </w:rPr>
      </w:pPr>
      <w:r>
        <w:rPr>
          <w:b/>
          <w:bCs/>
          <w:color w:val="70AD47" w:themeColor="accent6"/>
        </w:rPr>
      </w:r>
    </w:p>
    <w:p>
      <w:pPr>
        <w:pStyle w:val="Normal"/>
        <w:jc w:val="center"/>
        <w:rPr>
          <w:b/>
          <w:b/>
          <w:i/>
          <w:i/>
          <w:color w:val="00B0F0"/>
        </w:rPr>
      </w:pPr>
      <w:r>
        <w:rPr>
          <w:b/>
          <w:i/>
          <w:color w:val="00B0F0"/>
        </w:rPr>
        <w:t>CRITICALLY EVALUATE A RANGE OF TRAITS AND MOTIVATIONS ACROSS A VARIETY OF DIFFERENT TYPES OF ENTREPRENEURS</w:t>
      </w:r>
    </w:p>
    <w:p>
      <w:pPr>
        <w:pStyle w:val="Normal"/>
        <w:jc w:val="center"/>
        <w:rPr>
          <w:b/>
          <w:b/>
          <w:i/>
          <w:i/>
          <w:color w:val="00B0F0"/>
        </w:rPr>
      </w:pPr>
      <w:r>
        <w:rPr>
          <w:b/>
          <w:i/>
          <w:color w:val="00B0F0"/>
        </w:rPr>
        <mc:AlternateContent>
          <mc:Choice Requires="wps">
            <w:drawing>
              <wp:anchor behindDoc="0" distT="0" distB="0" distL="0" distR="0" simplePos="0" locked="0" layoutInCell="1" allowOverlap="1" relativeHeight="2" wp14:anchorId="52E87C62">
                <wp:simplePos x="0" y="0"/>
                <wp:positionH relativeFrom="margin">
                  <wp:posOffset>330835</wp:posOffset>
                </wp:positionH>
                <wp:positionV relativeFrom="paragraph">
                  <wp:posOffset>8255</wp:posOffset>
                </wp:positionV>
                <wp:extent cx="5163185" cy="46355"/>
                <wp:effectExtent l="0" t="0" r="0" b="12065"/>
                <wp:wrapNone/>
                <wp:docPr id="1" name="Minus 1"/>
                <a:graphic xmlns:a="http://schemas.openxmlformats.org/drawingml/2006/main">
                  <a:graphicData uri="http://schemas.microsoft.com/office/word/2010/wordprocessingShape">
                    <wps:wsp>
                      <wps:cNvSpPr/>
                      <wps:spPr>
                        <a:xfrm>
                          <a:off x="0" y="0"/>
                          <a:ext cx="5162400" cy="45720"/>
                        </a:xfrm>
                        <a:prstGeom prst="mathMinus">
                          <a:avLst>
                            <a:gd name="adj1" fmla="val 23520"/>
                          </a:avLst>
                        </a:prstGeom>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mc:Fallback>
        </mc:AlternateContent>
      </w:r>
    </w:p>
    <w:p>
      <w:pPr>
        <w:pStyle w:val="Normal"/>
        <w:spacing w:lineRule="auto" w:line="240" w:before="0" w:after="0"/>
        <w:jc w:val="center"/>
        <w:rPr>
          <w:bCs/>
          <w:color w:val="00B0F0"/>
        </w:rPr>
      </w:pPr>
      <w:r>
        <w:rPr>
          <w:bCs/>
          <w:i/>
          <w:color w:val="00B0F0"/>
        </w:rPr>
        <w:t xml:space="preserve">MODULE: </w:t>
      </w:r>
      <w:r>
        <w:rPr>
          <w:bCs/>
          <w:color w:val="00B0F0"/>
        </w:rPr>
        <w:t>ENTREPRENEURSHIP (BMIH5001)</w:t>
      </w:r>
    </w:p>
    <w:p>
      <w:pPr>
        <w:pStyle w:val="Normal"/>
        <w:spacing w:lineRule="auto" w:line="240" w:before="0" w:after="0"/>
        <w:jc w:val="center"/>
        <w:rPr>
          <w:bCs/>
          <w:i/>
          <w:i/>
          <w:color w:val="00B0F0"/>
        </w:rPr>
      </w:pPr>
      <w:r>
        <w:rPr>
          <w:bCs/>
          <w:i/>
          <w:color w:val="00B0F0"/>
        </w:rPr>
      </w:r>
    </w:p>
    <w:p>
      <w:pPr>
        <w:pStyle w:val="Normal"/>
        <w:spacing w:lineRule="auto" w:line="240" w:before="0" w:after="0"/>
        <w:jc w:val="center"/>
        <w:rPr>
          <w:bCs/>
          <w:color w:val="00B0F0"/>
        </w:rPr>
      </w:pPr>
      <w:r>
        <w:rPr>
          <w:bCs/>
          <w:i/>
          <w:color w:val="00B0F0"/>
        </w:rPr>
        <w:t>NAME:</w:t>
      </w:r>
      <w:r>
        <w:rPr>
          <w:color w:val="00B0F0"/>
        </w:rPr>
        <w:t xml:space="preserve"> </w:t>
      </w:r>
      <w:r>
        <w:rPr>
          <w:bCs/>
          <w:color w:val="00B0F0"/>
        </w:rPr>
        <w:t>TEOHAR NICOLETA -VALENTINA</w:t>
      </w:r>
    </w:p>
    <w:p>
      <w:pPr>
        <w:pStyle w:val="Normal"/>
        <w:spacing w:lineRule="auto" w:line="240" w:before="0" w:after="0"/>
        <w:jc w:val="center"/>
        <w:rPr>
          <w:bCs/>
          <w:i/>
          <w:i/>
          <w:color w:val="00B0F0"/>
        </w:rPr>
      </w:pPr>
      <w:r>
        <w:rPr>
          <w:bCs/>
          <w:i/>
          <w:color w:val="00B0F0"/>
        </w:rPr>
      </w:r>
    </w:p>
    <w:p>
      <w:pPr>
        <w:pStyle w:val="Normal"/>
        <w:spacing w:lineRule="auto" w:line="240" w:before="0" w:after="0"/>
        <w:jc w:val="center"/>
        <w:rPr>
          <w:bCs/>
          <w:i/>
          <w:i/>
          <w:color w:val="00B0F0"/>
        </w:rPr>
      </w:pPr>
      <w:r>
        <w:rPr>
          <w:bCs/>
          <w:i/>
          <w:color w:val="00B0F0"/>
        </w:rPr>
        <w:t xml:space="preserve">ID: </w:t>
      </w:r>
      <w:r>
        <w:rPr>
          <w:bCs/>
          <w:color w:val="00B0F0"/>
        </w:rPr>
        <w:t>1918827</w:t>
      </w:r>
    </w:p>
    <w:p>
      <w:pPr>
        <w:pStyle w:val="Normal"/>
        <w:spacing w:lineRule="auto" w:line="240" w:before="0" w:after="0"/>
        <w:jc w:val="center"/>
        <w:rPr>
          <w:bCs/>
          <w:i/>
          <w:i/>
          <w:color w:val="00B0F0"/>
        </w:rPr>
      </w:pPr>
      <w:r>
        <w:rPr/>
      </w:r>
    </w:p>
    <w:p>
      <w:pPr>
        <w:pStyle w:val="Normal"/>
        <w:spacing w:lineRule="auto" w:line="240" w:before="0" w:after="0"/>
        <w:jc w:val="center"/>
        <w:rPr>
          <w:bCs/>
          <w:i/>
          <w:i/>
          <w:color w:val="00B0F0"/>
        </w:rPr>
      </w:pPr>
      <w:r>
        <w:rPr>
          <w:bCs/>
          <w:i/>
          <w:color w:val="00B0F0"/>
        </w:rPr>
      </w:r>
    </w:p>
    <w:p>
      <w:pPr>
        <w:pStyle w:val="Normal"/>
        <w:spacing w:lineRule="auto" w:line="240" w:before="0" w:after="0"/>
        <w:jc w:val="center"/>
        <w:rPr>
          <w:bCs/>
          <w:i/>
          <w:i/>
          <w:color w:val="00B0F0"/>
        </w:rPr>
      </w:pPr>
      <w:r>
        <w:rPr>
          <w:bCs/>
          <w:i/>
          <w:color w:val="00B0F0"/>
        </w:rPr>
        <w:t xml:space="preserve">WORD COUNT: </w:t>
      </w:r>
      <w:r>
        <w:rPr>
          <w:bCs/>
          <w:color w:val="00B0F0"/>
        </w:rPr>
        <w:t>2235</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tabs>
          <w:tab w:val="clear" w:pos="720"/>
          <w:tab w:val="left" w:pos="4005" w:leader="none"/>
        </w:tabs>
        <w:jc w:val="center"/>
        <w:rPr/>
      </w:pPr>
      <w:r>
        <w:rPr>
          <w:color w:val="00B0F0"/>
        </w:rPr>
        <w:t>DATE OF SUBMISSION: 21</w:t>
      </w:r>
      <w:r>
        <w:rPr>
          <w:color w:val="00B0F0"/>
          <w:vertAlign w:val="superscript"/>
        </w:rPr>
        <w:t>ST</w:t>
      </w:r>
      <w:r>
        <w:rPr>
          <w:color w:val="00B0F0"/>
        </w:rPr>
        <w:t xml:space="preserve"> OCTOBER, 2024</w:t>
      </w:r>
    </w:p>
    <w:p>
      <w:pPr>
        <w:pStyle w:val="Normal"/>
        <w:tabs>
          <w:tab w:val="clear" w:pos="720"/>
          <w:tab w:val="left" w:pos="4005" w:leader="none"/>
        </w:tabs>
        <w:rPr/>
      </w:pPr>
      <w:r>
        <w:rPr/>
        <w:tab/>
      </w:r>
    </w:p>
    <w:sdt>
      <w:sdtPr>
        <w:docPartObj>
          <w:docPartGallery w:val="Table of Contents"/>
          <w:docPartUnique w:val="true"/>
        </w:docPartObj>
      </w:sdtPr>
      <w:sdtContent>
        <w:p>
          <w:pPr>
            <w:pStyle w:val="Normal"/>
            <w:jc w:val="center"/>
            <w:rPr/>
          </w:pPr>
          <w:r>
            <w:rPr/>
            <w:t>TABLE OF CONTENTS</w:t>
          </w:r>
        </w:p>
        <w:p>
          <w:pPr>
            <w:pStyle w:val="Contents1"/>
            <w:rPr>
              <w:rFonts w:ascii="Calibri" w:hAnsi="Calibri" w:eastAsia="" w:asciiTheme="minorHAnsi" w:eastAsiaTheme="minorEastAsia" w:hAnsiTheme="minorHAnsi"/>
              <w:sz w:val="22"/>
            </w:rPr>
          </w:pPr>
          <w:r>
            <w:fldChar w:fldCharType="begin"/>
          </w:r>
          <w:r>
            <w:rPr>
              <w:webHidden/>
              <w:rStyle w:val="IndexLink"/>
            </w:rPr>
            <w:instrText> TOC \z \o "1-3" \u \h</w:instrText>
          </w:r>
          <w:r>
            <w:rPr>
              <w:webHidden/>
              <w:rStyle w:val="IndexLink"/>
            </w:rPr>
            <w:fldChar w:fldCharType="separate"/>
          </w:r>
          <w:hyperlink w:anchor="_Toc180339942">
            <w:r>
              <w:rPr>
                <w:webHidden/>
                <w:rStyle w:val="IndexLink"/>
              </w:rPr>
              <w:t>INTRODUCTION</w:t>
            </w:r>
            <w:r>
              <w:rPr>
                <w:webHidden/>
              </w:rPr>
              <w:fldChar w:fldCharType="begin"/>
            </w:r>
            <w:r>
              <w:rPr>
                <w:webHidden/>
              </w:rPr>
              <w:instrText>PAGEREF _Toc180339942 \h</w:instrText>
            </w:r>
            <w:r>
              <w:rPr>
                <w:webHidden/>
              </w:rPr>
              <w:fldChar w:fldCharType="separate"/>
            </w:r>
            <w:r>
              <w:rPr>
                <w:rStyle w:val="IndexLink"/>
                <w:vanish w:val="false"/>
              </w:rPr>
              <w:tab/>
              <w:t>1</w:t>
            </w:r>
            <w:r>
              <w:rPr>
                <w:webHidden/>
              </w:rPr>
              <w:fldChar w:fldCharType="end"/>
            </w:r>
          </w:hyperlink>
        </w:p>
        <w:p>
          <w:pPr>
            <w:pStyle w:val="Contents1"/>
            <w:rPr>
              <w:rFonts w:ascii="Calibri" w:hAnsi="Calibri" w:eastAsia="" w:asciiTheme="minorHAnsi" w:eastAsiaTheme="minorEastAsia" w:hAnsiTheme="minorHAnsi"/>
              <w:sz w:val="22"/>
            </w:rPr>
          </w:pPr>
          <w:hyperlink w:anchor="_Toc180339943">
            <w:r>
              <w:rPr>
                <w:webHidden/>
                <w:rStyle w:val="IndexLink"/>
              </w:rPr>
              <w:t>MAIN BODY</w:t>
            </w:r>
            <w:r>
              <w:rPr>
                <w:webHidden/>
              </w:rPr>
              <w:fldChar w:fldCharType="begin"/>
            </w:r>
            <w:r>
              <w:rPr>
                <w:webHidden/>
              </w:rPr>
              <w:instrText>PAGEREF _Toc180339943 \h</w:instrText>
            </w:r>
            <w:r>
              <w:rPr>
                <w:webHidden/>
              </w:rPr>
              <w:fldChar w:fldCharType="separate"/>
            </w:r>
            <w:r>
              <w:rPr>
                <w:rStyle w:val="IndexLink"/>
                <w:vanish w:val="false"/>
              </w:rPr>
              <w:tab/>
              <w:t>1</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rPr>
          </w:pPr>
          <w:hyperlink w:anchor="_Toc180339944">
            <w:r>
              <w:rPr>
                <w:webHidden/>
                <w:rStyle w:val="IndexLink"/>
              </w:rPr>
              <w:t>VISIONARY THINKING IN ENTREPRENEURSHIP</w:t>
            </w:r>
            <w:r>
              <w:rPr>
                <w:webHidden/>
              </w:rPr>
              <w:fldChar w:fldCharType="begin"/>
            </w:r>
            <w:r>
              <w:rPr>
                <w:webHidden/>
              </w:rPr>
              <w:instrText>PAGEREF _Toc180339944 \h</w:instrText>
            </w:r>
            <w:r>
              <w:rPr>
                <w:webHidden/>
              </w:rPr>
              <w:fldChar w:fldCharType="separate"/>
            </w:r>
            <w:r>
              <w:rPr>
                <w:rStyle w:val="IndexLink"/>
                <w:vanish w:val="false"/>
              </w:rPr>
              <w:tab/>
              <w:t>1</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rPr>
          </w:pPr>
          <w:hyperlink w:anchor="_Toc180339945">
            <w:r>
              <w:rPr>
                <w:webHidden/>
                <w:rStyle w:val="IndexLink"/>
              </w:rPr>
              <w:t>RISK-TAKING PROPENSITY IN ENTREPRENEURSHIP</w:t>
            </w:r>
            <w:r>
              <w:rPr>
                <w:webHidden/>
              </w:rPr>
              <w:fldChar w:fldCharType="begin"/>
            </w:r>
            <w:r>
              <w:rPr>
                <w:webHidden/>
              </w:rPr>
              <w:instrText>PAGEREF _Toc180339945 \h</w:instrText>
            </w:r>
            <w:r>
              <w:rPr>
                <w:webHidden/>
              </w:rPr>
              <w:fldChar w:fldCharType="separate"/>
            </w:r>
            <w:r>
              <w:rPr>
                <w:rStyle w:val="IndexLink"/>
                <w:vanish w:val="false"/>
              </w:rPr>
              <w:tab/>
              <w:t>2</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rPr>
          </w:pPr>
          <w:hyperlink w:anchor="_Toc180339946">
            <w:r>
              <w:rPr>
                <w:webHidden/>
                <w:rStyle w:val="IndexLink"/>
              </w:rPr>
              <w:t>RESILIENCE IN ENTREPRENEURSHIP</w:t>
            </w:r>
            <w:r>
              <w:rPr>
                <w:webHidden/>
              </w:rPr>
              <w:fldChar w:fldCharType="begin"/>
            </w:r>
            <w:r>
              <w:rPr>
                <w:webHidden/>
              </w:rPr>
              <w:instrText>PAGEREF _Toc180339946 \h</w:instrText>
            </w:r>
            <w:r>
              <w:rPr>
                <w:webHidden/>
              </w:rPr>
              <w:fldChar w:fldCharType="separate"/>
            </w:r>
            <w:r>
              <w:rPr>
                <w:rStyle w:val="IndexLink"/>
                <w:vanish w:val="false"/>
              </w:rPr>
              <w:tab/>
              <w:t>4</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rPr>
          </w:pPr>
          <w:hyperlink w:anchor="_Toc180339947">
            <w:r>
              <w:rPr>
                <w:webHidden/>
                <w:rStyle w:val="IndexLink"/>
              </w:rPr>
              <w:t>CUSTOMER-CENTRIC ORIENTATION IN ENTREPRENEURSHIP</w:t>
            </w:r>
            <w:r>
              <w:rPr>
                <w:webHidden/>
              </w:rPr>
              <w:fldChar w:fldCharType="begin"/>
            </w:r>
            <w:r>
              <w:rPr>
                <w:webHidden/>
              </w:rPr>
              <w:instrText>PAGEREF _Toc180339947 \h</w:instrText>
            </w:r>
            <w:r>
              <w:rPr>
                <w:webHidden/>
              </w:rPr>
              <w:fldChar w:fldCharType="separate"/>
            </w:r>
            <w:r>
              <w:rPr>
                <w:rStyle w:val="IndexLink"/>
                <w:vanish w:val="false"/>
              </w:rPr>
              <w:tab/>
              <w:t>5</w:t>
            </w:r>
            <w:r>
              <w:rPr>
                <w:webHidden/>
              </w:rPr>
              <w:fldChar w:fldCharType="end"/>
            </w:r>
          </w:hyperlink>
        </w:p>
        <w:p>
          <w:pPr>
            <w:pStyle w:val="Contents1"/>
            <w:rPr>
              <w:rFonts w:ascii="Calibri" w:hAnsi="Calibri" w:eastAsia="" w:asciiTheme="minorHAnsi" w:eastAsiaTheme="minorEastAsia" w:hAnsiTheme="minorHAnsi"/>
              <w:sz w:val="22"/>
            </w:rPr>
          </w:pPr>
          <w:hyperlink w:anchor="_Toc180339948">
            <w:r>
              <w:rPr>
                <w:webHidden/>
                <w:rStyle w:val="IndexLink"/>
              </w:rPr>
              <w:t>CONCLUSION</w:t>
            </w:r>
            <w:r>
              <w:rPr>
                <w:webHidden/>
              </w:rPr>
              <w:fldChar w:fldCharType="begin"/>
            </w:r>
            <w:r>
              <w:rPr>
                <w:webHidden/>
              </w:rPr>
              <w:instrText>PAGEREF _Toc180339948 \h</w:instrText>
            </w:r>
            <w:r>
              <w:rPr>
                <w:webHidden/>
              </w:rPr>
              <w:fldChar w:fldCharType="separate"/>
            </w:r>
            <w:r>
              <w:rPr>
                <w:rStyle w:val="IndexLink"/>
                <w:vanish w:val="false"/>
              </w:rPr>
              <w:tab/>
              <w:t>6</w:t>
            </w:r>
            <w:r>
              <w:rPr>
                <w:webHidden/>
              </w:rPr>
              <w:fldChar w:fldCharType="end"/>
            </w:r>
          </w:hyperlink>
        </w:p>
        <w:p>
          <w:pPr>
            <w:pStyle w:val="Contents1"/>
            <w:rPr>
              <w:rFonts w:ascii="Calibri" w:hAnsi="Calibri" w:eastAsia="" w:asciiTheme="minorHAnsi" w:eastAsiaTheme="minorEastAsia" w:hAnsiTheme="minorHAnsi"/>
              <w:sz w:val="22"/>
            </w:rPr>
          </w:pPr>
          <w:hyperlink w:anchor="_Toc180339949">
            <w:r>
              <w:rPr>
                <w:webHidden/>
                <w:rStyle w:val="IndexLink"/>
              </w:rPr>
              <w:t>REFERENCES</w:t>
            </w:r>
            <w:r>
              <w:rPr>
                <w:webHidden/>
              </w:rPr>
              <w:fldChar w:fldCharType="begin"/>
            </w:r>
            <w:r>
              <w:rPr>
                <w:webHidden/>
              </w:rPr>
              <w:instrText>PAGEREF _Toc180339949 \h</w:instrText>
            </w:r>
            <w:r>
              <w:rPr>
                <w:webHidden/>
              </w:rPr>
              <w:fldChar w:fldCharType="separate"/>
            </w:r>
            <w:r>
              <w:rPr>
                <w:rStyle w:val="IndexLink"/>
                <w:vanish w:val="false"/>
              </w:rPr>
              <w:tab/>
              <w:t>7</w:t>
            </w:r>
            <w:r>
              <w:rPr>
                <w:webHidden/>
              </w:rPr>
              <w:fldChar w:fldCharType="end"/>
            </w:r>
          </w:hyperlink>
        </w:p>
        <w:p>
          <w:pPr>
            <w:pStyle w:val="Normal"/>
            <w:rPr/>
          </w:pPr>
          <w:r>
            <w:rPr/>
          </w:r>
          <w:r>
            <w:rPr/>
            <w:fldChar w:fldCharType="end"/>
          </w:r>
        </w:p>
      </w:sdtContent>
    </w:sdt>
    <w:p>
      <w:pPr>
        <w:pStyle w:val="Heading1"/>
        <w:rPr/>
      </w:pPr>
      <w:bookmarkStart w:id="0" w:name="_Toc180339942"/>
      <w:r>
        <w:rPr/>
        <w:t>INTRODUCTION</w:t>
      </w:r>
      <w:bookmarkEnd w:id="0"/>
    </w:p>
    <w:p>
      <w:pPr>
        <w:pStyle w:val="Normal"/>
        <w:rPr/>
      </w:pPr>
      <w:r>
        <w:rPr/>
        <w:t xml:space="preserve">The purpose of this essay is to critically examines (within a hospitality industry environment) the four main entrepreneurial characteristics within a hospitality industry that have been benchmarked for determining entrepreneurs; visionary thinking, risk-taking propensity, resilience and customer-centric orientation in dealing with quick changes, high competition levels and shifting customer demands. The characteristics are selected </w:t>
      </w:r>
      <w:r>
        <w:rPr>
          <w:rFonts w:eastAsia="Times New Roman" w:cs="Times New Roman"/>
          <w:kern w:val="0"/>
          <w:szCs w:val="24"/>
          <w14:ligatures w14:val="none"/>
        </w:rPr>
        <w:t xml:space="preserve">based on their applicability to hospitality entrepreneurship. Visionary thinking allows entrepreneurs to predict market trends and to create, while risk-taking is required for exploration of new territories and a break-up of established market constructs. In tough times, such as economic downturns or industry-specific regulations— resilience is crucial to weather the storm and persistence through challenges. A customer-centric focus highlights the significance of delivering high-quality service experiences. </w:t>
      </w:r>
      <w:r>
        <w:rPr/>
        <w:t>These traits not only define successful entrepreneurs but also intersect and complement each other in practice, as demonstrated by many influential entrepreneurial in the industry. By exploring these traits through both theoretical frameworks and real-world examples, this essay contends that their intersection is fundamental to entrepreneurial success in hospitality.</w:t>
      </w:r>
    </w:p>
    <w:p>
      <w:pPr>
        <w:pStyle w:val="Heading1"/>
        <w:rPr>
          <w:rFonts w:eastAsia="Calibri" w:cs="Vrinda" w:cstheme="minorBidi" w:eastAsiaTheme="minorHAnsi"/>
          <w:szCs w:val="28"/>
        </w:rPr>
      </w:pPr>
      <w:bookmarkStart w:id="1" w:name="_Toc180339943"/>
      <w:r>
        <w:rPr/>
        <w:t>MAIN BODY</w:t>
      </w:r>
      <w:bookmarkEnd w:id="1"/>
      <w:r>
        <w:rPr/>
        <w:t xml:space="preserve"> </w:t>
      </w:r>
    </w:p>
    <w:p>
      <w:pPr>
        <w:pStyle w:val="Heading2"/>
        <w:rPr/>
      </w:pPr>
      <w:bookmarkStart w:id="2" w:name="_Toc180339944"/>
      <w:r>
        <w:rPr/>
        <w:t>VISIONARY THINKING IN ENTREPRENEURSHIP</w:t>
      </w:r>
      <w:bookmarkEnd w:id="2"/>
    </w:p>
    <w:p>
      <w:pPr>
        <w:pStyle w:val="Normal"/>
        <w:rPr/>
      </w:pPr>
      <w:r>
        <w:rPr/>
        <w:t>Visionary thinking is a critical trait for successful entrepreneurs, characterized by an ability to foresee potential opportunities and drive innovation (Waddock &amp; Steckler, 2016). Schumpeter, a founding thinker in entrepreneurship theory, coined the term agents of creative destruction to describe entrepreneurs as they disrupt market equilibriums trough innovation (Frank, 1998). Visionary entrepreneurs described in Schumpeter's work do not make slight opportunity cost of modest improvements; instead they bring huge changes by new goods, services and process as per their interpretations. The effects of this type of disruption is a long-run economic one in which an older industry or approach to production has been made non-competitive, and superseded by a new technology (Ziemnowicz, 2020). Israel Kirzner provides a counter perspective, defining visionary entrepreneurs as endowed with "entrepreneurial alertness" to perceive investment opportunities. According to Kirzner, entrepreneurs are particularly apt at recognizing profitable opportunities that were hitherto overlooked and eliminating unwarranted market inferences (Kirzner, 1973). According to Kirzner, they were exceptionally talented at noticing and taking the opportunities that others had missed in the marketplace, and then using those opportunities to reallocate market assets. In contrast to Schumpeter's entrepreneurs who create disequilibrium, Kirznerian visionaries frequently return equilibrium by reallocating resources towards more productive uses (Candela 2023; Yu 2021).</w:t>
      </w:r>
    </w:p>
    <w:p>
      <w:pPr>
        <w:pStyle w:val="Normal"/>
        <w:rPr/>
      </w:pPr>
      <w:r>
        <w:rPr/>
        <w:t>Predictive thinking is especially important in the hospitality industry with its fast changing consumer preferences and trends. Entrepreneurs should be aware of the changes in the market and consumer desires to remain competitive (Fenitra et al., 2022). Particularly in the hospitality industry, as changing customer expectations and new trends (sustainable tourism, technology integration or experiential travel) arise frequently. Entrepreneurs in this sector that envisage these shifts can adapt their strategies to continue delivering a competitive advantage. A shining borrowed example would be Isadore Sharp, the visionary Four Seasons Hotels and Resorts founder. Sharp innovated the luxury hotel industry by discovering a neglected market demand for customer service characterized by customization and excellence, pioneered personalized services in high end hotels (Leonard &amp; Sandra, 2008). Understanding that affluent travellers demanded quality year after year, Sharp helped set the industry gold standard for Old World style and service in luxury hotels. In his hotels, too—ergonomically planned and stylishly designed—he was able to implement both his “creed” for guests — about luxury, comfort and personal approach. Prioritize customer satisfaction — elevation a bar for service, Sharp brought about an all-new scale in the hospitality sector which reflects where visionary thinking can reshape entire industry standards (Qasem, 2024).</w:t>
      </w:r>
    </w:p>
    <w:p>
      <w:pPr>
        <w:pStyle w:val="Normal"/>
        <w:rPr/>
      </w:pPr>
      <w:r>
        <w:rPr/>
        <w:t>Thus, a vision helps hospitality entrepreneurs foresee trends, adapt to customer wants, and disrupt the status quo. E-commerce entrepreneurs share this trait, but hotel businesses need visitor happiness and experience. Entrepreneurs like Isadore Sharp, founder of the Four Seasons hotel chain, show that large picture thinking drives not only successful firms but whole industries in ways Schumpeter and Kirzner never imagined.</w:t>
      </w:r>
    </w:p>
    <w:p>
      <w:pPr>
        <w:pStyle w:val="Heading2"/>
        <w:rPr/>
      </w:pPr>
      <w:bookmarkStart w:id="3" w:name="_Toc180339945"/>
      <w:r>
        <w:rPr/>
        <w:t>RISK-TAKING PROPENSITY IN ENTREPRENEURSHIP</w:t>
      </w:r>
      <w:bookmarkEnd w:id="3"/>
    </w:p>
    <w:p>
      <w:pPr>
        <w:pStyle w:val="Normal"/>
        <w:rPr/>
      </w:pPr>
      <w:r>
        <w:rPr/>
        <w:t>Risk-taking is a fundamental trait associated with entrepreneurial success, defined as the willingness to engage in ventures with uncertain outcomes. The concept traces back to Richard Cantillon, an economist of the 18th century, who defined entrepreneurs as agents purchasing at future undetermined prices for immediate resale and bearing risk (Gompers 2024). Cantillon suggested that entrepreneurship was fundamentally associated with risk, with profit as remuneration for assumed risk (Priest, 2021; Parker, 2004). More recently, Rauch and Frese further developed this notion by considering the psychological aspects of risk-taking. They argued that, while risk is endemic to entrepreneurship, such an empirically derived profile might well moderate individual cognitive traits for the risky business climate such as risk perception and tolerance (Rauch &amp; Frese, 2000).</w:t>
      </w:r>
    </w:p>
    <w:p>
      <w:pPr>
        <w:pStyle w:val="Normal"/>
        <w:rPr/>
      </w:pPr>
      <w:r>
        <w:rPr/>
        <w:t xml:space="preserve">This is especially necessary in the hospitality industry where change occurs quickly and market is highly volatile. This means entrepreneurs often have to be daring in real estate investments, service offerings and market expansion (Yoopetch 2021). One widely known example of this mindset is Richard Branson, the founder of Virgin Hotels. Throughout his career, Branson has "repeatedly pushed into new areas that others regarded as established and unchanging, taking on challenges in airlines or music or hospitality" (Virgin, 2024). Starting Virgin Atlantic was a massive gamble, taking on an aircraft lease to limit his financial exposure against the Bristol-based BA while infiltrating their duopoly. His willingness to take on these risks and greatest loss potential is cheapest price he pays for showing his business competence and vision (Branson, 2017). </w:t>
      </w:r>
    </w:p>
    <w:p>
      <w:pPr>
        <w:pStyle w:val="Normal"/>
        <w:rPr/>
      </w:pPr>
      <w:r>
        <w:rPr/>
        <w:t>What sets Branson apart when it comes to taking risks is his amazing combination of sheer audacity and strategic planning. Whereas many other entrepreneurs may jump into risky ventures without a safety net, Branson conducts copious amounts of market research and usually forms strategic alliances to act as buffers (Gehringer, 2020). This is unlike more conservative entrepreneurs, who take calculated risks and value a methodical analysis of potential consequences as well as evolutionary rather than revolutionary changes. Studies have suggested that rather than risk-lovers or aversion to extreme risks, there is a higher likelihood of becoming an entrepreneur if one has a more moderate appetite for taking on new business. This cubic relationship intimates that moderation in risk-taking is essential, and at the same time extreme risk aversion might be just as dangerous as extreme risk taking (Antoncic et al., 2018). Consequently, although risk is a ubiquitous aspect of entrepreneurship and essential to the spirit, it manifests itself in widely different ways. Branson, who is a true entrepreneur in the Cantillonian sense of the word — he takes risk but does so with an eye for strategic foresight and ability to change directions as needed. Hospitality entrepreneurs, such as Branson (2017), commonly succeed from their brash style and capability to manage risk -indicated by informed decision-making- thereby showing that propensities towards risky behaviour are essential but vary according to the field of entrepreneurship.</w:t>
      </w:r>
    </w:p>
    <w:p>
      <w:pPr>
        <w:pStyle w:val="Heading2"/>
        <w:tabs>
          <w:tab w:val="clear" w:pos="720"/>
          <w:tab w:val="left" w:pos="1418" w:leader="none"/>
        </w:tabs>
        <w:rPr/>
      </w:pPr>
      <w:bookmarkStart w:id="4" w:name="_Toc180339946"/>
      <w:r>
        <w:rPr/>
        <w:t>RESILIENCE IN ENTREPRENEURSHIP</w:t>
      </w:r>
      <w:bookmarkEnd w:id="4"/>
    </w:p>
    <w:p>
      <w:pPr>
        <w:pStyle w:val="Normal"/>
        <w:rPr/>
      </w:pPr>
      <w:r>
        <w:rPr/>
        <w:t>The ability to bounce back from and respond positively to challenges; a critical characteristic for entrepreneurs, particularly in the highly cyclical hospitality industry and this ability is known as resiliency (Haddoud et al., 2022). Albert Bandura has also provided a foundational explanation for resilience with his self-efficacy theory, one that still focuses on the importance of individual levels of perseverance and adaptability relating back to what people believe they can accomplish (Bandura, 1977). According to Hoskeri, when people have a high self-efficacy they will regard obstacles as challenges that can be overcome, and should retain the ability of persistence and rebounding from difficulties (Hoskeri,, 2024) In the entrepreneurship environment, this self-efficacy drives resiliency by helping entrepreneurs persist to stay on target and change tactics even though under extraordinary stress (Alonso et al., 2020; Zeng et al., 2021).</w:t>
      </w:r>
    </w:p>
    <w:p>
      <w:pPr>
        <w:pStyle w:val="Normal"/>
        <w:rPr/>
      </w:pPr>
      <w:r>
        <w:rPr/>
        <w:t>In the area of hospitality and tourism, resilience is crucial as this sector has been continuously battling against various external shocks including economic downturns, seasonality in demand catering to holidaymakers or business travellers at its best potential seasons; also adverse abrupt regulatory changes (Melián-Alzola et al., 2020). For example, the COVID-19 crisis has seriously hit hospitality businesses and demand and operational restrictions from it are likely to last longer (Alonso et al., 2020). Resilience for hospitality entrepreneurs becomes key during not just the early days of impact, but also (and maybe even more importantly) in longer term recovery, as they re-adjust their business models. Resilient businesses; for instance, rapidly initiated safety protocols provided alternative services to their clients through multiple channels improved web presence continued customer engagement amidst the pandemic (Fu et al., 2023; Ahmed et al.​ 2022).</w:t>
      </w:r>
    </w:p>
    <w:p>
      <w:pPr>
        <w:pStyle w:val="Normal"/>
        <w:rPr/>
      </w:pPr>
      <w:r>
        <w:rPr/>
        <w:t>One of the most inspirational example of resilience in hospitality is Danny Meyer, CEO Union Square Hospitality Group. The 2008 financial crisis also created headwinds for some of Meyer's businesses, and the same was true in 2020 when COVID-19 decimated many parts of his empire (Pompliano, 2021). In both cases, Meyer showed resiliency by adjusting his business model- such as closing certain locations temporarily and pivoting to takeout services as well as focusing ensuring the wellbeing of employees. Meyer's was resilient, in a way very focused on adaptation during the crisis and supporting his workforce which highlights that remaining loyal to one´s own strategic core may be an essential aspect of resilience; i.e. sticking with value chains or stakeholder relationships even when times are rough (Alonso et al., 2020)​</w:t>
      </w:r>
    </w:p>
    <w:p>
      <w:pPr>
        <w:pStyle w:val="Normal"/>
        <w:rPr>
          <w:rFonts w:eastAsia="Times New Roman" w:cs="Times New Roman"/>
          <w:kern w:val="0"/>
          <w:szCs w:val="24"/>
          <w14:ligatures w14:val="none"/>
        </w:rPr>
      </w:pPr>
      <w:r>
        <w:rPr/>
        <w:t>Comparing resilience in hospitality to other sectors reveals that while resilience is universally beneficial, its expression is often context-dependent.</w:t>
      </w:r>
      <w:r>
        <w:rPr>
          <w:rFonts w:eastAsia="Times New Roman" w:cs="Times New Roman"/>
          <w:kern w:val="0"/>
          <w:szCs w:val="24"/>
          <w14:ligatures w14:val="none"/>
        </w:rPr>
        <w:t xml:space="preserve"> While industries like technology may largely define resilience as rapid innovation to stave off the competition, for hospitality it often means weathering customer service flareups or shifts in consumer behaviour. In addition, the hospitality industry must proactively deal with crisis management and change in order to survive customer trust for services quality as compared to industries where minimal interaction of customers takes place (Fu et al., 2023).</w:t>
      </w:r>
    </w:p>
    <w:p>
      <w:pPr>
        <w:pStyle w:val="Heading2"/>
        <w:rPr/>
      </w:pPr>
      <w:bookmarkStart w:id="5" w:name="_Toc180339947"/>
      <w:r>
        <w:rPr/>
        <w:t>CUSTOMER-CENTRIC ORIENTATION IN ENTREPRENEURSHIP</w:t>
      </w:r>
      <w:bookmarkEnd w:id="5"/>
    </w:p>
    <w:p>
      <w:pPr>
        <w:pStyle w:val="Normal"/>
        <w:rPr/>
      </w:pPr>
      <w:r>
        <w:rPr/>
        <w:t>Customer-centric orientation is the systematic approach to satisfy customers by focusing all business resources around customer needs. It is even more important in Hospitality Industry as the entire business unfortunately revolves around customer experience. Levitt (1960) also agrees in that businesses should always work to satisfy customer desire rather than thinking themselves into a corner; his famous essay Marketing Myopia warns that becoming complacent with the product instead of the need and making or producing only what markets want to buy, at some point obsolesces. This view resonates with that of the Service-Dominant Logic advanced by Vargo and Lusch, who observe value as a co-creative — rather than causative—phenomenon in which customers are central participants. In this concept, it is argued that value in the business-customer dyad should be co-created as a result of understanding customer preferences and knowledge while creating service according to their wish (Vargo &amp; Lusch, 2004).</w:t>
      </w:r>
    </w:p>
    <w:p>
      <w:pPr>
        <w:pStyle w:val="Normal"/>
        <w:rPr/>
      </w:pPr>
      <w:r>
        <w:rPr/>
        <w:t>Hospitality is a customer service driven industry, as it relies primarily on creating experiences. By concentrating on client requirements, hospitality businesses can increase their customer satisfaction and loyalty levels which will ultimately lead to sustainable success. Chip Conley, the founder of Joie de Vivre Hospitality is a great example: He built his business around understanding and exceeding customer expectations. Catering to a new customer niche by providing unique and highly personalized experiences is how Conley set his hotels apart from traditional hospitality options. This goes to show how having the customer as a major stakeholder ensures that hospitality businesses have always tailored experiences catering to different individual tastes and preferences (Conley, 2017).</w:t>
      </w:r>
    </w:p>
    <w:p>
      <w:pPr>
        <w:pStyle w:val="Normal"/>
        <w:rPr/>
      </w:pPr>
      <w:r>
        <w:rPr/>
        <w:t>Conley's customer-centric strategy stands in response to an analysis model common across industries — while the concept of being radically guest centric was not a new idea, she made clear that especially for hospitality, it means what makes customers happy also gives them reasons returns. For some industries, such as technology, this takes the form of new product features — for others an improved customer or user experience (Inversini et al., 2020). Companies as big as Apple and Google, for example — could satisfy the customer needs, yet they focus on innovation instead of providing true personalized service which is a core value in hospitality. However, the importance of customer-centricity is far more evident in industries like hospitality where customers choose a service based on perceived quality and experience which can be delivered only through personalized efforts.</w:t>
      </w:r>
    </w:p>
    <w:p>
      <w:pPr>
        <w:pStyle w:val="Heading1"/>
        <w:rPr/>
      </w:pPr>
      <w:bookmarkStart w:id="6" w:name="_Toc180339948"/>
      <w:r>
        <w:rPr/>
        <w:t>CONCLUSION</w:t>
      </w:r>
      <w:bookmarkEnd w:id="6"/>
    </w:p>
    <w:p>
      <w:pPr>
        <w:pStyle w:val="Normal"/>
        <w:rPr>
          <w:rFonts w:eastAsia="Times New Roman" w:cs="Times New Roman"/>
          <w:kern w:val="0"/>
          <w:szCs w:val="24"/>
          <w14:ligatures w14:val="none"/>
        </w:rPr>
      </w:pPr>
      <w:r>
        <w:rPr/>
        <w:t xml:space="preserve">The study has examined the critical entrepreneurial traits of visionary thinking, risk-taking propensity, resilience, and customer-centric orientation as well as their direct implications in survival for hospitality industry. Visionary thinking enables </w:t>
      </w:r>
      <w:r>
        <w:rPr>
          <w:rFonts w:eastAsia="Times New Roman" w:cs="Times New Roman"/>
          <w:kern w:val="0"/>
          <w:szCs w:val="24"/>
          <w14:ligatures w14:val="none"/>
        </w:rPr>
        <w:t>entrepreneurs such as Isadore Sharp the power to change and disrupt their industries, turning luxury hospitality on its head. Risk-taking supplements this by emboldening a dive into fresh markets (as shown through the ventures of Richard Branson), and resilience, as seen from Danny Meyer himself, permits founders to endure adversity. Thirdly, customer-centric orientation to help achieve innovation in line with consumer expectations seemed the strategy which contributed Chip Conley a unique market niche.</w:t>
      </w:r>
    </w:p>
    <w:p>
      <w:pPr>
        <w:pStyle w:val="Normal"/>
        <w:rPr>
          <w14:ligatures w14:val="none"/>
        </w:rPr>
      </w:pPr>
      <w:r>
        <w:rPr/>
        <w:t xml:space="preserve">These qualities remind entrepreneurs of hospitality that they always have to stay innovative and combine innovation with a customer centric mindset, incorporate risks into their strategies targeted towards growth, and remain resilient during challenging times. Understanding how these traits can translate into the challenges of a more technologically-driven hospitality industry, will provide future entrepreneurs with invaluable perspective on their chosen path. Further research could </w:t>
      </w:r>
      <w:r>
        <w:rPr>
          <w14:ligatures w14:val="none"/>
        </w:rPr>
        <w:t>focus on how entrepreneurs act over time in response to these tools (i.e. AI and digital platforms) With technology only becoming a more ingrained part of the hospitality experience, understanding what this means for factors such as resilience and customer-centricity</w:t>
      </w:r>
    </w:p>
    <w:p>
      <w:pPr>
        <w:pStyle w:val="Normal"/>
        <w:spacing w:lineRule="auto" w:line="259"/>
        <w:jc w:val="left"/>
        <w:rPr/>
      </w:pPr>
      <w:r>
        <w:rPr/>
      </w:r>
      <w:r>
        <w:br w:type="page"/>
      </w:r>
    </w:p>
    <w:p>
      <w:pPr>
        <w:pStyle w:val="Heading1"/>
        <w:rPr/>
      </w:pPr>
      <w:bookmarkStart w:id="7" w:name="_Toc180339949"/>
      <w:r>
        <w:rPr/>
        <w:t>REFERENCES</w:t>
      </w:r>
      <w:bookmarkEnd w:id="7"/>
      <w:r>
        <w:rPr/>
        <w:t xml:space="preserve"> </w:t>
      </w:r>
    </w:p>
    <w:p>
      <w:pPr>
        <w:pStyle w:val="NormalWeb"/>
        <w:spacing w:lineRule="auto" w:line="360" w:before="280" w:afterAutospacing="0" w:after="0"/>
        <w:ind w:left="567" w:hanging="567"/>
        <w:rPr/>
      </w:pPr>
      <w:r>
        <w:rPr/>
        <w:t xml:space="preserve">Ahmed, M.G., Sadaa, A.M., Alshamry, H.M., Alharbi, M.A., Alnoor, A. and Kareem, A.A. (2022) ‘Crisis, Resilience and Recovery in Tourism and Hospitality: A Synopsis,’ in Hassan, A., Sharma, A., Kennell, J. and Mohanty, P. (eds) </w:t>
      </w:r>
      <w:r>
        <w:rPr>
          <w:rStyle w:val="Emphasis"/>
        </w:rPr>
        <w:t>Tourism and Hospitality in Asia: Crisis, Resilience and Recovery</w:t>
      </w:r>
      <w:r>
        <w:rPr/>
        <w:t xml:space="preserve">. Singapore: Springer, pp. 1-15. </w:t>
      </w:r>
      <w:hyperlink r:id="rId2" w:tgtFrame="_new">
        <w:r>
          <w:rPr>
            <w:rStyle w:val="InternetLink"/>
          </w:rPr>
          <w:t>https://doi.org/10.1007/978-981-19-5763-5_1</w:t>
        </w:r>
      </w:hyperlink>
      <w:r>
        <w:rPr/>
        <w:t>.</w:t>
      </w:r>
    </w:p>
    <w:p>
      <w:pPr>
        <w:pStyle w:val="NormalWeb"/>
        <w:spacing w:lineRule="auto" w:line="360" w:before="280" w:afterAutospacing="0" w:after="0"/>
        <w:ind w:left="567" w:hanging="567"/>
        <w:rPr/>
      </w:pPr>
      <w:r>
        <w:rPr/>
        <w:t xml:space="preserve">Alonso, A.D., Kok, S.K., Bressan, A., O’Shea, M., Sakellarios, N., Koresis, A. et al. (2020) ‘COVID-19, aftermath, impacts, and hospitality firms: An international perspective,’ </w:t>
      </w:r>
      <w:r>
        <w:rPr>
          <w:rStyle w:val="Emphasis"/>
        </w:rPr>
        <w:t>International Journal of Hospitality Management</w:t>
      </w:r>
      <w:r>
        <w:rPr/>
        <w:t>, 91, p. 102654.</w:t>
      </w:r>
    </w:p>
    <w:p>
      <w:pPr>
        <w:pStyle w:val="NormalWeb"/>
        <w:spacing w:lineRule="auto" w:line="360" w:before="280" w:afterAutospacing="0" w:after="0"/>
        <w:ind w:left="567" w:hanging="567"/>
        <w:rPr/>
      </w:pPr>
      <w:r>
        <w:rPr/>
        <w:t xml:space="preserve">Bandura, A. (1977) ‘Self-efficacy: Toward a unifying theory of behavioral change,’ </w:t>
      </w:r>
      <w:r>
        <w:rPr>
          <w:rStyle w:val="Emphasis"/>
        </w:rPr>
        <w:t>Psychological Review</w:t>
      </w:r>
      <w:r>
        <w:rPr/>
        <w:t xml:space="preserve">, 84(2), pp. 191–215. </w:t>
      </w:r>
      <w:hyperlink r:id="rId3" w:tgtFrame="_new">
        <w:r>
          <w:rPr>
            <w:rStyle w:val="InternetLink"/>
          </w:rPr>
          <w:t>https://doi.org/10.1037/0033-295X.84.2.191</w:t>
        </w:r>
      </w:hyperlink>
      <w:r>
        <w:rPr/>
        <w:t>.</w:t>
      </w:r>
    </w:p>
    <w:p>
      <w:pPr>
        <w:pStyle w:val="NormalWeb"/>
        <w:spacing w:lineRule="auto" w:line="360" w:before="280" w:afterAutospacing="0" w:after="0"/>
        <w:ind w:left="567" w:hanging="567"/>
        <w:rPr/>
      </w:pPr>
      <w:r>
        <w:rPr/>
        <w:t xml:space="preserve">Branson, R. (2017) ‘Richard Branson reveals the biggest business risks he’s ever taken,’ </w:t>
      </w:r>
      <w:r>
        <w:rPr>
          <w:rStyle w:val="Emphasis"/>
        </w:rPr>
        <w:t>Independent</w:t>
      </w:r>
      <w:r>
        <w:rPr/>
        <w:t xml:space="preserve">. Available at: </w:t>
      </w:r>
      <w:hyperlink r:id="rId4" w:tgtFrame="_new">
        <w:r>
          <w:rPr>
            <w:rStyle w:val="InternetLink"/>
          </w:rPr>
          <w:t>https://www.independent.co.uk/news/business/indyventure/richard-branson-virgin-group-atlantic-records-biggest-business-risks-startup-entrepreneur-a7698711.html</w:t>
        </w:r>
      </w:hyperlink>
      <w:r>
        <w:rPr/>
        <w:t xml:space="preserve"> (Accessed: 20 October 2024).</w:t>
      </w:r>
    </w:p>
    <w:p>
      <w:pPr>
        <w:pStyle w:val="NormalWeb"/>
        <w:spacing w:lineRule="auto" w:line="360" w:before="280" w:afterAutospacing="0" w:after="0"/>
        <w:ind w:left="567" w:hanging="567"/>
        <w:rPr/>
      </w:pPr>
      <w:r>
        <w:rPr/>
        <w:t xml:space="preserve">Conley, T.D., Matsick, J.L., Moors, A.C. and Ziegler, A. (2017) ‘Investigation of consensually nonmonogamous relationships: Theories, methods, and new directions,’ </w:t>
      </w:r>
      <w:r>
        <w:rPr>
          <w:rStyle w:val="Emphasis"/>
        </w:rPr>
        <w:t>Perspectives on Psychological Science</w:t>
      </w:r>
      <w:r>
        <w:rPr/>
        <w:t xml:space="preserve">, 12(2), pp. 205–232. </w:t>
      </w:r>
      <w:hyperlink r:id="rId5" w:tgtFrame="_new">
        <w:r>
          <w:rPr>
            <w:rStyle w:val="InternetLink"/>
          </w:rPr>
          <w:t>https://doi.org/10.1177/1745691616667925</w:t>
        </w:r>
      </w:hyperlink>
      <w:r>
        <w:rPr/>
        <w:t>.</w:t>
      </w:r>
    </w:p>
    <w:p>
      <w:pPr>
        <w:pStyle w:val="NormalWeb"/>
        <w:spacing w:lineRule="auto" w:line="360" w:before="280" w:afterAutospacing="0" w:after="0"/>
        <w:ind w:left="567" w:hanging="567"/>
        <w:rPr/>
      </w:pPr>
      <w:r>
        <w:rPr/>
        <w:t xml:space="preserve">Fu, L., Shi, Y., Yang, X. and Zhang, W. (2023) ‘Enterprise resilience to the COVID-19 pandemic: The role of business environment,’ </w:t>
      </w:r>
      <w:r>
        <w:rPr>
          <w:rStyle w:val="Emphasis"/>
        </w:rPr>
        <w:t>Plos One</w:t>
      </w:r>
      <w:r>
        <w:rPr/>
        <w:t>, 18(8), p. e0288722.</w:t>
      </w:r>
    </w:p>
    <w:p>
      <w:pPr>
        <w:pStyle w:val="NormalWeb"/>
        <w:spacing w:lineRule="auto" w:line="360" w:before="280" w:afterAutospacing="0" w:after="0"/>
        <w:ind w:left="567" w:hanging="567"/>
        <w:rPr/>
      </w:pPr>
      <w:r>
        <w:rPr/>
        <w:t xml:space="preserve">Gehringer, A. (2020) ‘Richard Branson's Business Strategy: Proper Risk Taking,’ </w:t>
      </w:r>
      <w:r>
        <w:rPr>
          <w:rStyle w:val="Emphasis"/>
        </w:rPr>
        <w:t>Rhythm System</w:t>
      </w:r>
      <w:r>
        <w:rPr/>
        <w:t xml:space="preserve">. Available at: </w:t>
      </w:r>
      <w:hyperlink r:id="rId6" w:tgtFrame="_new">
        <w:r>
          <w:rPr>
            <w:rStyle w:val="InternetLink"/>
          </w:rPr>
          <w:t>https://www.rhythmsystems.com/blog/take-risks-like-richard-branson</w:t>
        </w:r>
      </w:hyperlink>
      <w:r>
        <w:rPr/>
        <w:t xml:space="preserve"> (Accessed: 20 October 2024).</w:t>
      </w:r>
    </w:p>
    <w:p>
      <w:pPr>
        <w:pStyle w:val="NormalWeb"/>
        <w:spacing w:lineRule="auto" w:line="360" w:before="280" w:afterAutospacing="0" w:after="0"/>
        <w:ind w:left="567" w:hanging="567"/>
        <w:rPr/>
      </w:pPr>
      <w:r>
        <w:rPr/>
        <w:t xml:space="preserve">Gompers, P.A. (2024) </w:t>
      </w:r>
      <w:r>
        <w:rPr>
          <w:rStyle w:val="Emphasis"/>
        </w:rPr>
        <w:t>Financing the Entrepreneurial Venture: A Casebook</w:t>
      </w:r>
      <w:r>
        <w:rPr/>
        <w:t>. Anthem Press.</w:t>
      </w:r>
    </w:p>
    <w:p>
      <w:pPr>
        <w:pStyle w:val="NormalWeb"/>
        <w:spacing w:lineRule="auto" w:line="360" w:before="280" w:afterAutospacing="0" w:after="0"/>
        <w:ind w:left="567" w:hanging="567"/>
        <w:rPr/>
      </w:pPr>
      <w:r>
        <w:rPr/>
        <w:t xml:space="preserve">Hadjielias, E., Christofi, M. and Tarba, S. (2022) ‘Contextualizing small business resilience during the COVID-19 pandemic: evidence from small business owner-managers,’ </w:t>
      </w:r>
      <w:r>
        <w:rPr>
          <w:rStyle w:val="Emphasis"/>
        </w:rPr>
        <w:t>Small Business Economics</w:t>
      </w:r>
      <w:r>
        <w:rPr/>
        <w:t xml:space="preserve">, 59, pp. 1351–1380. </w:t>
      </w:r>
      <w:hyperlink r:id="rId7" w:tgtFrame="_new">
        <w:r>
          <w:rPr>
            <w:rStyle w:val="InternetLink"/>
          </w:rPr>
          <w:t>https://doi.org/10.1007/s11187-021-00588-0</w:t>
        </w:r>
      </w:hyperlink>
      <w:r>
        <w:rPr/>
        <w:t>.</w:t>
      </w:r>
    </w:p>
    <w:p>
      <w:pPr>
        <w:pStyle w:val="NormalWeb"/>
        <w:spacing w:lineRule="auto" w:line="360" w:before="280" w:afterAutospacing="0" w:after="0"/>
        <w:ind w:left="567" w:hanging="567"/>
        <w:rPr/>
      </w:pPr>
      <w:r>
        <w:rPr/>
        <w:t xml:space="preserve">Hoskeri, A.G. (2024) </w:t>
      </w:r>
      <w:r>
        <w:rPr>
          <w:rStyle w:val="Emphasis"/>
        </w:rPr>
        <w:t>Master Resilient Mindset: Thrive Through Adversity, Transform Challenges into Opportunities, Build Your Inner Strength, and Be Unstoppable</w:t>
      </w:r>
      <w:r>
        <w:rPr/>
        <w:t>. Dr. Arundhati G. Hoskeri.</w:t>
      </w:r>
    </w:p>
    <w:p>
      <w:pPr>
        <w:pStyle w:val="NormalWeb"/>
        <w:spacing w:lineRule="auto" w:line="360" w:before="280" w:afterAutospacing="0" w:after="0"/>
        <w:ind w:left="567" w:hanging="567"/>
        <w:rPr/>
      </w:pPr>
      <w:r>
        <w:rPr/>
        <w:t xml:space="preserve">Inversini, A., De Carlo, M. and Masiero, L. (2020) ‘The effects of customer-centricity in hospitality,’ </w:t>
      </w:r>
      <w:r>
        <w:rPr>
          <w:rStyle w:val="Emphasis"/>
        </w:rPr>
        <w:t>International Journal of Hospitality Management</w:t>
      </w:r>
      <w:r>
        <w:rPr/>
        <w:t>, 86, p. 102436.</w:t>
      </w:r>
    </w:p>
    <w:p>
      <w:pPr>
        <w:pStyle w:val="NormalWeb"/>
        <w:spacing w:lineRule="auto" w:line="360" w:before="280" w:afterAutospacing="0" w:after="0"/>
        <w:ind w:left="567" w:hanging="567"/>
        <w:rPr/>
      </w:pPr>
      <w:r>
        <w:rPr/>
        <w:t xml:space="preserve">Levitt, T. (1960) ‘Marketing Myopia,’ </w:t>
      </w:r>
      <w:r>
        <w:rPr>
          <w:rStyle w:val="Emphasis"/>
        </w:rPr>
        <w:t>Harvard Business Review</w:t>
      </w:r>
      <w:r>
        <w:rPr/>
        <w:t>, 38, pp. 45-56.</w:t>
      </w:r>
    </w:p>
    <w:p>
      <w:pPr>
        <w:pStyle w:val="NormalWeb"/>
        <w:spacing w:lineRule="auto" w:line="360" w:before="280" w:afterAutospacing="0" w:after="0"/>
        <w:ind w:left="567" w:hanging="567"/>
        <w:rPr/>
      </w:pPr>
      <w:r>
        <w:rPr/>
        <w:t xml:space="preserve">Melián-Alzola, L., Fernández-Monroy, M. and Hidalgo-Peñate, M. (2020) ‘Hotels in contexts of uncertainty: Measuring organisational resilience,’ </w:t>
      </w:r>
      <w:r>
        <w:rPr>
          <w:rStyle w:val="Emphasis"/>
        </w:rPr>
        <w:t>Tourism Management Perspectives</w:t>
      </w:r>
      <w:r>
        <w:rPr/>
        <w:t>, 36, p. 100747.</w:t>
      </w:r>
    </w:p>
    <w:p>
      <w:pPr>
        <w:pStyle w:val="NormalWeb"/>
        <w:spacing w:lineRule="auto" w:line="360" w:before="280" w:afterAutospacing="0" w:after="0"/>
        <w:ind w:left="567" w:hanging="567"/>
        <w:rPr/>
      </w:pPr>
      <w:r>
        <w:rPr/>
        <w:t xml:space="preserve">Parker, S.C. (2004) ‘Theories of entrepreneurship,’ in </w:t>
      </w:r>
      <w:r>
        <w:rPr>
          <w:rStyle w:val="Emphasis"/>
        </w:rPr>
        <w:t>The Economics of Self-Employment and Entrepreneurship</w:t>
      </w:r>
      <w:r>
        <w:rPr/>
        <w:t>. Cambridge: Cambridge University Press, pp. 39–67.</w:t>
      </w:r>
    </w:p>
    <w:p>
      <w:pPr>
        <w:pStyle w:val="NormalWeb"/>
        <w:spacing w:lineRule="auto" w:line="360" w:before="280" w:afterAutospacing="0" w:after="0"/>
        <w:ind w:left="567" w:hanging="567"/>
        <w:rPr/>
      </w:pPr>
      <w:r>
        <w:rPr/>
        <w:t xml:space="preserve">Pompliano, P. (2021) ‘Danny Meyer on Leading In Crisis, Developing an Appetite for Risk, and Building a Hospitality Empire,’ </w:t>
      </w:r>
      <w:r>
        <w:rPr>
          <w:rStyle w:val="Emphasis"/>
        </w:rPr>
        <w:t>The Profile</w:t>
      </w:r>
      <w:r>
        <w:rPr/>
        <w:t xml:space="preserve">. Available at: </w:t>
      </w:r>
      <w:hyperlink r:id="rId8" w:tgtFrame="_new">
        <w:r>
          <w:rPr>
            <w:rStyle w:val="InternetLink"/>
          </w:rPr>
          <w:t>https://www.readtheprofile.com/p/danny-meyer-interview</w:t>
        </w:r>
      </w:hyperlink>
      <w:r>
        <w:rPr/>
        <w:t xml:space="preserve"> (Accessed: 20 October 2024).</w:t>
      </w:r>
    </w:p>
    <w:p>
      <w:pPr>
        <w:pStyle w:val="NormalWeb"/>
        <w:spacing w:lineRule="auto" w:line="360" w:before="280" w:afterAutospacing="0" w:after="0"/>
        <w:ind w:left="567" w:hanging="567"/>
        <w:rPr/>
      </w:pPr>
      <w:r>
        <w:rPr/>
        <w:t xml:space="preserve">Rauch, A. (2000) ‘Psychological Approaches to Entrepreneurial Success. A General Model and an Overview of Findings,’ in </w:t>
      </w:r>
      <w:r>
        <w:rPr>
          <w:rStyle w:val="Emphasis"/>
        </w:rPr>
        <w:t>International Review of Industrial and Organizational Psychology</w:t>
      </w:r>
      <w:r>
        <w:rPr/>
        <w:t>. Wiley.</w:t>
      </w:r>
    </w:p>
    <w:p>
      <w:pPr>
        <w:pStyle w:val="NormalWeb"/>
        <w:spacing w:lineRule="auto" w:line="360" w:before="280" w:afterAutospacing="0" w:after="0"/>
        <w:ind w:left="567" w:hanging="567"/>
        <w:rPr/>
      </w:pPr>
      <w:r>
        <w:rPr/>
        <w:t xml:space="preserve">Vargo, S.L. and Lusch, R.F. (2004) ‘Evolving to a New Dominant Logic for Marketing,’ </w:t>
      </w:r>
      <w:r>
        <w:rPr>
          <w:rStyle w:val="Emphasis"/>
        </w:rPr>
        <w:t>Journal of Marketing</w:t>
      </w:r>
      <w:r>
        <w:rPr/>
        <w:t xml:space="preserve">, 68, pp. 1-17. </w:t>
      </w:r>
      <w:hyperlink r:id="rId9" w:tgtFrame="_new">
        <w:r>
          <w:rPr>
            <w:rStyle w:val="InternetLink"/>
          </w:rPr>
          <w:t>https://doi.org/10.1509/jmkg.68.1.1.24036</w:t>
        </w:r>
      </w:hyperlink>
      <w:r>
        <w:rPr/>
        <w:t>.</w:t>
      </w:r>
    </w:p>
    <w:p>
      <w:pPr>
        <w:pStyle w:val="NormalWeb"/>
        <w:spacing w:lineRule="auto" w:line="360" w:before="280" w:afterAutospacing="0" w:after="0"/>
        <w:ind w:left="567" w:hanging="567"/>
        <w:rPr/>
      </w:pPr>
      <w:r>
        <w:rPr/>
        <w:t xml:space="preserve">Virgin (2024) ‘Richard Branson’s story,’ </w:t>
      </w:r>
      <w:r>
        <w:rPr>
          <w:rStyle w:val="Emphasis"/>
        </w:rPr>
        <w:t>Virgin</w:t>
      </w:r>
      <w:r>
        <w:rPr/>
        <w:t xml:space="preserve">. Available at: </w:t>
      </w:r>
      <w:hyperlink r:id="rId10" w:tgtFrame="_new">
        <w:r>
          <w:rPr>
            <w:rStyle w:val="InternetLink"/>
          </w:rPr>
          <w:t>https://www.virgin.com/branson-family/richard-branson</w:t>
        </w:r>
      </w:hyperlink>
      <w:r>
        <w:rPr/>
        <w:t xml:space="preserve"> (Accessed: 20 October 2024).</w:t>
      </w:r>
    </w:p>
    <w:p>
      <w:pPr>
        <w:pStyle w:val="NormalWeb"/>
        <w:spacing w:lineRule="auto" w:line="360" w:before="280" w:afterAutospacing="0" w:after="0"/>
        <w:ind w:left="567" w:hanging="567"/>
        <w:rPr/>
      </w:pPr>
      <w:r>
        <w:rPr/>
        <w:t xml:space="preserve">Yoopetch, C. (2021) ‘Women empowerment, attitude toward risk-taking and entrepreneurial intention in the hospitality industry,’ </w:t>
      </w:r>
      <w:r>
        <w:rPr>
          <w:rStyle w:val="Emphasis"/>
        </w:rPr>
        <w:t>International Journal of Culture, Tourism and Hospitality Research</w:t>
      </w:r>
      <w:r>
        <w:rPr/>
        <w:t>, 15(1), pp. 59-76.</w:t>
      </w:r>
    </w:p>
    <w:p>
      <w:pPr>
        <w:pStyle w:val="NormalWeb"/>
        <w:spacing w:lineRule="auto" w:line="360" w:before="280" w:afterAutospacing="0" w:after="0"/>
        <w:ind w:left="567" w:hanging="567"/>
        <w:rPr/>
      </w:pPr>
      <w:r>
        <w:rPr/>
        <w:t xml:space="preserve">Zeng, W., Wu, X., Xu, Y., Wu, J., Zeng, Y., Shao, J. et al. (2021) ‘The impact of general self-efficacy on psychological resilience during the COVID-19 pandemic: The mediating role of posttraumatic growth and the moderating role of deliberate rumination,’ </w:t>
      </w:r>
      <w:r>
        <w:rPr>
          <w:rStyle w:val="Emphasis"/>
        </w:rPr>
        <w:t>Frontiers in Psychology</w:t>
      </w:r>
      <w:r>
        <w:rPr/>
        <w:t>, 12, p. 684354.</w:t>
      </w:r>
    </w:p>
    <w:sectPr>
      <w:type w:val="nextPage"/>
      <w:pgSz w:w="11906" w:h="16838"/>
      <w:pgMar w:left="1440" w:right="1440" w:header="0" w:top="1440" w:footer="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Calibri Light">
    <w:charset w:val="00"/>
    <w:family w:val="roman"/>
    <w:pitch w:val="variable"/>
  </w:font>
</w:fonts>
</file>

<file path=word/settings.xml><?xml version="1.0" encoding="utf-8"?>
<w:settings xmlns:w="http://schemas.openxmlformats.org/wordprocessingml/2006/main">
  <w:zoom w:percent="72"/>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 w:bidi="bn-I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Vrinda" w:asciiTheme="minorHAnsi" w:cstheme="minorBidi" w:eastAsiaTheme="minorHAnsi" w:hAnsiTheme="minorHAnsi"/>
        <w:kern w:val="2"/>
        <w:szCs w:val="28"/>
        <w:lang w:val="en-US" w:eastAsia="en-US" w:bidi="bn-IN"/>
        <w14:ligatures w14:val="standardContextual"/>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b311d"/>
    <w:pPr>
      <w:widowControl/>
      <w:bidi w:val="0"/>
      <w:spacing w:lineRule="auto" w:line="360" w:before="0" w:after="160"/>
      <w:jc w:val="both"/>
    </w:pPr>
    <w:rPr>
      <w:rFonts w:ascii="Times New Roman" w:hAnsi="Times New Roman" w:eastAsia="Calibri" w:cs="Vrinda" w:cstheme="minorBidi" w:eastAsiaTheme="minorHAnsi"/>
      <w:color w:val="auto"/>
      <w:kern w:val="2"/>
      <w:sz w:val="24"/>
      <w:szCs w:val="28"/>
      <w:lang w:val="en-GB" w:eastAsia="en-GB" w:bidi="bn-BD"/>
      <w14:ligatures w14:val="standardContextual"/>
    </w:rPr>
  </w:style>
  <w:style w:type="paragraph" w:styleId="Heading1">
    <w:name w:val="Heading 1"/>
    <w:basedOn w:val="Normal"/>
    <w:next w:val="Normal"/>
    <w:link w:val="Heading1Char"/>
    <w:uiPriority w:val="9"/>
    <w:qFormat/>
    <w:rsid w:val="002b311d"/>
    <w:pPr>
      <w:keepNext w:val="true"/>
      <w:keepLines/>
      <w:spacing w:before="240" w:after="0"/>
      <w:outlineLvl w:val="0"/>
    </w:pPr>
    <w:rPr>
      <w:rFonts w:eastAsia="" w:cs="Vrinda" w:cstheme="majorBidi" w:eastAsiaTheme="majorEastAsia"/>
      <w:b/>
      <w:szCs w:val="40"/>
    </w:rPr>
  </w:style>
  <w:style w:type="paragraph" w:styleId="Heading2">
    <w:name w:val="Heading 2"/>
    <w:basedOn w:val="Normal"/>
    <w:next w:val="Normal"/>
    <w:link w:val="Heading2Char"/>
    <w:uiPriority w:val="9"/>
    <w:unhideWhenUsed/>
    <w:qFormat/>
    <w:rsid w:val="00327c54"/>
    <w:pPr>
      <w:keepNext w:val="true"/>
      <w:keepLines/>
      <w:spacing w:before="40" w:after="0"/>
      <w:outlineLvl w:val="1"/>
    </w:pPr>
    <w:rPr>
      <w:rFonts w:eastAsia="" w:cs="Vrinda" w:cstheme="majorBidi" w:eastAsiaTheme="majorEastAsia"/>
      <w:b/>
      <w:szCs w:val="33"/>
    </w:rPr>
  </w:style>
  <w:style w:type="paragraph" w:styleId="Heading3">
    <w:name w:val="Heading 3"/>
    <w:basedOn w:val="Normal"/>
    <w:link w:val="Heading3Char"/>
    <w:uiPriority w:val="9"/>
    <w:qFormat/>
    <w:rsid w:val="002b311d"/>
    <w:pPr>
      <w:spacing w:lineRule="auto" w:line="240" w:beforeAutospacing="1" w:afterAutospacing="1"/>
      <w:outlineLvl w:val="2"/>
    </w:pPr>
    <w:rPr>
      <w:rFonts w:eastAsia="Times New Roman" w:cs="Times New Roman"/>
      <w:b/>
      <w:bCs/>
      <w:kern w:val="0"/>
      <w:sz w:val="27"/>
      <w:szCs w:val="27"/>
    </w:rPr>
  </w:style>
  <w:style w:type="character" w:styleId="DefaultParagraphFont" w:default="1">
    <w:name w:val="Default Paragraph Font"/>
    <w:uiPriority w:val="1"/>
    <w:semiHidden/>
    <w:unhideWhenUsed/>
    <w:qFormat/>
    <w:rPr/>
  </w:style>
  <w:style w:type="character" w:styleId="Heading3Char" w:customStyle="1">
    <w:name w:val="Heading 3 Char"/>
    <w:basedOn w:val="DefaultParagraphFont"/>
    <w:link w:val="Heading3"/>
    <w:uiPriority w:val="9"/>
    <w:qFormat/>
    <w:rsid w:val="002b311d"/>
    <w:rPr>
      <w:rFonts w:ascii="Times New Roman" w:hAnsi="Times New Roman" w:eastAsia="Times New Roman" w:cs="Times New Roman"/>
      <w:b/>
      <w:bCs/>
      <w:kern w:val="0"/>
      <w:sz w:val="27"/>
      <w:szCs w:val="27"/>
      <w:lang w:val="en-GB" w:eastAsia="en-GB" w:bidi="bn-BD"/>
    </w:rPr>
  </w:style>
  <w:style w:type="character" w:styleId="Whitespacenowrap" w:customStyle="1">
    <w:name w:val="whitespace-nowrap"/>
    <w:basedOn w:val="DefaultParagraphFont"/>
    <w:qFormat/>
    <w:rsid w:val="002b311d"/>
    <w:rPr/>
  </w:style>
  <w:style w:type="character" w:styleId="Whitespacenormal" w:customStyle="1">
    <w:name w:val="whitespace-normal"/>
    <w:basedOn w:val="DefaultParagraphFont"/>
    <w:qFormat/>
    <w:rsid w:val="002b311d"/>
    <w:rPr/>
  </w:style>
  <w:style w:type="character" w:styleId="Truncate" w:customStyle="1">
    <w:name w:val="truncate"/>
    <w:basedOn w:val="DefaultParagraphFont"/>
    <w:qFormat/>
    <w:rsid w:val="002b311d"/>
    <w:rPr/>
  </w:style>
  <w:style w:type="character" w:styleId="Emphasis">
    <w:name w:val="Emphasis"/>
    <w:basedOn w:val="DefaultParagraphFont"/>
    <w:uiPriority w:val="20"/>
    <w:qFormat/>
    <w:rsid w:val="002b311d"/>
    <w:rPr>
      <w:i/>
      <w:iCs/>
    </w:rPr>
  </w:style>
  <w:style w:type="character" w:styleId="Heading1Char" w:customStyle="1">
    <w:name w:val="Heading 1 Char"/>
    <w:basedOn w:val="DefaultParagraphFont"/>
    <w:link w:val="Heading1"/>
    <w:uiPriority w:val="9"/>
    <w:qFormat/>
    <w:rsid w:val="002b311d"/>
    <w:rPr>
      <w:rFonts w:ascii="Times New Roman" w:hAnsi="Times New Roman" w:eastAsia="" w:cs="Vrinda" w:cstheme="majorBidi" w:eastAsiaTheme="majorEastAsia"/>
      <w:b/>
      <w:sz w:val="24"/>
      <w:szCs w:val="40"/>
      <w:lang w:val="en-GB" w:eastAsia="en-GB" w:bidi="bn-BD"/>
    </w:rPr>
  </w:style>
  <w:style w:type="character" w:styleId="Heading2Char" w:customStyle="1">
    <w:name w:val="Heading 2 Char"/>
    <w:basedOn w:val="DefaultParagraphFont"/>
    <w:link w:val="Heading2"/>
    <w:uiPriority w:val="9"/>
    <w:qFormat/>
    <w:rsid w:val="00327c54"/>
    <w:rPr>
      <w:rFonts w:ascii="Times New Roman" w:hAnsi="Times New Roman" w:eastAsia="" w:cs="Vrinda" w:cstheme="majorBidi" w:eastAsiaTheme="majorEastAsia"/>
      <w:b/>
      <w:sz w:val="24"/>
      <w:szCs w:val="33"/>
      <w:lang w:val="en-GB" w:eastAsia="en-GB" w:bidi="bn-BD"/>
    </w:rPr>
  </w:style>
  <w:style w:type="character" w:styleId="InternetLink">
    <w:name w:val="Internet Link"/>
    <w:basedOn w:val="DefaultParagraphFont"/>
    <w:uiPriority w:val="99"/>
    <w:unhideWhenUsed/>
    <w:rsid w:val="00327c54"/>
    <w:rPr>
      <w:color w:val="0000FF"/>
      <w:u w:val="single"/>
    </w:rPr>
  </w:style>
  <w:style w:type="character" w:styleId="UnresolvedMention1" w:customStyle="1">
    <w:name w:val="Unresolved Mention1"/>
    <w:basedOn w:val="DefaultParagraphFont"/>
    <w:uiPriority w:val="99"/>
    <w:semiHidden/>
    <w:unhideWhenUsed/>
    <w:qFormat/>
    <w:rsid w:val="00327c54"/>
    <w:rPr>
      <w:color w:val="605E5C"/>
      <w:shd w:fill="E1DFDD" w:val="clear"/>
    </w:rPr>
  </w:style>
  <w:style w:type="character" w:styleId="Jsx2968581714" w:customStyle="1">
    <w:name w:val="jsx-2968581714"/>
    <w:basedOn w:val="DefaultParagraphFont"/>
    <w:qFormat/>
    <w:rsid w:val="00c70bf4"/>
    <w:rPr/>
  </w:style>
  <w:style w:type="character" w:styleId="Hscoswrapper" w:customStyle="1">
    <w:name w:val="hs_cos_wrapper"/>
    <w:basedOn w:val="DefaultParagraphFont"/>
    <w:qFormat/>
    <w:rsid w:val="00c70bf4"/>
    <w:rPr/>
  </w:style>
  <w:style w:type="character" w:styleId="FollowedHyperlink">
    <w:name w:val="FollowedHyperlink"/>
    <w:basedOn w:val="DefaultParagraphFont"/>
    <w:uiPriority w:val="99"/>
    <w:semiHidden/>
    <w:unhideWhenUsed/>
    <w:qFormat/>
    <w:rsid w:val="00ae22fd"/>
    <w:rPr>
      <w:color w:val="954F72" w:themeColor="followedHyperlink"/>
      <w:u w:val="single"/>
    </w:rPr>
  </w:style>
  <w:style w:type="character" w:styleId="HeaderChar" w:customStyle="1">
    <w:name w:val="Header Char"/>
    <w:basedOn w:val="DefaultParagraphFont"/>
    <w:link w:val="Header"/>
    <w:uiPriority w:val="99"/>
    <w:qFormat/>
    <w:rsid w:val="006a6de0"/>
    <w:rPr>
      <w:rFonts w:ascii="Times New Roman" w:hAnsi="Times New Roman"/>
      <w:sz w:val="24"/>
      <w:lang w:val="en-GB" w:eastAsia="en-GB" w:bidi="bn-BD"/>
    </w:rPr>
  </w:style>
  <w:style w:type="character" w:styleId="FooterChar" w:customStyle="1">
    <w:name w:val="Footer Char"/>
    <w:basedOn w:val="DefaultParagraphFont"/>
    <w:link w:val="Footer"/>
    <w:uiPriority w:val="99"/>
    <w:qFormat/>
    <w:rsid w:val="006a6de0"/>
    <w:rPr>
      <w:rFonts w:ascii="Times New Roman" w:hAnsi="Times New Roman"/>
      <w:sz w:val="24"/>
      <w:lang w:val="en-GB" w:eastAsia="en-GB" w:bidi="bn-BD"/>
    </w:rPr>
  </w:style>
  <w:style w:type="character" w:styleId="ListLabel1">
    <w:name w:val="ListLabel 1"/>
    <w:qFormat/>
    <w:rPr/>
  </w:style>
  <w:style w:type="character" w:styleId="IndexLink">
    <w:name w:val="Index Link"/>
    <w:qFormat/>
    <w:rPr/>
  </w:style>
  <w:style w:type="paragraph" w:styleId="Heading">
    <w:name w:val="Heading"/>
    <w:basedOn w:val="Normal"/>
    <w:next w:val="TextBody"/>
    <w:qFormat/>
    <w:pPr>
      <w:keepNext w:val="true"/>
      <w:spacing w:before="240" w:after="120"/>
    </w:pPr>
    <w:rPr>
      <w:rFonts w:ascii="Arial" w:hAnsi="Arial"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NormalWeb">
    <w:name w:val="Normal (Web)"/>
    <w:basedOn w:val="Normal"/>
    <w:uiPriority w:val="99"/>
    <w:unhideWhenUsed/>
    <w:qFormat/>
    <w:rsid w:val="002b311d"/>
    <w:pPr>
      <w:spacing w:lineRule="auto" w:line="240" w:beforeAutospacing="1" w:afterAutospacing="1"/>
    </w:pPr>
    <w:rPr>
      <w:rFonts w:eastAsia="Times New Roman" w:cs="Times New Roman"/>
      <w:kern w:val="0"/>
      <w:szCs w:val="24"/>
    </w:rPr>
  </w:style>
  <w:style w:type="paragraph" w:styleId="Cbibliographicinformationcitation" w:customStyle="1">
    <w:name w:val="c-bibliographic-information__citation"/>
    <w:basedOn w:val="Normal"/>
    <w:qFormat/>
    <w:rsid w:val="00327c54"/>
    <w:pPr>
      <w:spacing w:lineRule="auto" w:line="240" w:beforeAutospacing="1" w:afterAutospacing="1"/>
      <w:jc w:val="left"/>
    </w:pPr>
    <w:rPr>
      <w:rFonts w:eastAsia="Times New Roman" w:cs="Times New Roman"/>
      <w:kern w:val="0"/>
      <w:szCs w:val="24"/>
    </w:rPr>
  </w:style>
  <w:style w:type="paragraph" w:styleId="ListParagraph">
    <w:name w:val="List Paragraph"/>
    <w:basedOn w:val="Normal"/>
    <w:uiPriority w:val="34"/>
    <w:qFormat/>
    <w:rsid w:val="00ae17fb"/>
    <w:pPr>
      <w:spacing w:before="0" w:after="160"/>
      <w:ind w:left="720" w:hanging="0"/>
      <w:contextualSpacing/>
    </w:pPr>
    <w:rPr/>
  </w:style>
  <w:style w:type="paragraph" w:styleId="TOCHeading">
    <w:name w:val="TOC Heading"/>
    <w:basedOn w:val="Heading1"/>
    <w:next w:val="Normal"/>
    <w:uiPriority w:val="39"/>
    <w:unhideWhenUsed/>
    <w:qFormat/>
    <w:rsid w:val="006a6de0"/>
    <w:pPr>
      <w:spacing w:lineRule="auto" w:line="259"/>
      <w:jc w:val="left"/>
    </w:pPr>
    <w:rPr>
      <w:rFonts w:ascii="Calibri Light" w:hAnsi="Calibri Light" w:asciiTheme="majorHAnsi" w:hAnsiTheme="majorHAnsi"/>
      <w:b w:val="false"/>
      <w:color w:val="2F5496" w:themeColor="accent1" w:themeShade="bf"/>
      <w:kern w:val="0"/>
      <w:sz w:val="32"/>
      <w:szCs w:val="32"/>
      <w14:ligatures w14:val="none"/>
    </w:rPr>
  </w:style>
  <w:style w:type="paragraph" w:styleId="Contents1">
    <w:name w:val="TOC 1"/>
    <w:basedOn w:val="Normal"/>
    <w:next w:val="Normal"/>
    <w:autoRedefine/>
    <w:uiPriority w:val="39"/>
    <w:unhideWhenUsed/>
    <w:rsid w:val="002f471e"/>
    <w:pPr>
      <w:tabs>
        <w:tab w:val="clear" w:pos="720"/>
        <w:tab w:val="right" w:pos="9016" w:leader="dot"/>
      </w:tabs>
      <w:spacing w:lineRule="auto" w:line="480" w:before="0" w:after="100"/>
    </w:pPr>
    <w:rPr/>
  </w:style>
  <w:style w:type="paragraph" w:styleId="Contents2">
    <w:name w:val="TOC 2"/>
    <w:basedOn w:val="Normal"/>
    <w:next w:val="Normal"/>
    <w:autoRedefine/>
    <w:uiPriority w:val="39"/>
    <w:unhideWhenUsed/>
    <w:rsid w:val="006a6de0"/>
    <w:pPr>
      <w:spacing w:before="0" w:after="100"/>
      <w:ind w:left="240" w:hanging="0"/>
    </w:pPr>
    <w:rPr/>
  </w:style>
  <w:style w:type="paragraph" w:styleId="Header">
    <w:name w:val="Header"/>
    <w:basedOn w:val="Normal"/>
    <w:link w:val="HeaderChar"/>
    <w:uiPriority w:val="99"/>
    <w:unhideWhenUsed/>
    <w:rsid w:val="006a6de0"/>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6a6de0"/>
    <w:pPr>
      <w:tabs>
        <w:tab w:val="clear" w:pos="720"/>
        <w:tab w:val="center" w:pos="4513" w:leader="none"/>
        <w:tab w:val="right" w:pos="9026"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doi.org/10.1007/978-981-19-5763-5_1" TargetMode="External"/><Relationship Id="rId3" Type="http://schemas.openxmlformats.org/officeDocument/2006/relationships/hyperlink" Target="https://doi.org/10.1037/0033-295X.84.2.191" TargetMode="External"/><Relationship Id="rId4" Type="http://schemas.openxmlformats.org/officeDocument/2006/relationships/hyperlink" Target="https://www.independent.co.uk/news/business/indyventure/richard-branson-virgin-group-atlantic-records-biggest-business-risks-startup-entrepreneur-a7698711.html" TargetMode="External"/><Relationship Id="rId5" Type="http://schemas.openxmlformats.org/officeDocument/2006/relationships/hyperlink" Target="https://doi.org/10.1177/1745691616667925" TargetMode="External"/><Relationship Id="rId6" Type="http://schemas.openxmlformats.org/officeDocument/2006/relationships/hyperlink" Target="https://www.rhythmsystems.com/blog/take-risks-like-richard-branson" TargetMode="External"/><Relationship Id="rId7" Type="http://schemas.openxmlformats.org/officeDocument/2006/relationships/hyperlink" Target="https://doi.org/10.1007/s11187-021-00588-0" TargetMode="External"/><Relationship Id="rId8" Type="http://schemas.openxmlformats.org/officeDocument/2006/relationships/hyperlink" Target="https://www.readtheprofile.com/p/danny-meyer-interview" TargetMode="External"/><Relationship Id="rId9" Type="http://schemas.openxmlformats.org/officeDocument/2006/relationships/hyperlink" Target="https://doi.org/10.1509/jmkg.68.1.1.24036" TargetMode="External"/><Relationship Id="rId10" Type="http://schemas.openxmlformats.org/officeDocument/2006/relationships/hyperlink" Target="https://www.virgin.com/branson-family/richard-branson" TargetMode="Externa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DD543A-4C41-4E5B-BBB3-1302F1688B9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Trio_Office/6.2.8.2$Windows_x86 LibreOffice_project/</Application>
  <Pages>11</Pages>
  <Words>2799</Words>
  <Characters>17600</Characters>
  <CharactersWithSpaces>20351</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2024-10-21T06:44:00Z</dcterms:created>
  <dc:creator/>
  <dc:description/>
  <dc:language>en-GB</dc:language>
  <cp:lastModifiedBy/>
  <dcterms:modified xsi:type="dcterms:W3CDTF">2024-10-21T09:34:41Z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