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4A" w:rsidRPr="00BE2760" w:rsidRDefault="00C54E91" w:rsidP="00C6554A">
      <w:pPr>
        <w:pStyle w:val="Photo"/>
        <w:rPr>
          <w:color w:val="000000" w:themeColor="text1"/>
          <w:sz w:val="28"/>
        </w:rPr>
      </w:pPr>
      <w:bookmarkStart w:id="0" w:name="_Toc321147149"/>
      <w:bookmarkStart w:id="1" w:name="_Toc318188227"/>
      <w:bookmarkStart w:id="2" w:name="_Toc318188327"/>
      <w:bookmarkStart w:id="3" w:name="_Toc318189312"/>
      <w:bookmarkStart w:id="4" w:name="_Toc321147011"/>
      <w:r w:rsidRPr="00BE2760">
        <w:rPr>
          <w:color w:val="000000" w:themeColor="text1"/>
          <w:sz w:val="28"/>
        </w:rPr>
        <w:t xml:space="preserve">University of Wales Trinity Saint David </w:t>
      </w:r>
    </w:p>
    <w:p w:rsidR="00C54E91" w:rsidRPr="00BE2760" w:rsidRDefault="00C54E91" w:rsidP="00C6554A">
      <w:pPr>
        <w:pStyle w:val="Photo"/>
        <w:rPr>
          <w:color w:val="000000" w:themeColor="text1"/>
          <w:sz w:val="28"/>
        </w:rPr>
      </w:pPr>
      <w:r w:rsidRPr="00BE2760">
        <w:rPr>
          <w:color w:val="000000" w:themeColor="text1"/>
          <w:sz w:val="28"/>
        </w:rPr>
        <w:t>London</w:t>
      </w:r>
    </w:p>
    <w:bookmarkEnd w:id="0"/>
    <w:bookmarkEnd w:id="1"/>
    <w:bookmarkEnd w:id="2"/>
    <w:bookmarkEnd w:id="3"/>
    <w:bookmarkEnd w:id="4"/>
    <w:p w:rsidR="00FA0991" w:rsidRPr="00FA0991" w:rsidRDefault="00FA0991" w:rsidP="00FA0991">
      <w:pPr>
        <w:rPr>
          <w:rFonts w:asciiTheme="majorHAnsi" w:eastAsia="Calibri" w:hAnsiTheme="majorHAnsi" w:cstheme="majorBidi"/>
          <w:color w:val="007789" w:themeColor="accent1" w:themeShade="BF"/>
          <w:sz w:val="32"/>
        </w:rPr>
      </w:pPr>
    </w:p>
    <w:p w:rsidR="00FA0991" w:rsidRDefault="00FA0991" w:rsidP="00FA0991">
      <w:pPr>
        <w:pStyle w:val="Heading1"/>
        <w:jc w:val="center"/>
        <w:rPr>
          <w:rFonts w:eastAsia="Calibri"/>
        </w:rPr>
      </w:pPr>
      <w:r>
        <w:rPr>
          <w:rFonts w:eastAsia="Calibri"/>
        </w:rPr>
        <w:t>B</w:t>
      </w:r>
      <w:r w:rsidRPr="00C54E91">
        <w:rPr>
          <w:rFonts w:eastAsia="Calibri"/>
        </w:rPr>
        <w:t>anking Financial Ma</w:t>
      </w:r>
      <w:r>
        <w:rPr>
          <w:rFonts w:eastAsia="Calibri"/>
        </w:rPr>
        <w:t>nagement and Financial Markets</w:t>
      </w:r>
    </w:p>
    <w:p w:rsidR="00FA0991" w:rsidRDefault="00FA0991">
      <w:pPr>
        <w:rPr>
          <w:rFonts w:asciiTheme="majorHAnsi" w:eastAsia="Calibri" w:hAnsiTheme="majorHAnsi" w:cstheme="majorBidi"/>
          <w:color w:val="007789" w:themeColor="accent1" w:themeShade="BF"/>
          <w:sz w:val="32"/>
        </w:rPr>
      </w:pPr>
      <w:r>
        <w:rPr>
          <w:noProof/>
          <w:lang w:val="en-GB" w:eastAsia="en-GB"/>
        </w:rPr>
        <mc:AlternateContent>
          <mc:Choice Requires="wps">
            <w:drawing>
              <wp:anchor distT="45720" distB="45720" distL="114300" distR="114300" simplePos="0" relativeHeight="251665408" behindDoc="1" locked="0" layoutInCell="1" allowOverlap="1" wp14:anchorId="4261C053" wp14:editId="3B1C171B">
                <wp:simplePos x="0" y="0"/>
                <wp:positionH relativeFrom="margin">
                  <wp:posOffset>-136478</wp:posOffset>
                </wp:positionH>
                <wp:positionV relativeFrom="paragraph">
                  <wp:posOffset>2004155</wp:posOffset>
                </wp:positionV>
                <wp:extent cx="5486400" cy="2204085"/>
                <wp:effectExtent l="0" t="0" r="0" b="5715"/>
                <wp:wrapTight wrapText="bothSides">
                  <wp:wrapPolygon edited="0">
                    <wp:start x="0" y="0"/>
                    <wp:lineTo x="0" y="21469"/>
                    <wp:lineTo x="21525" y="21469"/>
                    <wp:lineTo x="21525"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2204085"/>
                        </a:xfrm>
                        <a:prstGeom prst="rect">
                          <a:avLst/>
                        </a:prstGeom>
                        <a:solidFill>
                          <a:srgbClr val="FFFFFF"/>
                        </a:solidFill>
                        <a:ln w="9525">
                          <a:noFill/>
                          <a:miter lim="800000"/>
                          <a:headEnd/>
                          <a:tailEnd/>
                        </a:ln>
                      </wps:spPr>
                      <wps:txbx>
                        <w:txbxContent>
                          <w:p w:rsidR="00901F88" w:rsidRDefault="00901F88" w:rsidP="00FA0991">
                            <w:r>
                              <w:t>A review of my chosen bank, Lloyds bank, for the past five years and the issues that it has dealt with.</w:t>
                            </w:r>
                          </w:p>
                          <w:p w:rsidR="00901F88" w:rsidRDefault="00901F88" w:rsidP="00FA0991">
                            <w:r>
                              <w:t>Critically discussing and analyzing the performance my chosen bank and comparing it with one of its competitors, in this case Barclays Bank.</w:t>
                            </w:r>
                          </w:p>
                          <w:p w:rsidR="00901F88" w:rsidRDefault="00901F88" w:rsidP="00FA0991">
                            <w:r>
                              <w:t>Analyzing and demonstrating an understanding of contemporary issues that Lloyds bank faces in bank management</w:t>
                            </w:r>
                          </w:p>
                          <w:p w:rsidR="00901F88" w:rsidRDefault="00901F88" w:rsidP="00FA0991">
                            <w:r>
                              <w:t xml:space="preserve">A review on the issuance of treasury bills in the UK, the participating market and the contemporary issues linked the issuance of treasury bills.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61C053" id="_x0000_t202" coordsize="21600,21600" o:spt="202" path="m,l,21600r21600,l21600,xe">
                <v:stroke joinstyle="miter"/>
                <v:path gradientshapeok="t" o:connecttype="rect"/>
              </v:shapetype>
              <v:shape id="Text Box 2" o:spid="_x0000_s1026" type="#_x0000_t202" style="position:absolute;margin-left:-10.75pt;margin-top:157.8pt;width:6in;height:173.5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" stroked="f">
                <v:textbox>
                  <w:txbxContent>
                    <w:p w:rsidR="00901F88" w:rsidRDefault="00901F88" w:rsidP="00FA0991">
                      <w:r>
                        <w:t>A review of my chosen bank, Lloyds bank, for the past five years and the issues that it has dealt with.</w:t>
                      </w:r>
                    </w:p>
                    <w:p w:rsidR="00901F88" w:rsidRDefault="00901F88" w:rsidP="00FA0991">
                      <w:r>
                        <w:t>Critically discussing and analyzing the performance my chosen bank and comparing it with one of its competitors, in this case Barclays Bank.</w:t>
                      </w:r>
                    </w:p>
                    <w:p w:rsidR="00901F88" w:rsidRDefault="00901F88" w:rsidP="00FA0991">
                      <w:r>
                        <w:t>Analyzing and demonstrating an understanding of contemporary issues that Lloyds bank faces in bank management</w:t>
                      </w:r>
                    </w:p>
                    <w:p w:rsidR="00901F88" w:rsidRDefault="00901F88" w:rsidP="00FA0991">
                      <w:r>
                        <w:t xml:space="preserve">A review on the issuance of treasury bills in the UK, the participating market and the contemporary issues linked the issuance of treasury bills. </w:t>
                      </w:r>
                    </w:p>
                  </w:txbxContent>
                </v:textbox>
                <w10:wrap type="tight" anchorx="margin"/>
              </v:shape>
            </w:pict>
          </mc:Fallback>
        </mc:AlternateContent>
      </w:r>
      <w:r>
        <w:rPr>
          <w:noProof/>
          <w:lang w:val="en-GB" w:eastAsia="en-GB"/>
        </w:rPr>
        <mc:AlternateContent>
          <mc:Choice Requires="wps">
            <w:drawing>
              <wp:anchor distT="45720" distB="45720" distL="114300" distR="114300" simplePos="0" relativeHeight="251663360" behindDoc="1" locked="0" layoutInCell="1" allowOverlap="1" wp14:anchorId="7D4145B6" wp14:editId="4C1C438A">
                <wp:simplePos x="0" y="0"/>
                <wp:positionH relativeFrom="margin">
                  <wp:posOffset>0</wp:posOffset>
                </wp:positionH>
                <wp:positionV relativeFrom="paragraph">
                  <wp:posOffset>448310</wp:posOffset>
                </wp:positionV>
                <wp:extent cx="4831080" cy="1541780"/>
                <wp:effectExtent l="0" t="0" r="7620" b="1270"/>
                <wp:wrapTight wrapText="bothSides">
                  <wp:wrapPolygon edited="0">
                    <wp:start x="0" y="0"/>
                    <wp:lineTo x="0" y="21351"/>
                    <wp:lineTo x="21549" y="21351"/>
                    <wp:lineTo x="2154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1080" cy="1541780"/>
                        </a:xfrm>
                        <a:prstGeom prst="rect">
                          <a:avLst/>
                        </a:prstGeom>
                        <a:solidFill>
                          <a:srgbClr val="FFFFFF"/>
                        </a:solidFill>
                        <a:ln w="9525">
                          <a:noFill/>
                          <a:miter lim="800000"/>
                          <a:headEnd/>
                          <a:tailEnd/>
                        </a:ln>
                      </wps:spPr>
                      <wps:txbx>
                        <w:txbxContent>
                          <w:p w:rsidR="00901F88" w:rsidRDefault="00901F88" w:rsidP="00FA0991">
                            <w:r>
                              <w:t>Student name and number</w:t>
                            </w:r>
                            <w:r>
                              <w:tab/>
                            </w:r>
                            <w:r>
                              <w:tab/>
                            </w:r>
                            <w:r>
                              <w:tab/>
                              <w:t>Enjada Lezaj 1804969</w:t>
                            </w:r>
                          </w:p>
                          <w:p w:rsidR="00901F88" w:rsidRDefault="00901F88" w:rsidP="00FA0991">
                            <w:r>
                              <w:t xml:space="preserve">Lecturer </w:t>
                            </w:r>
                            <w:r>
                              <w:tab/>
                            </w:r>
                            <w:r>
                              <w:tab/>
                            </w:r>
                            <w:r>
                              <w:tab/>
                            </w:r>
                            <w:r>
                              <w:tab/>
                            </w:r>
                            <w:r>
                              <w:tab/>
                            </w:r>
                            <w:r w:rsidRPr="00C54E91">
                              <w:t xml:space="preserve">Isaiah Oino   </w:t>
                            </w:r>
                          </w:p>
                          <w:p w:rsidR="00901F88" w:rsidRDefault="00901F88" w:rsidP="00FA0991">
                            <w:r>
                              <w:t>Module code</w:t>
                            </w:r>
                            <w:r>
                              <w:tab/>
                            </w:r>
                            <w:r>
                              <w:tab/>
                            </w:r>
                            <w:r>
                              <w:tab/>
                            </w:r>
                            <w:r>
                              <w:tab/>
                            </w:r>
                            <w:r>
                              <w:tab/>
                            </w:r>
                            <w:r w:rsidRPr="00C54E91">
                              <w:t>LCMB7012</w:t>
                            </w:r>
                          </w:p>
                          <w:p w:rsidR="00901F88" w:rsidRDefault="00901F88" w:rsidP="00FA0991">
                            <w:r>
                              <w:t>Word count</w:t>
                            </w:r>
                            <w:r>
                              <w:tab/>
                            </w:r>
                            <w:r>
                              <w:tab/>
                            </w:r>
                            <w:r>
                              <w:tab/>
                            </w:r>
                            <w:r>
                              <w:tab/>
                            </w:r>
                            <w:r>
                              <w:tab/>
                            </w:r>
                            <w:r w:rsidR="00925577">
                              <w:t>4800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4145B6" id="_x0000_t202" coordsize="21600,21600" o:spt="202" path="m,l,21600r21600,l21600,xe">
                <v:stroke joinstyle="miter"/>
                <v:path gradientshapeok="t" o:connecttype="rect"/>
              </v:shapetype>
              <v:shape id="_x0000_s1027" type="#_x0000_t202" style="position:absolute;margin-left:0;margin-top:35.3pt;width:380.4pt;height:121.4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" stroked="f">
                <v:textbox>
                  <w:txbxContent>
                    <w:p w:rsidR="00901F88" w:rsidRDefault="00901F88" w:rsidP="00FA0991">
                      <w:r>
                        <w:t>Student name and number</w:t>
                      </w:r>
                      <w:r>
                        <w:tab/>
                      </w:r>
                      <w:r>
                        <w:tab/>
                      </w:r>
                      <w:r>
                        <w:tab/>
                        <w:t>Enjada Lezaj 1804969</w:t>
                      </w:r>
                    </w:p>
                    <w:p w:rsidR="00901F88" w:rsidRDefault="00901F88" w:rsidP="00FA0991">
                      <w:r>
                        <w:t xml:space="preserve">Lecturer </w:t>
                      </w:r>
                      <w:r>
                        <w:tab/>
                      </w:r>
                      <w:r>
                        <w:tab/>
                      </w:r>
                      <w:r>
                        <w:tab/>
                      </w:r>
                      <w:r>
                        <w:tab/>
                      </w:r>
                      <w:r>
                        <w:tab/>
                      </w:r>
                      <w:r w:rsidRPr="00C54E91">
                        <w:t xml:space="preserve">Isaiah Oino   </w:t>
                      </w:r>
                    </w:p>
                    <w:p w:rsidR="00901F88" w:rsidRDefault="00901F88" w:rsidP="00FA0991">
                      <w:r>
                        <w:t>Module code</w:t>
                      </w:r>
                      <w:r>
                        <w:tab/>
                      </w:r>
                      <w:r>
                        <w:tab/>
                      </w:r>
                      <w:r>
                        <w:tab/>
                      </w:r>
                      <w:r>
                        <w:tab/>
                      </w:r>
                      <w:r>
                        <w:tab/>
                      </w:r>
                      <w:r w:rsidRPr="00C54E91">
                        <w:t>LCMB7012</w:t>
                      </w:r>
                    </w:p>
                    <w:p w:rsidR="00901F88" w:rsidRDefault="00901F88" w:rsidP="00FA0991">
                      <w:r>
                        <w:t>Word count</w:t>
                      </w:r>
                      <w:r>
                        <w:tab/>
                      </w:r>
                      <w:r>
                        <w:tab/>
                      </w:r>
                      <w:r>
                        <w:tab/>
                      </w:r>
                      <w:r>
                        <w:tab/>
                      </w:r>
                      <w:r>
                        <w:tab/>
                      </w:r>
                      <w:r w:rsidR="00925577">
                        <w:t>4800</w:t>
                      </w:r>
                    </w:p>
                  </w:txbxContent>
                </v:textbox>
                <w10:wrap type="tight" anchorx="margin"/>
              </v:shape>
            </w:pict>
          </mc:Fallback>
        </mc:AlternateContent>
      </w:r>
      <w:r>
        <w:rPr>
          <w:rFonts w:eastAsia="Calibri"/>
        </w:rPr>
        <w:br w:type="page"/>
      </w:r>
    </w:p>
    <w:p w:rsidR="00FA0991" w:rsidRDefault="00FA0991" w:rsidP="00D15E58">
      <w:pPr>
        <w:pStyle w:val="Heading3"/>
      </w:pPr>
      <w:r>
        <w:lastRenderedPageBreak/>
        <w:t>Introduction</w:t>
      </w:r>
    </w:p>
    <w:p w:rsidR="004E33FB" w:rsidRPr="00FE42B5" w:rsidRDefault="00D15E58" w:rsidP="00FA0991">
      <w:pPr>
        <w:rPr>
          <w:rFonts w:ascii="Calibri" w:hAnsi="Calibri" w:cs="Calibri"/>
          <w:color w:val="000000" w:themeColor="text1"/>
        </w:rPr>
      </w:pPr>
      <w:r w:rsidRPr="00FE42B5">
        <w:rPr>
          <w:rFonts w:ascii="Calibri" w:hAnsi="Calibri" w:cs="Calibri"/>
          <w:color w:val="000000" w:themeColor="text1"/>
        </w:rPr>
        <w:t>This assignment is going to focus on conducting financial analysis for Lloyds Bank. One of the “Big Four” retail banks in the United Kingdom. Lloyds Bank was established in June 1765 as a private bank named “Taylors &amp; Lloyds” in Birmingham. In 2015 Lloyds Bank celebrated its 250</w:t>
      </w:r>
      <w:r w:rsidRPr="00FE42B5">
        <w:rPr>
          <w:rFonts w:ascii="Calibri" w:hAnsi="Calibri" w:cs="Calibri"/>
          <w:color w:val="000000" w:themeColor="text1"/>
          <w:vertAlign w:val="superscript"/>
        </w:rPr>
        <w:t>th</w:t>
      </w:r>
      <w:r w:rsidRPr="00FE42B5">
        <w:rPr>
          <w:rFonts w:ascii="Calibri" w:hAnsi="Calibri" w:cs="Calibri"/>
          <w:color w:val="000000" w:themeColor="text1"/>
        </w:rPr>
        <w:t xml:space="preserve"> anniversary and during its existence it endured </w:t>
      </w:r>
      <w:r w:rsidR="009B221D" w:rsidRPr="00FE42B5">
        <w:rPr>
          <w:rFonts w:ascii="Calibri" w:hAnsi="Calibri" w:cs="Calibri"/>
          <w:color w:val="000000" w:themeColor="text1"/>
        </w:rPr>
        <w:t xml:space="preserve">changes and it expanded by acquiring multiple other smaller banking firms. </w:t>
      </w:r>
      <w:sdt>
        <w:sdtPr>
          <w:rPr>
            <w:rFonts w:ascii="Calibri" w:hAnsi="Calibri" w:cs="Calibri"/>
            <w:color w:val="000000" w:themeColor="text1"/>
          </w:rPr>
          <w:id w:val="-214355529"/>
          <w:citation/>
        </w:sdtPr>
        <w:sdtEndPr/>
        <w:sdtContent>
          <w:r w:rsidR="007211EA" w:rsidRPr="00FE42B5">
            <w:rPr>
              <w:rFonts w:ascii="Calibri" w:hAnsi="Calibri" w:cs="Calibri"/>
              <w:color w:val="000000" w:themeColor="text1"/>
            </w:rPr>
            <w:fldChar w:fldCharType="begin"/>
          </w:r>
          <w:r w:rsidR="007211EA" w:rsidRPr="00FE42B5">
            <w:rPr>
              <w:rFonts w:ascii="Calibri" w:hAnsi="Calibri" w:cs="Calibri"/>
              <w:color w:val="000000" w:themeColor="text1"/>
              <w:lang w:val="en-GB"/>
            </w:rPr>
            <w:instrText xml:space="preserve"> CITATION Llo19 \l 2057 </w:instrText>
          </w:r>
          <w:r w:rsidR="007211EA"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(Lloyds, 2019)</w:t>
          </w:r>
          <w:r w:rsidR="007211EA" w:rsidRPr="00FE42B5">
            <w:rPr>
              <w:rFonts w:ascii="Calibri" w:hAnsi="Calibri" w:cs="Calibri"/>
              <w:color w:val="000000" w:themeColor="text1"/>
            </w:rPr>
            <w:fldChar w:fldCharType="end"/>
          </w:r>
        </w:sdtContent>
      </w:sdt>
      <w:r w:rsidR="007211EA" w:rsidRPr="00FE42B5">
        <w:rPr>
          <w:rFonts w:ascii="Calibri" w:hAnsi="Calibri" w:cs="Calibri"/>
          <w:color w:val="000000" w:themeColor="text1"/>
        </w:rPr>
        <w:t xml:space="preserve"> </w:t>
      </w:r>
      <w:r w:rsidR="007B5F62" w:rsidRPr="00FE42B5">
        <w:rPr>
          <w:rFonts w:ascii="Calibri" w:hAnsi="Calibri" w:cs="Calibri"/>
          <w:color w:val="000000" w:themeColor="text1"/>
        </w:rPr>
        <w:t xml:space="preserve">Lloyds banking Group on the other hand started in 2009, when Lloyds Bank acquired Bank of Scotland and Halifax. </w:t>
      </w:r>
      <w:sdt>
        <w:sdtPr>
          <w:rPr>
            <w:rFonts w:ascii="Calibri" w:hAnsi="Calibri" w:cs="Calibri"/>
            <w:color w:val="000000" w:themeColor="text1"/>
          </w:rPr>
          <w:id w:val="-283959506"/>
          <w:citation/>
        </w:sdtPr>
        <w:sdtEndPr/>
        <w:sdtContent>
          <w:r w:rsidR="007211EA" w:rsidRPr="00FE42B5">
            <w:rPr>
              <w:rFonts w:ascii="Calibri" w:hAnsi="Calibri" w:cs="Calibri"/>
              <w:color w:val="000000" w:themeColor="text1"/>
            </w:rPr>
            <w:fldChar w:fldCharType="begin"/>
          </w:r>
          <w:r w:rsidR="007211EA" w:rsidRPr="00FE42B5">
            <w:rPr>
              <w:rFonts w:ascii="Calibri" w:hAnsi="Calibri" w:cs="Calibri"/>
              <w:color w:val="000000" w:themeColor="text1"/>
              <w:lang w:val="en-GB"/>
            </w:rPr>
            <w:instrText xml:space="preserve"> CITATION Llo19 \l 2057 </w:instrText>
          </w:r>
          <w:r w:rsidR="007211EA"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(Lloyds, 2019)</w:t>
          </w:r>
          <w:r w:rsidR="007211EA" w:rsidRPr="00FE42B5">
            <w:rPr>
              <w:rFonts w:ascii="Calibri" w:hAnsi="Calibri" w:cs="Calibri"/>
              <w:color w:val="000000" w:themeColor="text1"/>
            </w:rPr>
            <w:fldChar w:fldCharType="end"/>
          </w:r>
        </w:sdtContent>
      </w:sdt>
      <w:r w:rsidR="007211EA" w:rsidRPr="00FE42B5">
        <w:rPr>
          <w:rFonts w:ascii="Calibri" w:hAnsi="Calibri" w:cs="Calibri"/>
          <w:color w:val="000000" w:themeColor="text1"/>
        </w:rPr>
        <w:t xml:space="preserve"> </w:t>
      </w:r>
      <w:r w:rsidR="004E33FB" w:rsidRPr="00FE42B5">
        <w:rPr>
          <w:rFonts w:ascii="Calibri" w:hAnsi="Calibri" w:cs="Calibri"/>
          <w:color w:val="000000" w:themeColor="text1"/>
        </w:rPr>
        <w:t xml:space="preserve">Lloyds bank operated as Lloyds TSB bank for nearly 20 years, before being forced to separate into 2 different banks in 2013. This happened due to the </w:t>
      </w:r>
      <w:r w:rsidR="00A82B98" w:rsidRPr="00FE42B5">
        <w:rPr>
          <w:rFonts w:ascii="Calibri" w:hAnsi="Calibri" w:cs="Calibri"/>
          <w:color w:val="000000" w:themeColor="text1"/>
        </w:rPr>
        <w:t>European Commission forcing the bank to slip as a result of the £20bn being given to the bank during the 2008 credit crunch. The initial plan for Lloyds TSB was to 631 branches to the Co-operative Bank however, given that the deal failed to take place, Lloyds was decided to rebrand these 631 branches as the TSB Bank which would later on function as a separate entity.</w:t>
      </w:r>
      <w:sdt>
        <w:sdtPr>
          <w:rPr>
            <w:rFonts w:ascii="Calibri" w:hAnsi="Calibri" w:cs="Calibri"/>
            <w:color w:val="000000" w:themeColor="text1"/>
          </w:rPr>
          <w:id w:val="2014723714"/>
          <w:citation/>
        </w:sdtPr>
        <w:sdtEndPr/>
        <w:sdtContent>
          <w:r w:rsidR="00CD4B4E" w:rsidRPr="00FE42B5">
            <w:rPr>
              <w:rFonts w:ascii="Calibri" w:hAnsi="Calibri" w:cs="Calibri"/>
              <w:color w:val="000000" w:themeColor="text1"/>
            </w:rPr>
            <w:fldChar w:fldCharType="begin"/>
          </w:r>
          <w:r w:rsidR="00CD4B4E" w:rsidRPr="00FE42B5">
            <w:rPr>
              <w:rFonts w:ascii="Calibri" w:hAnsi="Calibri" w:cs="Calibri"/>
              <w:color w:val="000000" w:themeColor="text1"/>
              <w:lang w:val="en-GB"/>
            </w:rPr>
            <w:instrText xml:space="preserve"> CITATION Jon13 \l 2057 </w:instrText>
          </w:r>
          <w:r w:rsidR="00CD4B4E" w:rsidRPr="00FE42B5">
            <w:rPr>
              <w:rFonts w:ascii="Calibri" w:hAnsi="Calibri" w:cs="Calibri"/>
              <w:color w:val="000000" w:themeColor="text1"/>
            </w:rPr>
            <w:fldChar w:fldCharType="separate"/>
          </w:r>
          <w:r w:rsidR="0011637C">
            <w:rPr>
              <w:rFonts w:ascii="Calibri" w:hAnsi="Calibri" w:cs="Calibri"/>
              <w:noProof/>
              <w:color w:val="000000" w:themeColor="text1"/>
              <w:lang w:val="en-GB"/>
            </w:rPr>
            <w:t xml:space="preserve"> </w:t>
          </w:r>
          <w:r w:rsidR="0011637C" w:rsidRPr="0011637C">
            <w:rPr>
              <w:rFonts w:ascii="Calibri" w:hAnsi="Calibri" w:cs="Calibri"/>
              <w:noProof/>
              <w:color w:val="000000" w:themeColor="text1"/>
              <w:lang w:val="en-GB"/>
            </w:rPr>
            <w:t>(Jones, 2013)</w:t>
          </w:r>
          <w:r w:rsidR="00CD4B4E" w:rsidRPr="00FE42B5">
            <w:rPr>
              <w:rFonts w:ascii="Calibri" w:hAnsi="Calibri" w:cs="Calibri"/>
              <w:color w:val="000000" w:themeColor="text1"/>
            </w:rPr>
            <w:fldChar w:fldCharType="end"/>
          </w:r>
        </w:sdtContent>
      </w:sdt>
    </w:p>
    <w:p w:rsidR="000A0769" w:rsidRPr="00FE42B5" w:rsidRDefault="0082328B" w:rsidP="0082328B">
      <w:pPr>
        <w:rPr>
          <w:rFonts w:ascii="Calibri" w:hAnsi="Calibri" w:cs="Calibri"/>
          <w:color w:val="000000" w:themeColor="text1"/>
        </w:rPr>
      </w:pPr>
      <w:r w:rsidRPr="00FE42B5">
        <w:rPr>
          <w:rFonts w:ascii="Calibri" w:hAnsi="Calibri" w:cs="Calibri"/>
          <w:color w:val="000000" w:themeColor="text1"/>
        </w:rPr>
        <w:t>Lloyds banking Group in one of the “Big Four” financial providers in the UK, with the main competitors for the bank being Barclays, HSBC and The Royal Bank of Scotland Group. For the purpose of comparison the main competitor to be analyzed and compared in this as</w:t>
      </w:r>
      <w:r w:rsidR="00377694" w:rsidRPr="00FE42B5">
        <w:rPr>
          <w:rFonts w:ascii="Calibri" w:hAnsi="Calibri" w:cs="Calibri"/>
          <w:color w:val="000000" w:themeColor="text1"/>
        </w:rPr>
        <w:t xml:space="preserve">signment will be Barclays Bank. However according to a BBC News article the Group is the largest lender in the UK, with the largest market share in the country, comprising at 27% of the total market share as of 2018, leaving Barclays and the Royal Bank of Scotland (which also includes NatWest) at a market share of nearly 18% each nationwide. </w:t>
      </w:r>
      <w:sdt>
        <w:sdtPr>
          <w:rPr>
            <w:rFonts w:ascii="Calibri" w:hAnsi="Calibri" w:cs="Calibri"/>
            <w:color w:val="000000" w:themeColor="text1"/>
          </w:rPr>
          <w:id w:val="1222947179"/>
          <w:citation/>
        </w:sdtPr>
        <w:sdtEndPr/>
        <w:sdtContent>
          <w:r w:rsidR="00CD4B4E" w:rsidRPr="00FE42B5">
            <w:rPr>
              <w:rFonts w:ascii="Calibri" w:hAnsi="Calibri" w:cs="Calibri"/>
              <w:color w:val="000000" w:themeColor="text1"/>
            </w:rPr>
            <w:fldChar w:fldCharType="begin"/>
          </w:r>
          <w:r w:rsidR="00CD4B4E" w:rsidRPr="00FE42B5">
            <w:rPr>
              <w:rFonts w:ascii="Calibri" w:hAnsi="Calibri" w:cs="Calibri"/>
              <w:color w:val="000000" w:themeColor="text1"/>
              <w:lang w:val="en-GB"/>
            </w:rPr>
            <w:instrText xml:space="preserve"> CITATION Tre18 \l 2057 </w:instrText>
          </w:r>
          <w:r w:rsidR="00CD4B4E"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(Treanor, 2018)</w:t>
          </w:r>
          <w:r w:rsidR="00CD4B4E" w:rsidRPr="00FE42B5">
            <w:rPr>
              <w:rFonts w:ascii="Calibri" w:hAnsi="Calibri" w:cs="Calibri"/>
              <w:color w:val="000000" w:themeColor="text1"/>
            </w:rPr>
            <w:fldChar w:fldCharType="end"/>
          </w:r>
        </w:sdtContent>
      </w:sdt>
    </w:p>
    <w:p w:rsidR="0082328B" w:rsidRPr="00FE42B5" w:rsidRDefault="00377694" w:rsidP="0082328B">
      <w:pPr>
        <w:rPr>
          <w:rFonts w:ascii="Calibri" w:hAnsi="Calibri" w:cs="Calibri"/>
          <w:color w:val="000000" w:themeColor="text1"/>
        </w:rPr>
      </w:pPr>
      <w:r w:rsidRPr="00FE42B5">
        <w:rPr>
          <w:rFonts w:ascii="Calibri" w:hAnsi="Calibri" w:cs="Calibri"/>
          <w:color w:val="000000" w:themeColor="text1"/>
        </w:rPr>
        <w:t xml:space="preserve">It is worth to mention that Lloyds Banking Group does only operate as a commercial bank, unlike Barclays, which also run an investment banking unit, which was forced to separate its operations from the commercial Barclays bank. </w:t>
      </w:r>
    </w:p>
    <w:p w:rsidR="008704EA" w:rsidRPr="00FE42B5" w:rsidRDefault="008704EA" w:rsidP="0082328B">
      <w:pPr>
        <w:rPr>
          <w:rFonts w:ascii="Calibri" w:hAnsi="Calibri" w:cs="Calibri"/>
          <w:color w:val="000000" w:themeColor="text1"/>
        </w:rPr>
      </w:pPr>
      <w:r w:rsidRPr="00FE42B5">
        <w:rPr>
          <w:rFonts w:ascii="Calibri" w:hAnsi="Calibri" w:cs="Calibri"/>
          <w:color w:val="000000" w:themeColor="text1"/>
        </w:rPr>
        <w:t>Apart of being one of the most successful banks in the UK and being one of the “Big Four” Lloyds bank has run into a lot of trouble when it comes to treating their customers fairly and failing to handle PPI (Payment Protection Insurance) complaints fairly. As the report will show, in several occasions Lloyds has been</w:t>
      </w:r>
      <w:r w:rsidR="0012564F" w:rsidRPr="00FE42B5">
        <w:rPr>
          <w:rFonts w:ascii="Calibri" w:hAnsi="Calibri" w:cs="Calibri"/>
          <w:color w:val="000000" w:themeColor="text1"/>
        </w:rPr>
        <w:t xml:space="preserve"> subject to multiple fines</w:t>
      </w:r>
      <w:r w:rsidRPr="00FE42B5">
        <w:rPr>
          <w:rFonts w:ascii="Calibri" w:hAnsi="Calibri" w:cs="Calibri"/>
          <w:color w:val="000000" w:themeColor="text1"/>
        </w:rPr>
        <w:t xml:space="preserve"> by the Financial Conduct Authority (FCA) for not being able to address certain customer enquiries in timely fashion and even for including false data in their reports. </w:t>
      </w:r>
    </w:p>
    <w:p w:rsidR="000A0769" w:rsidRPr="00FE42B5" w:rsidRDefault="000A0769" w:rsidP="0082328B">
      <w:pPr>
        <w:rPr>
          <w:rFonts w:ascii="Calibri" w:hAnsi="Calibri" w:cs="Calibri"/>
          <w:color w:val="000000" w:themeColor="text1"/>
        </w:rPr>
      </w:pPr>
      <w:r w:rsidRPr="00FE42B5">
        <w:rPr>
          <w:rFonts w:ascii="Calibri" w:hAnsi="Calibri" w:cs="Calibri"/>
          <w:color w:val="000000" w:themeColor="text1"/>
        </w:rPr>
        <w:t>In order to complete this assignment, it will be necessary to explain how treasury bills are issued</w:t>
      </w:r>
      <w:r w:rsidR="00C27AE4" w:rsidRPr="00FE42B5">
        <w:rPr>
          <w:rFonts w:ascii="Calibri" w:hAnsi="Calibri" w:cs="Calibri"/>
          <w:color w:val="000000" w:themeColor="text1"/>
        </w:rPr>
        <w:t xml:space="preserve"> by the UK</w:t>
      </w:r>
      <w:r w:rsidR="001551C4" w:rsidRPr="00FE42B5">
        <w:rPr>
          <w:rFonts w:ascii="Calibri" w:hAnsi="Calibri" w:cs="Calibri"/>
          <w:color w:val="000000" w:themeColor="text1"/>
        </w:rPr>
        <w:t xml:space="preserve"> government and</w:t>
      </w:r>
      <w:r w:rsidR="00C27AE4" w:rsidRPr="00FE42B5">
        <w:rPr>
          <w:rFonts w:ascii="Calibri" w:hAnsi="Calibri" w:cs="Calibri"/>
          <w:color w:val="000000" w:themeColor="text1"/>
        </w:rPr>
        <w:t xml:space="preserve"> some of the challenges that such financial </w:t>
      </w:r>
      <w:r w:rsidR="001551C4" w:rsidRPr="00FE42B5">
        <w:rPr>
          <w:rFonts w:ascii="Calibri" w:hAnsi="Calibri" w:cs="Calibri"/>
          <w:color w:val="000000" w:themeColor="text1"/>
        </w:rPr>
        <w:t xml:space="preserve">instruments might be affected by, such as </w:t>
      </w:r>
      <w:r w:rsidR="007D2141" w:rsidRPr="00FE42B5">
        <w:rPr>
          <w:rFonts w:ascii="Calibri" w:hAnsi="Calibri" w:cs="Calibri"/>
          <w:color w:val="000000" w:themeColor="text1"/>
        </w:rPr>
        <w:t xml:space="preserve">fluctuation of the economy or the typical low yield return. </w:t>
      </w:r>
    </w:p>
    <w:p w:rsidR="00C15DEA" w:rsidRDefault="00C15DEA" w:rsidP="0082328B"/>
    <w:p w:rsidR="00C2134D" w:rsidRDefault="00C2134D" w:rsidP="00C15DEA">
      <w:pPr>
        <w:pStyle w:val="Heading3"/>
      </w:pPr>
    </w:p>
    <w:p w:rsidR="0082328B" w:rsidRDefault="007211EA" w:rsidP="00C15DEA">
      <w:pPr>
        <w:pStyle w:val="Heading3"/>
      </w:pPr>
      <w:r>
        <w:t xml:space="preserve">An overview of Lloyds Banking Group </w:t>
      </w:r>
      <w:r w:rsidR="00277E2A">
        <w:t>and some of the problems in the faces in the banking industry</w:t>
      </w:r>
    </w:p>
    <w:p w:rsidR="00542955" w:rsidRPr="00FE42B5" w:rsidRDefault="00C15DEA" w:rsidP="00FA0991">
      <w:pPr>
        <w:rPr>
          <w:rFonts w:ascii="Calibri" w:hAnsi="Calibri" w:cs="Calibri"/>
          <w:color w:val="000000" w:themeColor="text1"/>
        </w:rPr>
      </w:pPr>
      <w:r w:rsidRPr="00FE42B5">
        <w:rPr>
          <w:rFonts w:ascii="Calibri" w:hAnsi="Calibri" w:cs="Calibri"/>
          <w:color w:val="000000" w:themeColor="text1"/>
        </w:rPr>
        <w:t>As mentioned above Lloyds banking Group is the largest financial provider at the moment in the UK, with a market share of nearly 27%, compared to the other banks nationwide.</w:t>
      </w:r>
      <w:sdt>
        <w:sdtPr>
          <w:rPr>
            <w:rFonts w:ascii="Calibri" w:hAnsi="Calibri" w:cs="Calibri"/>
            <w:color w:val="000000" w:themeColor="text1"/>
          </w:rPr>
          <w:id w:val="511568430"/>
          <w:citation/>
        </w:sdtPr>
        <w:sdtEndPr/>
        <w:sdtContent>
          <w:r w:rsidRPr="00FE42B5">
            <w:rPr>
              <w:rFonts w:ascii="Calibri" w:hAnsi="Calibri" w:cs="Calibri"/>
              <w:color w:val="000000" w:themeColor="text1"/>
            </w:rPr>
            <w:fldChar w:fldCharType="begin"/>
          </w:r>
          <w:r w:rsidRPr="00FE42B5">
            <w:rPr>
              <w:rFonts w:ascii="Calibri" w:hAnsi="Calibri" w:cs="Calibri"/>
              <w:color w:val="000000" w:themeColor="text1"/>
              <w:lang w:val="en-GB"/>
            </w:rPr>
            <w:instrText xml:space="preserve"> CITATION Tre18 \l 2057 </w:instrText>
          </w:r>
          <w:r w:rsidRPr="00FE42B5">
            <w:rPr>
              <w:rFonts w:ascii="Calibri" w:hAnsi="Calibri" w:cs="Calibri"/>
              <w:color w:val="000000" w:themeColor="text1"/>
            </w:rPr>
            <w:fldChar w:fldCharType="separate"/>
          </w:r>
          <w:r w:rsidR="0011637C">
            <w:rPr>
              <w:rFonts w:ascii="Calibri" w:hAnsi="Calibri" w:cs="Calibri"/>
              <w:noProof/>
              <w:color w:val="000000" w:themeColor="text1"/>
              <w:lang w:val="en-GB"/>
            </w:rPr>
            <w:t xml:space="preserve"> </w:t>
          </w:r>
          <w:r w:rsidR="0011637C" w:rsidRPr="0011637C">
            <w:rPr>
              <w:rFonts w:ascii="Calibri" w:hAnsi="Calibri" w:cs="Calibri"/>
              <w:noProof/>
              <w:color w:val="000000" w:themeColor="text1"/>
              <w:lang w:val="en-GB"/>
            </w:rPr>
            <w:t>(Treanor, 2018)</w:t>
          </w:r>
          <w:r w:rsidRPr="00FE42B5">
            <w:rPr>
              <w:rFonts w:ascii="Calibri" w:hAnsi="Calibri" w:cs="Calibri"/>
              <w:color w:val="000000" w:themeColor="text1"/>
            </w:rPr>
            <w:fldChar w:fldCharType="end"/>
          </w:r>
        </w:sdtContent>
      </w:sdt>
      <w:r w:rsidRPr="00FE42B5">
        <w:rPr>
          <w:rFonts w:ascii="Calibri" w:hAnsi="Calibri" w:cs="Calibri"/>
          <w:color w:val="000000" w:themeColor="text1"/>
        </w:rPr>
        <w:t xml:space="preserve"> However the group seems to have a trouble when it comes to being fair and staying within the financial rules and guidelines. </w:t>
      </w:r>
      <w:r w:rsidR="00234076" w:rsidRPr="00FE42B5">
        <w:rPr>
          <w:rFonts w:ascii="Calibri" w:hAnsi="Calibri" w:cs="Calibri"/>
          <w:color w:val="000000" w:themeColor="text1"/>
        </w:rPr>
        <w:t xml:space="preserve">In June 2015 the Lloyds Banking Group was issued the largest ever retail fine at the time, by FCA (The Financial Conduct Authority) at the amount of £117m. This fine was imposed by FCA following customer complaints in relation to 2.3 million PPI policies done to Lloyds Banking Group, from which only 37% were rejected by the group. </w:t>
      </w:r>
      <w:r w:rsidR="00542955" w:rsidRPr="00FE42B5">
        <w:rPr>
          <w:rFonts w:ascii="Calibri" w:hAnsi="Calibri" w:cs="Calibri"/>
          <w:color w:val="000000" w:themeColor="text1"/>
        </w:rPr>
        <w:t xml:space="preserve">According to FCA a significant number of customer complaints were unfairly rejected due to Lloyds’ misconduct, hence the large fine imposed would reflect the large amount of claims mishandled by the group. </w:t>
      </w:r>
      <w:sdt>
        <w:sdtPr>
          <w:rPr>
            <w:rFonts w:ascii="Calibri" w:hAnsi="Calibri" w:cs="Calibri"/>
            <w:color w:val="000000" w:themeColor="text1"/>
          </w:rPr>
          <w:id w:val="-857504766"/>
          <w:citation/>
        </w:sdtPr>
        <w:sdtEndPr/>
        <w:sdtContent>
          <w:r w:rsidR="00CD4B4E" w:rsidRPr="00FE42B5">
            <w:rPr>
              <w:rFonts w:ascii="Calibri" w:hAnsi="Calibri" w:cs="Calibri"/>
              <w:color w:val="000000" w:themeColor="text1"/>
            </w:rPr>
            <w:fldChar w:fldCharType="begin"/>
          </w:r>
          <w:r w:rsidR="00CD4B4E" w:rsidRPr="00FE42B5">
            <w:rPr>
              <w:rFonts w:ascii="Calibri" w:hAnsi="Calibri" w:cs="Calibri"/>
              <w:color w:val="000000" w:themeColor="text1"/>
              <w:lang w:val="en-GB"/>
            </w:rPr>
            <w:instrText xml:space="preserve"> CITATION FCA15 \l 2057 </w:instrText>
          </w:r>
          <w:r w:rsidR="00CD4B4E"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(FCA, 2015)</w:t>
          </w:r>
          <w:r w:rsidR="00CD4B4E" w:rsidRPr="00FE42B5">
            <w:rPr>
              <w:rFonts w:ascii="Calibri" w:hAnsi="Calibri" w:cs="Calibri"/>
              <w:color w:val="000000" w:themeColor="text1"/>
            </w:rPr>
            <w:fldChar w:fldCharType="end"/>
          </w:r>
        </w:sdtContent>
      </w:sdt>
    </w:p>
    <w:p w:rsidR="00F3293E" w:rsidRPr="00FE42B5" w:rsidRDefault="00DE3E9F" w:rsidP="00FA0991">
      <w:pPr>
        <w:rPr>
          <w:rFonts w:ascii="Calibri" w:hAnsi="Calibri" w:cs="Calibri"/>
          <w:color w:val="000000" w:themeColor="text1"/>
        </w:rPr>
      </w:pPr>
      <w:r w:rsidRPr="00FE42B5">
        <w:rPr>
          <w:rFonts w:ascii="Calibri" w:hAnsi="Calibri" w:cs="Calibri"/>
          <w:color w:val="000000" w:themeColor="text1"/>
        </w:rPr>
        <w:t xml:space="preserve">According to </w:t>
      </w:r>
      <w:r w:rsidR="00A61DCB" w:rsidRPr="00FE42B5">
        <w:rPr>
          <w:rFonts w:ascii="Calibri" w:hAnsi="Calibri" w:cs="Calibri"/>
          <w:color w:val="000000" w:themeColor="text1"/>
        </w:rPr>
        <w:t xml:space="preserve">the </w:t>
      </w:r>
      <w:r w:rsidRPr="00FE42B5">
        <w:rPr>
          <w:rFonts w:ascii="Calibri" w:hAnsi="Calibri" w:cs="Calibri"/>
          <w:color w:val="000000" w:themeColor="text1"/>
        </w:rPr>
        <w:t xml:space="preserve">Financial Times, </w:t>
      </w:r>
      <w:r w:rsidR="00564725" w:rsidRPr="00FE42B5">
        <w:rPr>
          <w:rFonts w:ascii="Calibri" w:hAnsi="Calibri" w:cs="Calibri"/>
          <w:color w:val="000000" w:themeColor="text1"/>
        </w:rPr>
        <w:t xml:space="preserve">in </w:t>
      </w:r>
      <w:r w:rsidR="00752891" w:rsidRPr="00FE42B5">
        <w:rPr>
          <w:rFonts w:ascii="Calibri" w:hAnsi="Calibri" w:cs="Calibri"/>
          <w:color w:val="000000" w:themeColor="text1"/>
        </w:rPr>
        <w:t xml:space="preserve">January </w:t>
      </w:r>
      <w:r w:rsidR="00564725" w:rsidRPr="00FE42B5">
        <w:rPr>
          <w:rFonts w:ascii="Calibri" w:hAnsi="Calibri" w:cs="Calibri"/>
          <w:color w:val="000000" w:themeColor="text1"/>
        </w:rPr>
        <w:t xml:space="preserve">2017 </w:t>
      </w:r>
      <w:r w:rsidRPr="00FE42B5">
        <w:rPr>
          <w:rFonts w:ascii="Calibri" w:hAnsi="Calibri" w:cs="Calibri"/>
          <w:color w:val="000000" w:themeColor="text1"/>
        </w:rPr>
        <w:t xml:space="preserve">Lloyds Bank </w:t>
      </w:r>
      <w:r w:rsidR="00564725" w:rsidRPr="00FE42B5">
        <w:rPr>
          <w:rFonts w:ascii="Calibri" w:hAnsi="Calibri" w:cs="Calibri"/>
          <w:color w:val="000000" w:themeColor="text1"/>
        </w:rPr>
        <w:t xml:space="preserve">was again involved in breaching Payment Protection Insurance (PPI) rules, leading to customers being overcharged. The Competition and Markets Authority conducted a researched which stated that Lloyds had failed to send </w:t>
      </w:r>
      <w:r w:rsidR="00831535" w:rsidRPr="00FE42B5">
        <w:rPr>
          <w:rFonts w:ascii="Calibri" w:hAnsi="Calibri" w:cs="Calibri"/>
          <w:color w:val="000000" w:themeColor="text1"/>
        </w:rPr>
        <w:t xml:space="preserve">to hundreds of customers with PPI policies their </w:t>
      </w:r>
      <w:r w:rsidR="00564725" w:rsidRPr="00FE42B5">
        <w:rPr>
          <w:rFonts w:ascii="Calibri" w:hAnsi="Calibri" w:cs="Calibri"/>
          <w:color w:val="000000" w:themeColor="text1"/>
        </w:rPr>
        <w:t xml:space="preserve">annual statements </w:t>
      </w:r>
      <w:r w:rsidR="00831535" w:rsidRPr="00FE42B5">
        <w:rPr>
          <w:rFonts w:ascii="Calibri" w:hAnsi="Calibri" w:cs="Calibri"/>
          <w:color w:val="000000" w:themeColor="text1"/>
        </w:rPr>
        <w:t xml:space="preserve">or in the worst case scenario the group had included incorrect information on their annual statements leading to overcharging more than 200 customers. </w:t>
      </w:r>
      <w:sdt>
        <w:sdtPr>
          <w:rPr>
            <w:rFonts w:ascii="Calibri" w:hAnsi="Calibri" w:cs="Calibri"/>
            <w:color w:val="000000" w:themeColor="text1"/>
          </w:rPr>
          <w:id w:val="-602035902"/>
          <w:citation/>
        </w:sdtPr>
        <w:sdtEndPr/>
        <w:sdtContent>
          <w:r w:rsidR="00CD4B4E" w:rsidRPr="00FE42B5">
            <w:rPr>
              <w:rFonts w:ascii="Calibri" w:hAnsi="Calibri" w:cs="Calibri"/>
              <w:color w:val="000000" w:themeColor="text1"/>
            </w:rPr>
            <w:fldChar w:fldCharType="begin"/>
          </w:r>
          <w:r w:rsidR="00CD4B4E" w:rsidRPr="00FE42B5">
            <w:rPr>
              <w:rFonts w:ascii="Calibri" w:hAnsi="Calibri" w:cs="Calibri"/>
              <w:color w:val="000000" w:themeColor="text1"/>
              <w:lang w:val="en-GB"/>
            </w:rPr>
            <w:instrText xml:space="preserve"> CITATION FT17 \l 2057 </w:instrText>
          </w:r>
          <w:r w:rsidR="00CD4B4E"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(FT, 2017)</w:t>
          </w:r>
          <w:r w:rsidR="00CD4B4E" w:rsidRPr="00FE42B5">
            <w:rPr>
              <w:rFonts w:ascii="Calibri" w:hAnsi="Calibri" w:cs="Calibri"/>
              <w:color w:val="000000" w:themeColor="text1"/>
            </w:rPr>
            <w:fldChar w:fldCharType="end"/>
          </w:r>
        </w:sdtContent>
      </w:sdt>
      <w:r w:rsidR="00C15DEA" w:rsidRPr="00FE42B5">
        <w:rPr>
          <w:rFonts w:ascii="Calibri" w:hAnsi="Calibri" w:cs="Calibri"/>
          <w:color w:val="000000" w:themeColor="text1"/>
        </w:rPr>
        <w:t xml:space="preserve"> </w:t>
      </w:r>
      <w:r w:rsidR="00752891" w:rsidRPr="00FE42B5">
        <w:rPr>
          <w:rFonts w:ascii="Calibri" w:hAnsi="Calibri" w:cs="Calibri"/>
          <w:color w:val="000000" w:themeColor="text1"/>
        </w:rPr>
        <w:t xml:space="preserve">Following </w:t>
      </w:r>
      <w:r w:rsidR="0079790D" w:rsidRPr="00FE42B5">
        <w:rPr>
          <w:rFonts w:ascii="Calibri" w:hAnsi="Calibri" w:cs="Calibri"/>
          <w:color w:val="000000" w:themeColor="text1"/>
        </w:rPr>
        <w:t xml:space="preserve">the above </w:t>
      </w:r>
      <w:r w:rsidR="00752891" w:rsidRPr="00FE42B5">
        <w:rPr>
          <w:rFonts w:ascii="Calibri" w:hAnsi="Calibri" w:cs="Calibri"/>
          <w:color w:val="000000" w:themeColor="text1"/>
        </w:rPr>
        <w:t xml:space="preserve">report from The Competition and Markets Authority, in August 2017, </w:t>
      </w:r>
      <w:r w:rsidR="0079790D" w:rsidRPr="00FE42B5">
        <w:rPr>
          <w:rFonts w:ascii="Calibri" w:hAnsi="Calibri" w:cs="Calibri"/>
          <w:color w:val="000000" w:themeColor="text1"/>
        </w:rPr>
        <w:t xml:space="preserve">a research conducted and published by “The Guardian” listed </w:t>
      </w:r>
      <w:r w:rsidR="00752891" w:rsidRPr="00FE42B5">
        <w:rPr>
          <w:rFonts w:ascii="Calibri" w:hAnsi="Calibri" w:cs="Calibri"/>
          <w:color w:val="000000" w:themeColor="text1"/>
        </w:rPr>
        <w:t>Lloyds</w:t>
      </w:r>
      <w:r w:rsidR="00E80C8D" w:rsidRPr="00FE42B5">
        <w:rPr>
          <w:rFonts w:ascii="Calibri" w:hAnsi="Calibri" w:cs="Calibri"/>
          <w:color w:val="000000" w:themeColor="text1"/>
        </w:rPr>
        <w:t xml:space="preserve"> </w:t>
      </w:r>
      <w:r w:rsidR="00752891" w:rsidRPr="00FE42B5">
        <w:rPr>
          <w:rFonts w:ascii="Calibri" w:hAnsi="Calibri" w:cs="Calibri"/>
          <w:color w:val="000000" w:themeColor="text1"/>
        </w:rPr>
        <w:t>Banking Gr</w:t>
      </w:r>
      <w:r w:rsidR="0079790D" w:rsidRPr="00FE42B5">
        <w:rPr>
          <w:rFonts w:ascii="Calibri" w:hAnsi="Calibri" w:cs="Calibri"/>
          <w:color w:val="000000" w:themeColor="text1"/>
        </w:rPr>
        <w:t>oup as</w:t>
      </w:r>
      <w:r w:rsidR="00752891" w:rsidRPr="00FE42B5">
        <w:rPr>
          <w:rFonts w:ascii="Calibri" w:hAnsi="Calibri" w:cs="Calibri"/>
          <w:color w:val="000000" w:themeColor="text1"/>
        </w:rPr>
        <w:t xml:space="preserve"> one of the </w:t>
      </w:r>
      <w:r w:rsidR="0079790D" w:rsidRPr="00FE42B5">
        <w:rPr>
          <w:rFonts w:ascii="Calibri" w:hAnsi="Calibri" w:cs="Calibri"/>
          <w:color w:val="000000" w:themeColor="text1"/>
        </w:rPr>
        <w:t xml:space="preserve">top five financial institutions that </w:t>
      </w:r>
      <w:r w:rsidR="0023274C" w:rsidRPr="00FE42B5">
        <w:rPr>
          <w:rFonts w:ascii="Calibri" w:hAnsi="Calibri" w:cs="Calibri"/>
          <w:color w:val="000000" w:themeColor="text1"/>
        </w:rPr>
        <w:t>had set aside nearly £17bn in order to resolve the m</w:t>
      </w:r>
      <w:r w:rsidR="00F3293E" w:rsidRPr="00FE42B5">
        <w:rPr>
          <w:rFonts w:ascii="Calibri" w:hAnsi="Calibri" w:cs="Calibri"/>
          <w:color w:val="000000" w:themeColor="text1"/>
        </w:rPr>
        <w:t>is-</w:t>
      </w:r>
      <w:r w:rsidR="0023274C" w:rsidRPr="00FE42B5">
        <w:rPr>
          <w:rFonts w:ascii="Calibri" w:hAnsi="Calibri" w:cs="Calibri"/>
          <w:color w:val="000000" w:themeColor="text1"/>
        </w:rPr>
        <w:t xml:space="preserve">selling of PPI to its customers. </w:t>
      </w:r>
      <w:sdt>
        <w:sdtPr>
          <w:rPr>
            <w:rFonts w:ascii="Calibri" w:hAnsi="Calibri" w:cs="Calibri"/>
            <w:color w:val="000000" w:themeColor="text1"/>
          </w:rPr>
          <w:id w:val="-533116242"/>
          <w:citation/>
        </w:sdtPr>
        <w:sdtEndPr/>
        <w:sdtContent>
          <w:r w:rsidR="00CD4B4E" w:rsidRPr="00FE42B5">
            <w:rPr>
              <w:rFonts w:ascii="Calibri" w:hAnsi="Calibri" w:cs="Calibri"/>
              <w:color w:val="000000" w:themeColor="text1"/>
            </w:rPr>
            <w:fldChar w:fldCharType="begin"/>
          </w:r>
          <w:r w:rsidR="00CD4B4E" w:rsidRPr="00FE42B5">
            <w:rPr>
              <w:rFonts w:ascii="Calibri" w:hAnsi="Calibri" w:cs="Calibri"/>
              <w:color w:val="000000" w:themeColor="text1"/>
              <w:lang w:val="en-GB"/>
            </w:rPr>
            <w:instrText xml:space="preserve"> CITATION Jil17 \l 2057 </w:instrText>
          </w:r>
          <w:r w:rsidR="00CD4B4E"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(Treanor, 2017)</w:t>
          </w:r>
          <w:r w:rsidR="00CD4B4E" w:rsidRPr="00FE42B5">
            <w:rPr>
              <w:rFonts w:ascii="Calibri" w:hAnsi="Calibri" w:cs="Calibri"/>
              <w:color w:val="000000" w:themeColor="text1"/>
            </w:rPr>
            <w:fldChar w:fldCharType="end"/>
          </w:r>
        </w:sdtContent>
      </w:sdt>
      <w:r w:rsidR="00A61DCB" w:rsidRPr="00FE42B5">
        <w:rPr>
          <w:rFonts w:ascii="Calibri" w:hAnsi="Calibri" w:cs="Calibri"/>
          <w:color w:val="000000" w:themeColor="text1"/>
        </w:rPr>
        <w:t xml:space="preserve"> </w:t>
      </w:r>
      <w:r w:rsidR="00F3293E" w:rsidRPr="00FE42B5">
        <w:rPr>
          <w:rFonts w:ascii="Calibri" w:hAnsi="Calibri" w:cs="Calibri"/>
          <w:color w:val="000000" w:themeColor="text1"/>
        </w:rPr>
        <w:t xml:space="preserve">However, even though the group had set that considerable amount of money in order to deal PPI misconduct, in 2019, Lloyds TSB, was fined again by FCA with a further £1.9m fine, due to mis-selling a high risk precipice </w:t>
      </w:r>
      <w:r w:rsidR="0022482E" w:rsidRPr="00FE42B5">
        <w:rPr>
          <w:rFonts w:ascii="Calibri" w:hAnsi="Calibri" w:cs="Calibri"/>
          <w:color w:val="000000" w:themeColor="text1"/>
        </w:rPr>
        <w:t xml:space="preserve">bond and it was also obligated to £98m as a compensation for selling such products. </w:t>
      </w:r>
      <w:r w:rsidR="00312D75" w:rsidRPr="00FE42B5">
        <w:rPr>
          <w:rFonts w:ascii="Calibri" w:hAnsi="Calibri" w:cs="Calibri"/>
          <w:color w:val="000000" w:themeColor="text1"/>
        </w:rPr>
        <w:t>The sales for these bonds were made during 2000 and 2001, where many investors, attracted by the high return expected, were left with very big losses, due to the financial crisis that followed later on.</w:t>
      </w:r>
      <w:r w:rsidR="0079664B" w:rsidRPr="00FE42B5">
        <w:rPr>
          <w:rFonts w:ascii="Calibri" w:hAnsi="Calibri" w:cs="Calibri"/>
          <w:color w:val="000000" w:themeColor="text1"/>
        </w:rPr>
        <w:t xml:space="preserve"> </w:t>
      </w:r>
      <w:sdt>
        <w:sdtPr>
          <w:rPr>
            <w:rFonts w:ascii="Calibri" w:hAnsi="Calibri" w:cs="Calibri"/>
            <w:color w:val="000000" w:themeColor="text1"/>
          </w:rPr>
          <w:id w:val="769510755"/>
          <w:citation/>
        </w:sdtPr>
        <w:sdtEndPr/>
        <w:sdtContent>
          <w:r w:rsidR="00DB41AC" w:rsidRPr="00FE42B5">
            <w:rPr>
              <w:rFonts w:ascii="Calibri" w:hAnsi="Calibri" w:cs="Calibri"/>
              <w:color w:val="000000" w:themeColor="text1"/>
            </w:rPr>
            <w:fldChar w:fldCharType="begin"/>
          </w:r>
          <w:r w:rsidR="00DB41AC" w:rsidRPr="00FE42B5">
            <w:rPr>
              <w:rFonts w:ascii="Calibri" w:hAnsi="Calibri" w:cs="Calibri"/>
              <w:color w:val="000000" w:themeColor="text1"/>
              <w:lang w:val="en-GB"/>
            </w:rPr>
            <w:instrText xml:space="preserve"> CITATION Jil17 \l 2057 </w:instrText>
          </w:r>
          <w:r w:rsidR="00DB41AC"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(Treanor, 2017)</w:t>
          </w:r>
          <w:r w:rsidR="00DB41AC" w:rsidRPr="00FE42B5">
            <w:rPr>
              <w:rFonts w:ascii="Calibri" w:hAnsi="Calibri" w:cs="Calibri"/>
              <w:color w:val="000000" w:themeColor="text1"/>
            </w:rPr>
            <w:fldChar w:fldCharType="end"/>
          </w:r>
        </w:sdtContent>
      </w:sdt>
    </w:p>
    <w:p w:rsidR="00D15E58" w:rsidRPr="00FE42B5" w:rsidRDefault="00231F53" w:rsidP="00FA0991">
      <w:pPr>
        <w:rPr>
          <w:rFonts w:ascii="Calibri" w:hAnsi="Calibri" w:cs="Calibri"/>
          <w:color w:val="000000" w:themeColor="text1"/>
        </w:rPr>
      </w:pPr>
      <w:r w:rsidRPr="00FE42B5">
        <w:rPr>
          <w:rFonts w:ascii="Calibri" w:hAnsi="Calibri" w:cs="Calibri"/>
          <w:color w:val="000000" w:themeColor="text1"/>
        </w:rPr>
        <w:t>Considering the problems that Lloyds Bank has faced in the last five years</w:t>
      </w:r>
      <w:r w:rsidR="000F4807" w:rsidRPr="00FE42B5">
        <w:rPr>
          <w:rFonts w:ascii="Calibri" w:hAnsi="Calibri" w:cs="Calibri"/>
          <w:color w:val="000000" w:themeColor="text1"/>
        </w:rPr>
        <w:t xml:space="preserve"> the group has done considerably well when it comes to generating a profit annually. </w:t>
      </w:r>
      <w:r w:rsidR="00E75F81" w:rsidRPr="00FE42B5">
        <w:rPr>
          <w:rFonts w:ascii="Calibri" w:hAnsi="Calibri" w:cs="Calibri"/>
          <w:color w:val="000000" w:themeColor="text1"/>
        </w:rPr>
        <w:t xml:space="preserve">According to BBC News, Lloyds bank reported an increase in gross profit by 23% in the first quarter of 2018, compared to the same period a year ago, however bad loans increased at the amount of £258m </w:t>
      </w:r>
      <w:r w:rsidR="0061575F" w:rsidRPr="00FE42B5">
        <w:rPr>
          <w:rFonts w:ascii="Calibri" w:hAnsi="Calibri" w:cs="Calibri"/>
          <w:color w:val="000000" w:themeColor="text1"/>
        </w:rPr>
        <w:t xml:space="preserve">during the same period in 2018, when at the same time in 2017, these bad loans where only at the amount of £127m. </w:t>
      </w:r>
      <w:sdt>
        <w:sdtPr>
          <w:rPr>
            <w:rFonts w:ascii="Calibri" w:hAnsi="Calibri" w:cs="Calibri"/>
            <w:color w:val="000000" w:themeColor="text1"/>
          </w:rPr>
          <w:id w:val="1862167695"/>
          <w:citation/>
        </w:sdtPr>
        <w:sdtEndPr/>
        <w:sdtContent>
          <w:r w:rsidR="00DB41AC" w:rsidRPr="00FE42B5">
            <w:rPr>
              <w:rFonts w:ascii="Calibri" w:hAnsi="Calibri" w:cs="Calibri"/>
              <w:color w:val="000000" w:themeColor="text1"/>
            </w:rPr>
            <w:fldChar w:fldCharType="begin"/>
          </w:r>
          <w:r w:rsidR="00DB41AC" w:rsidRPr="00FE42B5">
            <w:rPr>
              <w:rFonts w:ascii="Calibri" w:hAnsi="Calibri" w:cs="Calibri"/>
              <w:color w:val="000000" w:themeColor="text1"/>
              <w:lang w:val="en-GB"/>
            </w:rPr>
            <w:instrText xml:space="preserve"> CITATION BBC18 \l 2057 </w:instrText>
          </w:r>
          <w:r w:rsidR="00DB41AC"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(BBC, 2018)</w:t>
          </w:r>
          <w:r w:rsidR="00DB41AC" w:rsidRPr="00FE42B5">
            <w:rPr>
              <w:rFonts w:ascii="Calibri" w:hAnsi="Calibri" w:cs="Calibri"/>
              <w:color w:val="000000" w:themeColor="text1"/>
            </w:rPr>
            <w:fldChar w:fldCharType="end"/>
          </w:r>
        </w:sdtContent>
      </w:sdt>
    </w:p>
    <w:p w:rsidR="0070005B" w:rsidRPr="00FE42B5" w:rsidRDefault="0070005B" w:rsidP="00FA0991">
      <w:pPr>
        <w:rPr>
          <w:rFonts w:ascii="Calibri" w:hAnsi="Calibri" w:cs="Calibri"/>
          <w:color w:val="000000" w:themeColor="text1"/>
        </w:rPr>
      </w:pPr>
      <w:r w:rsidRPr="00FE42B5">
        <w:rPr>
          <w:rFonts w:ascii="Calibri" w:hAnsi="Calibri" w:cs="Calibri"/>
          <w:color w:val="000000" w:themeColor="text1"/>
        </w:rPr>
        <w:t xml:space="preserve">Another point to make is that despite the Brexit uncertainty and the slowdown of the economy in the UK, as warned by the Bank of England, </w:t>
      </w:r>
      <w:r w:rsidR="00E50D99" w:rsidRPr="00FE42B5">
        <w:rPr>
          <w:rFonts w:ascii="Calibri" w:hAnsi="Calibri" w:cs="Calibri"/>
          <w:color w:val="000000" w:themeColor="text1"/>
        </w:rPr>
        <w:t>Lloyds B</w:t>
      </w:r>
      <w:r w:rsidRPr="00FE42B5">
        <w:rPr>
          <w:rFonts w:ascii="Calibri" w:hAnsi="Calibri" w:cs="Calibri"/>
          <w:color w:val="000000" w:themeColor="text1"/>
        </w:rPr>
        <w:t xml:space="preserve">ank proceeded to handing out nearly £4bn in dividends and buy backs schemes </w:t>
      </w:r>
      <w:r w:rsidR="00103FF3" w:rsidRPr="00FE42B5">
        <w:rPr>
          <w:rFonts w:ascii="Calibri" w:hAnsi="Calibri" w:cs="Calibri"/>
          <w:color w:val="000000" w:themeColor="text1"/>
        </w:rPr>
        <w:t>to its investors, even though the net profit for the bank was £0.2bn below their expected growth for 2018</w:t>
      </w:r>
      <w:r w:rsidR="00E50D99" w:rsidRPr="00FE42B5">
        <w:rPr>
          <w:rFonts w:ascii="Calibri" w:hAnsi="Calibri" w:cs="Calibri"/>
          <w:color w:val="000000" w:themeColor="text1"/>
        </w:rPr>
        <w:t>, as well as setting aside a further £200m for any future PPI cases that might arise. Also being UK’s largest lender to consumers and businesses Lloyds is seen as particularly vulnerable</w:t>
      </w:r>
      <w:r w:rsidR="006B054D" w:rsidRPr="00FE42B5">
        <w:rPr>
          <w:rFonts w:ascii="Calibri" w:hAnsi="Calibri" w:cs="Calibri"/>
          <w:color w:val="000000" w:themeColor="text1"/>
        </w:rPr>
        <w:t xml:space="preserve"> to any changes in the economy, where it recognizes that </w:t>
      </w:r>
      <w:r w:rsidR="006B054D" w:rsidRPr="00FE42B5">
        <w:rPr>
          <w:rFonts w:ascii="Calibri" w:hAnsi="Calibri" w:cs="Calibri"/>
          <w:color w:val="000000" w:themeColor="text1"/>
        </w:rPr>
        <w:lastRenderedPageBreak/>
        <w:t xml:space="preserve">the economic uncertainties do exist however their business model is beneficiary to the bank and the economy of the country. </w:t>
      </w:r>
      <w:sdt>
        <w:sdtPr>
          <w:rPr>
            <w:rFonts w:ascii="Calibri" w:hAnsi="Calibri" w:cs="Calibri"/>
            <w:color w:val="000000" w:themeColor="text1"/>
          </w:rPr>
          <w:id w:val="-1173721105"/>
          <w:citation/>
        </w:sdtPr>
        <w:sdtEndPr/>
        <w:sdtContent>
          <w:r w:rsidR="00DB41AC" w:rsidRPr="00FE42B5">
            <w:rPr>
              <w:rFonts w:ascii="Calibri" w:hAnsi="Calibri" w:cs="Calibri"/>
              <w:color w:val="000000" w:themeColor="text1"/>
            </w:rPr>
            <w:fldChar w:fldCharType="begin"/>
          </w:r>
          <w:r w:rsidR="00DB41AC" w:rsidRPr="00FE42B5">
            <w:rPr>
              <w:rFonts w:ascii="Calibri" w:hAnsi="Calibri" w:cs="Calibri"/>
              <w:color w:val="000000" w:themeColor="text1"/>
              <w:lang w:val="en-GB"/>
            </w:rPr>
            <w:instrText xml:space="preserve">CITATION Iai19 \l 2057 </w:instrText>
          </w:r>
          <w:r w:rsidR="00DB41AC"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(Withers &amp; White, 2019)</w:t>
          </w:r>
          <w:r w:rsidR="00DB41AC" w:rsidRPr="00FE42B5">
            <w:rPr>
              <w:rFonts w:ascii="Calibri" w:hAnsi="Calibri" w:cs="Calibri"/>
              <w:color w:val="000000" w:themeColor="text1"/>
            </w:rPr>
            <w:fldChar w:fldCharType="end"/>
          </w:r>
        </w:sdtContent>
      </w:sdt>
    </w:p>
    <w:p w:rsidR="005C2652" w:rsidRDefault="005C2652" w:rsidP="00D549EB">
      <w:pPr>
        <w:pStyle w:val="Heading3"/>
      </w:pPr>
      <w:r>
        <w:t>Barclays Bank as a competitor</w:t>
      </w:r>
      <w:r w:rsidR="00277E2A">
        <w:t xml:space="preserve"> and the banking sector problems it has faced</w:t>
      </w:r>
    </w:p>
    <w:p w:rsidR="00D549EB" w:rsidRPr="00FE42B5" w:rsidRDefault="003E4A51" w:rsidP="005C2652">
      <w:pPr>
        <w:rPr>
          <w:rFonts w:ascii="Calibri" w:hAnsi="Calibri" w:cs="Calibri"/>
          <w:color w:val="000000" w:themeColor="text1"/>
        </w:rPr>
      </w:pPr>
      <w:r w:rsidRPr="00FE42B5">
        <w:rPr>
          <w:rFonts w:ascii="Calibri" w:hAnsi="Calibri" w:cs="Calibri"/>
          <w:color w:val="000000" w:themeColor="text1"/>
        </w:rPr>
        <w:t xml:space="preserve">Barclays PLC is also a banking group operating mainly in the UK and internationally. It was also created in London dating back to 1700, </w:t>
      </w:r>
      <w:r w:rsidR="000720BA" w:rsidRPr="00FE42B5">
        <w:rPr>
          <w:rFonts w:ascii="Calibri" w:hAnsi="Calibri" w:cs="Calibri"/>
          <w:color w:val="000000" w:themeColor="text1"/>
        </w:rPr>
        <w:t>and it is now one of the biggest financial companies in the UK</w:t>
      </w:r>
      <w:r w:rsidR="00DF0E2D" w:rsidRPr="00FE42B5">
        <w:rPr>
          <w:rFonts w:ascii="Calibri" w:hAnsi="Calibri" w:cs="Calibri"/>
          <w:color w:val="000000" w:themeColor="text1"/>
        </w:rPr>
        <w:t xml:space="preserve"> offering loans, mortgages and other financial products and services to consumers and to </w:t>
      </w:r>
      <w:r w:rsidR="00ED52F8" w:rsidRPr="00FE42B5">
        <w:rPr>
          <w:rFonts w:ascii="Calibri" w:hAnsi="Calibri" w:cs="Calibri"/>
          <w:color w:val="000000" w:themeColor="text1"/>
        </w:rPr>
        <w:t xml:space="preserve">other businesses. </w:t>
      </w:r>
      <w:r w:rsidR="00B6153F" w:rsidRPr="00FE42B5">
        <w:rPr>
          <w:rFonts w:ascii="Calibri" w:hAnsi="Calibri" w:cs="Calibri"/>
          <w:color w:val="000000" w:themeColor="text1"/>
        </w:rPr>
        <w:t>As a bank it has many subsidiaries including, Barclaycard, Barclays Investment banking, ABSA Group Limited, Barclays Bank Delaware and Barclays retail banks in the UK and in other countries such as Uganda, Tanzania, Mauritius, Indonesia</w:t>
      </w:r>
      <w:r w:rsidR="00922245" w:rsidRPr="00FE42B5">
        <w:rPr>
          <w:rFonts w:ascii="Calibri" w:hAnsi="Calibri" w:cs="Calibri"/>
          <w:color w:val="000000" w:themeColor="text1"/>
        </w:rPr>
        <w:t xml:space="preserve">, </w:t>
      </w:r>
      <w:r w:rsidR="00B6153F" w:rsidRPr="00FE42B5">
        <w:rPr>
          <w:rFonts w:ascii="Calibri" w:hAnsi="Calibri" w:cs="Calibri"/>
          <w:color w:val="000000" w:themeColor="text1"/>
        </w:rPr>
        <w:t xml:space="preserve">United Arab Emirates. </w:t>
      </w:r>
      <w:sdt>
        <w:sdtPr>
          <w:rPr>
            <w:rFonts w:ascii="Calibri" w:hAnsi="Calibri" w:cs="Calibri"/>
            <w:color w:val="000000" w:themeColor="text1"/>
          </w:rPr>
          <w:id w:val="908347193"/>
          <w:citation/>
        </w:sdtPr>
        <w:sdtEndPr/>
        <w:sdtContent>
          <w:r w:rsidR="00B5475F" w:rsidRPr="00FE42B5">
            <w:rPr>
              <w:rFonts w:ascii="Calibri" w:hAnsi="Calibri" w:cs="Calibri"/>
              <w:color w:val="000000" w:themeColor="text1"/>
            </w:rPr>
            <w:fldChar w:fldCharType="begin"/>
          </w:r>
          <w:r w:rsidR="00B5475F" w:rsidRPr="00FE42B5">
            <w:rPr>
              <w:rFonts w:ascii="Calibri" w:hAnsi="Calibri" w:cs="Calibri"/>
              <w:color w:val="000000" w:themeColor="text1"/>
              <w:lang w:val="en-GB"/>
            </w:rPr>
            <w:instrText xml:space="preserve"> CITATION Bar19 \l 2057 </w:instrText>
          </w:r>
          <w:r w:rsidR="00B5475F"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(Barclays, 2019)</w:t>
          </w:r>
          <w:r w:rsidR="00B5475F" w:rsidRPr="00FE42B5">
            <w:rPr>
              <w:rFonts w:ascii="Calibri" w:hAnsi="Calibri" w:cs="Calibri"/>
              <w:color w:val="000000" w:themeColor="text1"/>
            </w:rPr>
            <w:fldChar w:fldCharType="end"/>
          </w:r>
        </w:sdtContent>
      </w:sdt>
      <w:r w:rsidR="00B6153F" w:rsidRPr="00FE42B5">
        <w:rPr>
          <w:rFonts w:ascii="Calibri" w:hAnsi="Calibri" w:cs="Calibri"/>
          <w:color w:val="000000" w:themeColor="text1"/>
        </w:rPr>
        <w:t xml:space="preserve"> </w:t>
      </w:r>
      <w:r w:rsidR="00D549EB" w:rsidRPr="00FE42B5">
        <w:rPr>
          <w:rFonts w:ascii="Calibri" w:hAnsi="Calibri" w:cs="Calibri"/>
          <w:color w:val="000000" w:themeColor="text1"/>
        </w:rPr>
        <w:t>As seen from the</w:t>
      </w:r>
      <w:r w:rsidR="00922245" w:rsidRPr="00FE42B5">
        <w:rPr>
          <w:rFonts w:ascii="Calibri" w:hAnsi="Calibri" w:cs="Calibri"/>
          <w:color w:val="000000" w:themeColor="text1"/>
        </w:rPr>
        <w:t xml:space="preserve"> large number of</w:t>
      </w:r>
      <w:r w:rsidR="00D549EB" w:rsidRPr="00FE42B5">
        <w:rPr>
          <w:rFonts w:ascii="Calibri" w:hAnsi="Calibri" w:cs="Calibri"/>
          <w:color w:val="000000" w:themeColor="text1"/>
        </w:rPr>
        <w:t xml:space="preserve"> </w:t>
      </w:r>
      <w:r w:rsidR="00922245" w:rsidRPr="00FE42B5">
        <w:rPr>
          <w:rFonts w:ascii="Calibri" w:hAnsi="Calibri" w:cs="Calibri"/>
          <w:color w:val="000000" w:themeColor="text1"/>
        </w:rPr>
        <w:t xml:space="preserve">subsidiaries that Barclays has, the UK market is not the only one this group is aiming at. It is worth to notice that as a company, Barclays is highly concentrated in </w:t>
      </w:r>
      <w:r w:rsidR="00CF3D62" w:rsidRPr="00FE42B5">
        <w:rPr>
          <w:rFonts w:ascii="Calibri" w:hAnsi="Calibri" w:cs="Calibri"/>
          <w:color w:val="000000" w:themeColor="text1"/>
        </w:rPr>
        <w:t xml:space="preserve">increasing its market share not only at a national scale but internationally as well.  </w:t>
      </w:r>
    </w:p>
    <w:p w:rsidR="00871C5F" w:rsidRPr="00FE42B5" w:rsidRDefault="003C559A" w:rsidP="005C2652">
      <w:pPr>
        <w:rPr>
          <w:rFonts w:ascii="Calibri" w:hAnsi="Calibri" w:cs="Calibri"/>
          <w:color w:val="000000" w:themeColor="text1"/>
        </w:rPr>
      </w:pPr>
      <w:r w:rsidRPr="00FE42B5">
        <w:rPr>
          <w:rFonts w:ascii="Calibri" w:hAnsi="Calibri" w:cs="Calibri"/>
          <w:color w:val="000000" w:themeColor="text1"/>
        </w:rPr>
        <w:t xml:space="preserve">Just like Lloyds, even though Barclays PLC has had success in expanding nationally and internationally, the company had run into trouble especially when it comes to complying with certain financial laws and regulations. </w:t>
      </w:r>
      <w:r w:rsidR="00092CB8" w:rsidRPr="00FE42B5">
        <w:rPr>
          <w:rFonts w:ascii="Calibri" w:hAnsi="Calibri" w:cs="Calibri"/>
          <w:color w:val="000000" w:themeColor="text1"/>
        </w:rPr>
        <w:t>In 2015 Barclays was fined by FCA at the amount of £72 million for handling financial crime risks poorly</w:t>
      </w:r>
      <w:r w:rsidR="0089217A" w:rsidRPr="00FE42B5">
        <w:rPr>
          <w:rFonts w:ascii="Calibri" w:hAnsi="Calibri" w:cs="Calibri"/>
          <w:color w:val="000000" w:themeColor="text1"/>
        </w:rPr>
        <w:t xml:space="preserve">. </w:t>
      </w:r>
      <w:sdt>
        <w:sdtPr>
          <w:rPr>
            <w:rFonts w:ascii="Calibri" w:hAnsi="Calibri" w:cs="Calibri"/>
            <w:color w:val="000000" w:themeColor="text1"/>
          </w:rPr>
          <w:id w:val="1537622255"/>
          <w:citation/>
        </w:sdtPr>
        <w:sdtEndPr/>
        <w:sdtContent>
          <w:r w:rsidR="00B5475F" w:rsidRPr="00FE42B5">
            <w:rPr>
              <w:rFonts w:ascii="Calibri" w:hAnsi="Calibri" w:cs="Calibri"/>
              <w:color w:val="000000" w:themeColor="text1"/>
            </w:rPr>
            <w:fldChar w:fldCharType="begin"/>
          </w:r>
          <w:r w:rsidR="00B5475F" w:rsidRPr="00FE42B5">
            <w:rPr>
              <w:rFonts w:ascii="Calibri" w:hAnsi="Calibri" w:cs="Calibri"/>
              <w:color w:val="000000" w:themeColor="text1"/>
              <w:lang w:val="en-GB"/>
            </w:rPr>
            <w:instrText xml:space="preserve"> CITATION FCA151 \l 2057 </w:instrText>
          </w:r>
          <w:r w:rsidR="00B5475F"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(FCA, 2015)</w:t>
          </w:r>
          <w:r w:rsidR="00B5475F" w:rsidRPr="00FE42B5">
            <w:rPr>
              <w:rFonts w:ascii="Calibri" w:hAnsi="Calibri" w:cs="Calibri"/>
              <w:color w:val="000000" w:themeColor="text1"/>
            </w:rPr>
            <w:fldChar w:fldCharType="end"/>
          </w:r>
        </w:sdtContent>
      </w:sdt>
      <w:r w:rsidR="0089217A" w:rsidRPr="00FE42B5">
        <w:rPr>
          <w:rFonts w:ascii="Calibri" w:hAnsi="Calibri" w:cs="Calibri"/>
          <w:color w:val="000000" w:themeColor="text1"/>
        </w:rPr>
        <w:t xml:space="preserve"> Later on, in 2018 Mr. James Staley, the Chief Executive of Barclays Group, was fined by FCA and PRA (Prudential Regulation Authority) by £642,430 as he failed to act within reasonable care and skill, when an anonymous letter was sent to him exposing unfair </w:t>
      </w:r>
      <w:r w:rsidR="00852ED0" w:rsidRPr="00FE42B5">
        <w:rPr>
          <w:rFonts w:ascii="Calibri" w:hAnsi="Calibri" w:cs="Calibri"/>
          <w:color w:val="000000" w:themeColor="text1"/>
        </w:rPr>
        <w:t xml:space="preserve">and poor </w:t>
      </w:r>
      <w:r w:rsidR="0089217A" w:rsidRPr="00FE42B5">
        <w:rPr>
          <w:rFonts w:ascii="Calibri" w:hAnsi="Calibri" w:cs="Calibri"/>
          <w:color w:val="000000" w:themeColor="text1"/>
        </w:rPr>
        <w:t>practices</w:t>
      </w:r>
      <w:r w:rsidR="00852ED0" w:rsidRPr="00FE42B5">
        <w:rPr>
          <w:rFonts w:ascii="Calibri" w:hAnsi="Calibri" w:cs="Calibri"/>
          <w:color w:val="000000" w:themeColor="text1"/>
        </w:rPr>
        <w:t xml:space="preserve"> in the financial sector</w:t>
      </w:r>
      <w:r w:rsidR="0089217A" w:rsidRPr="00FE42B5">
        <w:rPr>
          <w:rFonts w:ascii="Calibri" w:hAnsi="Calibri" w:cs="Calibri"/>
          <w:color w:val="000000" w:themeColor="text1"/>
        </w:rPr>
        <w:t xml:space="preserve"> at Barclays. </w:t>
      </w:r>
      <w:sdt>
        <w:sdtPr>
          <w:rPr>
            <w:rFonts w:ascii="Calibri" w:hAnsi="Calibri" w:cs="Calibri"/>
            <w:color w:val="000000" w:themeColor="text1"/>
          </w:rPr>
          <w:id w:val="-1168238013"/>
          <w:citation/>
        </w:sdtPr>
        <w:sdtEndPr/>
        <w:sdtContent>
          <w:r w:rsidR="00B5475F" w:rsidRPr="00FE42B5">
            <w:rPr>
              <w:rFonts w:ascii="Calibri" w:hAnsi="Calibri" w:cs="Calibri"/>
              <w:color w:val="000000" w:themeColor="text1"/>
            </w:rPr>
            <w:fldChar w:fldCharType="begin"/>
          </w:r>
          <w:r w:rsidR="00B5475F" w:rsidRPr="00FE42B5">
            <w:rPr>
              <w:rFonts w:ascii="Calibri" w:hAnsi="Calibri" w:cs="Calibri"/>
              <w:color w:val="000000" w:themeColor="text1"/>
              <w:lang w:val="en-GB"/>
            </w:rPr>
            <w:instrText xml:space="preserve"> CITATION FCA18 \l 2057 </w:instrText>
          </w:r>
          <w:r w:rsidR="00B5475F"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(FCA, 2018)</w:t>
          </w:r>
          <w:r w:rsidR="00B5475F" w:rsidRPr="00FE42B5">
            <w:rPr>
              <w:rFonts w:ascii="Calibri" w:hAnsi="Calibri" w:cs="Calibri"/>
              <w:color w:val="000000" w:themeColor="text1"/>
            </w:rPr>
            <w:fldChar w:fldCharType="end"/>
          </w:r>
        </w:sdtContent>
      </w:sdt>
      <w:r w:rsidR="00FE42B5">
        <w:rPr>
          <w:rFonts w:ascii="Calibri" w:hAnsi="Calibri" w:cs="Calibri"/>
          <w:color w:val="000000" w:themeColor="text1"/>
        </w:rPr>
        <w:t xml:space="preserve"> </w:t>
      </w:r>
      <w:r w:rsidR="00871C5F" w:rsidRPr="00FE42B5">
        <w:rPr>
          <w:rFonts w:ascii="Calibri" w:hAnsi="Calibri" w:cs="Calibri"/>
          <w:color w:val="000000" w:themeColor="text1"/>
        </w:rPr>
        <w:t xml:space="preserve">In April 2018, Barclays completed its journey of splitting its investment bank from its retail bank. This process costed the company around £1bn and as a result of the restructuring it meant that Barclays UK would be run as a retail bank and it created Barclays Investment Bank as a separate investment bank, but both being part of Barclays PLC. </w:t>
      </w:r>
      <w:sdt>
        <w:sdtPr>
          <w:rPr>
            <w:rFonts w:ascii="Calibri" w:hAnsi="Calibri" w:cs="Calibri"/>
            <w:color w:val="000000" w:themeColor="text1"/>
          </w:rPr>
          <w:id w:val="456448554"/>
          <w:citation/>
        </w:sdtPr>
        <w:sdtEndPr/>
        <w:sdtContent>
          <w:r w:rsidR="00B5475F" w:rsidRPr="00FE42B5">
            <w:rPr>
              <w:rFonts w:ascii="Calibri" w:hAnsi="Calibri" w:cs="Calibri"/>
              <w:color w:val="000000" w:themeColor="text1"/>
            </w:rPr>
            <w:fldChar w:fldCharType="begin"/>
          </w:r>
          <w:r w:rsidR="00B5475F" w:rsidRPr="00FE42B5">
            <w:rPr>
              <w:rFonts w:ascii="Calibri" w:hAnsi="Calibri" w:cs="Calibri"/>
              <w:color w:val="000000" w:themeColor="text1"/>
              <w:lang w:val="en-GB"/>
            </w:rPr>
            <w:instrText xml:space="preserve"> CITATION Wit18 \l 2057 </w:instrText>
          </w:r>
          <w:r w:rsidR="00B5475F" w:rsidRPr="00FE42B5">
            <w:rPr>
              <w:rFonts w:ascii="Calibri" w:hAnsi="Calibri" w:cs="Calibri"/>
              <w:color w:val="000000" w:themeColor="text1"/>
            </w:rPr>
            <w:fldChar w:fldCharType="separate"/>
          </w:r>
          <w:r w:rsidR="0011637C" w:rsidRPr="0011637C">
            <w:rPr>
              <w:rFonts w:ascii="Calibri" w:hAnsi="Calibri" w:cs="Calibri"/>
              <w:noProof/>
              <w:color w:val="000000" w:themeColor="text1"/>
              <w:lang w:val="en-GB"/>
            </w:rPr>
            <w:t>(Withers &amp; Wallace, 2018)</w:t>
          </w:r>
          <w:r w:rsidR="00B5475F" w:rsidRPr="00FE42B5">
            <w:rPr>
              <w:rFonts w:ascii="Calibri" w:hAnsi="Calibri" w:cs="Calibri"/>
              <w:color w:val="000000" w:themeColor="text1"/>
            </w:rPr>
            <w:fldChar w:fldCharType="end"/>
          </w:r>
        </w:sdtContent>
      </w:sdt>
    </w:p>
    <w:p w:rsidR="00851461" w:rsidRPr="00FE42B5" w:rsidRDefault="00851461" w:rsidP="00A61DCB">
      <w:pPr>
        <w:pStyle w:val="Heading3"/>
        <w:rPr>
          <w:rFonts w:ascii="Calibri" w:hAnsi="Calibri" w:cs="Calibri"/>
          <w:color w:val="000000" w:themeColor="text1"/>
        </w:rPr>
      </w:pPr>
    </w:p>
    <w:p w:rsidR="00851461" w:rsidRPr="00FE42B5" w:rsidRDefault="00851461" w:rsidP="00A61DCB">
      <w:pPr>
        <w:pStyle w:val="Heading3"/>
        <w:rPr>
          <w:rFonts w:ascii="Calibri" w:hAnsi="Calibri" w:cs="Calibri"/>
          <w:color w:val="000000" w:themeColor="text1"/>
        </w:rPr>
      </w:pPr>
    </w:p>
    <w:p w:rsidR="00851461" w:rsidRPr="00FE42B5" w:rsidRDefault="00851461" w:rsidP="00A61DCB">
      <w:pPr>
        <w:pStyle w:val="Heading3"/>
        <w:rPr>
          <w:rFonts w:ascii="Calibri" w:hAnsi="Calibri" w:cs="Calibri"/>
        </w:rPr>
      </w:pPr>
    </w:p>
    <w:p w:rsidR="00851461" w:rsidRPr="00FE42B5" w:rsidRDefault="00851461" w:rsidP="00A61DCB">
      <w:pPr>
        <w:pStyle w:val="Heading3"/>
        <w:rPr>
          <w:rFonts w:ascii="Calibri" w:hAnsi="Calibri" w:cs="Calibri"/>
        </w:rPr>
      </w:pPr>
    </w:p>
    <w:p w:rsidR="00851461" w:rsidRPr="00FE42B5" w:rsidRDefault="00851461" w:rsidP="00851461">
      <w:pPr>
        <w:rPr>
          <w:rFonts w:ascii="Calibri" w:hAnsi="Calibri" w:cs="Calibri"/>
        </w:rPr>
      </w:pPr>
    </w:p>
    <w:p w:rsidR="00A61DCB" w:rsidRDefault="003A495A" w:rsidP="0083374D">
      <w:pPr>
        <w:pStyle w:val="Heading3"/>
      </w:pPr>
      <w:r>
        <w:lastRenderedPageBreak/>
        <w:t>The key financial ratios for Lloyds</w:t>
      </w:r>
      <w:r w:rsidR="00851461">
        <w:t xml:space="preserve"> Banking Group </w:t>
      </w:r>
      <w:r>
        <w:t>and for Barclays</w:t>
      </w:r>
      <w:r w:rsidR="00851461">
        <w:t xml:space="preserve"> PLC</w:t>
      </w:r>
    </w:p>
    <w:tbl>
      <w:tblPr>
        <w:tblStyle w:val="PlainTable1"/>
        <w:tblpPr w:leftFromText="180" w:rightFromText="180" w:vertAnchor="page" w:horzAnchor="margin" w:tblpXSpec="center" w:tblpY="2371"/>
        <w:tblW w:w="11194" w:type="dxa"/>
        <w:tblLook w:val="04A0" w:firstRow="1" w:lastRow="0" w:firstColumn="1" w:lastColumn="0" w:noHBand="0" w:noVBand="1"/>
      </w:tblPr>
      <w:tblGrid>
        <w:gridCol w:w="3544"/>
        <w:gridCol w:w="1514"/>
        <w:gridCol w:w="1227"/>
        <w:gridCol w:w="1227"/>
        <w:gridCol w:w="1227"/>
        <w:gridCol w:w="1227"/>
        <w:gridCol w:w="1228"/>
      </w:tblGrid>
      <w:tr w:rsidR="0083374D" w:rsidRPr="00C076E5" w:rsidTr="007275BF">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jc w:val="center"/>
              <w:rPr>
                <w:rFonts w:ascii="Calibri" w:hAnsi="Calibri" w:cs="Calibri"/>
                <w:color w:val="000000" w:themeColor="text1"/>
              </w:rPr>
            </w:pPr>
            <w:r w:rsidRPr="00EE0361">
              <w:rPr>
                <w:rFonts w:ascii="Calibri" w:hAnsi="Calibri" w:cs="Calibri"/>
                <w:color w:val="000000" w:themeColor="text1"/>
              </w:rPr>
              <w:t>Bank</w:t>
            </w:r>
          </w:p>
        </w:tc>
        <w:tc>
          <w:tcPr>
            <w:tcW w:w="6422" w:type="dxa"/>
            <w:gridSpan w:val="5"/>
          </w:tcPr>
          <w:p w:rsidR="0083374D" w:rsidRPr="00EE0361" w:rsidRDefault="0083374D" w:rsidP="0083374D">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Lloyds Banking Group %</w:t>
            </w:r>
          </w:p>
        </w:tc>
        <w:tc>
          <w:tcPr>
            <w:tcW w:w="1228" w:type="dxa"/>
          </w:tcPr>
          <w:p w:rsidR="0083374D" w:rsidRPr="00EE0361" w:rsidRDefault="0083374D" w:rsidP="0083374D">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Barclays</w:t>
            </w:r>
          </w:p>
        </w:tc>
      </w:tr>
      <w:tr w:rsidR="0083374D" w:rsidRPr="00C076E5" w:rsidTr="007275B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jc w:val="center"/>
              <w:rPr>
                <w:rFonts w:ascii="Calibri" w:hAnsi="Calibri" w:cs="Calibri"/>
                <w:color w:val="000000" w:themeColor="text1"/>
              </w:rPr>
            </w:pPr>
            <w:r w:rsidRPr="00EE0361">
              <w:rPr>
                <w:rFonts w:ascii="Calibri" w:hAnsi="Calibri" w:cs="Calibri"/>
                <w:color w:val="000000" w:themeColor="text1"/>
              </w:rPr>
              <w:t>Ratios</w:t>
            </w:r>
          </w:p>
        </w:tc>
        <w:tc>
          <w:tcPr>
            <w:tcW w:w="1514" w:type="dxa"/>
          </w:tcPr>
          <w:p w:rsidR="0083374D" w:rsidRPr="00EE0361" w:rsidRDefault="0083374D" w:rsidP="0083374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2014</w:t>
            </w:r>
          </w:p>
        </w:tc>
        <w:tc>
          <w:tcPr>
            <w:tcW w:w="1227" w:type="dxa"/>
          </w:tcPr>
          <w:p w:rsidR="0083374D" w:rsidRPr="00EE0361" w:rsidRDefault="0083374D" w:rsidP="0083374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2015</w:t>
            </w:r>
          </w:p>
        </w:tc>
        <w:tc>
          <w:tcPr>
            <w:tcW w:w="1227" w:type="dxa"/>
          </w:tcPr>
          <w:p w:rsidR="0083374D" w:rsidRPr="00EE0361" w:rsidRDefault="0083374D" w:rsidP="0083374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2016</w:t>
            </w:r>
          </w:p>
        </w:tc>
        <w:tc>
          <w:tcPr>
            <w:tcW w:w="1227" w:type="dxa"/>
          </w:tcPr>
          <w:p w:rsidR="0083374D" w:rsidRPr="00EE0361" w:rsidRDefault="0083374D" w:rsidP="0083374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2017</w:t>
            </w:r>
          </w:p>
        </w:tc>
        <w:tc>
          <w:tcPr>
            <w:tcW w:w="1227" w:type="dxa"/>
          </w:tcPr>
          <w:p w:rsidR="0083374D" w:rsidRPr="00EE0361" w:rsidRDefault="0083374D" w:rsidP="0083374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2018</w:t>
            </w:r>
          </w:p>
        </w:tc>
        <w:tc>
          <w:tcPr>
            <w:tcW w:w="1228" w:type="dxa"/>
          </w:tcPr>
          <w:p w:rsidR="0083374D" w:rsidRPr="00EE0361" w:rsidRDefault="0083374D" w:rsidP="0083374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2018</w:t>
            </w:r>
          </w:p>
        </w:tc>
      </w:tr>
      <w:tr w:rsidR="0083374D" w:rsidTr="007275BF">
        <w:trPr>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pStyle w:val="ListParagraph"/>
              <w:numPr>
                <w:ilvl w:val="0"/>
                <w:numId w:val="16"/>
              </w:numPr>
              <w:rPr>
                <w:rFonts w:ascii="Calibri" w:hAnsi="Calibri" w:cs="Calibri"/>
                <w:color w:val="000000" w:themeColor="text1"/>
              </w:rPr>
            </w:pPr>
            <w:r w:rsidRPr="00EE0361">
              <w:rPr>
                <w:rFonts w:ascii="Calibri" w:hAnsi="Calibri" w:cs="Calibri"/>
                <w:color w:val="000000" w:themeColor="text1"/>
              </w:rPr>
              <w:t xml:space="preserve">Loan Growth </w:t>
            </w:r>
          </w:p>
        </w:tc>
        <w:tc>
          <w:tcPr>
            <w:tcW w:w="1514"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-1.82475</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-5.61393</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0.951088</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0.951088</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2.511328</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8"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0.72767</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r>
      <w:tr w:rsidR="0083374D" w:rsidTr="007275B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pStyle w:val="ListParagraph"/>
              <w:numPr>
                <w:ilvl w:val="0"/>
                <w:numId w:val="16"/>
              </w:numPr>
              <w:rPr>
                <w:rFonts w:ascii="Calibri" w:hAnsi="Calibri" w:cs="Calibri"/>
                <w:color w:val="000000" w:themeColor="text1"/>
              </w:rPr>
            </w:pPr>
            <w:r w:rsidRPr="00EE0361">
              <w:rPr>
                <w:rFonts w:ascii="Calibri" w:hAnsi="Calibri" w:cs="Calibri"/>
                <w:color w:val="000000" w:themeColor="text1"/>
              </w:rPr>
              <w:t>Deposit growth</w:t>
            </w:r>
          </w:p>
        </w:tc>
        <w:tc>
          <w:tcPr>
            <w:tcW w:w="1514"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0.993497</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-4.95748</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-0.78277</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3.724493</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0.102249</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8"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-0.9689</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r>
      <w:tr w:rsidR="0083374D" w:rsidTr="007275BF">
        <w:trPr>
          <w:trHeight w:val="322"/>
        </w:trPr>
        <w:tc>
          <w:tcPr>
            <w:cnfStyle w:val="001000000000" w:firstRow="0" w:lastRow="0" w:firstColumn="1" w:lastColumn="0" w:oddVBand="0" w:evenVBand="0" w:oddHBand="0" w:evenHBand="0" w:firstRowFirstColumn="0" w:firstRowLastColumn="0" w:lastRowFirstColumn="0" w:lastRowLastColumn="0"/>
            <w:tcW w:w="3544" w:type="dxa"/>
          </w:tcPr>
          <w:p w:rsidR="0083374D" w:rsidRDefault="0083374D" w:rsidP="0083374D">
            <w:pPr>
              <w:pStyle w:val="ListParagraph"/>
              <w:numPr>
                <w:ilvl w:val="0"/>
                <w:numId w:val="16"/>
              </w:numPr>
              <w:rPr>
                <w:rFonts w:ascii="Calibri" w:hAnsi="Calibri" w:cs="Calibri"/>
                <w:b w:val="0"/>
                <w:bCs w:val="0"/>
                <w:color w:val="000000" w:themeColor="text1"/>
              </w:rPr>
            </w:pPr>
            <w:r w:rsidRPr="00EE0361">
              <w:rPr>
                <w:rFonts w:ascii="Calibri" w:hAnsi="Calibri" w:cs="Calibri"/>
                <w:color w:val="000000" w:themeColor="text1"/>
              </w:rPr>
              <w:t xml:space="preserve">Loan-to-deposit growth </w:t>
            </w:r>
          </w:p>
          <w:p w:rsidR="0083374D" w:rsidRPr="0083374D" w:rsidRDefault="0083374D" w:rsidP="0083374D">
            <w:pPr>
              <w:jc w:val="center"/>
            </w:pPr>
          </w:p>
        </w:tc>
        <w:tc>
          <w:tcPr>
            <w:tcW w:w="1514"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111.116</w:t>
            </w: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110.3483</w:t>
            </w: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112.2767</w:t>
            </w: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106.9612</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109.5353</w:t>
            </w:r>
          </w:p>
        </w:tc>
        <w:tc>
          <w:tcPr>
            <w:tcW w:w="1228"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96%</w:t>
            </w:r>
          </w:p>
        </w:tc>
      </w:tr>
      <w:tr w:rsidR="0083374D" w:rsidTr="007275B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pStyle w:val="ListParagraph"/>
              <w:numPr>
                <w:ilvl w:val="0"/>
                <w:numId w:val="16"/>
              </w:numPr>
              <w:rPr>
                <w:rFonts w:ascii="Calibri" w:hAnsi="Calibri" w:cs="Calibri"/>
                <w:color w:val="000000" w:themeColor="text1"/>
              </w:rPr>
            </w:pPr>
            <w:r w:rsidRPr="00EE0361">
              <w:rPr>
                <w:rFonts w:ascii="Calibri" w:hAnsi="Calibri" w:cs="Calibri"/>
                <w:color w:val="000000" w:themeColor="text1"/>
              </w:rPr>
              <w:t xml:space="preserve">Efficiency ratio </w:t>
            </w:r>
          </w:p>
        </w:tc>
        <w:tc>
          <w:tcPr>
            <w:tcW w:w="1514"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77.0535</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58.95034</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79.37608</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51.82873</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29.20312</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8"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76.84992</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r>
      <w:tr w:rsidR="0083374D" w:rsidTr="007275BF">
        <w:trPr>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pStyle w:val="ListParagraph"/>
              <w:numPr>
                <w:ilvl w:val="0"/>
                <w:numId w:val="16"/>
              </w:numPr>
              <w:rPr>
                <w:rFonts w:ascii="Calibri" w:hAnsi="Calibri" w:cs="Calibri"/>
                <w:color w:val="000000" w:themeColor="text1"/>
              </w:rPr>
            </w:pPr>
            <w:r w:rsidRPr="00EE0361">
              <w:rPr>
                <w:rFonts w:ascii="Calibri" w:hAnsi="Calibri" w:cs="Calibri"/>
                <w:color w:val="000000" w:themeColor="text1"/>
              </w:rPr>
              <w:t xml:space="preserve">Tier 1 ratio </w:t>
            </w:r>
          </w:p>
        </w:tc>
        <w:tc>
          <w:tcPr>
            <w:tcW w:w="1514"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16.5</w:t>
            </w: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16.4</w:t>
            </w: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17</w:t>
            </w: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17.2</w:t>
            </w: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18.2</w:t>
            </w:r>
          </w:p>
        </w:tc>
        <w:tc>
          <w:tcPr>
            <w:tcW w:w="1228"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13.3</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r>
      <w:tr w:rsidR="0083374D" w:rsidTr="007275B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pStyle w:val="ListParagraph"/>
              <w:numPr>
                <w:ilvl w:val="0"/>
                <w:numId w:val="16"/>
              </w:numPr>
              <w:rPr>
                <w:rFonts w:ascii="Calibri" w:hAnsi="Calibri" w:cs="Calibri"/>
                <w:color w:val="000000" w:themeColor="text1"/>
              </w:rPr>
            </w:pPr>
            <w:r w:rsidRPr="00EE0361">
              <w:rPr>
                <w:rFonts w:ascii="Calibri" w:hAnsi="Calibri" w:cs="Calibri"/>
                <w:color w:val="000000" w:themeColor="text1"/>
              </w:rPr>
              <w:t xml:space="preserve">Asset quality Ratio </w:t>
            </w:r>
          </w:p>
        </w:tc>
        <w:tc>
          <w:tcPr>
            <w:tcW w:w="1514"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0.147782</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0.081201</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0.155096</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0.1436</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0.19078</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8"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0.449747</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r>
      <w:tr w:rsidR="0083374D" w:rsidTr="007275BF">
        <w:trPr>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pStyle w:val="ListParagraph"/>
              <w:numPr>
                <w:ilvl w:val="0"/>
                <w:numId w:val="16"/>
              </w:numPr>
              <w:rPr>
                <w:rFonts w:ascii="Calibri" w:hAnsi="Calibri" w:cs="Calibri"/>
                <w:color w:val="000000" w:themeColor="text1"/>
              </w:rPr>
            </w:pPr>
            <w:r w:rsidRPr="00EE0361">
              <w:rPr>
                <w:rFonts w:ascii="Calibri" w:hAnsi="Calibri" w:cs="Calibri"/>
                <w:color w:val="000000" w:themeColor="text1"/>
              </w:rPr>
              <w:t>Solvency Ratio</w:t>
            </w:r>
          </w:p>
        </w:tc>
        <w:tc>
          <w:tcPr>
            <w:tcW w:w="1514"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5.837318</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5.823813</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5.969114</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6.051281</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6.293772</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8"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5.627809</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r>
      <w:tr w:rsidR="0083374D" w:rsidTr="007275B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pStyle w:val="ListParagraph"/>
              <w:numPr>
                <w:ilvl w:val="0"/>
                <w:numId w:val="16"/>
              </w:numPr>
              <w:rPr>
                <w:rFonts w:ascii="Calibri" w:hAnsi="Calibri" w:cs="Calibri"/>
                <w:color w:val="000000" w:themeColor="text1"/>
              </w:rPr>
            </w:pPr>
            <w:r w:rsidRPr="00EE0361">
              <w:rPr>
                <w:rFonts w:ascii="Calibri" w:hAnsi="Calibri" w:cs="Calibri"/>
                <w:color w:val="000000" w:themeColor="text1"/>
              </w:rPr>
              <w:t>Liquidity Ratios = Basel</w:t>
            </w:r>
          </w:p>
        </w:tc>
        <w:tc>
          <w:tcPr>
            <w:tcW w:w="1514"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NA</w:t>
            </w: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NA</w:t>
            </w: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NA</w:t>
            </w: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125%</w:t>
            </w: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128%</w:t>
            </w:r>
          </w:p>
        </w:tc>
        <w:tc>
          <w:tcPr>
            <w:tcW w:w="1228"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154%</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r>
      <w:tr w:rsidR="0083374D" w:rsidTr="007275BF">
        <w:trPr>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pStyle w:val="ListParagraph"/>
              <w:numPr>
                <w:ilvl w:val="0"/>
                <w:numId w:val="16"/>
              </w:numPr>
              <w:rPr>
                <w:rFonts w:ascii="Calibri" w:hAnsi="Calibri" w:cs="Calibri"/>
                <w:color w:val="000000" w:themeColor="text1"/>
              </w:rPr>
            </w:pPr>
            <w:r w:rsidRPr="00EE0361">
              <w:rPr>
                <w:rFonts w:ascii="Calibri" w:hAnsi="Calibri" w:cs="Calibri"/>
                <w:color w:val="000000" w:themeColor="text1"/>
              </w:rPr>
              <w:t xml:space="preserve">Total loans to total assets </w:t>
            </w:r>
          </w:p>
        </w:tc>
        <w:tc>
          <w:tcPr>
            <w:tcW w:w="1514"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59.52291</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59.53876</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59.28884</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58.99565</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61.57751</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c>
          <w:tcPr>
            <w:tcW w:w="1228" w:type="dxa"/>
          </w:tcPr>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28.80181</w:t>
            </w:r>
          </w:p>
          <w:p w:rsidR="0083374D" w:rsidRPr="00EE0361" w:rsidRDefault="0083374D" w:rsidP="0083374D">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p>
        </w:tc>
      </w:tr>
      <w:tr w:rsidR="0083374D" w:rsidTr="007275B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3544" w:type="dxa"/>
          </w:tcPr>
          <w:p w:rsidR="0083374D" w:rsidRPr="00EE0361" w:rsidRDefault="0083374D" w:rsidP="0083374D">
            <w:pPr>
              <w:pStyle w:val="ListParagraph"/>
              <w:numPr>
                <w:ilvl w:val="0"/>
                <w:numId w:val="16"/>
              </w:numPr>
              <w:rPr>
                <w:rFonts w:ascii="Calibri" w:hAnsi="Calibri" w:cs="Calibri"/>
                <w:color w:val="000000" w:themeColor="text1"/>
              </w:rPr>
            </w:pPr>
            <w:r w:rsidRPr="00EE0361">
              <w:rPr>
                <w:rFonts w:ascii="Calibri" w:hAnsi="Calibri" w:cs="Calibri"/>
                <w:color w:val="000000" w:themeColor="text1"/>
              </w:rPr>
              <w:t>ROE</w:t>
            </w:r>
          </w:p>
        </w:tc>
        <w:tc>
          <w:tcPr>
            <w:tcW w:w="1514"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3.003827</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2.034908</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5.150056</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7.217712</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7"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8.765115</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c>
          <w:tcPr>
            <w:tcW w:w="1228" w:type="dxa"/>
          </w:tcPr>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EE0361">
              <w:rPr>
                <w:rFonts w:ascii="Calibri" w:hAnsi="Calibri" w:cs="Calibri"/>
                <w:color w:val="000000" w:themeColor="text1"/>
              </w:rPr>
              <w:t>2.185672</w:t>
            </w:r>
          </w:p>
          <w:p w:rsidR="0083374D" w:rsidRPr="00EE0361" w:rsidRDefault="0083374D" w:rsidP="0083374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tc>
      </w:tr>
      <w:tr w:rsidR="00540B85" w:rsidTr="00901F88">
        <w:trPr>
          <w:trHeight w:val="269"/>
        </w:trPr>
        <w:tc>
          <w:tcPr>
            <w:cnfStyle w:val="001000000000" w:firstRow="0" w:lastRow="0" w:firstColumn="1" w:lastColumn="0" w:oddVBand="0" w:evenVBand="0" w:oddHBand="0" w:evenHBand="0" w:firstRowFirstColumn="0" w:firstRowLastColumn="0" w:lastRowFirstColumn="0" w:lastRowLastColumn="0"/>
            <w:tcW w:w="11194" w:type="dxa"/>
            <w:gridSpan w:val="7"/>
          </w:tcPr>
          <w:p w:rsidR="00540B85" w:rsidRDefault="00540B85" w:rsidP="0083374D">
            <w:pPr>
              <w:rPr>
                <w:rFonts w:ascii="Calibri" w:hAnsi="Calibri" w:cs="Calibri"/>
                <w:color w:val="000000" w:themeColor="text1"/>
              </w:rPr>
            </w:pPr>
            <w:r>
              <w:rPr>
                <w:rFonts w:ascii="Calibri" w:hAnsi="Calibri" w:cs="Calibri"/>
                <w:color w:val="000000" w:themeColor="text1"/>
              </w:rPr>
              <w:t>Table 1.</w:t>
            </w:r>
            <w:r w:rsidR="00627A23">
              <w:rPr>
                <w:rFonts w:ascii="Calibri" w:hAnsi="Calibri" w:cs="Calibri"/>
                <w:color w:val="000000" w:themeColor="text1"/>
              </w:rPr>
              <w:t xml:space="preserve"> </w:t>
            </w:r>
            <w:sdt>
              <w:sdtPr>
                <w:rPr>
                  <w:rFonts w:ascii="Calibri" w:hAnsi="Calibri" w:cs="Calibri"/>
                  <w:color w:val="000000" w:themeColor="text1"/>
                </w:rPr>
                <w:id w:val="1445959360"/>
                <w:citation/>
              </w:sdtPr>
              <w:sdtEndPr/>
              <w:sdtContent>
                <w:r w:rsidR="00627A23">
                  <w:rPr>
                    <w:rFonts w:ascii="Calibri" w:hAnsi="Calibri" w:cs="Calibri"/>
                    <w:color w:val="000000" w:themeColor="text1"/>
                  </w:rPr>
                  <w:fldChar w:fldCharType="begin"/>
                </w:r>
                <w:r w:rsidR="00627A23">
                  <w:rPr>
                    <w:rFonts w:ascii="Calibri" w:hAnsi="Calibri" w:cs="Calibri"/>
                    <w:color w:val="000000" w:themeColor="text1"/>
                    <w:lang w:val="en-GB"/>
                  </w:rPr>
                  <w:instrText xml:space="preserve"> CITATION Llo191 \l 2057 </w:instrText>
                </w:r>
                <w:r w:rsidR="00627A23">
                  <w:rPr>
                    <w:rFonts w:ascii="Calibri" w:hAnsi="Calibri" w:cs="Calibri"/>
                    <w:color w:val="000000" w:themeColor="text1"/>
                  </w:rPr>
                  <w:fldChar w:fldCharType="separate"/>
                </w:r>
                <w:r w:rsidR="0011637C" w:rsidRPr="0011637C">
                  <w:rPr>
                    <w:rFonts w:ascii="Calibri" w:hAnsi="Calibri" w:cs="Calibri"/>
                    <w:noProof/>
                    <w:color w:val="000000" w:themeColor="text1"/>
                    <w:lang w:val="en-GB"/>
                  </w:rPr>
                  <w:t>(Lloyds, 2019)</w:t>
                </w:r>
                <w:r w:rsidR="00627A23">
                  <w:rPr>
                    <w:rFonts w:ascii="Calibri" w:hAnsi="Calibri" w:cs="Calibri"/>
                    <w:color w:val="000000" w:themeColor="text1"/>
                  </w:rPr>
                  <w:fldChar w:fldCharType="end"/>
                </w:r>
              </w:sdtContent>
            </w:sdt>
            <w:sdt>
              <w:sdtPr>
                <w:rPr>
                  <w:rFonts w:ascii="Calibri" w:hAnsi="Calibri" w:cs="Calibri"/>
                  <w:color w:val="000000" w:themeColor="text1"/>
                </w:rPr>
                <w:id w:val="-1130085613"/>
                <w:citation/>
              </w:sdtPr>
              <w:sdtEndPr/>
              <w:sdtContent>
                <w:r w:rsidR="00627A23">
                  <w:rPr>
                    <w:rFonts w:ascii="Calibri" w:hAnsi="Calibri" w:cs="Calibri"/>
                    <w:color w:val="000000" w:themeColor="text1"/>
                  </w:rPr>
                  <w:fldChar w:fldCharType="begin"/>
                </w:r>
                <w:r w:rsidR="00627A23">
                  <w:rPr>
                    <w:rFonts w:ascii="Calibri" w:hAnsi="Calibri" w:cs="Calibri"/>
                    <w:color w:val="000000" w:themeColor="text1"/>
                    <w:lang w:val="en-GB"/>
                  </w:rPr>
                  <w:instrText xml:space="preserve"> CITATION Llo18 \l 2057 </w:instrText>
                </w:r>
                <w:r w:rsidR="00627A23">
                  <w:rPr>
                    <w:rFonts w:ascii="Calibri" w:hAnsi="Calibri" w:cs="Calibri"/>
                    <w:color w:val="000000" w:themeColor="text1"/>
                  </w:rPr>
                  <w:fldChar w:fldCharType="separate"/>
                </w:r>
                <w:r w:rsidR="0011637C">
                  <w:rPr>
                    <w:rFonts w:ascii="Calibri" w:hAnsi="Calibri" w:cs="Calibri"/>
                    <w:noProof/>
                    <w:color w:val="000000" w:themeColor="text1"/>
                    <w:lang w:val="en-GB"/>
                  </w:rPr>
                  <w:t xml:space="preserve"> </w:t>
                </w:r>
                <w:r w:rsidR="0011637C" w:rsidRPr="0011637C">
                  <w:rPr>
                    <w:rFonts w:ascii="Calibri" w:hAnsi="Calibri" w:cs="Calibri"/>
                    <w:noProof/>
                    <w:color w:val="000000" w:themeColor="text1"/>
                    <w:lang w:val="en-GB"/>
                  </w:rPr>
                  <w:t>(Lloyds, 2018)</w:t>
                </w:r>
                <w:r w:rsidR="00627A23">
                  <w:rPr>
                    <w:rFonts w:ascii="Calibri" w:hAnsi="Calibri" w:cs="Calibri"/>
                    <w:color w:val="000000" w:themeColor="text1"/>
                  </w:rPr>
                  <w:fldChar w:fldCharType="end"/>
                </w:r>
              </w:sdtContent>
            </w:sdt>
            <w:sdt>
              <w:sdtPr>
                <w:rPr>
                  <w:rFonts w:ascii="Calibri" w:hAnsi="Calibri" w:cs="Calibri"/>
                  <w:color w:val="000000" w:themeColor="text1"/>
                </w:rPr>
                <w:id w:val="559594129"/>
                <w:citation/>
              </w:sdtPr>
              <w:sdtEndPr/>
              <w:sdtContent>
                <w:r w:rsidR="00627A23">
                  <w:rPr>
                    <w:rFonts w:ascii="Calibri" w:hAnsi="Calibri" w:cs="Calibri"/>
                    <w:color w:val="000000" w:themeColor="text1"/>
                  </w:rPr>
                  <w:fldChar w:fldCharType="begin"/>
                </w:r>
                <w:r w:rsidR="00627A23">
                  <w:rPr>
                    <w:rFonts w:ascii="Calibri" w:hAnsi="Calibri" w:cs="Calibri"/>
                    <w:color w:val="000000" w:themeColor="text1"/>
                    <w:lang w:val="en-GB"/>
                  </w:rPr>
                  <w:instrText xml:space="preserve"> CITATION Sta18 \l 2057 </w:instrText>
                </w:r>
                <w:r w:rsidR="00627A23">
                  <w:rPr>
                    <w:rFonts w:ascii="Calibri" w:hAnsi="Calibri" w:cs="Calibri"/>
                    <w:color w:val="000000" w:themeColor="text1"/>
                  </w:rPr>
                  <w:fldChar w:fldCharType="separate"/>
                </w:r>
                <w:r w:rsidR="0011637C">
                  <w:rPr>
                    <w:rFonts w:ascii="Calibri" w:hAnsi="Calibri" w:cs="Calibri"/>
                    <w:noProof/>
                    <w:color w:val="000000" w:themeColor="text1"/>
                    <w:lang w:val="en-GB"/>
                  </w:rPr>
                  <w:t xml:space="preserve"> </w:t>
                </w:r>
                <w:r w:rsidR="0011637C" w:rsidRPr="0011637C">
                  <w:rPr>
                    <w:rFonts w:ascii="Calibri" w:hAnsi="Calibri" w:cs="Calibri"/>
                    <w:noProof/>
                    <w:color w:val="000000" w:themeColor="text1"/>
                    <w:lang w:val="en-GB"/>
                  </w:rPr>
                  <w:t>(Statista, 2018)</w:t>
                </w:r>
                <w:r w:rsidR="00627A23">
                  <w:rPr>
                    <w:rFonts w:ascii="Calibri" w:hAnsi="Calibri" w:cs="Calibri"/>
                    <w:color w:val="000000" w:themeColor="text1"/>
                  </w:rPr>
                  <w:fldChar w:fldCharType="end"/>
                </w:r>
              </w:sdtContent>
            </w:sdt>
            <w:sdt>
              <w:sdtPr>
                <w:rPr>
                  <w:rFonts w:ascii="Calibri" w:hAnsi="Calibri" w:cs="Calibri"/>
                  <w:color w:val="000000" w:themeColor="text1"/>
                </w:rPr>
                <w:id w:val="-763143958"/>
                <w:citation/>
              </w:sdtPr>
              <w:sdtEndPr/>
              <w:sdtContent>
                <w:r w:rsidR="00627A23">
                  <w:rPr>
                    <w:rFonts w:ascii="Calibri" w:hAnsi="Calibri" w:cs="Calibri"/>
                    <w:color w:val="000000" w:themeColor="text1"/>
                  </w:rPr>
                  <w:fldChar w:fldCharType="begin"/>
                </w:r>
                <w:r w:rsidR="00627A23">
                  <w:rPr>
                    <w:rFonts w:ascii="Calibri" w:hAnsi="Calibri" w:cs="Calibri"/>
                    <w:color w:val="000000" w:themeColor="text1"/>
                    <w:lang w:val="en-GB"/>
                  </w:rPr>
                  <w:instrText xml:space="preserve"> CITATION Bar181 \l 2057 </w:instrText>
                </w:r>
                <w:r w:rsidR="00627A23">
                  <w:rPr>
                    <w:rFonts w:ascii="Calibri" w:hAnsi="Calibri" w:cs="Calibri"/>
                    <w:color w:val="000000" w:themeColor="text1"/>
                  </w:rPr>
                  <w:fldChar w:fldCharType="separate"/>
                </w:r>
                <w:r w:rsidR="0011637C">
                  <w:rPr>
                    <w:rFonts w:ascii="Calibri" w:hAnsi="Calibri" w:cs="Calibri"/>
                    <w:noProof/>
                    <w:color w:val="000000" w:themeColor="text1"/>
                    <w:lang w:val="en-GB"/>
                  </w:rPr>
                  <w:t xml:space="preserve"> </w:t>
                </w:r>
                <w:r w:rsidR="0011637C" w:rsidRPr="0011637C">
                  <w:rPr>
                    <w:rFonts w:ascii="Calibri" w:hAnsi="Calibri" w:cs="Calibri"/>
                    <w:noProof/>
                    <w:color w:val="000000" w:themeColor="text1"/>
                    <w:lang w:val="en-GB"/>
                  </w:rPr>
                  <w:t>(Barclays, 2018)</w:t>
                </w:r>
                <w:r w:rsidR="00627A23">
                  <w:rPr>
                    <w:rFonts w:ascii="Calibri" w:hAnsi="Calibri" w:cs="Calibri"/>
                    <w:color w:val="000000" w:themeColor="text1"/>
                  </w:rPr>
                  <w:fldChar w:fldCharType="end"/>
                </w:r>
              </w:sdtContent>
            </w:sdt>
            <w:sdt>
              <w:sdtPr>
                <w:rPr>
                  <w:rFonts w:ascii="Calibri" w:hAnsi="Calibri" w:cs="Calibri"/>
                  <w:color w:val="000000" w:themeColor="text1"/>
                </w:rPr>
                <w:id w:val="1770813424"/>
                <w:citation/>
              </w:sdtPr>
              <w:sdtEndPr/>
              <w:sdtContent>
                <w:r w:rsidR="00627A23">
                  <w:rPr>
                    <w:rFonts w:ascii="Calibri" w:hAnsi="Calibri" w:cs="Calibri"/>
                    <w:color w:val="000000" w:themeColor="text1"/>
                  </w:rPr>
                  <w:fldChar w:fldCharType="begin"/>
                </w:r>
                <w:r w:rsidR="00627A23">
                  <w:rPr>
                    <w:rFonts w:ascii="Calibri" w:hAnsi="Calibri" w:cs="Calibri"/>
                    <w:color w:val="000000" w:themeColor="text1"/>
                    <w:lang w:val="en-GB"/>
                  </w:rPr>
                  <w:instrText xml:space="preserve"> CITATION Bar17 \l 2057 </w:instrText>
                </w:r>
                <w:r w:rsidR="00627A23">
                  <w:rPr>
                    <w:rFonts w:ascii="Calibri" w:hAnsi="Calibri" w:cs="Calibri"/>
                    <w:color w:val="000000" w:themeColor="text1"/>
                  </w:rPr>
                  <w:fldChar w:fldCharType="separate"/>
                </w:r>
                <w:r w:rsidR="0011637C">
                  <w:rPr>
                    <w:rFonts w:ascii="Calibri" w:hAnsi="Calibri" w:cs="Calibri"/>
                    <w:noProof/>
                    <w:color w:val="000000" w:themeColor="text1"/>
                    <w:lang w:val="en-GB"/>
                  </w:rPr>
                  <w:t xml:space="preserve"> </w:t>
                </w:r>
                <w:r w:rsidR="0011637C" w:rsidRPr="0011637C">
                  <w:rPr>
                    <w:rFonts w:ascii="Calibri" w:hAnsi="Calibri" w:cs="Calibri"/>
                    <w:noProof/>
                    <w:color w:val="000000" w:themeColor="text1"/>
                    <w:lang w:val="en-GB"/>
                  </w:rPr>
                  <w:t>(Barclays, 2017)</w:t>
                </w:r>
                <w:r w:rsidR="00627A23">
                  <w:rPr>
                    <w:rFonts w:ascii="Calibri" w:hAnsi="Calibri" w:cs="Calibri"/>
                    <w:color w:val="000000" w:themeColor="text1"/>
                  </w:rPr>
                  <w:fldChar w:fldCharType="end"/>
                </w:r>
              </w:sdtContent>
            </w:sdt>
          </w:p>
          <w:p w:rsidR="005F27B2" w:rsidRPr="005F27B2" w:rsidRDefault="005F27B2" w:rsidP="0083374D">
            <w:pPr>
              <w:rPr>
                <w:rFonts w:ascii="Calibri" w:hAnsi="Calibri" w:cs="Calibri"/>
                <w:b w:val="0"/>
                <w:i/>
                <w:color w:val="000000" w:themeColor="text1"/>
              </w:rPr>
            </w:pPr>
            <w:r w:rsidRPr="005F27B2">
              <w:rPr>
                <w:rFonts w:ascii="Calibri" w:hAnsi="Calibri" w:cs="Calibri"/>
                <w:b w:val="0"/>
                <w:i/>
                <w:color w:val="000000" w:themeColor="text1"/>
                <w:sz w:val="20"/>
              </w:rPr>
              <w:t xml:space="preserve">The </w:t>
            </w:r>
            <w:r>
              <w:rPr>
                <w:rFonts w:ascii="Calibri" w:hAnsi="Calibri" w:cs="Calibri"/>
                <w:b w:val="0"/>
                <w:i/>
                <w:color w:val="000000" w:themeColor="text1"/>
                <w:sz w:val="20"/>
              </w:rPr>
              <w:t xml:space="preserve">figures calculated and stated on this </w:t>
            </w:r>
            <w:r w:rsidRPr="005F27B2">
              <w:rPr>
                <w:rFonts w:ascii="Calibri" w:hAnsi="Calibri" w:cs="Calibri"/>
                <w:b w:val="0"/>
                <w:i/>
                <w:color w:val="000000" w:themeColor="text1"/>
                <w:sz w:val="20"/>
              </w:rPr>
              <w:t xml:space="preserve">table have all be produced with information available </w:t>
            </w:r>
            <w:r w:rsidR="00692085">
              <w:rPr>
                <w:rFonts w:ascii="Calibri" w:hAnsi="Calibri" w:cs="Calibri"/>
                <w:b w:val="0"/>
                <w:i/>
                <w:color w:val="000000" w:themeColor="text1"/>
                <w:sz w:val="20"/>
              </w:rPr>
              <w:t>from</w:t>
            </w:r>
            <w:r w:rsidRPr="005F27B2">
              <w:rPr>
                <w:rFonts w:ascii="Calibri" w:hAnsi="Calibri" w:cs="Calibri"/>
                <w:b w:val="0"/>
                <w:i/>
                <w:color w:val="000000" w:themeColor="text1"/>
                <w:sz w:val="20"/>
              </w:rPr>
              <w:t xml:space="preserve"> the above sources.</w:t>
            </w:r>
          </w:p>
        </w:tc>
      </w:tr>
    </w:tbl>
    <w:p w:rsidR="0083374D" w:rsidRDefault="0083374D" w:rsidP="005C2652"/>
    <w:p w:rsidR="00EF7765" w:rsidRPr="00C2134D" w:rsidRDefault="002812DE" w:rsidP="005C2652">
      <w:pPr>
        <w:rPr>
          <w:rFonts w:ascii="Calibri" w:hAnsi="Calibri" w:cs="Calibri"/>
          <w:color w:val="auto"/>
        </w:rPr>
      </w:pPr>
      <w:r w:rsidRPr="00C2134D">
        <w:rPr>
          <w:rFonts w:ascii="Calibri" w:hAnsi="Calibri" w:cs="Calibri"/>
          <w:color w:val="auto"/>
        </w:rPr>
        <w:t>In order to complete the financial analysis for Lloyds, ten different ratios needed to be calculated. These ratios include: loan growth ratio, deposit growth ratio, loans to deposit growth ratio, efficiency ratio, tier 1 capital ratio, assets quality ratio, solvency ratio, liquidity coverage ratio, total loans to total assets ratio and ROE rat</w:t>
      </w:r>
      <w:r w:rsidR="00966170" w:rsidRPr="00C2134D">
        <w:rPr>
          <w:rFonts w:ascii="Calibri" w:hAnsi="Calibri" w:cs="Calibri"/>
          <w:color w:val="auto"/>
        </w:rPr>
        <w:t xml:space="preserve">io (return on capital employed). </w:t>
      </w:r>
      <w:r w:rsidR="00F65F5C" w:rsidRPr="00C2134D">
        <w:rPr>
          <w:rFonts w:ascii="Calibri" w:hAnsi="Calibri" w:cs="Calibri"/>
          <w:color w:val="auto"/>
        </w:rPr>
        <w:t xml:space="preserve">As shown in </w:t>
      </w:r>
      <w:r w:rsidR="00F65F5C" w:rsidRPr="00C2134D">
        <w:rPr>
          <w:rFonts w:ascii="Calibri" w:hAnsi="Calibri" w:cs="Calibri"/>
          <w:color w:val="auto"/>
        </w:rPr>
        <w:lastRenderedPageBreak/>
        <w:t xml:space="preserve">the table provided these figures have been generated and calculated by using information made available on the annual reports of Lloyds Banking group and Barclays PLC. </w:t>
      </w:r>
    </w:p>
    <w:p w:rsidR="0083374D" w:rsidRDefault="0083374D" w:rsidP="00C13789">
      <w:pPr>
        <w:pStyle w:val="Heading3"/>
      </w:pPr>
      <w:r>
        <w:t>Evaluation of the ratios</w:t>
      </w:r>
      <w:r w:rsidR="00FD0BFC">
        <w:t xml:space="preserve"> and recommendations </w:t>
      </w:r>
    </w:p>
    <w:p w:rsidR="004111D5" w:rsidRDefault="0083374D" w:rsidP="004111D5">
      <w:pPr>
        <w:rPr>
          <w:rFonts w:ascii="Calibri" w:hAnsi="Calibri" w:cs="Calibri"/>
          <w:color w:val="000000" w:themeColor="text1"/>
        </w:rPr>
      </w:pPr>
      <w:r w:rsidRPr="00E244B5">
        <w:rPr>
          <w:rFonts w:ascii="Calibri" w:hAnsi="Calibri" w:cs="Calibri"/>
          <w:color w:val="000000" w:themeColor="text1"/>
        </w:rPr>
        <w:t xml:space="preserve">Loan growth ratio – This ratio expresses the percentage of the increase of decrease of the loans given by a financial institution to business and consumers and it is calculated by comparing the loans from the current period with the loans given in the previous period. A positive and increasing loan growth ratio indicates that the banks are confident to give out loans, because they think that they will get it back and it also indicates an increase in business and consumer confidence </w:t>
      </w:r>
      <w:r w:rsidR="0043057E" w:rsidRPr="00E244B5">
        <w:rPr>
          <w:rFonts w:ascii="Calibri" w:hAnsi="Calibri" w:cs="Calibri"/>
          <w:color w:val="000000" w:themeColor="text1"/>
        </w:rPr>
        <w:t xml:space="preserve">which might be a powerful </w:t>
      </w:r>
      <w:r w:rsidR="009878FD" w:rsidRPr="00E244B5">
        <w:rPr>
          <w:rFonts w:ascii="Calibri" w:hAnsi="Calibri" w:cs="Calibri"/>
          <w:color w:val="000000" w:themeColor="text1"/>
        </w:rPr>
        <w:t>indicator of the country’</w:t>
      </w:r>
      <w:r w:rsidR="0043057E" w:rsidRPr="00E244B5">
        <w:rPr>
          <w:rFonts w:ascii="Calibri" w:hAnsi="Calibri" w:cs="Calibri"/>
          <w:color w:val="000000" w:themeColor="text1"/>
        </w:rPr>
        <w:t xml:space="preserve">s economy in general. </w:t>
      </w:r>
      <w:r w:rsidR="00247018" w:rsidRPr="00E244B5">
        <w:rPr>
          <w:rFonts w:ascii="Calibri" w:hAnsi="Calibri" w:cs="Calibri"/>
          <w:color w:val="000000" w:themeColor="text1"/>
        </w:rPr>
        <w:t>Figures generated from the annual report data show a negative increase in loan growth for Lloyds bank during 2014 and 2015, by respectively -1.82475% and -5.61393% and a positive increase thereafter with the loan growth ratio</w:t>
      </w:r>
      <w:r w:rsidR="004111D5" w:rsidRPr="00E244B5">
        <w:rPr>
          <w:rFonts w:ascii="Calibri" w:hAnsi="Calibri" w:cs="Calibri"/>
          <w:color w:val="000000" w:themeColor="text1"/>
        </w:rPr>
        <w:t xml:space="preserve"> for Lloyds</w:t>
      </w:r>
      <w:r w:rsidR="00247018" w:rsidRPr="00E244B5">
        <w:rPr>
          <w:rFonts w:ascii="Calibri" w:hAnsi="Calibri" w:cs="Calibri"/>
          <w:color w:val="000000" w:themeColor="text1"/>
        </w:rPr>
        <w:t xml:space="preserve"> being 2.511328</w:t>
      </w:r>
      <w:r w:rsidR="004111D5" w:rsidRPr="00E244B5">
        <w:rPr>
          <w:rFonts w:ascii="Calibri" w:hAnsi="Calibri" w:cs="Calibri"/>
          <w:color w:val="000000" w:themeColor="text1"/>
        </w:rPr>
        <w:t xml:space="preserve">% for 2018, compared to 0.72767% loan growth ratio that Barclays had for the same period in 2018 as well. </w:t>
      </w:r>
      <w:r w:rsidR="00E244B5">
        <w:rPr>
          <w:rFonts w:ascii="Calibri" w:hAnsi="Calibri" w:cs="Calibri"/>
          <w:color w:val="000000" w:themeColor="text1"/>
        </w:rPr>
        <w:t xml:space="preserve">Compared to Barclays, it is fair to say that Lloyds is giving out more loans, however this might have to do with the fact that Lloyds is the biggest financial institution in the UK, with the largest market share, hence most of the customers and business that are already banking with Lloyds would try and get a loan from Lloyds in the first place rather than asking any other financial institutions. </w:t>
      </w:r>
      <w:r w:rsidR="00205C10">
        <w:rPr>
          <w:rFonts w:ascii="Calibri" w:hAnsi="Calibri" w:cs="Calibri"/>
          <w:color w:val="000000" w:themeColor="text1"/>
        </w:rPr>
        <w:t>The loan growth ratio for Lloyds is nearly 3 times as high as Barclays one and this can also be driven to the fact that Lloyds did particularly well during 2018, with an increase in profits by nearly</w:t>
      </w:r>
      <w:r w:rsidR="00C66504">
        <w:rPr>
          <w:rFonts w:ascii="Calibri" w:hAnsi="Calibri" w:cs="Calibri"/>
          <w:color w:val="000000" w:themeColor="text1"/>
        </w:rPr>
        <w:t xml:space="preserve"> 23</w:t>
      </w:r>
      <w:r w:rsidR="00205C10">
        <w:rPr>
          <w:rFonts w:ascii="Calibri" w:hAnsi="Calibri" w:cs="Calibri"/>
          <w:color w:val="000000" w:themeColor="text1"/>
        </w:rPr>
        <w:t xml:space="preserve">%, </w:t>
      </w:r>
      <w:sdt>
        <w:sdtPr>
          <w:rPr>
            <w:rFonts w:ascii="Calibri" w:hAnsi="Calibri" w:cs="Calibri"/>
            <w:color w:val="000000" w:themeColor="text1"/>
          </w:rPr>
          <w:id w:val="-1767922162"/>
          <w:citation/>
        </w:sdtPr>
        <w:sdtEndPr/>
        <w:sdtContent>
          <w:r w:rsidR="00B5475F">
            <w:rPr>
              <w:rFonts w:ascii="Calibri" w:hAnsi="Calibri" w:cs="Calibri"/>
              <w:color w:val="000000" w:themeColor="text1"/>
            </w:rPr>
            <w:fldChar w:fldCharType="begin"/>
          </w:r>
          <w:r w:rsidR="00B5475F">
            <w:rPr>
              <w:lang w:val="en-GB"/>
            </w:rPr>
            <w:instrText xml:space="preserve"> CITATION Mon18 \l 2057 </w:instrText>
          </w:r>
          <w:r w:rsidR="00B5475F">
            <w:rPr>
              <w:rFonts w:ascii="Calibri" w:hAnsi="Calibri" w:cs="Calibri"/>
              <w:color w:val="000000" w:themeColor="text1"/>
            </w:rPr>
            <w:fldChar w:fldCharType="separate"/>
          </w:r>
          <w:r w:rsidR="0011637C" w:rsidRPr="0011637C">
            <w:rPr>
              <w:noProof/>
              <w:lang w:val="en-GB"/>
            </w:rPr>
            <w:t>(Monaghan &amp; Collinson, 2018)</w:t>
          </w:r>
          <w:r w:rsidR="00B5475F">
            <w:rPr>
              <w:rFonts w:ascii="Calibri" w:hAnsi="Calibri" w:cs="Calibri"/>
              <w:color w:val="000000" w:themeColor="text1"/>
            </w:rPr>
            <w:fldChar w:fldCharType="end"/>
          </w:r>
        </w:sdtContent>
      </w:sdt>
      <w:r w:rsidR="00C66504">
        <w:rPr>
          <w:rFonts w:ascii="Calibri" w:hAnsi="Calibri" w:cs="Calibri"/>
          <w:color w:val="000000" w:themeColor="text1"/>
        </w:rPr>
        <w:t xml:space="preserve"> </w:t>
      </w:r>
      <w:r w:rsidR="00205C10">
        <w:rPr>
          <w:rFonts w:ascii="Calibri" w:hAnsi="Calibri" w:cs="Calibri"/>
          <w:color w:val="000000" w:themeColor="text1"/>
        </w:rPr>
        <w:t xml:space="preserve">hence this might have busted the company’s confidence to provide more loans since they were doing a lot better. </w:t>
      </w:r>
    </w:p>
    <w:p w:rsidR="00EE6381" w:rsidRDefault="00EE6381" w:rsidP="004111D5">
      <w:pPr>
        <w:rPr>
          <w:rFonts w:ascii="Calibri" w:hAnsi="Calibri" w:cs="Calibri"/>
          <w:color w:val="000000" w:themeColor="text1"/>
        </w:rPr>
      </w:pPr>
      <w:r>
        <w:rPr>
          <w:rFonts w:ascii="Calibri" w:hAnsi="Calibri" w:cs="Calibri"/>
          <w:color w:val="000000" w:themeColor="text1"/>
        </w:rPr>
        <w:t xml:space="preserve">Although Lloyds is doing well in terms on increase of market share and profits, a point to make is that the increase in the loan growth ratio might be </w:t>
      </w:r>
      <w:r w:rsidR="009D06D3">
        <w:rPr>
          <w:rFonts w:ascii="Calibri" w:hAnsi="Calibri" w:cs="Calibri"/>
          <w:color w:val="000000" w:themeColor="text1"/>
        </w:rPr>
        <w:t xml:space="preserve">a bit dangerous if Lloyds would not have a diversified portfolio that would allow any loan loss provisions without affecting the activity at the bank. </w:t>
      </w:r>
      <w:r w:rsidR="007172E9">
        <w:rPr>
          <w:rFonts w:ascii="Calibri" w:hAnsi="Calibri" w:cs="Calibri"/>
          <w:color w:val="000000" w:themeColor="text1"/>
        </w:rPr>
        <w:t>The other suggestion for Lloyds would be to give out loan proportionally to the deposits being made. If the deposit rate is not taken in consideration when approving loans, an increase in loans being given to the businesses and to the customers might leave the bank dry of cash, which would cause “Northern Rock” situation, where the bank gives out more money than it has putting the customers savings in danger</w:t>
      </w:r>
      <w:r w:rsidR="006C398E">
        <w:rPr>
          <w:rFonts w:ascii="Calibri" w:hAnsi="Calibri" w:cs="Calibri"/>
          <w:color w:val="000000" w:themeColor="text1"/>
        </w:rPr>
        <w:t xml:space="preserve"> as there would be not enough</w:t>
      </w:r>
      <w:r w:rsidR="007172E9">
        <w:rPr>
          <w:rFonts w:ascii="Calibri" w:hAnsi="Calibri" w:cs="Calibri"/>
          <w:color w:val="000000" w:themeColor="text1"/>
        </w:rPr>
        <w:t xml:space="preserve"> money left </w:t>
      </w:r>
      <w:r w:rsidR="00535EAF">
        <w:rPr>
          <w:rFonts w:ascii="Calibri" w:hAnsi="Calibri" w:cs="Calibri"/>
          <w:color w:val="000000" w:themeColor="text1"/>
        </w:rPr>
        <w:t xml:space="preserve">to afford the operation from loans and deposits. </w:t>
      </w:r>
    </w:p>
    <w:p w:rsidR="00E56DC7" w:rsidRDefault="006D01DB" w:rsidP="00E56DC7">
      <w:pPr>
        <w:rPr>
          <w:rFonts w:ascii="Calibri" w:hAnsi="Calibri" w:cs="Calibri"/>
          <w:color w:val="000000" w:themeColor="text1"/>
        </w:rPr>
      </w:pPr>
      <w:r>
        <w:rPr>
          <w:rFonts w:ascii="Calibri" w:hAnsi="Calibri" w:cs="Calibri"/>
          <w:color w:val="000000" w:themeColor="text1"/>
        </w:rPr>
        <w:t>Deposit growth ratio – This ratio also is expressed as a percentage and it shows the percentage of growth in monetary deposits being made in the respective banks</w:t>
      </w:r>
      <w:r w:rsidR="00BB20C8">
        <w:rPr>
          <w:rFonts w:ascii="Calibri" w:hAnsi="Calibri" w:cs="Calibri"/>
          <w:color w:val="000000" w:themeColor="text1"/>
        </w:rPr>
        <w:t xml:space="preserve"> for the current year</w:t>
      </w:r>
      <w:r w:rsidR="006B2828">
        <w:rPr>
          <w:rFonts w:ascii="Calibri" w:hAnsi="Calibri" w:cs="Calibri"/>
          <w:color w:val="000000" w:themeColor="text1"/>
        </w:rPr>
        <w:t xml:space="preserve"> compared to the previous year and same period of time. </w:t>
      </w:r>
      <w:r w:rsidR="007275BF">
        <w:rPr>
          <w:rFonts w:ascii="Calibri" w:hAnsi="Calibri" w:cs="Calibri"/>
          <w:color w:val="000000" w:themeColor="text1"/>
        </w:rPr>
        <w:t xml:space="preserve">As seen from the data on </w:t>
      </w:r>
      <w:r w:rsidR="00E56DC7">
        <w:rPr>
          <w:rFonts w:ascii="Calibri" w:hAnsi="Calibri" w:cs="Calibri"/>
          <w:color w:val="000000" w:themeColor="text1"/>
        </w:rPr>
        <w:t xml:space="preserve">Table 1, Lloyds had a deposit growth rate of </w:t>
      </w:r>
      <w:r w:rsidR="00E56DC7" w:rsidRPr="00E56DC7">
        <w:rPr>
          <w:rFonts w:ascii="Calibri" w:hAnsi="Calibri" w:cs="Calibri"/>
          <w:color w:val="000000" w:themeColor="text1"/>
        </w:rPr>
        <w:t>0.993497</w:t>
      </w:r>
      <w:r w:rsidR="00E56DC7">
        <w:rPr>
          <w:rFonts w:ascii="Calibri" w:hAnsi="Calibri" w:cs="Calibri"/>
          <w:color w:val="000000" w:themeColor="text1"/>
        </w:rPr>
        <w:t xml:space="preserve">% in 2014, followed by a negative deposit growth rate of </w:t>
      </w:r>
      <w:r w:rsidR="00E56DC7" w:rsidRPr="00E56DC7">
        <w:rPr>
          <w:rFonts w:ascii="Calibri" w:hAnsi="Calibri" w:cs="Calibri"/>
          <w:color w:val="000000" w:themeColor="text1"/>
        </w:rPr>
        <w:t>-4.95748</w:t>
      </w:r>
      <w:r w:rsidR="00E56DC7">
        <w:rPr>
          <w:rFonts w:ascii="Calibri" w:hAnsi="Calibri" w:cs="Calibri"/>
          <w:color w:val="000000" w:themeColor="text1"/>
        </w:rPr>
        <w:t xml:space="preserve">% and </w:t>
      </w:r>
      <w:r w:rsidR="00E56DC7" w:rsidRPr="00E56DC7">
        <w:rPr>
          <w:rFonts w:ascii="Calibri" w:hAnsi="Calibri" w:cs="Calibri"/>
          <w:color w:val="000000" w:themeColor="text1"/>
        </w:rPr>
        <w:t>-0.78277</w:t>
      </w:r>
      <w:r w:rsidR="00E56DC7">
        <w:rPr>
          <w:rFonts w:ascii="Calibri" w:hAnsi="Calibri" w:cs="Calibri"/>
          <w:color w:val="000000" w:themeColor="text1"/>
        </w:rPr>
        <w:t xml:space="preserve">% for 2015 and 2016. In the following years, the deposit growth ratio was </w:t>
      </w:r>
      <w:r w:rsidR="00E56DC7" w:rsidRPr="00E56DC7">
        <w:rPr>
          <w:rFonts w:ascii="Calibri" w:hAnsi="Calibri" w:cs="Calibri"/>
          <w:color w:val="000000" w:themeColor="text1"/>
        </w:rPr>
        <w:t>3.724493</w:t>
      </w:r>
      <w:r w:rsidR="00E56DC7">
        <w:rPr>
          <w:rFonts w:ascii="Calibri" w:hAnsi="Calibri" w:cs="Calibri"/>
          <w:color w:val="000000" w:themeColor="text1"/>
        </w:rPr>
        <w:t xml:space="preserve">% in 2017 and </w:t>
      </w:r>
      <w:r w:rsidR="00E56DC7" w:rsidRPr="00E56DC7">
        <w:rPr>
          <w:rFonts w:ascii="Calibri" w:hAnsi="Calibri" w:cs="Calibri"/>
          <w:color w:val="000000" w:themeColor="text1"/>
        </w:rPr>
        <w:t>0.102249</w:t>
      </w:r>
      <w:r w:rsidR="00E56DC7">
        <w:rPr>
          <w:rFonts w:ascii="Calibri" w:hAnsi="Calibri" w:cs="Calibri"/>
          <w:color w:val="000000" w:themeColor="text1"/>
        </w:rPr>
        <w:t xml:space="preserve">% in 2018. </w:t>
      </w:r>
      <w:r w:rsidR="00391F01">
        <w:rPr>
          <w:rFonts w:ascii="Calibri" w:hAnsi="Calibri" w:cs="Calibri"/>
          <w:color w:val="000000" w:themeColor="text1"/>
        </w:rPr>
        <w:t xml:space="preserve">The negative deposit growth ratios indicate that the customers and the businesses were depositing less money compared to the previous year. </w:t>
      </w:r>
      <w:r w:rsidR="00F94780">
        <w:rPr>
          <w:rFonts w:ascii="Calibri" w:hAnsi="Calibri" w:cs="Calibri"/>
          <w:color w:val="000000" w:themeColor="text1"/>
        </w:rPr>
        <w:t xml:space="preserve">On the other hand the deposit growth ratio for Barclays in 2018 is a negative which </w:t>
      </w:r>
      <w:r w:rsidR="0000443B">
        <w:rPr>
          <w:rFonts w:ascii="Calibri" w:hAnsi="Calibri" w:cs="Calibri"/>
          <w:color w:val="000000" w:themeColor="text1"/>
        </w:rPr>
        <w:t xml:space="preserve">to be fair it is not very far from Lloyds 0.1% of deposit growth for 2018. One of the points </w:t>
      </w:r>
      <w:r w:rsidR="0000443B">
        <w:rPr>
          <w:rFonts w:ascii="Calibri" w:hAnsi="Calibri" w:cs="Calibri"/>
          <w:color w:val="000000" w:themeColor="text1"/>
        </w:rPr>
        <w:lastRenderedPageBreak/>
        <w:t xml:space="preserve">to make is that the deposit growth ratio for Lloyds was at the highest in 2017, which might have lead the company to increasing the amount of loans that they have provided in 2018. </w:t>
      </w:r>
    </w:p>
    <w:p w:rsidR="005B6BCB" w:rsidRDefault="005B6BCB" w:rsidP="00E56DC7">
      <w:pPr>
        <w:rPr>
          <w:rFonts w:ascii="Calibri" w:hAnsi="Calibri" w:cs="Calibri"/>
          <w:color w:val="000000" w:themeColor="text1"/>
        </w:rPr>
      </w:pPr>
      <w:r>
        <w:rPr>
          <w:rFonts w:ascii="Calibri" w:hAnsi="Calibri" w:cs="Calibri"/>
          <w:color w:val="000000" w:themeColor="text1"/>
        </w:rPr>
        <w:t xml:space="preserve">It would be recommended for Lloyds to try and increase the amount of deposits that they get into their banks. By getting more deposits </w:t>
      </w:r>
      <w:r w:rsidR="00B731A3">
        <w:rPr>
          <w:rFonts w:ascii="Calibri" w:hAnsi="Calibri" w:cs="Calibri"/>
          <w:color w:val="000000" w:themeColor="text1"/>
        </w:rPr>
        <w:t>it would mean that the company would have a lot of money to circulate within and if needs be to offer more loans or bigger loans to businesses and consumers.</w:t>
      </w:r>
      <w:r>
        <w:rPr>
          <w:rFonts w:ascii="Calibri" w:hAnsi="Calibri" w:cs="Calibri"/>
          <w:color w:val="000000" w:themeColor="text1"/>
        </w:rPr>
        <w:t xml:space="preserve"> </w:t>
      </w:r>
      <w:r w:rsidR="00B731A3">
        <w:rPr>
          <w:rFonts w:ascii="Calibri" w:hAnsi="Calibri" w:cs="Calibri"/>
          <w:color w:val="000000" w:themeColor="text1"/>
        </w:rPr>
        <w:t xml:space="preserve">One way it can achieve this is to offer a slightly higher interest for the deposits compared to the interest rates in the market. It might not be as profitable as with the lower interest rates before, however there might be more consumers looking to deposit with the company due to the higher interest rate, hence in a way Lloyds would increase the market share, as well as the deposit amount, which they can use to generate more income for the future. </w:t>
      </w:r>
    </w:p>
    <w:p w:rsidR="004B0658" w:rsidRDefault="004B0658" w:rsidP="00E56DC7">
      <w:pPr>
        <w:rPr>
          <w:rFonts w:ascii="Calibri" w:hAnsi="Calibri" w:cs="Calibri"/>
          <w:color w:val="000000" w:themeColor="text1"/>
        </w:rPr>
      </w:pPr>
      <w:r>
        <w:rPr>
          <w:rFonts w:ascii="Calibri" w:hAnsi="Calibri" w:cs="Calibri"/>
          <w:color w:val="000000" w:themeColor="text1"/>
        </w:rPr>
        <w:t xml:space="preserve">Loan to deposit ratio </w:t>
      </w:r>
      <w:r w:rsidR="00B47CDF">
        <w:rPr>
          <w:rFonts w:ascii="Calibri" w:hAnsi="Calibri" w:cs="Calibri"/>
          <w:color w:val="000000" w:themeColor="text1"/>
        </w:rPr>
        <w:t>–</w:t>
      </w:r>
      <w:r>
        <w:rPr>
          <w:rFonts w:ascii="Calibri" w:hAnsi="Calibri" w:cs="Calibri"/>
          <w:color w:val="000000" w:themeColor="text1"/>
        </w:rPr>
        <w:t xml:space="preserve"> </w:t>
      </w:r>
      <w:r w:rsidR="00B47CDF">
        <w:rPr>
          <w:rFonts w:ascii="Calibri" w:hAnsi="Calibri" w:cs="Calibri"/>
          <w:color w:val="000000" w:themeColor="text1"/>
        </w:rPr>
        <w:t xml:space="preserve">This ratio </w:t>
      </w:r>
      <w:r w:rsidRPr="004B0658">
        <w:rPr>
          <w:rFonts w:ascii="Calibri" w:hAnsi="Calibri" w:cs="Calibri"/>
          <w:color w:val="000000" w:themeColor="text1"/>
        </w:rPr>
        <w:t xml:space="preserve">is used to </w:t>
      </w:r>
      <w:r w:rsidR="00B47CDF" w:rsidRPr="004B0658">
        <w:rPr>
          <w:rFonts w:ascii="Calibri" w:hAnsi="Calibri" w:cs="Calibri"/>
          <w:color w:val="000000" w:themeColor="text1"/>
        </w:rPr>
        <w:t>measure</w:t>
      </w:r>
      <w:r w:rsidR="00B47CDF">
        <w:rPr>
          <w:rFonts w:ascii="Calibri" w:hAnsi="Calibri" w:cs="Calibri"/>
          <w:color w:val="000000" w:themeColor="text1"/>
        </w:rPr>
        <w:t xml:space="preserve"> how liquid is a bank and it is generated by comparing the total loans to the</w:t>
      </w:r>
      <w:r w:rsidRPr="004B0658">
        <w:rPr>
          <w:rFonts w:ascii="Calibri" w:hAnsi="Calibri" w:cs="Calibri"/>
          <w:color w:val="000000" w:themeColor="text1"/>
        </w:rPr>
        <w:t xml:space="preserve"> total deposits </w:t>
      </w:r>
      <w:r w:rsidR="00B47CDF">
        <w:rPr>
          <w:rFonts w:ascii="Calibri" w:hAnsi="Calibri" w:cs="Calibri"/>
          <w:color w:val="000000" w:themeColor="text1"/>
        </w:rPr>
        <w:t xml:space="preserve">of the bank </w:t>
      </w:r>
      <w:r w:rsidRPr="004B0658">
        <w:rPr>
          <w:rFonts w:ascii="Calibri" w:hAnsi="Calibri" w:cs="Calibri"/>
          <w:color w:val="000000" w:themeColor="text1"/>
        </w:rPr>
        <w:t>for the same period</w:t>
      </w:r>
      <w:r w:rsidR="00B47CDF">
        <w:rPr>
          <w:rFonts w:ascii="Calibri" w:hAnsi="Calibri" w:cs="Calibri"/>
          <w:color w:val="000000" w:themeColor="text1"/>
        </w:rPr>
        <w:t xml:space="preserve"> of time</w:t>
      </w:r>
      <w:r w:rsidRPr="004B0658">
        <w:rPr>
          <w:rFonts w:ascii="Calibri" w:hAnsi="Calibri" w:cs="Calibri"/>
          <w:color w:val="000000" w:themeColor="text1"/>
        </w:rPr>
        <w:t xml:space="preserve">. The </w:t>
      </w:r>
      <w:r w:rsidR="00B47CDF">
        <w:rPr>
          <w:rFonts w:ascii="Calibri" w:hAnsi="Calibri" w:cs="Calibri"/>
          <w:color w:val="000000" w:themeColor="text1"/>
        </w:rPr>
        <w:t xml:space="preserve">average acceptable loan to deposit ratio is about 80% to 90%, hence if the ratio is higher than normal, </w:t>
      </w:r>
      <w:r w:rsidRPr="004B0658">
        <w:rPr>
          <w:rFonts w:ascii="Calibri" w:hAnsi="Calibri" w:cs="Calibri"/>
          <w:color w:val="000000" w:themeColor="text1"/>
        </w:rPr>
        <w:t xml:space="preserve">it means that the bank </w:t>
      </w:r>
      <w:r w:rsidR="00B47CDF">
        <w:rPr>
          <w:rFonts w:ascii="Calibri" w:hAnsi="Calibri" w:cs="Calibri"/>
          <w:color w:val="000000" w:themeColor="text1"/>
        </w:rPr>
        <w:t xml:space="preserve">may struggle to cover any immediate fund requirement hence it is not very liquid and on the other hand if this ratio is too low it shows that the bank is not earning the amount it should be. In the case on Lloyds its loan to deposit ratio from 2014 until 2018, is higher than 100% (table 1.), whereas Barclays has a loan to deposit ratio of 96% for 2018. For Lloyds this means that the group has loaned more money </w:t>
      </w:r>
      <w:r w:rsidR="003F3BF7">
        <w:rPr>
          <w:rFonts w:ascii="Calibri" w:hAnsi="Calibri" w:cs="Calibri"/>
          <w:color w:val="000000" w:themeColor="text1"/>
        </w:rPr>
        <w:t xml:space="preserve">compared to the money the group has received in the deposits done by the consumers. </w:t>
      </w:r>
      <w:r w:rsidR="000C4189">
        <w:rPr>
          <w:rFonts w:ascii="Calibri" w:hAnsi="Calibri" w:cs="Calibri"/>
          <w:color w:val="000000" w:themeColor="text1"/>
        </w:rPr>
        <w:t xml:space="preserve">Conversely, Barclays has only loaned £0.96 for every £1 that the company has received from the deposits made by the customers. </w:t>
      </w:r>
      <w:r w:rsidR="0023672C">
        <w:rPr>
          <w:rFonts w:ascii="Calibri" w:hAnsi="Calibri" w:cs="Calibri"/>
          <w:color w:val="000000" w:themeColor="text1"/>
        </w:rPr>
        <w:t xml:space="preserve">It can be said that looking at the ratios Lloyds might find it more difficult than Barclays to deal with any unexpected contingencies or cash shortage. </w:t>
      </w:r>
    </w:p>
    <w:p w:rsidR="004F5F4F" w:rsidRDefault="004F5F4F" w:rsidP="00E56DC7">
      <w:pPr>
        <w:rPr>
          <w:rFonts w:ascii="Calibri" w:hAnsi="Calibri" w:cs="Calibri"/>
          <w:color w:val="000000" w:themeColor="text1"/>
        </w:rPr>
      </w:pPr>
      <w:r>
        <w:rPr>
          <w:rFonts w:ascii="Calibri" w:hAnsi="Calibri" w:cs="Calibri"/>
          <w:color w:val="000000" w:themeColor="text1"/>
        </w:rPr>
        <w:t xml:space="preserve">As a suggestion for Lloyds would be to try an increase the amount of deposits that they are getting in or to limit the amount of loans that they give to customers. By increasing the amount of </w:t>
      </w:r>
      <w:r w:rsidR="001006BC">
        <w:rPr>
          <w:rFonts w:ascii="Calibri" w:hAnsi="Calibri" w:cs="Calibri"/>
          <w:color w:val="000000" w:themeColor="text1"/>
        </w:rPr>
        <w:t xml:space="preserve">deposits made to the group, they would have more money in case immediate funds are required, hence it would improve their liquidity. One way to get more deposits for the group would be to offer a higher than normal interest rate, as mentioned on the previous occasion, or to offer promotional interest rates on deposits for new customers, hence they would be encouraged to </w:t>
      </w:r>
      <w:r w:rsidR="00BE4F39">
        <w:rPr>
          <w:rFonts w:ascii="Calibri" w:hAnsi="Calibri" w:cs="Calibri"/>
          <w:color w:val="000000" w:themeColor="text1"/>
        </w:rPr>
        <w:t xml:space="preserve">deposit their funds with Lloyds. </w:t>
      </w:r>
      <w:r w:rsidR="008F05EA">
        <w:rPr>
          <w:rFonts w:ascii="Calibri" w:hAnsi="Calibri" w:cs="Calibri"/>
          <w:color w:val="000000" w:themeColor="text1"/>
        </w:rPr>
        <w:t xml:space="preserve">The other suggestion is not to offer as many loans, Lloyds if by far the biggest loan provider in the UK, hence this would make the group particularly vulnerable in case of increase in </w:t>
      </w:r>
      <w:r w:rsidR="00732C82">
        <w:rPr>
          <w:rFonts w:ascii="Calibri" w:hAnsi="Calibri" w:cs="Calibri"/>
          <w:color w:val="000000" w:themeColor="text1"/>
        </w:rPr>
        <w:t xml:space="preserve">unemployment or other economic threats, such as Brexit in the UK for instance. </w:t>
      </w:r>
    </w:p>
    <w:p w:rsidR="00D8796F" w:rsidRDefault="00F82AAA" w:rsidP="00D8796F">
      <w:pPr>
        <w:rPr>
          <w:rFonts w:ascii="Calibri" w:hAnsi="Calibri" w:cs="Calibri"/>
          <w:color w:val="000000" w:themeColor="text1"/>
        </w:rPr>
      </w:pPr>
      <w:r>
        <w:rPr>
          <w:rFonts w:ascii="Calibri" w:hAnsi="Calibri" w:cs="Calibri"/>
          <w:color w:val="000000" w:themeColor="text1"/>
        </w:rPr>
        <w:t xml:space="preserve">Efficiency ratio </w:t>
      </w:r>
      <w:r w:rsidR="005C4DA0">
        <w:rPr>
          <w:rFonts w:ascii="Calibri" w:hAnsi="Calibri" w:cs="Calibri"/>
          <w:color w:val="000000" w:themeColor="text1"/>
        </w:rPr>
        <w:t>–</w:t>
      </w:r>
      <w:r>
        <w:rPr>
          <w:rFonts w:ascii="Calibri" w:hAnsi="Calibri" w:cs="Calibri"/>
          <w:color w:val="000000" w:themeColor="text1"/>
        </w:rPr>
        <w:t xml:space="preserve"> </w:t>
      </w:r>
      <w:r w:rsidR="005C4DA0">
        <w:rPr>
          <w:rFonts w:ascii="Calibri" w:hAnsi="Calibri" w:cs="Calibri"/>
          <w:color w:val="000000" w:themeColor="text1"/>
        </w:rPr>
        <w:t>This ratio</w:t>
      </w:r>
      <w:r w:rsidR="005C4DA0" w:rsidRPr="005C4DA0">
        <w:rPr>
          <w:rFonts w:ascii="Calibri" w:hAnsi="Calibri" w:cs="Calibri"/>
          <w:color w:val="000000" w:themeColor="text1"/>
        </w:rPr>
        <w:t xml:space="preserve"> measure</w:t>
      </w:r>
      <w:r w:rsidR="00D411E6">
        <w:rPr>
          <w:rFonts w:ascii="Calibri" w:hAnsi="Calibri" w:cs="Calibri"/>
          <w:color w:val="000000" w:themeColor="text1"/>
        </w:rPr>
        <w:t xml:space="preserve">s how well a bank </w:t>
      </w:r>
      <w:r w:rsidR="005C4DA0" w:rsidRPr="005C4DA0">
        <w:rPr>
          <w:rFonts w:ascii="Calibri" w:hAnsi="Calibri" w:cs="Calibri"/>
          <w:color w:val="000000" w:themeColor="text1"/>
        </w:rPr>
        <w:t>use</w:t>
      </w:r>
      <w:r w:rsidR="005C4DA0">
        <w:rPr>
          <w:rFonts w:ascii="Calibri" w:hAnsi="Calibri" w:cs="Calibri"/>
          <w:color w:val="000000" w:themeColor="text1"/>
        </w:rPr>
        <w:t>s</w:t>
      </w:r>
      <w:r w:rsidR="00BD3B60">
        <w:rPr>
          <w:rFonts w:ascii="Calibri" w:hAnsi="Calibri" w:cs="Calibri"/>
          <w:color w:val="000000" w:themeColor="text1"/>
        </w:rPr>
        <w:t xml:space="preserve"> its assets and liabilities</w:t>
      </w:r>
      <w:r w:rsidR="00D411E6">
        <w:rPr>
          <w:rFonts w:ascii="Calibri" w:hAnsi="Calibri" w:cs="Calibri"/>
          <w:color w:val="000000" w:themeColor="text1"/>
        </w:rPr>
        <w:t xml:space="preserve"> in order to turn them into revenue</w:t>
      </w:r>
      <w:r w:rsidR="00BD3B60">
        <w:rPr>
          <w:rFonts w:ascii="Calibri" w:hAnsi="Calibri" w:cs="Calibri"/>
          <w:color w:val="000000" w:themeColor="text1"/>
        </w:rPr>
        <w:t xml:space="preserve">. </w:t>
      </w:r>
      <w:r w:rsidR="00D411E6">
        <w:rPr>
          <w:rFonts w:ascii="Calibri" w:hAnsi="Calibri" w:cs="Calibri"/>
          <w:color w:val="000000" w:themeColor="text1"/>
        </w:rPr>
        <w:t xml:space="preserve">In general for banks, it is preferred to have an efficiency ratio of 50% and under as it shows that the company is operating more efficiently </w:t>
      </w:r>
      <w:r w:rsidR="000D2814">
        <w:rPr>
          <w:rFonts w:ascii="Calibri" w:hAnsi="Calibri" w:cs="Calibri"/>
          <w:color w:val="000000" w:themeColor="text1"/>
        </w:rPr>
        <w:t xml:space="preserve">and increasing its assets. Referring to table 1, it is clear that between 2014 and 2016, Lloyds bank was not very efficient having an efficiency ratio of over 50% for the three years, however in 2017 the efficiency ratio went down to </w:t>
      </w:r>
      <w:r w:rsidR="000D2814" w:rsidRPr="00EE0361">
        <w:rPr>
          <w:rFonts w:ascii="Calibri" w:hAnsi="Calibri" w:cs="Calibri"/>
          <w:color w:val="000000" w:themeColor="text1"/>
        </w:rPr>
        <w:t>51.82873</w:t>
      </w:r>
      <w:r w:rsidR="000D2814">
        <w:rPr>
          <w:rFonts w:ascii="Calibri" w:hAnsi="Calibri" w:cs="Calibri"/>
          <w:color w:val="000000" w:themeColor="text1"/>
        </w:rPr>
        <w:t xml:space="preserve">% and </w:t>
      </w:r>
      <w:r w:rsidR="000D2814" w:rsidRPr="00EE0361">
        <w:rPr>
          <w:rFonts w:ascii="Calibri" w:hAnsi="Calibri" w:cs="Calibri"/>
          <w:color w:val="000000" w:themeColor="text1"/>
        </w:rPr>
        <w:t>29.20312</w:t>
      </w:r>
      <w:r w:rsidR="000D2814">
        <w:rPr>
          <w:rFonts w:ascii="Calibri" w:hAnsi="Calibri" w:cs="Calibri"/>
          <w:color w:val="000000" w:themeColor="text1"/>
        </w:rPr>
        <w:t xml:space="preserve">% for 2018, which is considerably low comparing it with its competitor Barclays, that has an efficiency ratio of </w:t>
      </w:r>
      <w:r w:rsidR="00D8796F" w:rsidRPr="00EE0361">
        <w:rPr>
          <w:rFonts w:ascii="Calibri" w:hAnsi="Calibri" w:cs="Calibri"/>
          <w:color w:val="000000" w:themeColor="text1"/>
        </w:rPr>
        <w:t>76.84992</w:t>
      </w:r>
      <w:r w:rsidR="00D8796F">
        <w:rPr>
          <w:rFonts w:ascii="Calibri" w:hAnsi="Calibri" w:cs="Calibri"/>
          <w:color w:val="000000" w:themeColor="text1"/>
        </w:rPr>
        <w:t xml:space="preserve">% as of 2018. </w:t>
      </w:r>
    </w:p>
    <w:p w:rsidR="0019689A" w:rsidRDefault="0019689A" w:rsidP="00D8796F">
      <w:pPr>
        <w:rPr>
          <w:rFonts w:ascii="Calibri" w:hAnsi="Calibri" w:cs="Calibri"/>
          <w:color w:val="000000" w:themeColor="text1"/>
        </w:rPr>
      </w:pPr>
      <w:r>
        <w:rPr>
          <w:rFonts w:ascii="Calibri" w:hAnsi="Calibri" w:cs="Calibri"/>
          <w:color w:val="000000" w:themeColor="text1"/>
        </w:rPr>
        <w:lastRenderedPageBreak/>
        <w:t>As mentioned before a low efficiency ratio for a bank is an indicator that the company is using its assets well to generate revenue. In this case Lloyds has improved with the passing of year indicating that the group might have undergone a decrease in cost in the last two years or an increase in re</w:t>
      </w:r>
      <w:r w:rsidR="00765DF6">
        <w:rPr>
          <w:rFonts w:ascii="Calibri" w:hAnsi="Calibri" w:cs="Calibri"/>
          <w:color w:val="000000" w:themeColor="text1"/>
        </w:rPr>
        <w:t xml:space="preserve">venue, which was also confirmed in their financial statements and public announcements. </w:t>
      </w:r>
      <w:sdt>
        <w:sdtPr>
          <w:rPr>
            <w:rFonts w:ascii="Calibri" w:hAnsi="Calibri" w:cs="Calibri"/>
            <w:color w:val="000000" w:themeColor="text1"/>
          </w:rPr>
          <w:id w:val="2025288125"/>
          <w:citation/>
        </w:sdtPr>
        <w:sdtEndPr/>
        <w:sdtContent>
          <w:r w:rsidR="00A846BB">
            <w:rPr>
              <w:rFonts w:ascii="Calibri" w:hAnsi="Calibri" w:cs="Calibri"/>
              <w:color w:val="000000" w:themeColor="text1"/>
            </w:rPr>
            <w:fldChar w:fldCharType="begin"/>
          </w:r>
          <w:r w:rsidR="00A846BB">
            <w:rPr>
              <w:rFonts w:ascii="Calibri" w:hAnsi="Calibri" w:cs="Calibri"/>
              <w:color w:val="000000" w:themeColor="text1"/>
              <w:lang w:val="en-GB"/>
            </w:rPr>
            <w:instrText xml:space="preserve"> CITATION BBC18 \l 2057 </w:instrText>
          </w:r>
          <w:r w:rsidR="00A846BB">
            <w:rPr>
              <w:rFonts w:ascii="Calibri" w:hAnsi="Calibri" w:cs="Calibri"/>
              <w:color w:val="000000" w:themeColor="text1"/>
            </w:rPr>
            <w:fldChar w:fldCharType="separate"/>
          </w:r>
          <w:r w:rsidR="0011637C" w:rsidRPr="0011637C">
            <w:rPr>
              <w:rFonts w:ascii="Calibri" w:hAnsi="Calibri" w:cs="Calibri"/>
              <w:noProof/>
              <w:color w:val="000000" w:themeColor="text1"/>
              <w:lang w:val="en-GB"/>
            </w:rPr>
            <w:t>(BBC, 2018)</w:t>
          </w:r>
          <w:r w:rsidR="00A846BB">
            <w:rPr>
              <w:rFonts w:ascii="Calibri" w:hAnsi="Calibri" w:cs="Calibri"/>
              <w:color w:val="000000" w:themeColor="text1"/>
            </w:rPr>
            <w:fldChar w:fldCharType="end"/>
          </w:r>
        </w:sdtContent>
      </w:sdt>
    </w:p>
    <w:p w:rsidR="00901F88" w:rsidRDefault="00901F88" w:rsidP="00D8796F">
      <w:pPr>
        <w:rPr>
          <w:rFonts w:ascii="Calibri" w:hAnsi="Calibri" w:cs="Calibri"/>
          <w:color w:val="000000" w:themeColor="text1"/>
        </w:rPr>
      </w:pPr>
      <w:r>
        <w:rPr>
          <w:rFonts w:ascii="Calibri" w:hAnsi="Calibri" w:cs="Calibri"/>
          <w:color w:val="000000" w:themeColor="text1"/>
        </w:rPr>
        <w:t xml:space="preserve">Tier 1 capital Ratio </w:t>
      </w:r>
      <w:r w:rsidR="0028343C">
        <w:rPr>
          <w:rFonts w:ascii="Calibri" w:hAnsi="Calibri" w:cs="Calibri"/>
          <w:color w:val="000000" w:themeColor="text1"/>
        </w:rPr>
        <w:t>–</w:t>
      </w:r>
      <w:r>
        <w:rPr>
          <w:rFonts w:ascii="Calibri" w:hAnsi="Calibri" w:cs="Calibri"/>
          <w:color w:val="000000" w:themeColor="text1"/>
        </w:rPr>
        <w:t xml:space="preserve"> </w:t>
      </w:r>
      <w:r w:rsidR="0028343C">
        <w:rPr>
          <w:rFonts w:ascii="Calibri" w:hAnsi="Calibri" w:cs="Calibri"/>
          <w:color w:val="000000" w:themeColor="text1"/>
        </w:rPr>
        <w:t xml:space="preserve">Tier 1 capital is the primary or core capital, including the banks common stock and disclosed reserves. </w:t>
      </w:r>
      <w:r w:rsidR="00004FDB">
        <w:rPr>
          <w:rFonts w:ascii="Calibri" w:hAnsi="Calibri" w:cs="Calibri"/>
          <w:color w:val="000000" w:themeColor="text1"/>
        </w:rPr>
        <w:t xml:space="preserve">After the financial crisis of 2008, it was deemed necessary for banks to have funds kept aside in order to ensure </w:t>
      </w:r>
      <w:r w:rsidR="00557AC4">
        <w:rPr>
          <w:rFonts w:ascii="Calibri" w:hAnsi="Calibri" w:cs="Calibri"/>
          <w:color w:val="000000" w:themeColor="text1"/>
        </w:rPr>
        <w:t xml:space="preserve">that the bank can function throughout all the risky transactions that it might undertake. </w:t>
      </w:r>
      <w:r w:rsidR="005C0DDD">
        <w:rPr>
          <w:rFonts w:ascii="Calibri" w:hAnsi="Calibri" w:cs="Calibri"/>
          <w:color w:val="000000" w:themeColor="text1"/>
        </w:rPr>
        <w:t xml:space="preserve">As seen on Table 1 Lloyds bank has had quite a high tier 1 capital ratio starting with 16.5% for 2014 and ending with 18.2% for 2018. </w:t>
      </w:r>
      <w:r w:rsidR="00E9174C">
        <w:rPr>
          <w:rFonts w:ascii="Calibri" w:hAnsi="Calibri" w:cs="Calibri"/>
          <w:color w:val="000000" w:themeColor="text1"/>
        </w:rPr>
        <w:t xml:space="preserve">Under Basel III the minimum tier capital requirement as of 2017 was at the figure of 12.5% and it can be said that Lloyds is doing a very good job at keeping its Tier 1 Capital ratio at a respectable percentage, compared to Barclays, that has a 13.3% Tier 1 Capital ratio as of 2018. </w:t>
      </w:r>
      <w:r w:rsidR="00185E65">
        <w:rPr>
          <w:rFonts w:ascii="Calibri" w:hAnsi="Calibri" w:cs="Calibri"/>
          <w:color w:val="000000" w:themeColor="text1"/>
        </w:rPr>
        <w:t xml:space="preserve">For Barclays even though it is above the requirement, it is still quite low, meaning that in case there are any problems with transactions, investing, trading or lending it might find it difficult to find the amount needed to resolve such problems. </w:t>
      </w:r>
    </w:p>
    <w:p w:rsidR="00ED17C0" w:rsidRDefault="001F6FB5" w:rsidP="003D385D">
      <w:pPr>
        <w:rPr>
          <w:rFonts w:ascii="Calibri" w:hAnsi="Calibri" w:cs="Calibri"/>
          <w:color w:val="000000" w:themeColor="text1"/>
        </w:rPr>
      </w:pPr>
      <w:r>
        <w:rPr>
          <w:rFonts w:ascii="Calibri" w:hAnsi="Calibri" w:cs="Calibri"/>
          <w:color w:val="000000" w:themeColor="text1"/>
        </w:rPr>
        <w:t xml:space="preserve">Asset quality ratio – This ratio shows correlation between the bad loans compared to the total loans given by the business. It is also known loan loss rate, as it shows the loan impairment for the year as a percentage, so it shows the percentage of the bad loan for the year. </w:t>
      </w:r>
      <w:r w:rsidR="00F53163">
        <w:rPr>
          <w:rFonts w:ascii="Calibri" w:hAnsi="Calibri" w:cs="Calibri"/>
          <w:color w:val="000000" w:themeColor="text1"/>
        </w:rPr>
        <w:t xml:space="preserve">Upon analysis for Lloyds bank </w:t>
      </w:r>
      <w:r w:rsidR="003D385D">
        <w:rPr>
          <w:rFonts w:ascii="Calibri" w:hAnsi="Calibri" w:cs="Calibri"/>
          <w:color w:val="000000" w:themeColor="text1"/>
        </w:rPr>
        <w:t xml:space="preserve">it can be said that they have a very low percentage of bad loans (from 2014 until 2018) the highest being </w:t>
      </w:r>
      <w:r w:rsidR="003D385D" w:rsidRPr="00EE0361">
        <w:rPr>
          <w:rFonts w:ascii="Calibri" w:hAnsi="Calibri" w:cs="Calibri"/>
          <w:color w:val="000000" w:themeColor="text1"/>
        </w:rPr>
        <w:t>0.19078</w:t>
      </w:r>
      <w:r w:rsidR="003D385D">
        <w:rPr>
          <w:rFonts w:ascii="Calibri" w:hAnsi="Calibri" w:cs="Calibri"/>
          <w:color w:val="000000" w:themeColor="text1"/>
        </w:rPr>
        <w:t xml:space="preserve">% in the year 2018, compared to Barclays, that has a asset quality ratio of </w:t>
      </w:r>
      <w:r w:rsidR="003D385D" w:rsidRPr="00EE0361">
        <w:rPr>
          <w:rFonts w:ascii="Calibri" w:hAnsi="Calibri" w:cs="Calibri"/>
          <w:color w:val="000000" w:themeColor="text1"/>
        </w:rPr>
        <w:t>0.449747</w:t>
      </w:r>
      <w:r w:rsidR="003D385D">
        <w:rPr>
          <w:rFonts w:ascii="Calibri" w:hAnsi="Calibri" w:cs="Calibri"/>
          <w:color w:val="000000" w:themeColor="text1"/>
        </w:rPr>
        <w:t xml:space="preserve">%, which is nearly two times as much. </w:t>
      </w:r>
      <w:r w:rsidR="002C647C">
        <w:rPr>
          <w:rFonts w:ascii="Calibri" w:hAnsi="Calibri" w:cs="Calibri"/>
          <w:color w:val="000000" w:themeColor="text1"/>
        </w:rPr>
        <w:t xml:space="preserve">Bad </w:t>
      </w:r>
      <w:r w:rsidR="002C647C" w:rsidRPr="002C647C">
        <w:rPr>
          <w:rFonts w:ascii="Calibri" w:hAnsi="Calibri" w:cs="Calibri"/>
          <w:color w:val="000000" w:themeColor="text1"/>
        </w:rPr>
        <w:t xml:space="preserve">loans </w:t>
      </w:r>
      <w:r w:rsidR="002C647C">
        <w:rPr>
          <w:rFonts w:ascii="Calibri" w:hAnsi="Calibri" w:cs="Calibri"/>
          <w:color w:val="000000" w:themeColor="text1"/>
        </w:rPr>
        <w:t>cause a very big problem during the financial crisis as</w:t>
      </w:r>
      <w:r w:rsidR="002C647C" w:rsidRPr="002C647C">
        <w:rPr>
          <w:rFonts w:ascii="Calibri" w:hAnsi="Calibri" w:cs="Calibri"/>
          <w:color w:val="000000" w:themeColor="text1"/>
        </w:rPr>
        <w:t xml:space="preserve"> banks</w:t>
      </w:r>
      <w:r w:rsidR="002C647C">
        <w:rPr>
          <w:rFonts w:ascii="Calibri" w:hAnsi="Calibri" w:cs="Calibri"/>
          <w:color w:val="000000" w:themeColor="text1"/>
        </w:rPr>
        <w:t xml:space="preserve"> that</w:t>
      </w:r>
      <w:r w:rsidR="002C647C" w:rsidRPr="002C647C">
        <w:rPr>
          <w:rFonts w:ascii="Calibri" w:hAnsi="Calibri" w:cs="Calibri"/>
          <w:color w:val="000000" w:themeColor="text1"/>
        </w:rPr>
        <w:t xml:space="preserve"> have a</w:t>
      </w:r>
      <w:r w:rsidR="002C647C">
        <w:rPr>
          <w:rFonts w:ascii="Calibri" w:hAnsi="Calibri" w:cs="Calibri"/>
          <w:color w:val="000000" w:themeColor="text1"/>
        </w:rPr>
        <w:t>ccumulated too many bad loans become unable to repay their</w:t>
      </w:r>
      <w:r w:rsidR="002C647C" w:rsidRPr="002C647C">
        <w:rPr>
          <w:rFonts w:ascii="Calibri" w:hAnsi="Calibri" w:cs="Calibri"/>
          <w:color w:val="000000" w:themeColor="text1"/>
        </w:rPr>
        <w:t xml:space="preserve"> debts, because </w:t>
      </w:r>
      <w:r w:rsidR="002C647C">
        <w:rPr>
          <w:rFonts w:ascii="Calibri" w:hAnsi="Calibri" w:cs="Calibri"/>
          <w:color w:val="000000" w:themeColor="text1"/>
        </w:rPr>
        <w:t>the loans that were previously being paid would turn into bad debts, hence the assets would lose their value.</w:t>
      </w:r>
      <w:r w:rsidR="00ED17C0">
        <w:rPr>
          <w:rFonts w:ascii="Calibri" w:hAnsi="Calibri" w:cs="Calibri"/>
          <w:color w:val="000000" w:themeColor="text1"/>
        </w:rPr>
        <w:t xml:space="preserve"> Lloyds seems to be performing quite well when it comes to managing bad debts, hence it is important to continue to do so, seeing the uncertainty laying ahead, especially with the Brexit issue in Britain. </w:t>
      </w:r>
    </w:p>
    <w:p w:rsidR="006D1251" w:rsidRDefault="00BD028D" w:rsidP="006D1251">
      <w:pPr>
        <w:rPr>
          <w:rFonts w:ascii="Calibri" w:hAnsi="Calibri" w:cs="Calibri"/>
          <w:color w:val="000000" w:themeColor="text1"/>
        </w:rPr>
      </w:pPr>
      <w:r>
        <w:rPr>
          <w:rFonts w:ascii="Calibri" w:hAnsi="Calibri" w:cs="Calibri"/>
          <w:color w:val="000000" w:themeColor="text1"/>
        </w:rPr>
        <w:t xml:space="preserve">Solvency ratio </w:t>
      </w:r>
      <w:r w:rsidR="007D1646">
        <w:rPr>
          <w:rFonts w:ascii="Calibri" w:hAnsi="Calibri" w:cs="Calibri"/>
          <w:color w:val="000000" w:themeColor="text1"/>
        </w:rPr>
        <w:t>–</w:t>
      </w:r>
      <w:r>
        <w:rPr>
          <w:rFonts w:ascii="Calibri" w:hAnsi="Calibri" w:cs="Calibri"/>
          <w:color w:val="000000" w:themeColor="text1"/>
        </w:rPr>
        <w:t xml:space="preserve"> </w:t>
      </w:r>
      <w:r w:rsidR="007D1646">
        <w:rPr>
          <w:rFonts w:ascii="Calibri" w:hAnsi="Calibri" w:cs="Calibri"/>
          <w:color w:val="000000" w:themeColor="text1"/>
        </w:rPr>
        <w:t xml:space="preserve">This ratio measures how much of the assets are financed on investment by the owners and it is done by comparing the total equity to the total assets of company. It is also known as equity ratio or leverage ratio. </w:t>
      </w:r>
      <w:r w:rsidR="006D1251">
        <w:rPr>
          <w:rFonts w:ascii="Calibri" w:hAnsi="Calibri" w:cs="Calibri"/>
          <w:color w:val="000000" w:themeColor="text1"/>
        </w:rPr>
        <w:t xml:space="preserve">Referring to the figures generated in Table 1. it can be said that Lloyds has in general started increasing the amount of assets being financed by the shareholder equity. To make a comparison, in 2018 the </w:t>
      </w:r>
      <w:r w:rsidR="00EF4806">
        <w:rPr>
          <w:rFonts w:ascii="Calibri" w:hAnsi="Calibri" w:cs="Calibri"/>
          <w:color w:val="000000" w:themeColor="text1"/>
        </w:rPr>
        <w:t>solvency</w:t>
      </w:r>
      <w:r w:rsidR="006D1251">
        <w:rPr>
          <w:rFonts w:ascii="Calibri" w:hAnsi="Calibri" w:cs="Calibri"/>
          <w:color w:val="000000" w:themeColor="text1"/>
        </w:rPr>
        <w:t xml:space="preserve"> ratio for Lloyds was </w:t>
      </w:r>
      <w:r w:rsidR="006D1251" w:rsidRPr="00EE0361">
        <w:rPr>
          <w:rFonts w:ascii="Calibri" w:hAnsi="Calibri" w:cs="Calibri"/>
          <w:color w:val="000000" w:themeColor="text1"/>
        </w:rPr>
        <w:t>6.293772</w:t>
      </w:r>
      <w:r w:rsidR="006D1251">
        <w:rPr>
          <w:rFonts w:ascii="Calibri" w:hAnsi="Calibri" w:cs="Calibri"/>
          <w:color w:val="000000" w:themeColor="text1"/>
        </w:rPr>
        <w:t xml:space="preserve">% and the one for Barclays </w:t>
      </w:r>
      <w:r w:rsidR="00EF4806">
        <w:rPr>
          <w:rFonts w:ascii="Calibri" w:hAnsi="Calibri" w:cs="Calibri"/>
          <w:color w:val="000000" w:themeColor="text1"/>
        </w:rPr>
        <w:t xml:space="preserve">was </w:t>
      </w:r>
      <w:r w:rsidR="006D1251" w:rsidRPr="00EE0361">
        <w:rPr>
          <w:rFonts w:ascii="Calibri" w:hAnsi="Calibri" w:cs="Calibri"/>
          <w:color w:val="000000" w:themeColor="text1"/>
        </w:rPr>
        <w:t>5.627809</w:t>
      </w:r>
      <w:r w:rsidR="00EF4806">
        <w:rPr>
          <w:rFonts w:ascii="Calibri" w:hAnsi="Calibri" w:cs="Calibri"/>
          <w:color w:val="000000" w:themeColor="text1"/>
        </w:rPr>
        <w:t>%</w:t>
      </w:r>
      <w:r w:rsidR="00EE6214">
        <w:rPr>
          <w:rFonts w:ascii="Calibri" w:hAnsi="Calibri" w:cs="Calibri"/>
          <w:color w:val="000000" w:themeColor="text1"/>
        </w:rPr>
        <w:t xml:space="preserve">. </w:t>
      </w:r>
      <w:r w:rsidR="006A2A39">
        <w:rPr>
          <w:rFonts w:ascii="Calibri" w:hAnsi="Calibri" w:cs="Calibri"/>
          <w:color w:val="000000" w:themeColor="text1"/>
        </w:rPr>
        <w:t xml:space="preserve">In general the higher the ratio the better it is for the company, in our case Lloyds is doing much better compared to Barclays. This is because a company that has got a high solvency ratio would show to potential creditor that the company is less risky and more sustainable in case of providing them with a loan, hence if an creditor would chose based only on the solvency ratio and nothing else, they would choose Lloyds. </w:t>
      </w:r>
    </w:p>
    <w:p w:rsidR="006A2A39" w:rsidRDefault="006A2A39" w:rsidP="006D1251">
      <w:pPr>
        <w:rPr>
          <w:rFonts w:ascii="Calibri" w:hAnsi="Calibri" w:cs="Calibri"/>
          <w:color w:val="000000" w:themeColor="text1"/>
        </w:rPr>
      </w:pPr>
      <w:r>
        <w:rPr>
          <w:rFonts w:ascii="Calibri" w:hAnsi="Calibri" w:cs="Calibri"/>
          <w:color w:val="000000" w:themeColor="text1"/>
        </w:rPr>
        <w:t xml:space="preserve">High solvency ratio also indicates that Lloyds has a lower cost of debt, since equity financing is much cheaper to obtain because debt financing comes with a higher interest rate when repaying it. </w:t>
      </w:r>
      <w:r w:rsidR="00C96295">
        <w:rPr>
          <w:rFonts w:ascii="Calibri" w:hAnsi="Calibri" w:cs="Calibri"/>
          <w:color w:val="000000" w:themeColor="text1"/>
        </w:rPr>
        <w:t>For this reason it is advisable for Lloyds to keep increasing their solvency ratio</w:t>
      </w:r>
      <w:r w:rsidR="000F7ED9">
        <w:rPr>
          <w:rFonts w:ascii="Calibri" w:hAnsi="Calibri" w:cs="Calibri"/>
          <w:color w:val="000000" w:themeColor="text1"/>
        </w:rPr>
        <w:t xml:space="preserve"> </w:t>
      </w:r>
      <w:r w:rsidR="000F7ED9">
        <w:rPr>
          <w:rFonts w:ascii="Calibri" w:hAnsi="Calibri" w:cs="Calibri"/>
          <w:color w:val="000000" w:themeColor="text1"/>
        </w:rPr>
        <w:lastRenderedPageBreak/>
        <w:t>increasing</w:t>
      </w:r>
      <w:r w:rsidR="00C96295">
        <w:rPr>
          <w:rFonts w:ascii="Calibri" w:hAnsi="Calibri" w:cs="Calibri"/>
          <w:color w:val="000000" w:themeColor="text1"/>
        </w:rPr>
        <w:t xml:space="preserve"> at a steady pace in order to </w:t>
      </w:r>
      <w:r w:rsidR="008A4376">
        <w:rPr>
          <w:rFonts w:ascii="Calibri" w:hAnsi="Calibri" w:cs="Calibri"/>
          <w:color w:val="000000" w:themeColor="text1"/>
        </w:rPr>
        <w:t xml:space="preserve">benefit from cheaper financing and </w:t>
      </w:r>
      <w:r w:rsidR="007719C1">
        <w:rPr>
          <w:rFonts w:ascii="Calibri" w:hAnsi="Calibri" w:cs="Calibri"/>
          <w:color w:val="000000" w:themeColor="text1"/>
        </w:rPr>
        <w:t>investing their</w:t>
      </w:r>
      <w:r w:rsidR="008A4376">
        <w:rPr>
          <w:rFonts w:ascii="Calibri" w:hAnsi="Calibri" w:cs="Calibri"/>
          <w:color w:val="000000" w:themeColor="text1"/>
        </w:rPr>
        <w:t xml:space="preserve"> </w:t>
      </w:r>
      <w:r w:rsidR="000F7ED9">
        <w:rPr>
          <w:rFonts w:ascii="Calibri" w:hAnsi="Calibri" w:cs="Calibri"/>
          <w:color w:val="000000" w:themeColor="text1"/>
        </w:rPr>
        <w:t xml:space="preserve">extra </w:t>
      </w:r>
      <w:r w:rsidR="007719C1">
        <w:rPr>
          <w:rFonts w:ascii="Calibri" w:hAnsi="Calibri" w:cs="Calibri"/>
          <w:color w:val="000000" w:themeColor="text1"/>
        </w:rPr>
        <w:t xml:space="preserve">profits in profitable future projects. </w:t>
      </w:r>
    </w:p>
    <w:p w:rsidR="00431647" w:rsidRDefault="00431647" w:rsidP="006D1251">
      <w:pPr>
        <w:rPr>
          <w:rFonts w:ascii="Calibri" w:hAnsi="Calibri" w:cs="Calibri"/>
          <w:color w:val="000000" w:themeColor="text1"/>
        </w:rPr>
      </w:pPr>
      <w:r>
        <w:rPr>
          <w:rFonts w:ascii="Calibri" w:hAnsi="Calibri" w:cs="Calibri"/>
          <w:color w:val="000000" w:themeColor="text1"/>
        </w:rPr>
        <w:t>Liquidity C</w:t>
      </w:r>
      <w:r w:rsidRPr="00431647">
        <w:rPr>
          <w:rFonts w:ascii="Calibri" w:hAnsi="Calibri" w:cs="Calibri"/>
          <w:color w:val="000000" w:themeColor="text1"/>
        </w:rPr>
        <w:t xml:space="preserve">overage </w:t>
      </w:r>
      <w:r>
        <w:rPr>
          <w:rFonts w:ascii="Calibri" w:hAnsi="Calibri" w:cs="Calibri"/>
          <w:color w:val="000000" w:themeColor="text1"/>
        </w:rPr>
        <w:t>R</w:t>
      </w:r>
      <w:r w:rsidRPr="00431647">
        <w:rPr>
          <w:rFonts w:ascii="Calibri" w:hAnsi="Calibri" w:cs="Calibri"/>
          <w:color w:val="000000" w:themeColor="text1"/>
        </w:rPr>
        <w:t>atio</w:t>
      </w:r>
      <w:r w:rsidR="00715ED4">
        <w:rPr>
          <w:rFonts w:ascii="Calibri" w:hAnsi="Calibri" w:cs="Calibri"/>
          <w:color w:val="000000" w:themeColor="text1"/>
        </w:rPr>
        <w:t xml:space="preserve"> (LCR)</w:t>
      </w:r>
      <w:r>
        <w:rPr>
          <w:rFonts w:ascii="Calibri" w:hAnsi="Calibri" w:cs="Calibri"/>
          <w:color w:val="000000" w:themeColor="text1"/>
        </w:rPr>
        <w:t xml:space="preserve"> </w:t>
      </w:r>
      <w:r w:rsidR="00C13789">
        <w:rPr>
          <w:rFonts w:ascii="Calibri" w:hAnsi="Calibri" w:cs="Calibri"/>
          <w:color w:val="000000" w:themeColor="text1"/>
        </w:rPr>
        <w:t>–</w:t>
      </w:r>
      <w:r>
        <w:rPr>
          <w:rFonts w:ascii="Calibri" w:hAnsi="Calibri" w:cs="Calibri"/>
          <w:color w:val="000000" w:themeColor="text1"/>
        </w:rPr>
        <w:t xml:space="preserve"> </w:t>
      </w:r>
      <w:r w:rsidR="00C13789">
        <w:rPr>
          <w:rFonts w:ascii="Calibri" w:hAnsi="Calibri" w:cs="Calibri"/>
          <w:color w:val="000000" w:themeColor="text1"/>
        </w:rPr>
        <w:t>The Liquidity C</w:t>
      </w:r>
      <w:r w:rsidR="00C13789" w:rsidRPr="00431647">
        <w:rPr>
          <w:rFonts w:ascii="Calibri" w:hAnsi="Calibri" w:cs="Calibri"/>
          <w:color w:val="000000" w:themeColor="text1"/>
        </w:rPr>
        <w:t xml:space="preserve">overage </w:t>
      </w:r>
      <w:r w:rsidR="00C13789">
        <w:rPr>
          <w:rFonts w:ascii="Calibri" w:hAnsi="Calibri" w:cs="Calibri"/>
          <w:color w:val="000000" w:themeColor="text1"/>
        </w:rPr>
        <w:t>R</w:t>
      </w:r>
      <w:r w:rsidR="00C13789" w:rsidRPr="00431647">
        <w:rPr>
          <w:rFonts w:ascii="Calibri" w:hAnsi="Calibri" w:cs="Calibri"/>
          <w:color w:val="000000" w:themeColor="text1"/>
        </w:rPr>
        <w:t>atio</w:t>
      </w:r>
      <w:r w:rsidR="00C13789">
        <w:rPr>
          <w:rFonts w:ascii="Calibri" w:hAnsi="Calibri" w:cs="Calibri"/>
          <w:color w:val="000000" w:themeColor="text1"/>
        </w:rPr>
        <w:t xml:space="preserve"> is a legal requirement under Basel III, where the bank is required to </w:t>
      </w:r>
      <w:r w:rsidR="00715ED4">
        <w:rPr>
          <w:rFonts w:ascii="Calibri" w:hAnsi="Calibri" w:cs="Calibri"/>
          <w:color w:val="000000" w:themeColor="text1"/>
        </w:rPr>
        <w:t xml:space="preserve">maintain and have as a reserve a minimum of 100% </w:t>
      </w:r>
      <w:r w:rsidR="00AC215C">
        <w:rPr>
          <w:rFonts w:ascii="Calibri" w:hAnsi="Calibri" w:cs="Calibri"/>
          <w:color w:val="000000" w:themeColor="text1"/>
        </w:rPr>
        <w:t xml:space="preserve">(enforced from 2015) </w:t>
      </w:r>
      <w:r w:rsidR="00715ED4">
        <w:rPr>
          <w:rFonts w:ascii="Calibri" w:hAnsi="Calibri" w:cs="Calibri"/>
          <w:color w:val="000000" w:themeColor="text1"/>
        </w:rPr>
        <w:t xml:space="preserve">of high quality liquid </w:t>
      </w:r>
      <w:r w:rsidR="00E02202">
        <w:rPr>
          <w:rFonts w:ascii="Calibri" w:hAnsi="Calibri" w:cs="Calibri"/>
          <w:color w:val="000000" w:themeColor="text1"/>
        </w:rPr>
        <w:t>assets that</w:t>
      </w:r>
      <w:r w:rsidR="00715ED4">
        <w:rPr>
          <w:rFonts w:ascii="Calibri" w:hAnsi="Calibri" w:cs="Calibri"/>
          <w:color w:val="000000" w:themeColor="text1"/>
        </w:rPr>
        <w:t xml:space="preserve"> would be enough to fund any cash outflows for 30 </w:t>
      </w:r>
      <w:r w:rsidR="00AC215C">
        <w:rPr>
          <w:rFonts w:ascii="Calibri" w:hAnsi="Calibri" w:cs="Calibri"/>
          <w:color w:val="000000" w:themeColor="text1"/>
        </w:rPr>
        <w:t>days</w:t>
      </w:r>
      <w:r w:rsidR="00032A20">
        <w:rPr>
          <w:rFonts w:ascii="Calibri" w:hAnsi="Calibri" w:cs="Calibri"/>
          <w:color w:val="000000" w:themeColor="text1"/>
        </w:rPr>
        <w:t xml:space="preserve">, in other words holding highly liquid assets such as cash, corporate debt or treasury bonds that are equal or greater compared to the net cash flow for 30 days of operating. </w:t>
      </w:r>
      <w:r w:rsidR="00E02202">
        <w:rPr>
          <w:rFonts w:ascii="Calibri" w:hAnsi="Calibri" w:cs="Calibri"/>
          <w:color w:val="000000" w:themeColor="text1"/>
        </w:rPr>
        <w:t xml:space="preserve">The 30 days have been chosen as a timeframe as it given enough time to the Bank of England to intervene in order to regulate the financial market. </w:t>
      </w:r>
      <w:r w:rsidR="00127382">
        <w:rPr>
          <w:rFonts w:ascii="Calibri" w:hAnsi="Calibri" w:cs="Calibri"/>
          <w:color w:val="000000" w:themeColor="text1"/>
        </w:rPr>
        <w:t xml:space="preserve">Basel III applies in the European Union as well and it is implemented so that the banks will be able to get through stressed market condition, by having enough resources to last potential cash outflows for that specific amount of time. </w:t>
      </w:r>
      <w:sdt>
        <w:sdtPr>
          <w:rPr>
            <w:rFonts w:ascii="Calibri" w:hAnsi="Calibri" w:cs="Calibri"/>
            <w:color w:val="000000" w:themeColor="text1"/>
          </w:rPr>
          <w:id w:val="-1243023362"/>
          <w:citation/>
        </w:sdtPr>
        <w:sdtEndPr/>
        <w:sdtContent>
          <w:r w:rsidR="00B5475F">
            <w:rPr>
              <w:rFonts w:ascii="Calibri" w:hAnsi="Calibri" w:cs="Calibri"/>
              <w:color w:val="000000" w:themeColor="text1"/>
            </w:rPr>
            <w:fldChar w:fldCharType="begin"/>
          </w:r>
          <w:r w:rsidR="00B5475F">
            <w:rPr>
              <w:lang w:val="en-GB"/>
            </w:rPr>
            <w:instrText xml:space="preserve"> CITATION BIS19 \l 2057 </w:instrText>
          </w:r>
          <w:r w:rsidR="00B5475F">
            <w:rPr>
              <w:rFonts w:ascii="Calibri" w:hAnsi="Calibri" w:cs="Calibri"/>
              <w:color w:val="000000" w:themeColor="text1"/>
            </w:rPr>
            <w:fldChar w:fldCharType="separate"/>
          </w:r>
          <w:r w:rsidR="0011637C" w:rsidRPr="0011637C">
            <w:rPr>
              <w:noProof/>
              <w:lang w:val="en-GB"/>
            </w:rPr>
            <w:t>(BIS.Org, 2019)</w:t>
          </w:r>
          <w:r w:rsidR="00B5475F">
            <w:rPr>
              <w:rFonts w:ascii="Calibri" w:hAnsi="Calibri" w:cs="Calibri"/>
              <w:color w:val="000000" w:themeColor="text1"/>
            </w:rPr>
            <w:fldChar w:fldCharType="end"/>
          </w:r>
        </w:sdtContent>
      </w:sdt>
      <w:r w:rsidR="00080417">
        <w:rPr>
          <w:rFonts w:ascii="Calibri" w:hAnsi="Calibri" w:cs="Calibri"/>
          <w:color w:val="000000" w:themeColor="text1"/>
        </w:rPr>
        <w:t xml:space="preserve">As far as Lloyds is concerned they only started implementing the LCR requirement in 2017 and 2018 being respectively 125% and 128%, whereas Barclays reported a LCR ratio at the figure of 154%. </w:t>
      </w:r>
      <w:r w:rsidR="00EC4FB6">
        <w:rPr>
          <w:rFonts w:ascii="Calibri" w:hAnsi="Calibri" w:cs="Calibri"/>
          <w:color w:val="000000" w:themeColor="text1"/>
        </w:rPr>
        <w:t xml:space="preserve">Both of the banks are complying with the Basel III regulations making them powerful enough to pass any stress market situations that the companies might undergo, however it is advisable for Lloyds to maybe increase its LCR since sometimes stress market situations might last longer, hence it would need a lot more resources put on hold. </w:t>
      </w:r>
    </w:p>
    <w:p w:rsidR="00417763" w:rsidRDefault="00941CF3" w:rsidP="00417763">
      <w:pPr>
        <w:rPr>
          <w:rFonts w:ascii="Calibri" w:hAnsi="Calibri" w:cs="Calibri"/>
          <w:color w:val="000000" w:themeColor="text1"/>
        </w:rPr>
      </w:pPr>
      <w:r>
        <w:rPr>
          <w:rFonts w:ascii="Calibri" w:hAnsi="Calibri" w:cs="Calibri"/>
          <w:color w:val="000000" w:themeColor="text1"/>
        </w:rPr>
        <w:t xml:space="preserve">Total loans to total assets ratio – This ratio </w:t>
      </w:r>
      <w:r w:rsidR="006B2FD9">
        <w:rPr>
          <w:rFonts w:ascii="Calibri" w:hAnsi="Calibri" w:cs="Calibri"/>
          <w:color w:val="000000" w:themeColor="text1"/>
        </w:rPr>
        <w:t>measures</w:t>
      </w:r>
      <w:r w:rsidR="0096495F">
        <w:rPr>
          <w:rFonts w:ascii="Calibri" w:hAnsi="Calibri" w:cs="Calibri"/>
          <w:color w:val="000000" w:themeColor="text1"/>
        </w:rPr>
        <w:t xml:space="preserve"> what percentage of the company’</w:t>
      </w:r>
      <w:r w:rsidR="0000037D">
        <w:rPr>
          <w:rFonts w:ascii="Calibri" w:hAnsi="Calibri" w:cs="Calibri"/>
          <w:color w:val="000000" w:themeColor="text1"/>
        </w:rPr>
        <w:t>s assets are outstanding loans. A high ratio of total loans to total assets indicates that the bank is not very liquid, hence might suffer if i</w:t>
      </w:r>
      <w:r w:rsidR="00B417BA">
        <w:rPr>
          <w:rFonts w:ascii="Calibri" w:hAnsi="Calibri" w:cs="Calibri"/>
          <w:color w:val="000000" w:themeColor="text1"/>
        </w:rPr>
        <w:t xml:space="preserve">t needs to make its assets liquid quick. </w:t>
      </w:r>
      <w:r w:rsidR="00A17A73">
        <w:rPr>
          <w:rFonts w:ascii="Calibri" w:hAnsi="Calibri" w:cs="Calibri"/>
          <w:color w:val="000000" w:themeColor="text1"/>
        </w:rPr>
        <w:t xml:space="preserve">As the calculations in Table 1 show, Lloyds has got a high ratio for total loans to total assets, being above 50% throughout the 2014 </w:t>
      </w:r>
      <w:r w:rsidR="00CC4558">
        <w:rPr>
          <w:rFonts w:ascii="Calibri" w:hAnsi="Calibri" w:cs="Calibri"/>
          <w:color w:val="000000" w:themeColor="text1"/>
        </w:rPr>
        <w:t xml:space="preserve">and 2018 period. Barclays bank on the other hand has got the ratio of </w:t>
      </w:r>
      <w:r w:rsidR="00CC4558" w:rsidRPr="00EE0361">
        <w:rPr>
          <w:rFonts w:ascii="Calibri" w:hAnsi="Calibri" w:cs="Calibri"/>
          <w:color w:val="000000" w:themeColor="text1"/>
        </w:rPr>
        <w:t>28.80181</w:t>
      </w:r>
      <w:r w:rsidR="00CC4558">
        <w:rPr>
          <w:rFonts w:ascii="Calibri" w:hAnsi="Calibri" w:cs="Calibri"/>
          <w:color w:val="000000" w:themeColor="text1"/>
        </w:rPr>
        <w:t xml:space="preserve">% for 2018 whereas Lloyds has a ratio of </w:t>
      </w:r>
      <w:r w:rsidR="00CC4558" w:rsidRPr="00EE0361">
        <w:rPr>
          <w:rFonts w:ascii="Calibri" w:hAnsi="Calibri" w:cs="Calibri"/>
          <w:color w:val="000000" w:themeColor="text1"/>
        </w:rPr>
        <w:t>61.57751</w:t>
      </w:r>
      <w:r w:rsidR="00CC4558">
        <w:rPr>
          <w:rFonts w:ascii="Calibri" w:hAnsi="Calibri" w:cs="Calibri"/>
          <w:color w:val="000000" w:themeColor="text1"/>
        </w:rPr>
        <w:t xml:space="preserve">% for this respective year. </w:t>
      </w:r>
      <w:r w:rsidR="00417763">
        <w:rPr>
          <w:rFonts w:ascii="Calibri" w:hAnsi="Calibri" w:cs="Calibri"/>
          <w:color w:val="000000" w:themeColor="text1"/>
        </w:rPr>
        <w:t xml:space="preserve">This figure is considerably high for Lloyds, meaning that of all the assets the company has, nearly 61% are outstanding loans, which also means that </w:t>
      </w:r>
      <w:r w:rsidR="00644E37">
        <w:rPr>
          <w:rFonts w:ascii="Calibri" w:hAnsi="Calibri" w:cs="Calibri"/>
          <w:color w:val="000000" w:themeColor="text1"/>
        </w:rPr>
        <w:t xml:space="preserve">the bank might have liquidity problems if cash are needed quickly, as loans are not high quality liquid assets. </w:t>
      </w:r>
    </w:p>
    <w:p w:rsidR="00851C58" w:rsidRDefault="00E17EEA" w:rsidP="00417763">
      <w:pPr>
        <w:rPr>
          <w:rFonts w:ascii="Calibri" w:hAnsi="Calibri" w:cs="Calibri"/>
          <w:color w:val="000000" w:themeColor="text1"/>
        </w:rPr>
      </w:pPr>
      <w:r>
        <w:rPr>
          <w:rFonts w:ascii="Calibri" w:hAnsi="Calibri" w:cs="Calibri"/>
          <w:color w:val="000000" w:themeColor="text1"/>
        </w:rPr>
        <w:t xml:space="preserve">Considering the fact that </w:t>
      </w:r>
      <w:r w:rsidR="00FD0BFC">
        <w:rPr>
          <w:rFonts w:ascii="Calibri" w:hAnsi="Calibri" w:cs="Calibri"/>
          <w:color w:val="000000" w:themeColor="text1"/>
        </w:rPr>
        <w:t xml:space="preserve">Lloyds might have </w:t>
      </w:r>
      <w:r w:rsidR="00F329EC">
        <w:rPr>
          <w:rFonts w:ascii="Calibri" w:hAnsi="Calibri" w:cs="Calibri"/>
          <w:color w:val="000000" w:themeColor="text1"/>
        </w:rPr>
        <w:t>liquid problems in the f</w:t>
      </w:r>
      <w:r w:rsidR="0088154B">
        <w:rPr>
          <w:rFonts w:ascii="Calibri" w:hAnsi="Calibri" w:cs="Calibri"/>
          <w:color w:val="000000" w:themeColor="text1"/>
        </w:rPr>
        <w:t xml:space="preserve">uture it is highly advisable for the company </w:t>
      </w:r>
      <w:r w:rsidR="00AB10D7">
        <w:rPr>
          <w:rFonts w:ascii="Calibri" w:hAnsi="Calibri" w:cs="Calibri"/>
          <w:color w:val="000000" w:themeColor="text1"/>
        </w:rPr>
        <w:t xml:space="preserve">try and diversify so that it is not highly dependent on the loans in order to access quick cash. Barclays for example owns many other branches and other companies that have nothing to do with finance, however they contribute towards reducing the dependency from loans repayments as an assets, so maybe Lloyds should also try to diversity in order to have other types income </w:t>
      </w:r>
      <w:r w:rsidR="00851C58">
        <w:rPr>
          <w:rFonts w:ascii="Calibri" w:hAnsi="Calibri" w:cs="Calibri"/>
          <w:color w:val="000000" w:themeColor="text1"/>
        </w:rPr>
        <w:t>except loans.</w:t>
      </w:r>
    </w:p>
    <w:p w:rsidR="00536DB8" w:rsidRDefault="00851C58" w:rsidP="00536DB8">
      <w:pPr>
        <w:rPr>
          <w:rFonts w:ascii="Calibri" w:hAnsi="Calibri" w:cs="Calibri"/>
          <w:color w:val="000000" w:themeColor="text1"/>
        </w:rPr>
      </w:pPr>
      <w:r>
        <w:rPr>
          <w:rFonts w:ascii="Calibri" w:hAnsi="Calibri" w:cs="Calibri"/>
          <w:color w:val="000000" w:themeColor="text1"/>
        </w:rPr>
        <w:t xml:space="preserve">Return on </w:t>
      </w:r>
      <w:r w:rsidR="00B572C1">
        <w:rPr>
          <w:rFonts w:ascii="Calibri" w:hAnsi="Calibri" w:cs="Calibri"/>
          <w:color w:val="000000" w:themeColor="text1"/>
        </w:rPr>
        <w:t xml:space="preserve">Equity </w:t>
      </w:r>
      <w:r>
        <w:rPr>
          <w:rFonts w:ascii="Calibri" w:hAnsi="Calibri" w:cs="Calibri"/>
          <w:color w:val="000000" w:themeColor="text1"/>
        </w:rPr>
        <w:t xml:space="preserve">(ROE) </w:t>
      </w:r>
      <w:r w:rsidR="00B572C1">
        <w:rPr>
          <w:rFonts w:ascii="Calibri" w:hAnsi="Calibri" w:cs="Calibri"/>
          <w:color w:val="000000" w:themeColor="text1"/>
        </w:rPr>
        <w:t>–</w:t>
      </w:r>
      <w:r>
        <w:rPr>
          <w:rFonts w:ascii="Calibri" w:hAnsi="Calibri" w:cs="Calibri"/>
          <w:color w:val="000000" w:themeColor="text1"/>
        </w:rPr>
        <w:t xml:space="preserve"> </w:t>
      </w:r>
      <w:r w:rsidR="00B572C1">
        <w:rPr>
          <w:rFonts w:ascii="Calibri" w:hAnsi="Calibri" w:cs="Calibri"/>
          <w:color w:val="000000" w:themeColor="text1"/>
        </w:rPr>
        <w:t xml:space="preserve">ROE is a key profitability ratio as it shows what proportion of the company’s income is given to shareholder equity. </w:t>
      </w:r>
      <w:r w:rsidR="00EC3179">
        <w:rPr>
          <w:rFonts w:ascii="Calibri" w:hAnsi="Calibri" w:cs="Calibri"/>
          <w:color w:val="000000" w:themeColor="text1"/>
        </w:rPr>
        <w:t xml:space="preserve">ROE can be used to compare one company to another and it reveals how effectively a corporation is using the investors’ money to generate profit </w:t>
      </w:r>
      <w:r w:rsidR="00916468">
        <w:rPr>
          <w:rFonts w:ascii="Calibri" w:hAnsi="Calibri" w:cs="Calibri"/>
          <w:color w:val="000000" w:themeColor="text1"/>
        </w:rPr>
        <w:t xml:space="preserve">from. </w:t>
      </w:r>
      <w:r w:rsidR="00D52D03">
        <w:rPr>
          <w:rFonts w:ascii="Calibri" w:hAnsi="Calibri" w:cs="Calibri"/>
          <w:color w:val="000000" w:themeColor="text1"/>
        </w:rPr>
        <w:t>According to</w:t>
      </w:r>
      <w:r w:rsidR="00536F40">
        <w:rPr>
          <w:rFonts w:ascii="Calibri" w:hAnsi="Calibri" w:cs="Calibri"/>
          <w:color w:val="000000" w:themeColor="text1"/>
        </w:rPr>
        <w:t xml:space="preserve"> the European Banking </w:t>
      </w:r>
      <w:r w:rsidR="00536F40" w:rsidRPr="0011637C">
        <w:rPr>
          <w:rFonts w:ascii="Calibri" w:hAnsi="Calibri" w:cs="Calibri"/>
          <w:color w:val="auto"/>
        </w:rPr>
        <w:t>Federation</w:t>
      </w:r>
      <w:r w:rsidR="00D52D03" w:rsidRPr="0011637C">
        <w:rPr>
          <w:rFonts w:ascii="Calibri" w:hAnsi="Calibri" w:cs="Calibri"/>
          <w:color w:val="auto"/>
        </w:rPr>
        <w:t xml:space="preserve"> </w:t>
      </w:r>
      <w:sdt>
        <w:sdtPr>
          <w:rPr>
            <w:rFonts w:ascii="Calibri" w:hAnsi="Calibri" w:cs="Calibri"/>
            <w:color w:val="auto"/>
          </w:rPr>
          <w:id w:val="133919493"/>
          <w:citation/>
        </w:sdtPr>
        <w:sdtEndPr/>
        <w:sdtContent>
          <w:r w:rsidR="00627A23" w:rsidRPr="0011637C">
            <w:rPr>
              <w:rFonts w:ascii="Calibri" w:hAnsi="Calibri" w:cs="Calibri"/>
              <w:color w:val="auto"/>
            </w:rPr>
            <w:fldChar w:fldCharType="begin"/>
          </w:r>
          <w:r w:rsidR="00627A23" w:rsidRPr="0011637C">
            <w:rPr>
              <w:rFonts w:ascii="Calibri" w:hAnsi="Calibri" w:cs="Calibri"/>
              <w:color w:val="auto"/>
              <w:lang w:val="en-GB"/>
            </w:rPr>
            <w:instrText xml:space="preserve"> CITATION EBF19 \l 2057 </w:instrText>
          </w:r>
          <w:r w:rsidR="00627A23" w:rsidRPr="0011637C">
            <w:rPr>
              <w:rFonts w:ascii="Calibri" w:hAnsi="Calibri" w:cs="Calibri"/>
              <w:color w:val="auto"/>
            </w:rPr>
            <w:fldChar w:fldCharType="separate"/>
          </w:r>
          <w:r w:rsidR="0011637C" w:rsidRPr="0011637C">
            <w:rPr>
              <w:rFonts w:ascii="Calibri" w:hAnsi="Calibri" w:cs="Calibri"/>
              <w:noProof/>
              <w:color w:val="auto"/>
              <w:lang w:val="en-GB"/>
            </w:rPr>
            <w:t>(EBF.EU, 2019)</w:t>
          </w:r>
          <w:r w:rsidR="00627A23" w:rsidRPr="0011637C">
            <w:rPr>
              <w:rFonts w:ascii="Calibri" w:hAnsi="Calibri" w:cs="Calibri"/>
              <w:color w:val="auto"/>
            </w:rPr>
            <w:fldChar w:fldCharType="end"/>
          </w:r>
        </w:sdtContent>
      </w:sdt>
      <w:r w:rsidR="00D52D03" w:rsidRPr="0011637C">
        <w:rPr>
          <w:rFonts w:ascii="Calibri" w:hAnsi="Calibri" w:cs="Calibri"/>
          <w:color w:val="auto"/>
        </w:rPr>
        <w:t xml:space="preserve"> the average return on equity for the UK in the banking sector is </w:t>
      </w:r>
      <w:r w:rsidR="009A6A41" w:rsidRPr="0011637C">
        <w:rPr>
          <w:rFonts w:ascii="Calibri" w:hAnsi="Calibri" w:cs="Calibri"/>
          <w:color w:val="auto"/>
        </w:rPr>
        <w:t>4.3%</w:t>
      </w:r>
      <w:r w:rsidR="003812FF" w:rsidRPr="0011637C">
        <w:rPr>
          <w:rFonts w:ascii="Calibri" w:hAnsi="Calibri" w:cs="Calibri"/>
          <w:color w:val="auto"/>
        </w:rPr>
        <w:t xml:space="preserve"> for 2018. </w:t>
      </w:r>
      <w:r w:rsidR="009A6A41" w:rsidRPr="0011637C">
        <w:rPr>
          <w:rFonts w:ascii="Calibri" w:hAnsi="Calibri" w:cs="Calibri"/>
          <w:color w:val="auto"/>
        </w:rPr>
        <w:t xml:space="preserve">Lloyds on the other hand </w:t>
      </w:r>
      <w:r w:rsidR="003812FF" w:rsidRPr="0011637C">
        <w:rPr>
          <w:rFonts w:ascii="Calibri" w:hAnsi="Calibri" w:cs="Calibri"/>
          <w:color w:val="auto"/>
        </w:rPr>
        <w:t xml:space="preserve">has had a ROE ratio of 3.003827% in 2014 and </w:t>
      </w:r>
      <w:r w:rsidR="00536DB8" w:rsidRPr="0011637C">
        <w:rPr>
          <w:rFonts w:ascii="Calibri" w:hAnsi="Calibri" w:cs="Calibri"/>
          <w:color w:val="auto"/>
        </w:rPr>
        <w:t>si</w:t>
      </w:r>
      <w:r w:rsidR="00536DB8">
        <w:rPr>
          <w:rFonts w:ascii="Calibri" w:hAnsi="Calibri" w:cs="Calibri"/>
          <w:color w:val="000000" w:themeColor="text1"/>
        </w:rPr>
        <w:t xml:space="preserve">nce then it has only increase, making the ROE ratio for 2018 at the figure of </w:t>
      </w:r>
      <w:r w:rsidR="00536DB8" w:rsidRPr="00EE0361">
        <w:rPr>
          <w:rFonts w:ascii="Calibri" w:hAnsi="Calibri" w:cs="Calibri"/>
          <w:color w:val="000000" w:themeColor="text1"/>
        </w:rPr>
        <w:t>8.765115</w:t>
      </w:r>
      <w:r w:rsidR="00536DB8">
        <w:rPr>
          <w:rFonts w:ascii="Calibri" w:hAnsi="Calibri" w:cs="Calibri"/>
          <w:color w:val="000000" w:themeColor="text1"/>
        </w:rPr>
        <w:t xml:space="preserve">%, which is above the national average and by far greater than its competitor Barclays, which has a ROE ratio of </w:t>
      </w:r>
      <w:r w:rsidR="00536DB8" w:rsidRPr="00EE0361">
        <w:rPr>
          <w:rFonts w:ascii="Calibri" w:hAnsi="Calibri" w:cs="Calibri"/>
          <w:color w:val="000000" w:themeColor="text1"/>
        </w:rPr>
        <w:t>2.185672</w:t>
      </w:r>
      <w:r w:rsidR="00536DB8">
        <w:rPr>
          <w:rFonts w:ascii="Calibri" w:hAnsi="Calibri" w:cs="Calibri"/>
          <w:color w:val="000000" w:themeColor="text1"/>
        </w:rPr>
        <w:t xml:space="preserve">%. </w:t>
      </w:r>
    </w:p>
    <w:p w:rsidR="00536F40" w:rsidRPr="00EE0361" w:rsidRDefault="00536F40" w:rsidP="00536DB8">
      <w:pPr>
        <w:rPr>
          <w:rFonts w:ascii="Calibri" w:hAnsi="Calibri" w:cs="Calibri"/>
          <w:color w:val="000000" w:themeColor="text1"/>
        </w:rPr>
      </w:pPr>
      <w:r>
        <w:rPr>
          <w:rFonts w:ascii="Calibri" w:hAnsi="Calibri" w:cs="Calibri"/>
          <w:color w:val="000000" w:themeColor="text1"/>
        </w:rPr>
        <w:lastRenderedPageBreak/>
        <w:t>Considering that Lloyds is doing well on its ROE</w:t>
      </w:r>
      <w:r w:rsidR="008E4C64">
        <w:rPr>
          <w:rFonts w:ascii="Calibri" w:hAnsi="Calibri" w:cs="Calibri"/>
          <w:color w:val="000000" w:themeColor="text1"/>
        </w:rPr>
        <w:t xml:space="preserve"> ratio, </w:t>
      </w:r>
      <w:r w:rsidR="007C4CF3">
        <w:rPr>
          <w:rFonts w:ascii="Calibri" w:hAnsi="Calibri" w:cs="Calibri"/>
          <w:color w:val="000000" w:themeColor="text1"/>
        </w:rPr>
        <w:t xml:space="preserve">it shows that the management is working a lot to manage and use equity financing in order to grow the company and invest in new projects. </w:t>
      </w:r>
      <w:r w:rsidR="00770535">
        <w:rPr>
          <w:rFonts w:ascii="Calibri" w:hAnsi="Calibri" w:cs="Calibri"/>
          <w:color w:val="000000" w:themeColor="text1"/>
        </w:rPr>
        <w:t xml:space="preserve">Consequently </w:t>
      </w:r>
      <w:r w:rsidR="008E4C64">
        <w:rPr>
          <w:rFonts w:ascii="Calibri" w:hAnsi="Calibri" w:cs="Calibri"/>
          <w:color w:val="000000" w:themeColor="text1"/>
        </w:rPr>
        <w:t xml:space="preserve">on the </w:t>
      </w:r>
      <w:r w:rsidR="00770535">
        <w:rPr>
          <w:rFonts w:ascii="Calibri" w:hAnsi="Calibri" w:cs="Calibri"/>
          <w:color w:val="000000" w:themeColor="text1"/>
        </w:rPr>
        <w:t>investors’</w:t>
      </w:r>
      <w:r w:rsidR="008E4C64">
        <w:rPr>
          <w:rFonts w:ascii="Calibri" w:hAnsi="Calibri" w:cs="Calibri"/>
          <w:color w:val="000000" w:themeColor="text1"/>
        </w:rPr>
        <w:t xml:space="preserve"> point of view, the group would be very favorable and prone to getting investments, since Lloyds has a higher than average </w:t>
      </w:r>
      <w:r w:rsidR="00770535">
        <w:rPr>
          <w:rFonts w:ascii="Calibri" w:hAnsi="Calibri" w:cs="Calibri"/>
          <w:color w:val="000000" w:themeColor="text1"/>
        </w:rPr>
        <w:t>rate of return and since they use equity financing effectively</w:t>
      </w:r>
      <w:r w:rsidR="000F2AFE">
        <w:rPr>
          <w:rFonts w:ascii="Calibri" w:hAnsi="Calibri" w:cs="Calibri"/>
          <w:color w:val="000000" w:themeColor="text1"/>
        </w:rPr>
        <w:t xml:space="preserve">. </w:t>
      </w:r>
    </w:p>
    <w:p w:rsidR="00536DB8" w:rsidRPr="00EE0361" w:rsidRDefault="00536DB8" w:rsidP="00536DB8">
      <w:pPr>
        <w:rPr>
          <w:rFonts w:ascii="Calibri" w:hAnsi="Calibri" w:cs="Calibri"/>
          <w:color w:val="000000" w:themeColor="text1"/>
        </w:rPr>
      </w:pPr>
    </w:p>
    <w:p w:rsidR="003812FF" w:rsidRDefault="00545621" w:rsidP="00C2134D">
      <w:pPr>
        <w:pStyle w:val="Heading3"/>
      </w:pPr>
      <w:r>
        <w:t xml:space="preserve">Treasury bills </w:t>
      </w:r>
    </w:p>
    <w:p w:rsidR="00545621" w:rsidRPr="00EE0361" w:rsidRDefault="00545621" w:rsidP="003812FF">
      <w:pPr>
        <w:rPr>
          <w:rFonts w:ascii="Calibri" w:hAnsi="Calibri" w:cs="Calibri"/>
          <w:color w:val="000000" w:themeColor="text1"/>
        </w:rPr>
      </w:pPr>
    </w:p>
    <w:p w:rsidR="00851C58" w:rsidRDefault="00C2134D" w:rsidP="00417763">
      <w:pPr>
        <w:rPr>
          <w:rFonts w:ascii="Calibri" w:hAnsi="Calibri" w:cs="Calibri"/>
          <w:color w:val="auto"/>
        </w:rPr>
      </w:pPr>
      <w:r w:rsidRPr="00D93B59">
        <w:rPr>
          <w:rFonts w:ascii="Calibri" w:hAnsi="Calibri" w:cs="Calibri"/>
          <w:color w:val="auto"/>
        </w:rPr>
        <w:t xml:space="preserve">Treasury Bills </w:t>
      </w:r>
      <w:r w:rsidR="00D93B59">
        <w:rPr>
          <w:rFonts w:ascii="Calibri" w:hAnsi="Calibri" w:cs="Calibri"/>
          <w:color w:val="auto"/>
        </w:rPr>
        <w:t>are a short term, usually up to one year</w:t>
      </w:r>
      <w:r w:rsidR="00AE12D6">
        <w:rPr>
          <w:rFonts w:ascii="Calibri" w:hAnsi="Calibri" w:cs="Calibri"/>
          <w:color w:val="auto"/>
        </w:rPr>
        <w:t xml:space="preserve">, borrowing tool used by a specific government to raise money when they need to. </w:t>
      </w:r>
      <w:r w:rsidR="00C03E0C">
        <w:rPr>
          <w:rFonts w:ascii="Calibri" w:hAnsi="Calibri" w:cs="Calibri"/>
          <w:color w:val="auto"/>
        </w:rPr>
        <w:t xml:space="preserve">This is </w:t>
      </w:r>
      <w:r w:rsidRPr="00D93B59">
        <w:rPr>
          <w:rFonts w:ascii="Calibri" w:hAnsi="Calibri" w:cs="Calibri"/>
          <w:color w:val="auto"/>
        </w:rPr>
        <w:t xml:space="preserve">considered as the safest way to invest in </w:t>
      </w:r>
      <w:r w:rsidR="004042BA">
        <w:rPr>
          <w:rFonts w:ascii="Calibri" w:hAnsi="Calibri" w:cs="Calibri"/>
          <w:color w:val="auto"/>
        </w:rPr>
        <w:t xml:space="preserve">terms of being risk free and when compared to other types of investments such as buying shares from a </w:t>
      </w:r>
      <w:r w:rsidR="004811B0">
        <w:rPr>
          <w:rFonts w:ascii="Calibri" w:hAnsi="Calibri" w:cs="Calibri"/>
          <w:color w:val="auto"/>
        </w:rPr>
        <w:t>publicly</w:t>
      </w:r>
      <w:r w:rsidR="004042BA">
        <w:rPr>
          <w:rFonts w:ascii="Calibri" w:hAnsi="Calibri" w:cs="Calibri"/>
          <w:color w:val="auto"/>
        </w:rPr>
        <w:t xml:space="preserve"> listed </w:t>
      </w:r>
      <w:r w:rsidR="004811B0">
        <w:rPr>
          <w:rFonts w:ascii="Calibri" w:hAnsi="Calibri" w:cs="Calibri"/>
          <w:color w:val="auto"/>
        </w:rPr>
        <w:t>comp</w:t>
      </w:r>
      <w:r w:rsidR="004042BA">
        <w:rPr>
          <w:rFonts w:ascii="Calibri" w:hAnsi="Calibri" w:cs="Calibri"/>
          <w:color w:val="auto"/>
        </w:rPr>
        <w:t xml:space="preserve">any for example. </w:t>
      </w:r>
      <w:r w:rsidR="00A11144">
        <w:rPr>
          <w:rFonts w:ascii="Calibri" w:hAnsi="Calibri" w:cs="Calibri"/>
          <w:color w:val="auto"/>
        </w:rPr>
        <w:t xml:space="preserve">Some of the advantages of buying treasury bills from the government include, the fact that these bills are very liquid since they can be matured within 3 months if the buyer decides to sell. </w:t>
      </w:r>
      <w:r w:rsidR="003873A6">
        <w:rPr>
          <w:rFonts w:ascii="Calibri" w:hAnsi="Calibri" w:cs="Calibri"/>
          <w:color w:val="auto"/>
        </w:rPr>
        <w:t xml:space="preserve">The treasury bills are also transferable from one person to another, meaning that they do not lose the value and since they are issues by the government, the treasury bills come with zero risk attached to them. </w:t>
      </w:r>
      <w:sdt>
        <w:sdtPr>
          <w:rPr>
            <w:rFonts w:ascii="Calibri" w:hAnsi="Calibri" w:cs="Calibri"/>
            <w:color w:val="auto"/>
          </w:rPr>
          <w:id w:val="1508257766"/>
          <w:citation/>
        </w:sdtPr>
        <w:sdtContent>
          <w:r w:rsidR="006B480F">
            <w:rPr>
              <w:rFonts w:ascii="Calibri" w:hAnsi="Calibri" w:cs="Calibri"/>
              <w:color w:val="auto"/>
            </w:rPr>
            <w:fldChar w:fldCharType="begin"/>
          </w:r>
          <w:r w:rsidR="006B480F">
            <w:rPr>
              <w:rFonts w:ascii="Calibri" w:hAnsi="Calibri" w:cs="Calibri"/>
              <w:color w:val="auto"/>
              <w:lang w:val="en-GB"/>
            </w:rPr>
            <w:instrText xml:space="preserve"> CITATION dmo19 \l 2057 </w:instrText>
          </w:r>
          <w:r w:rsidR="006B480F">
            <w:rPr>
              <w:rFonts w:ascii="Calibri" w:hAnsi="Calibri" w:cs="Calibri"/>
              <w:color w:val="auto"/>
            </w:rPr>
            <w:fldChar w:fldCharType="separate"/>
          </w:r>
          <w:r w:rsidR="0011637C" w:rsidRPr="0011637C">
            <w:rPr>
              <w:rFonts w:ascii="Calibri" w:hAnsi="Calibri" w:cs="Calibri"/>
              <w:noProof/>
              <w:color w:val="auto"/>
              <w:lang w:val="en-GB"/>
            </w:rPr>
            <w:t>(dmo.gov.uk, 2019)</w:t>
          </w:r>
          <w:r w:rsidR="006B480F">
            <w:rPr>
              <w:rFonts w:ascii="Calibri" w:hAnsi="Calibri" w:cs="Calibri"/>
              <w:color w:val="auto"/>
            </w:rPr>
            <w:fldChar w:fldCharType="end"/>
          </w:r>
        </w:sdtContent>
      </w:sdt>
    </w:p>
    <w:p w:rsidR="002573A5" w:rsidRPr="00D93B59" w:rsidRDefault="002573A5" w:rsidP="00417763">
      <w:pPr>
        <w:rPr>
          <w:rFonts w:ascii="Calibri" w:hAnsi="Calibri" w:cs="Calibri"/>
          <w:color w:val="auto"/>
        </w:rPr>
      </w:pPr>
      <w:r>
        <w:rPr>
          <w:rFonts w:ascii="Calibri" w:hAnsi="Calibri" w:cs="Calibri"/>
          <w:color w:val="auto"/>
        </w:rPr>
        <w:t xml:space="preserve">The disadvantages however are that the treasury bills in general have got a low interest rate as a return and also this interest rate is depended in other external financial </w:t>
      </w:r>
      <w:r w:rsidR="0008452E">
        <w:rPr>
          <w:rFonts w:ascii="Calibri" w:hAnsi="Calibri" w:cs="Calibri"/>
          <w:color w:val="auto"/>
        </w:rPr>
        <w:t xml:space="preserve">factors, which means that it might be a safe type of investment but the amount getting back from it will not be that big. </w:t>
      </w:r>
      <w:r w:rsidR="009F2698">
        <w:rPr>
          <w:rFonts w:ascii="Calibri" w:hAnsi="Calibri" w:cs="Calibri"/>
          <w:color w:val="auto"/>
        </w:rPr>
        <w:t xml:space="preserve">The other issue that comes with the purchase of treasury bills is the risk that the government might go bankrupt. It usually does not seem the case and big countries such as USA, United Kingdom, France or Germany </w:t>
      </w:r>
      <w:r w:rsidR="00CF0F1C">
        <w:rPr>
          <w:rFonts w:ascii="Calibri" w:hAnsi="Calibri" w:cs="Calibri"/>
          <w:color w:val="auto"/>
        </w:rPr>
        <w:t>usually have some kind of assurance, however it might happen that the country goes bankrupt, hence it will not be able to pay</w:t>
      </w:r>
      <w:r w:rsidR="007E4D9D">
        <w:rPr>
          <w:rFonts w:ascii="Calibri" w:hAnsi="Calibri" w:cs="Calibri"/>
          <w:color w:val="auto"/>
        </w:rPr>
        <w:t xml:space="preserve"> the treasury bills buyers the money that it owes and even worse, none of the other financial services institutions can help them as these are government issued treasury bills. </w:t>
      </w:r>
    </w:p>
    <w:p w:rsidR="00CC4558" w:rsidRPr="00EE0361" w:rsidRDefault="00CC4558" w:rsidP="00CC4558">
      <w:pPr>
        <w:rPr>
          <w:rFonts w:ascii="Calibri" w:hAnsi="Calibri" w:cs="Calibri"/>
          <w:color w:val="000000" w:themeColor="text1"/>
        </w:rPr>
      </w:pPr>
    </w:p>
    <w:p w:rsidR="00CC4558" w:rsidRPr="00EE0361" w:rsidRDefault="00CC4558" w:rsidP="00CC4558">
      <w:pPr>
        <w:rPr>
          <w:rFonts w:ascii="Calibri" w:hAnsi="Calibri" w:cs="Calibri"/>
          <w:color w:val="000000" w:themeColor="text1"/>
        </w:rPr>
      </w:pPr>
    </w:p>
    <w:p w:rsidR="00941CF3" w:rsidRPr="00EE0361" w:rsidRDefault="00941CF3" w:rsidP="006D1251">
      <w:pPr>
        <w:rPr>
          <w:rFonts w:ascii="Calibri" w:hAnsi="Calibri" w:cs="Calibri"/>
          <w:color w:val="000000" w:themeColor="text1"/>
        </w:rPr>
      </w:pPr>
    </w:p>
    <w:sdt>
      <w:sdtPr>
        <w:rPr>
          <w:rFonts w:asciiTheme="minorHAnsi" w:eastAsiaTheme="minorHAnsi" w:hAnsiTheme="minorHAnsi" w:cstheme="minorBidi"/>
          <w:color w:val="595959" w:themeColor="text1" w:themeTint="A6"/>
          <w:sz w:val="22"/>
        </w:rPr>
        <w:id w:val="-564726325"/>
        <w:docPartObj>
          <w:docPartGallery w:val="Bibliographies"/>
          <w:docPartUnique/>
        </w:docPartObj>
      </w:sdtPr>
      <w:sdtEndPr/>
      <w:sdtContent>
        <w:p w:rsidR="007211EA" w:rsidRDefault="007211EA">
          <w:pPr>
            <w:pStyle w:val="Heading1"/>
          </w:pPr>
          <w:r>
            <w:t>References</w:t>
          </w:r>
          <w:bookmarkStart w:id="5" w:name="_GoBack"/>
          <w:bookmarkEnd w:id="5"/>
        </w:p>
        <w:sdt>
          <w:sdtPr>
            <w:id w:val="-573587230"/>
            <w:bibliography/>
          </w:sdtPr>
          <w:sdtEndPr/>
          <w:sdtContent>
            <w:p w:rsidR="0011637C" w:rsidRDefault="007211EA" w:rsidP="0011637C">
              <w:pPr>
                <w:pStyle w:val="Bibliography"/>
                <w:rPr>
                  <w:noProof/>
                  <w:sz w:val="24"/>
                  <w:szCs w:val="24"/>
                </w:rPr>
              </w:pPr>
              <w:r>
                <w:fldChar w:fldCharType="begin"/>
              </w:r>
              <w:r>
                <w:instrText xml:space="preserve"> BIBLIOGRAPHY </w:instrText>
              </w:r>
              <w:r>
                <w:fldChar w:fldCharType="separate"/>
              </w:r>
              <w:r w:rsidR="0011637C">
                <w:rPr>
                  <w:noProof/>
                </w:rPr>
                <w:t xml:space="preserve">Barclays, 2017. </w:t>
              </w:r>
              <w:r w:rsidR="0011637C">
                <w:rPr>
                  <w:i/>
                  <w:iCs/>
                  <w:noProof/>
                </w:rPr>
                <w:t xml:space="preserve">Barclays PLC Pillar 3 Report 2017. </w:t>
              </w:r>
              <w:r w:rsidR="0011637C">
                <w:rPr>
                  <w:noProof/>
                </w:rPr>
                <w:t xml:space="preserve">[Online] </w:t>
              </w:r>
              <w:r w:rsidR="0011637C">
                <w:rPr>
                  <w:noProof/>
                </w:rPr>
                <w:br/>
                <w:t xml:space="preserve">Available at: </w:t>
              </w:r>
              <w:r w:rsidR="0011637C">
                <w:rPr>
                  <w:noProof/>
                  <w:u w:val="single"/>
                </w:rPr>
                <w:t xml:space="preserve">https://home.barclays/content/dam/home-barclays/documents/investor-relations/reports-and-events/annual-reports/2017/Barclays-PLC-Pillar-3-Report-2017.pdf </w:t>
              </w:r>
              <w:r w:rsidR="0011637C">
                <w:rPr>
                  <w:noProof/>
                </w:rPr>
                <w:br/>
                <w:t>[Accessed 05 May 2019].</w:t>
              </w:r>
            </w:p>
            <w:p w:rsidR="0011637C" w:rsidRDefault="0011637C" w:rsidP="0011637C">
              <w:pPr>
                <w:pStyle w:val="Bibliography"/>
                <w:rPr>
                  <w:noProof/>
                </w:rPr>
              </w:pPr>
              <w:r>
                <w:rPr>
                  <w:noProof/>
                </w:rPr>
                <w:lastRenderedPageBreak/>
                <w:t xml:space="preserve">Barclays, 2018. </w:t>
              </w:r>
              <w:r>
                <w:rPr>
                  <w:i/>
                  <w:iCs/>
                  <w:noProof/>
                </w:rPr>
                <w:t xml:space="preserve">Barclays PLC Annual Report 2018. </w:t>
              </w:r>
              <w:r>
                <w:rPr>
                  <w:noProof/>
                </w:rPr>
                <w:t xml:space="preserve">[Online] </w:t>
              </w:r>
              <w:r>
                <w:rPr>
                  <w:noProof/>
                </w:rPr>
                <w:br/>
                <w:t xml:space="preserve">Available at: </w:t>
              </w:r>
              <w:r>
                <w:rPr>
                  <w:noProof/>
                  <w:u w:val="single"/>
                </w:rPr>
                <w:t xml:space="preserve">https://home.barclays/content/dam/home-barclays/documents/investor-relations/reports-and-events/annual-reports/2018/2018-barclays-plc-annual-report.pdf </w:t>
              </w:r>
              <w:r>
                <w:rPr>
                  <w:noProof/>
                </w:rPr>
                <w:br/>
                <w:t>[Accessed 04 May 2019].</w:t>
              </w:r>
            </w:p>
            <w:p w:rsidR="0011637C" w:rsidRDefault="0011637C" w:rsidP="0011637C">
              <w:pPr>
                <w:pStyle w:val="Bibliography"/>
                <w:rPr>
                  <w:noProof/>
                </w:rPr>
              </w:pPr>
              <w:r>
                <w:rPr>
                  <w:noProof/>
                </w:rPr>
                <w:t xml:space="preserve">Barclays, 2019. </w:t>
              </w:r>
              <w:r>
                <w:rPr>
                  <w:i/>
                  <w:iCs/>
                  <w:noProof/>
                </w:rPr>
                <w:t xml:space="preserve">Barclays. </w:t>
              </w:r>
              <w:r>
                <w:rPr>
                  <w:noProof/>
                </w:rPr>
                <w:t xml:space="preserve">[Online] </w:t>
              </w:r>
              <w:r>
                <w:rPr>
                  <w:noProof/>
                </w:rPr>
                <w:br/>
                <w:t xml:space="preserve">Available at: </w:t>
              </w:r>
              <w:r>
                <w:rPr>
                  <w:noProof/>
                  <w:u w:val="single"/>
                </w:rPr>
                <w:t>https://home.barclays/who-we-are/</w:t>
              </w:r>
              <w:r>
                <w:rPr>
                  <w:noProof/>
                </w:rPr>
                <w:br/>
                <w:t>[Accessed 05 May 2019].</w:t>
              </w:r>
            </w:p>
            <w:p w:rsidR="0011637C" w:rsidRDefault="0011637C" w:rsidP="0011637C">
              <w:pPr>
                <w:pStyle w:val="Bibliography"/>
                <w:rPr>
                  <w:noProof/>
                </w:rPr>
              </w:pPr>
              <w:r>
                <w:rPr>
                  <w:noProof/>
                </w:rPr>
                <w:t xml:space="preserve">BBC, 2018. </w:t>
              </w:r>
              <w:r>
                <w:rPr>
                  <w:i/>
                  <w:iCs/>
                  <w:noProof/>
                </w:rPr>
                <w:t xml:space="preserve">Lloyds Bank profits jump by 23% to £1.6bn. </w:t>
              </w:r>
              <w:r>
                <w:rPr>
                  <w:noProof/>
                </w:rPr>
                <w:t xml:space="preserve">[Online] </w:t>
              </w:r>
              <w:r>
                <w:rPr>
                  <w:noProof/>
                </w:rPr>
                <w:br/>
                <w:t xml:space="preserve">Available at: </w:t>
              </w:r>
              <w:r>
                <w:rPr>
                  <w:noProof/>
                  <w:u w:val="single"/>
                </w:rPr>
                <w:t>https://www.bbc.co.uk/news/business-43890409</w:t>
              </w:r>
              <w:r>
                <w:rPr>
                  <w:noProof/>
                </w:rPr>
                <w:br/>
                <w:t>[Accessed 25 April 2019].</w:t>
              </w:r>
            </w:p>
            <w:p w:rsidR="0011637C" w:rsidRDefault="0011637C" w:rsidP="0011637C">
              <w:pPr>
                <w:pStyle w:val="Bibliography"/>
                <w:rPr>
                  <w:noProof/>
                </w:rPr>
              </w:pPr>
              <w:r>
                <w:rPr>
                  <w:noProof/>
                </w:rPr>
                <w:t xml:space="preserve">BIS.Org, 2019. </w:t>
              </w:r>
              <w:r>
                <w:rPr>
                  <w:i/>
                  <w:iCs/>
                  <w:noProof/>
                </w:rPr>
                <w:t xml:space="preserve">Basel III: international regulatory framework for banks. </w:t>
              </w:r>
              <w:r>
                <w:rPr>
                  <w:noProof/>
                </w:rPr>
                <w:t xml:space="preserve">[Online] </w:t>
              </w:r>
              <w:r>
                <w:rPr>
                  <w:noProof/>
                </w:rPr>
                <w:br/>
                <w:t xml:space="preserve">Available at: </w:t>
              </w:r>
              <w:r>
                <w:rPr>
                  <w:noProof/>
                  <w:u w:val="single"/>
                </w:rPr>
                <w:t xml:space="preserve">https://www.bis.org/bcbs/basel3.htm </w:t>
              </w:r>
              <w:r>
                <w:rPr>
                  <w:noProof/>
                </w:rPr>
                <w:br/>
                <w:t>[Accessed 06 MAY 2019].</w:t>
              </w:r>
            </w:p>
            <w:p w:rsidR="0011637C" w:rsidRDefault="0011637C" w:rsidP="0011637C">
              <w:pPr>
                <w:pStyle w:val="Bibliography"/>
                <w:rPr>
                  <w:noProof/>
                </w:rPr>
              </w:pPr>
              <w:r>
                <w:rPr>
                  <w:noProof/>
                </w:rPr>
                <w:t xml:space="preserve">dmo.gov.uk, 2019. </w:t>
              </w:r>
              <w:r>
                <w:rPr>
                  <w:i/>
                  <w:iCs/>
                  <w:noProof/>
                </w:rPr>
                <w:t xml:space="preserve">Money Markets. </w:t>
              </w:r>
              <w:r>
                <w:rPr>
                  <w:noProof/>
                </w:rPr>
                <w:t xml:space="preserve">[Online] </w:t>
              </w:r>
              <w:r>
                <w:rPr>
                  <w:noProof/>
                </w:rPr>
                <w:br/>
                <w:t xml:space="preserve">Available at: </w:t>
              </w:r>
              <w:r>
                <w:rPr>
                  <w:noProof/>
                  <w:u w:val="single"/>
                </w:rPr>
                <w:t>https://www.dmo.gov.uk/responsibilities/money-markets/about-treasury-bills/</w:t>
              </w:r>
              <w:r>
                <w:rPr>
                  <w:noProof/>
                </w:rPr>
                <w:br/>
                <w:t>[Accessed 05 May 2019].</w:t>
              </w:r>
            </w:p>
            <w:p w:rsidR="0011637C" w:rsidRDefault="0011637C" w:rsidP="0011637C">
              <w:pPr>
                <w:pStyle w:val="Bibliography"/>
                <w:rPr>
                  <w:noProof/>
                </w:rPr>
              </w:pPr>
              <w:r>
                <w:rPr>
                  <w:noProof/>
                </w:rPr>
                <w:t xml:space="preserve">EBF.EU, 2019. </w:t>
              </w:r>
              <w:r>
                <w:rPr>
                  <w:i/>
                  <w:iCs/>
                  <w:noProof/>
                </w:rPr>
                <w:t xml:space="preserve">BANKING SECTOR PERFORMANCE. </w:t>
              </w:r>
              <w:r>
                <w:rPr>
                  <w:noProof/>
                </w:rPr>
                <w:t xml:space="preserve">[Online] </w:t>
              </w:r>
              <w:r>
                <w:rPr>
                  <w:noProof/>
                </w:rPr>
                <w:br/>
                <w:t xml:space="preserve">Available at: </w:t>
              </w:r>
              <w:r>
                <w:rPr>
                  <w:noProof/>
                  <w:u w:val="single"/>
                </w:rPr>
                <w:t>https://www.ebf.eu/facts-and-figures/banking-sector-performance/</w:t>
              </w:r>
              <w:r>
                <w:rPr>
                  <w:noProof/>
                </w:rPr>
                <w:br/>
                <w:t>[Accessed 06 May 2019].</w:t>
              </w:r>
            </w:p>
            <w:p w:rsidR="0011637C" w:rsidRDefault="0011637C" w:rsidP="0011637C">
              <w:pPr>
                <w:pStyle w:val="Bibliography"/>
                <w:rPr>
                  <w:noProof/>
                </w:rPr>
              </w:pPr>
              <w:r>
                <w:rPr>
                  <w:noProof/>
                </w:rPr>
                <w:t xml:space="preserve">FCA, 2015. </w:t>
              </w:r>
              <w:r>
                <w:rPr>
                  <w:i/>
                  <w:iCs/>
                  <w:noProof/>
                </w:rPr>
                <w:t xml:space="preserve">FCA fines Barclays £72 million for poor handling of financial crime risks. </w:t>
              </w:r>
              <w:r>
                <w:rPr>
                  <w:noProof/>
                </w:rPr>
                <w:t xml:space="preserve">[Online] </w:t>
              </w:r>
              <w:r>
                <w:rPr>
                  <w:noProof/>
                </w:rPr>
                <w:br/>
                <w:t xml:space="preserve">Available at: </w:t>
              </w:r>
              <w:r>
                <w:rPr>
                  <w:noProof/>
                  <w:u w:val="single"/>
                </w:rPr>
                <w:t>https://www.fca.org.uk/news/press-releases/fca-fines-barclays-%C2%A372-million-poor-handling-financial-crime-risks</w:t>
              </w:r>
              <w:r>
                <w:rPr>
                  <w:noProof/>
                </w:rPr>
                <w:br/>
                <w:t>[Accessed 05 May 2019].</w:t>
              </w:r>
            </w:p>
            <w:p w:rsidR="0011637C" w:rsidRDefault="0011637C" w:rsidP="0011637C">
              <w:pPr>
                <w:pStyle w:val="Bibliography"/>
                <w:rPr>
                  <w:noProof/>
                </w:rPr>
              </w:pPr>
              <w:r>
                <w:rPr>
                  <w:noProof/>
                </w:rPr>
                <w:t xml:space="preserve">FCA, 2015. </w:t>
              </w:r>
              <w:r>
                <w:rPr>
                  <w:i/>
                  <w:iCs/>
                  <w:noProof/>
                </w:rPr>
                <w:t xml:space="preserve">Lloyds Banking Group fined £117m for failing to handle PPI complaints fairly. </w:t>
              </w:r>
              <w:r>
                <w:rPr>
                  <w:noProof/>
                </w:rPr>
                <w:t xml:space="preserve">[Online] </w:t>
              </w:r>
              <w:r>
                <w:rPr>
                  <w:noProof/>
                </w:rPr>
                <w:br/>
                <w:t xml:space="preserve">Available at: </w:t>
              </w:r>
              <w:r>
                <w:rPr>
                  <w:noProof/>
                  <w:u w:val="single"/>
                </w:rPr>
                <w:t>https://www.fca.org.uk/news/press-releases/lloyds-banking-group-fined-%C2%A3117m-failing-handle-ppi-complaints-fairly</w:t>
              </w:r>
              <w:r>
                <w:rPr>
                  <w:noProof/>
                </w:rPr>
                <w:br/>
                <w:t>[Accessed 01 May 2019].</w:t>
              </w:r>
            </w:p>
            <w:p w:rsidR="0011637C" w:rsidRDefault="0011637C" w:rsidP="0011637C">
              <w:pPr>
                <w:pStyle w:val="Bibliography"/>
                <w:rPr>
                  <w:noProof/>
                </w:rPr>
              </w:pPr>
              <w:r>
                <w:rPr>
                  <w:noProof/>
                </w:rPr>
                <w:t xml:space="preserve">FCA, 2018. </w:t>
              </w:r>
              <w:r>
                <w:rPr>
                  <w:i/>
                  <w:iCs/>
                  <w:noProof/>
                </w:rPr>
                <w:t xml:space="preserve">FCA and PRA jointly fine Mr James Staley £642,430 and announce special requirements regarding whistleblowing systems and controls at Barclays. </w:t>
              </w:r>
              <w:r>
                <w:rPr>
                  <w:noProof/>
                </w:rPr>
                <w:t xml:space="preserve">[Online] </w:t>
              </w:r>
              <w:r>
                <w:rPr>
                  <w:noProof/>
                </w:rPr>
                <w:br/>
                <w:t xml:space="preserve">Available at: </w:t>
              </w:r>
              <w:r>
                <w:rPr>
                  <w:noProof/>
                  <w:u w:val="single"/>
                </w:rPr>
                <w:t xml:space="preserve">https://www.fca.org.uk/news/press-releases/fca-and-pra-jointly-fine-mr-james-staley-announce-special-requirements </w:t>
              </w:r>
              <w:r>
                <w:rPr>
                  <w:noProof/>
                </w:rPr>
                <w:br/>
                <w:t>[Accessed 05 May 2019].</w:t>
              </w:r>
            </w:p>
            <w:p w:rsidR="0011637C" w:rsidRDefault="0011637C" w:rsidP="0011637C">
              <w:pPr>
                <w:pStyle w:val="Bibliography"/>
                <w:rPr>
                  <w:noProof/>
                </w:rPr>
              </w:pPr>
              <w:r>
                <w:rPr>
                  <w:noProof/>
                </w:rPr>
                <w:lastRenderedPageBreak/>
                <w:t xml:space="preserve">FT, 2017. </w:t>
              </w:r>
              <w:r>
                <w:rPr>
                  <w:i/>
                  <w:iCs/>
                  <w:noProof/>
                </w:rPr>
                <w:t xml:space="preserve">Lloyds committed ‘serious’ PPI breaches, says watchdog. </w:t>
              </w:r>
              <w:r>
                <w:rPr>
                  <w:noProof/>
                </w:rPr>
                <w:t xml:space="preserve">[Online] </w:t>
              </w:r>
              <w:r>
                <w:rPr>
                  <w:noProof/>
                </w:rPr>
                <w:br/>
                <w:t xml:space="preserve">Available at: </w:t>
              </w:r>
              <w:r>
                <w:rPr>
                  <w:noProof/>
                  <w:u w:val="single"/>
                </w:rPr>
                <w:t>https://www.ft.com/content/c44717a0-e32f-11e6-8405-9e5580d6e5fb</w:t>
              </w:r>
              <w:r>
                <w:rPr>
                  <w:noProof/>
                </w:rPr>
                <w:br/>
                <w:t>[Accessed 02 May 2019].</w:t>
              </w:r>
            </w:p>
            <w:p w:rsidR="0011637C" w:rsidRDefault="0011637C" w:rsidP="0011637C">
              <w:pPr>
                <w:pStyle w:val="Bibliography"/>
                <w:rPr>
                  <w:noProof/>
                </w:rPr>
              </w:pPr>
              <w:r>
                <w:rPr>
                  <w:noProof/>
                </w:rPr>
                <w:t xml:space="preserve">Jones, R., 2013. </w:t>
              </w:r>
              <w:r>
                <w:rPr>
                  <w:i/>
                  <w:iCs/>
                  <w:noProof/>
                </w:rPr>
                <w:t xml:space="preserve">TSB returns to the high street as Lloyds splits its branches. </w:t>
              </w:r>
              <w:r>
                <w:rPr>
                  <w:noProof/>
                </w:rPr>
                <w:t xml:space="preserve">[Online] </w:t>
              </w:r>
              <w:r>
                <w:rPr>
                  <w:noProof/>
                </w:rPr>
                <w:br/>
                <w:t xml:space="preserve">Available at: </w:t>
              </w:r>
              <w:r>
                <w:rPr>
                  <w:noProof/>
                  <w:u w:val="single"/>
                </w:rPr>
                <w:t>https://www.theguardian.com/business/2013/sep/08/tsb-returns-high-street</w:t>
              </w:r>
              <w:r>
                <w:rPr>
                  <w:noProof/>
                </w:rPr>
                <w:br/>
                <w:t>[Accessed 23 April 2019].</w:t>
              </w:r>
            </w:p>
            <w:p w:rsidR="0011637C" w:rsidRDefault="0011637C" w:rsidP="0011637C">
              <w:pPr>
                <w:pStyle w:val="Bibliography"/>
                <w:rPr>
                  <w:noProof/>
                </w:rPr>
              </w:pPr>
              <w:r>
                <w:rPr>
                  <w:noProof/>
                </w:rPr>
                <w:t xml:space="preserve">Lloyds, 2018. </w:t>
              </w:r>
              <w:r>
                <w:rPr>
                  <w:i/>
                  <w:iCs/>
                  <w:noProof/>
                </w:rPr>
                <w:t xml:space="preserve">Lloyds Banking Group Capital and Risk Management Pillar 3 Report 2018. </w:t>
              </w:r>
              <w:r>
                <w:rPr>
                  <w:noProof/>
                </w:rPr>
                <w:t xml:space="preserve">[Online] </w:t>
              </w:r>
              <w:r>
                <w:rPr>
                  <w:noProof/>
                </w:rPr>
                <w:br/>
                <w:t xml:space="preserve">Available at: </w:t>
              </w:r>
              <w:r>
                <w:rPr>
                  <w:noProof/>
                  <w:u w:val="single"/>
                </w:rPr>
                <w:t xml:space="preserve">https://www.lloydsbankinggroup.com/globalassets/documents/investors/2018/2018_lbg_pillar_3_report_v2.pdf </w:t>
              </w:r>
              <w:r>
                <w:rPr>
                  <w:noProof/>
                </w:rPr>
                <w:br/>
                <w:t>[Accessed 30 April 2019].</w:t>
              </w:r>
            </w:p>
            <w:p w:rsidR="0011637C" w:rsidRDefault="0011637C" w:rsidP="0011637C">
              <w:pPr>
                <w:pStyle w:val="Bibliography"/>
                <w:rPr>
                  <w:noProof/>
                </w:rPr>
              </w:pPr>
              <w:r>
                <w:rPr>
                  <w:noProof/>
                </w:rPr>
                <w:t xml:space="preserve">Lloyds, 2019. </w:t>
              </w:r>
              <w:r>
                <w:rPr>
                  <w:i/>
                  <w:iCs/>
                  <w:noProof/>
                </w:rPr>
                <w:t xml:space="preserve">Download centre, Annual reports. </w:t>
              </w:r>
              <w:r>
                <w:rPr>
                  <w:noProof/>
                </w:rPr>
                <w:t xml:space="preserve">[Online] </w:t>
              </w:r>
              <w:r>
                <w:rPr>
                  <w:noProof/>
                </w:rPr>
                <w:br/>
                <w:t xml:space="preserve">Available at: </w:t>
              </w:r>
              <w:r>
                <w:rPr>
                  <w:noProof/>
                  <w:u w:val="single"/>
                </w:rPr>
                <w:t>https://www.lloydsbankinggroup.com/Investors/annual-report-2018/download-centre/</w:t>
              </w:r>
              <w:r>
                <w:rPr>
                  <w:noProof/>
                </w:rPr>
                <w:br/>
                <w:t>[Accessed 30 April 2019].</w:t>
              </w:r>
            </w:p>
            <w:p w:rsidR="0011637C" w:rsidRDefault="0011637C" w:rsidP="0011637C">
              <w:pPr>
                <w:pStyle w:val="Bibliography"/>
                <w:rPr>
                  <w:noProof/>
                </w:rPr>
              </w:pPr>
              <w:r>
                <w:rPr>
                  <w:noProof/>
                </w:rPr>
                <w:t xml:space="preserve">Lloyds, 2019. </w:t>
              </w:r>
              <w:r>
                <w:rPr>
                  <w:i/>
                  <w:iCs/>
                  <w:noProof/>
                </w:rPr>
                <w:t xml:space="preserve">LLoyds Bank, our heritage. </w:t>
              </w:r>
              <w:r>
                <w:rPr>
                  <w:noProof/>
                </w:rPr>
                <w:t xml:space="preserve">[Online] </w:t>
              </w:r>
              <w:r>
                <w:rPr>
                  <w:noProof/>
                </w:rPr>
                <w:br/>
                <w:t xml:space="preserve">Available at: </w:t>
              </w:r>
              <w:r>
                <w:rPr>
                  <w:noProof/>
                  <w:u w:val="single"/>
                </w:rPr>
                <w:t xml:space="preserve">https://www.lloydsbankinggroup.com/Our-Group/our-heritage/our-history/lloyds-bank/lloyds-bank/ </w:t>
              </w:r>
              <w:r>
                <w:rPr>
                  <w:noProof/>
                </w:rPr>
                <w:br/>
                <w:t>[Accessed 13 April 2019].</w:t>
              </w:r>
            </w:p>
            <w:p w:rsidR="0011637C" w:rsidRDefault="0011637C" w:rsidP="0011637C">
              <w:pPr>
                <w:pStyle w:val="Bibliography"/>
                <w:rPr>
                  <w:noProof/>
                </w:rPr>
              </w:pPr>
              <w:r>
                <w:rPr>
                  <w:noProof/>
                </w:rPr>
                <w:t xml:space="preserve">Monaghan, A. &amp; Collinson, P., 2018. </w:t>
              </w:r>
              <w:r>
                <w:rPr>
                  <w:i/>
                  <w:iCs/>
                  <w:noProof/>
                </w:rPr>
                <w:t xml:space="preserve">Lloyds to hand £3bn to shareholders as profits jump 24% to £5.3bn. </w:t>
              </w:r>
              <w:r>
                <w:rPr>
                  <w:noProof/>
                </w:rPr>
                <w:t xml:space="preserve">[Online] </w:t>
              </w:r>
              <w:r>
                <w:rPr>
                  <w:noProof/>
                </w:rPr>
                <w:br/>
                <w:t xml:space="preserve">Available at: </w:t>
              </w:r>
              <w:r>
                <w:rPr>
                  <w:noProof/>
                  <w:u w:val="single"/>
                </w:rPr>
                <w:t>https://www.theguardian.com/business/2018/feb/21/lloyds-bumper-profits-deliver-1bn-bonanza-for-shareholders</w:t>
              </w:r>
              <w:r>
                <w:rPr>
                  <w:noProof/>
                </w:rPr>
                <w:br/>
                <w:t>[Accessed 05 May 2019].</w:t>
              </w:r>
            </w:p>
            <w:p w:rsidR="0011637C" w:rsidRDefault="0011637C" w:rsidP="0011637C">
              <w:pPr>
                <w:pStyle w:val="Bibliography"/>
                <w:rPr>
                  <w:noProof/>
                </w:rPr>
              </w:pPr>
              <w:r>
                <w:rPr>
                  <w:noProof/>
                </w:rPr>
                <w:t xml:space="preserve">Statista, 2018. </w:t>
              </w:r>
              <w:r>
                <w:rPr>
                  <w:i/>
                  <w:iCs/>
                  <w:noProof/>
                </w:rPr>
                <w:t xml:space="preserve">Tier 1 capital ratio of United Kingdom (UK) Lloyds Banking Group from 2010 to 2017. </w:t>
              </w:r>
              <w:r>
                <w:rPr>
                  <w:noProof/>
                </w:rPr>
                <w:t xml:space="preserve">[Online] </w:t>
              </w:r>
              <w:r>
                <w:rPr>
                  <w:noProof/>
                </w:rPr>
                <w:br/>
                <w:t xml:space="preserve">Available at: </w:t>
              </w:r>
              <w:r>
                <w:rPr>
                  <w:noProof/>
                  <w:u w:val="single"/>
                </w:rPr>
                <w:t>https://www.statista.com/statistics/474544/uk-lloyds-banking-group-tier-one-capital-ratio/</w:t>
              </w:r>
              <w:r>
                <w:rPr>
                  <w:noProof/>
                </w:rPr>
                <w:br/>
                <w:t>[Accessed 04 May 2019].</w:t>
              </w:r>
            </w:p>
            <w:p w:rsidR="0011637C" w:rsidRDefault="0011637C" w:rsidP="0011637C">
              <w:pPr>
                <w:pStyle w:val="Bibliography"/>
                <w:rPr>
                  <w:noProof/>
                </w:rPr>
              </w:pPr>
              <w:r>
                <w:rPr>
                  <w:noProof/>
                </w:rPr>
                <w:t xml:space="preserve">Treanor, J., 2017. </w:t>
              </w:r>
              <w:r>
                <w:rPr>
                  <w:i/>
                  <w:iCs/>
                  <w:noProof/>
                </w:rPr>
                <w:t xml:space="preserve">World's biggest banks face £264bn bill for poor conduct. </w:t>
              </w:r>
              <w:r>
                <w:rPr>
                  <w:noProof/>
                </w:rPr>
                <w:t xml:space="preserve">[Online] </w:t>
              </w:r>
              <w:r>
                <w:rPr>
                  <w:noProof/>
                </w:rPr>
                <w:br/>
                <w:t xml:space="preserve">Available at: </w:t>
              </w:r>
              <w:r>
                <w:rPr>
                  <w:noProof/>
                  <w:u w:val="single"/>
                </w:rPr>
                <w:t>https://www.theguardian.com/business/2017/aug/14/worlds-biggest-banks-face-264bn-bill-for-poor-conduct</w:t>
              </w:r>
              <w:r>
                <w:rPr>
                  <w:noProof/>
                </w:rPr>
                <w:br/>
                <w:t>[Accessed 01 May 2019].</w:t>
              </w:r>
            </w:p>
            <w:p w:rsidR="0011637C" w:rsidRDefault="0011637C" w:rsidP="0011637C">
              <w:pPr>
                <w:pStyle w:val="Bibliography"/>
                <w:rPr>
                  <w:noProof/>
                </w:rPr>
              </w:pPr>
              <w:r>
                <w:rPr>
                  <w:noProof/>
                </w:rPr>
                <w:t xml:space="preserve">Treanor, J., 2018. </w:t>
              </w:r>
              <w:r>
                <w:rPr>
                  <w:i/>
                  <w:iCs/>
                  <w:noProof/>
                </w:rPr>
                <w:t xml:space="preserve">Don't bank on it: Why we fail to switch our accounts. </w:t>
              </w:r>
              <w:r>
                <w:rPr>
                  <w:noProof/>
                </w:rPr>
                <w:t xml:space="preserve">[Online] </w:t>
              </w:r>
              <w:r>
                <w:rPr>
                  <w:noProof/>
                </w:rPr>
                <w:br/>
                <w:t xml:space="preserve">Available at: </w:t>
              </w:r>
              <w:r>
                <w:rPr>
                  <w:noProof/>
                  <w:u w:val="single"/>
                </w:rPr>
                <w:t>https://www.bbc.co.uk/news/business-44522630</w:t>
              </w:r>
              <w:r>
                <w:rPr>
                  <w:noProof/>
                </w:rPr>
                <w:br/>
                <w:t>[Accessed 01 May 2019].</w:t>
              </w:r>
            </w:p>
            <w:p w:rsidR="0011637C" w:rsidRDefault="0011637C" w:rsidP="0011637C">
              <w:pPr>
                <w:pStyle w:val="Bibliography"/>
                <w:rPr>
                  <w:noProof/>
                </w:rPr>
              </w:pPr>
              <w:r>
                <w:rPr>
                  <w:noProof/>
                </w:rPr>
                <w:lastRenderedPageBreak/>
                <w:t xml:space="preserve">Withers, I. &amp; Wallace, T., 2018. </w:t>
              </w:r>
              <w:r>
                <w:rPr>
                  <w:i/>
                  <w:iCs/>
                  <w:noProof/>
                </w:rPr>
                <w:t xml:space="preserve">Barclays is first UK bank to complete £1bn ring-fence to split retail lending from investment banking. </w:t>
              </w:r>
              <w:r>
                <w:rPr>
                  <w:noProof/>
                </w:rPr>
                <w:t xml:space="preserve">[Online] </w:t>
              </w:r>
              <w:r>
                <w:rPr>
                  <w:noProof/>
                </w:rPr>
                <w:br/>
                <w:t xml:space="preserve">Available at: </w:t>
              </w:r>
              <w:r>
                <w:rPr>
                  <w:noProof/>
                  <w:u w:val="single"/>
                </w:rPr>
                <w:t>https://www.telegraph.co.uk/business/2018/04/01/barclays-works-round-clock-launch-safer-ring-fenced-uk-bank/</w:t>
              </w:r>
              <w:r>
                <w:rPr>
                  <w:noProof/>
                </w:rPr>
                <w:br/>
                <w:t>[Accessed 05 May 2019].</w:t>
              </w:r>
            </w:p>
            <w:p w:rsidR="0011637C" w:rsidRDefault="0011637C" w:rsidP="0011637C">
              <w:pPr>
                <w:pStyle w:val="Bibliography"/>
                <w:rPr>
                  <w:noProof/>
                </w:rPr>
              </w:pPr>
              <w:r>
                <w:rPr>
                  <w:noProof/>
                </w:rPr>
                <w:t xml:space="preserve">Withers, I. &amp; White, L., 2019. </w:t>
              </w:r>
              <w:r>
                <w:rPr>
                  <w:i/>
                  <w:iCs/>
                  <w:noProof/>
                </w:rPr>
                <w:t xml:space="preserve">Lloyds Bank brushes off Brexit fears with £4 billion investor payout. </w:t>
              </w:r>
              <w:r>
                <w:rPr>
                  <w:noProof/>
                </w:rPr>
                <w:t xml:space="preserve">[Online] </w:t>
              </w:r>
              <w:r>
                <w:rPr>
                  <w:noProof/>
                </w:rPr>
                <w:br/>
                <w:t xml:space="preserve">Available at: </w:t>
              </w:r>
              <w:r>
                <w:rPr>
                  <w:noProof/>
                  <w:u w:val="single"/>
                </w:rPr>
                <w:t>https://uk.reuters.com/article/uk-lloyds-results/lloyds-bank-brushes-off-brexit-fears-with-4-billion-investor-payout-idUKKCN1Q90MR</w:t>
              </w:r>
              <w:r>
                <w:rPr>
                  <w:noProof/>
                </w:rPr>
                <w:br/>
                <w:t>[Accessed 25 April 2019].</w:t>
              </w:r>
            </w:p>
            <w:p w:rsidR="007211EA" w:rsidRDefault="007211EA" w:rsidP="0011637C">
              <w:r>
                <w:rPr>
                  <w:b/>
                  <w:bCs/>
                  <w:noProof/>
                </w:rPr>
                <w:fldChar w:fldCharType="end"/>
              </w:r>
            </w:p>
          </w:sdtContent>
        </w:sdt>
      </w:sdtContent>
    </w:sdt>
    <w:p w:rsidR="007211EA" w:rsidRPr="00EF7765" w:rsidRDefault="007211EA" w:rsidP="00EF7765"/>
    <w:sectPr w:rsidR="007211EA" w:rsidRPr="00EF7765">
      <w:footerReference w:type="default" r:id="rId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BED" w:rsidRDefault="00EE1BED" w:rsidP="00C6554A">
      <w:pPr>
        <w:spacing w:before="0" w:after="0" w:line="240" w:lineRule="auto"/>
      </w:pPr>
      <w:r>
        <w:separator/>
      </w:r>
    </w:p>
  </w:endnote>
  <w:endnote w:type="continuationSeparator" w:id="0">
    <w:p w:rsidR="00EE1BED" w:rsidRDefault="00EE1BE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0955188"/>
      <w:docPartObj>
        <w:docPartGallery w:val="Page Numbers (Bottom of Page)"/>
        <w:docPartUnique/>
      </w:docPartObj>
    </w:sdtPr>
    <w:sdtEndPr>
      <w:rPr>
        <w:noProof/>
      </w:rPr>
    </w:sdtEndPr>
    <w:sdtContent>
      <w:p w:rsidR="00901F88" w:rsidRDefault="00901F88">
        <w:pPr>
          <w:pStyle w:val="Footer"/>
        </w:pPr>
        <w:r>
          <w:fldChar w:fldCharType="begin"/>
        </w:r>
        <w:r>
          <w:instrText xml:space="preserve"> PAGE   \* MERGEFORMAT </w:instrText>
        </w:r>
        <w:r>
          <w:fldChar w:fldCharType="separate"/>
        </w:r>
        <w:r w:rsidR="0011637C">
          <w:rPr>
            <w:noProof/>
          </w:rPr>
          <w:t>11</w:t>
        </w:r>
        <w:r>
          <w:rPr>
            <w:noProof/>
          </w:rPr>
          <w:fldChar w:fldCharType="end"/>
        </w:r>
      </w:p>
    </w:sdtContent>
  </w:sdt>
  <w:p w:rsidR="00901F88" w:rsidRDefault="00901F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BED" w:rsidRDefault="00EE1BED" w:rsidP="00C6554A">
      <w:pPr>
        <w:spacing w:before="0" w:after="0" w:line="240" w:lineRule="auto"/>
      </w:pPr>
      <w:r>
        <w:separator/>
      </w:r>
    </w:p>
  </w:footnote>
  <w:footnote w:type="continuationSeparator" w:id="0">
    <w:p w:rsidR="00EE1BED" w:rsidRDefault="00EE1BED"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A2C3DAF"/>
    <w:multiLevelType w:val="hybridMultilevel"/>
    <w:tmpl w:val="49A01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E91"/>
    <w:rsid w:val="0000037D"/>
    <w:rsid w:val="0000443B"/>
    <w:rsid w:val="00004FDB"/>
    <w:rsid w:val="00032A20"/>
    <w:rsid w:val="000720BA"/>
    <w:rsid w:val="00080417"/>
    <w:rsid w:val="0008452E"/>
    <w:rsid w:val="00092CB8"/>
    <w:rsid w:val="000A0769"/>
    <w:rsid w:val="000C4189"/>
    <w:rsid w:val="000D2814"/>
    <w:rsid w:val="000F2AFE"/>
    <w:rsid w:val="000F4807"/>
    <w:rsid w:val="000F7ED9"/>
    <w:rsid w:val="001006BC"/>
    <w:rsid w:val="00103FF3"/>
    <w:rsid w:val="0011637C"/>
    <w:rsid w:val="0012564F"/>
    <w:rsid w:val="00127382"/>
    <w:rsid w:val="00132F47"/>
    <w:rsid w:val="001551C4"/>
    <w:rsid w:val="00185E65"/>
    <w:rsid w:val="0019689A"/>
    <w:rsid w:val="001F6FB5"/>
    <w:rsid w:val="00205C10"/>
    <w:rsid w:val="0022482E"/>
    <w:rsid w:val="00231F53"/>
    <w:rsid w:val="0023274C"/>
    <w:rsid w:val="00234076"/>
    <w:rsid w:val="0023672C"/>
    <w:rsid w:val="00240096"/>
    <w:rsid w:val="00247018"/>
    <w:rsid w:val="002554CD"/>
    <w:rsid w:val="002573A5"/>
    <w:rsid w:val="00277E2A"/>
    <w:rsid w:val="002812DE"/>
    <w:rsid w:val="0028343C"/>
    <w:rsid w:val="00293B83"/>
    <w:rsid w:val="002B4294"/>
    <w:rsid w:val="002C647C"/>
    <w:rsid w:val="002C70C2"/>
    <w:rsid w:val="00312693"/>
    <w:rsid w:val="00312D75"/>
    <w:rsid w:val="00333D0D"/>
    <w:rsid w:val="00345783"/>
    <w:rsid w:val="00377694"/>
    <w:rsid w:val="003812FF"/>
    <w:rsid w:val="003873A6"/>
    <w:rsid w:val="00391F01"/>
    <w:rsid w:val="003A495A"/>
    <w:rsid w:val="003A68F8"/>
    <w:rsid w:val="003C559A"/>
    <w:rsid w:val="003D385D"/>
    <w:rsid w:val="003E4A51"/>
    <w:rsid w:val="003F3BF7"/>
    <w:rsid w:val="004042BA"/>
    <w:rsid w:val="004111D5"/>
    <w:rsid w:val="00417763"/>
    <w:rsid w:val="0043057E"/>
    <w:rsid w:val="00431647"/>
    <w:rsid w:val="004811B0"/>
    <w:rsid w:val="00485384"/>
    <w:rsid w:val="004B0658"/>
    <w:rsid w:val="004C049F"/>
    <w:rsid w:val="004E33FB"/>
    <w:rsid w:val="004E7FF5"/>
    <w:rsid w:val="004F5F4F"/>
    <w:rsid w:val="005000E2"/>
    <w:rsid w:val="00535EAF"/>
    <w:rsid w:val="00536DB8"/>
    <w:rsid w:val="00536F40"/>
    <w:rsid w:val="00540B85"/>
    <w:rsid w:val="00542955"/>
    <w:rsid w:val="00545621"/>
    <w:rsid w:val="00557AC4"/>
    <w:rsid w:val="00564725"/>
    <w:rsid w:val="005737FF"/>
    <w:rsid w:val="00595EF2"/>
    <w:rsid w:val="00597D82"/>
    <w:rsid w:val="005B6BCB"/>
    <w:rsid w:val="005C0DDD"/>
    <w:rsid w:val="005C2652"/>
    <w:rsid w:val="005C4DA0"/>
    <w:rsid w:val="005F27B2"/>
    <w:rsid w:val="0061575F"/>
    <w:rsid w:val="00627A23"/>
    <w:rsid w:val="00644E37"/>
    <w:rsid w:val="00692085"/>
    <w:rsid w:val="006A2A39"/>
    <w:rsid w:val="006A3CE7"/>
    <w:rsid w:val="006B054D"/>
    <w:rsid w:val="006B2828"/>
    <w:rsid w:val="006B2FD9"/>
    <w:rsid w:val="006B480F"/>
    <w:rsid w:val="006C398E"/>
    <w:rsid w:val="006D01DB"/>
    <w:rsid w:val="006D1251"/>
    <w:rsid w:val="006E01A3"/>
    <w:rsid w:val="0070005B"/>
    <w:rsid w:val="00715ED4"/>
    <w:rsid w:val="007172E9"/>
    <w:rsid w:val="007211EA"/>
    <w:rsid w:val="007275BF"/>
    <w:rsid w:val="00732C82"/>
    <w:rsid w:val="00752891"/>
    <w:rsid w:val="00765DF6"/>
    <w:rsid w:val="00770535"/>
    <w:rsid w:val="007719C1"/>
    <w:rsid w:val="0079664B"/>
    <w:rsid w:val="0079790D"/>
    <w:rsid w:val="007B5F62"/>
    <w:rsid w:val="007C26C7"/>
    <w:rsid w:val="007C4CF3"/>
    <w:rsid w:val="007D1646"/>
    <w:rsid w:val="007D2141"/>
    <w:rsid w:val="007D6AE3"/>
    <w:rsid w:val="007D6BCE"/>
    <w:rsid w:val="007E4D9D"/>
    <w:rsid w:val="007F1EB2"/>
    <w:rsid w:val="0082328B"/>
    <w:rsid w:val="00831535"/>
    <w:rsid w:val="0083374D"/>
    <w:rsid w:val="00851461"/>
    <w:rsid w:val="00851C58"/>
    <w:rsid w:val="00852ED0"/>
    <w:rsid w:val="008704EA"/>
    <w:rsid w:val="00871C5F"/>
    <w:rsid w:val="00873E53"/>
    <w:rsid w:val="00880F3D"/>
    <w:rsid w:val="0088154B"/>
    <w:rsid w:val="0089217A"/>
    <w:rsid w:val="008A4376"/>
    <w:rsid w:val="008E4C64"/>
    <w:rsid w:val="008F05EA"/>
    <w:rsid w:val="00901F88"/>
    <w:rsid w:val="00916468"/>
    <w:rsid w:val="00922245"/>
    <w:rsid w:val="00925577"/>
    <w:rsid w:val="00941CF3"/>
    <w:rsid w:val="0096495F"/>
    <w:rsid w:val="00966170"/>
    <w:rsid w:val="00986E74"/>
    <w:rsid w:val="009878FD"/>
    <w:rsid w:val="009A6A41"/>
    <w:rsid w:val="009B221D"/>
    <w:rsid w:val="009B2D62"/>
    <w:rsid w:val="009D06D3"/>
    <w:rsid w:val="009F2698"/>
    <w:rsid w:val="00A11144"/>
    <w:rsid w:val="00A17A73"/>
    <w:rsid w:val="00A61DCB"/>
    <w:rsid w:val="00A67C1D"/>
    <w:rsid w:val="00A82B98"/>
    <w:rsid w:val="00A846BB"/>
    <w:rsid w:val="00AB10D7"/>
    <w:rsid w:val="00AC215C"/>
    <w:rsid w:val="00AD5107"/>
    <w:rsid w:val="00AE12D6"/>
    <w:rsid w:val="00B417BA"/>
    <w:rsid w:val="00B47CDF"/>
    <w:rsid w:val="00B5475F"/>
    <w:rsid w:val="00B572C1"/>
    <w:rsid w:val="00B6153F"/>
    <w:rsid w:val="00B731A3"/>
    <w:rsid w:val="00B8537F"/>
    <w:rsid w:val="00BB20C8"/>
    <w:rsid w:val="00BD028D"/>
    <w:rsid w:val="00BD3B60"/>
    <w:rsid w:val="00BE2760"/>
    <w:rsid w:val="00BE4F39"/>
    <w:rsid w:val="00C03E0C"/>
    <w:rsid w:val="00C076E5"/>
    <w:rsid w:val="00C13789"/>
    <w:rsid w:val="00C15DEA"/>
    <w:rsid w:val="00C2134D"/>
    <w:rsid w:val="00C27AE4"/>
    <w:rsid w:val="00C54E91"/>
    <w:rsid w:val="00C6554A"/>
    <w:rsid w:val="00C66504"/>
    <w:rsid w:val="00C96295"/>
    <w:rsid w:val="00CC4558"/>
    <w:rsid w:val="00CD4B4E"/>
    <w:rsid w:val="00CE62B5"/>
    <w:rsid w:val="00CF0F1C"/>
    <w:rsid w:val="00CF3D62"/>
    <w:rsid w:val="00D15E58"/>
    <w:rsid w:val="00D411E6"/>
    <w:rsid w:val="00D52D03"/>
    <w:rsid w:val="00D549EB"/>
    <w:rsid w:val="00D57B71"/>
    <w:rsid w:val="00D65A25"/>
    <w:rsid w:val="00D8796F"/>
    <w:rsid w:val="00D93B59"/>
    <w:rsid w:val="00DB41AC"/>
    <w:rsid w:val="00DE3E9F"/>
    <w:rsid w:val="00DF0E2D"/>
    <w:rsid w:val="00E02202"/>
    <w:rsid w:val="00E14204"/>
    <w:rsid w:val="00E17EEA"/>
    <w:rsid w:val="00E244B5"/>
    <w:rsid w:val="00E50D99"/>
    <w:rsid w:val="00E56DC7"/>
    <w:rsid w:val="00E666DE"/>
    <w:rsid w:val="00E75F81"/>
    <w:rsid w:val="00E8017F"/>
    <w:rsid w:val="00E80C8D"/>
    <w:rsid w:val="00E9174C"/>
    <w:rsid w:val="00E926EF"/>
    <w:rsid w:val="00EC3179"/>
    <w:rsid w:val="00EC4FB6"/>
    <w:rsid w:val="00ED1262"/>
    <w:rsid w:val="00ED1288"/>
    <w:rsid w:val="00ED17C0"/>
    <w:rsid w:val="00ED52F8"/>
    <w:rsid w:val="00ED7C44"/>
    <w:rsid w:val="00EE0361"/>
    <w:rsid w:val="00EE1BED"/>
    <w:rsid w:val="00EE6214"/>
    <w:rsid w:val="00EE6381"/>
    <w:rsid w:val="00EF4806"/>
    <w:rsid w:val="00EF7765"/>
    <w:rsid w:val="00F3293E"/>
    <w:rsid w:val="00F329EC"/>
    <w:rsid w:val="00F34D67"/>
    <w:rsid w:val="00F53163"/>
    <w:rsid w:val="00F65F5C"/>
    <w:rsid w:val="00F82AAA"/>
    <w:rsid w:val="00F94780"/>
    <w:rsid w:val="00FA0991"/>
    <w:rsid w:val="00FD0BFC"/>
    <w:rsid w:val="00FE4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8BC0A0-FC87-44C7-BC60-62F8B5AA4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Light">
    <w:name w:val="Grid Table Light"/>
    <w:basedOn w:val="TableNormal"/>
    <w:uiPriority w:val="40"/>
    <w:rsid w:val="003A495A"/>
    <w:pPr>
      <w:spacing w:before="0" w:after="0" w:line="240" w:lineRule="auto"/>
    </w:pPr>
    <w:rPr>
      <w:color w:val="auto"/>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unhideWhenUsed/>
    <w:qFormat/>
    <w:rsid w:val="00C076E5"/>
    <w:pPr>
      <w:ind w:left="720"/>
      <w:contextualSpacing/>
    </w:pPr>
  </w:style>
  <w:style w:type="paragraph" w:styleId="Bibliography">
    <w:name w:val="Bibliography"/>
    <w:basedOn w:val="Normal"/>
    <w:next w:val="Normal"/>
    <w:uiPriority w:val="37"/>
    <w:unhideWhenUsed/>
    <w:rsid w:val="006E01A3"/>
  </w:style>
  <w:style w:type="table" w:styleId="PlainTable5">
    <w:name w:val="Plain Table 5"/>
    <w:basedOn w:val="TableNormal"/>
    <w:uiPriority w:val="45"/>
    <w:rsid w:val="00A61DC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EE036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E03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EE036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7477">
      <w:bodyDiv w:val="1"/>
      <w:marLeft w:val="0"/>
      <w:marRight w:val="0"/>
      <w:marTop w:val="0"/>
      <w:marBottom w:val="0"/>
      <w:divBdr>
        <w:top w:val="none" w:sz="0" w:space="0" w:color="auto"/>
        <w:left w:val="none" w:sz="0" w:space="0" w:color="auto"/>
        <w:bottom w:val="none" w:sz="0" w:space="0" w:color="auto"/>
        <w:right w:val="none" w:sz="0" w:space="0" w:color="auto"/>
      </w:divBdr>
    </w:div>
    <w:div w:id="29038525">
      <w:bodyDiv w:val="1"/>
      <w:marLeft w:val="0"/>
      <w:marRight w:val="0"/>
      <w:marTop w:val="0"/>
      <w:marBottom w:val="0"/>
      <w:divBdr>
        <w:top w:val="none" w:sz="0" w:space="0" w:color="auto"/>
        <w:left w:val="none" w:sz="0" w:space="0" w:color="auto"/>
        <w:bottom w:val="none" w:sz="0" w:space="0" w:color="auto"/>
        <w:right w:val="none" w:sz="0" w:space="0" w:color="auto"/>
      </w:divBdr>
    </w:div>
    <w:div w:id="32853623">
      <w:bodyDiv w:val="1"/>
      <w:marLeft w:val="0"/>
      <w:marRight w:val="0"/>
      <w:marTop w:val="0"/>
      <w:marBottom w:val="0"/>
      <w:divBdr>
        <w:top w:val="none" w:sz="0" w:space="0" w:color="auto"/>
        <w:left w:val="none" w:sz="0" w:space="0" w:color="auto"/>
        <w:bottom w:val="none" w:sz="0" w:space="0" w:color="auto"/>
        <w:right w:val="none" w:sz="0" w:space="0" w:color="auto"/>
      </w:divBdr>
    </w:div>
    <w:div w:id="53965775">
      <w:bodyDiv w:val="1"/>
      <w:marLeft w:val="0"/>
      <w:marRight w:val="0"/>
      <w:marTop w:val="0"/>
      <w:marBottom w:val="0"/>
      <w:divBdr>
        <w:top w:val="none" w:sz="0" w:space="0" w:color="auto"/>
        <w:left w:val="none" w:sz="0" w:space="0" w:color="auto"/>
        <w:bottom w:val="none" w:sz="0" w:space="0" w:color="auto"/>
        <w:right w:val="none" w:sz="0" w:space="0" w:color="auto"/>
      </w:divBdr>
    </w:div>
    <w:div w:id="74254662">
      <w:bodyDiv w:val="1"/>
      <w:marLeft w:val="0"/>
      <w:marRight w:val="0"/>
      <w:marTop w:val="0"/>
      <w:marBottom w:val="0"/>
      <w:divBdr>
        <w:top w:val="none" w:sz="0" w:space="0" w:color="auto"/>
        <w:left w:val="none" w:sz="0" w:space="0" w:color="auto"/>
        <w:bottom w:val="none" w:sz="0" w:space="0" w:color="auto"/>
        <w:right w:val="none" w:sz="0" w:space="0" w:color="auto"/>
      </w:divBdr>
    </w:div>
    <w:div w:id="77479981">
      <w:bodyDiv w:val="1"/>
      <w:marLeft w:val="0"/>
      <w:marRight w:val="0"/>
      <w:marTop w:val="0"/>
      <w:marBottom w:val="0"/>
      <w:divBdr>
        <w:top w:val="none" w:sz="0" w:space="0" w:color="auto"/>
        <w:left w:val="none" w:sz="0" w:space="0" w:color="auto"/>
        <w:bottom w:val="none" w:sz="0" w:space="0" w:color="auto"/>
        <w:right w:val="none" w:sz="0" w:space="0" w:color="auto"/>
      </w:divBdr>
    </w:div>
    <w:div w:id="82147596">
      <w:bodyDiv w:val="1"/>
      <w:marLeft w:val="0"/>
      <w:marRight w:val="0"/>
      <w:marTop w:val="0"/>
      <w:marBottom w:val="0"/>
      <w:divBdr>
        <w:top w:val="none" w:sz="0" w:space="0" w:color="auto"/>
        <w:left w:val="none" w:sz="0" w:space="0" w:color="auto"/>
        <w:bottom w:val="none" w:sz="0" w:space="0" w:color="auto"/>
        <w:right w:val="none" w:sz="0" w:space="0" w:color="auto"/>
      </w:divBdr>
    </w:div>
    <w:div w:id="93476049">
      <w:bodyDiv w:val="1"/>
      <w:marLeft w:val="0"/>
      <w:marRight w:val="0"/>
      <w:marTop w:val="0"/>
      <w:marBottom w:val="0"/>
      <w:divBdr>
        <w:top w:val="none" w:sz="0" w:space="0" w:color="auto"/>
        <w:left w:val="none" w:sz="0" w:space="0" w:color="auto"/>
        <w:bottom w:val="none" w:sz="0" w:space="0" w:color="auto"/>
        <w:right w:val="none" w:sz="0" w:space="0" w:color="auto"/>
      </w:divBdr>
    </w:div>
    <w:div w:id="98182739">
      <w:bodyDiv w:val="1"/>
      <w:marLeft w:val="0"/>
      <w:marRight w:val="0"/>
      <w:marTop w:val="0"/>
      <w:marBottom w:val="0"/>
      <w:divBdr>
        <w:top w:val="none" w:sz="0" w:space="0" w:color="auto"/>
        <w:left w:val="none" w:sz="0" w:space="0" w:color="auto"/>
        <w:bottom w:val="none" w:sz="0" w:space="0" w:color="auto"/>
        <w:right w:val="none" w:sz="0" w:space="0" w:color="auto"/>
      </w:divBdr>
    </w:div>
    <w:div w:id="150215575">
      <w:bodyDiv w:val="1"/>
      <w:marLeft w:val="0"/>
      <w:marRight w:val="0"/>
      <w:marTop w:val="0"/>
      <w:marBottom w:val="0"/>
      <w:divBdr>
        <w:top w:val="none" w:sz="0" w:space="0" w:color="auto"/>
        <w:left w:val="none" w:sz="0" w:space="0" w:color="auto"/>
        <w:bottom w:val="none" w:sz="0" w:space="0" w:color="auto"/>
        <w:right w:val="none" w:sz="0" w:space="0" w:color="auto"/>
      </w:divBdr>
    </w:div>
    <w:div w:id="158814379">
      <w:bodyDiv w:val="1"/>
      <w:marLeft w:val="0"/>
      <w:marRight w:val="0"/>
      <w:marTop w:val="0"/>
      <w:marBottom w:val="0"/>
      <w:divBdr>
        <w:top w:val="none" w:sz="0" w:space="0" w:color="auto"/>
        <w:left w:val="none" w:sz="0" w:space="0" w:color="auto"/>
        <w:bottom w:val="none" w:sz="0" w:space="0" w:color="auto"/>
        <w:right w:val="none" w:sz="0" w:space="0" w:color="auto"/>
      </w:divBdr>
    </w:div>
    <w:div w:id="170149279">
      <w:bodyDiv w:val="1"/>
      <w:marLeft w:val="0"/>
      <w:marRight w:val="0"/>
      <w:marTop w:val="0"/>
      <w:marBottom w:val="0"/>
      <w:divBdr>
        <w:top w:val="none" w:sz="0" w:space="0" w:color="auto"/>
        <w:left w:val="none" w:sz="0" w:space="0" w:color="auto"/>
        <w:bottom w:val="none" w:sz="0" w:space="0" w:color="auto"/>
        <w:right w:val="none" w:sz="0" w:space="0" w:color="auto"/>
      </w:divBdr>
    </w:div>
    <w:div w:id="171994159">
      <w:bodyDiv w:val="1"/>
      <w:marLeft w:val="0"/>
      <w:marRight w:val="0"/>
      <w:marTop w:val="0"/>
      <w:marBottom w:val="0"/>
      <w:divBdr>
        <w:top w:val="none" w:sz="0" w:space="0" w:color="auto"/>
        <w:left w:val="none" w:sz="0" w:space="0" w:color="auto"/>
        <w:bottom w:val="none" w:sz="0" w:space="0" w:color="auto"/>
        <w:right w:val="none" w:sz="0" w:space="0" w:color="auto"/>
      </w:divBdr>
    </w:div>
    <w:div w:id="216360271">
      <w:bodyDiv w:val="1"/>
      <w:marLeft w:val="0"/>
      <w:marRight w:val="0"/>
      <w:marTop w:val="0"/>
      <w:marBottom w:val="0"/>
      <w:divBdr>
        <w:top w:val="none" w:sz="0" w:space="0" w:color="auto"/>
        <w:left w:val="none" w:sz="0" w:space="0" w:color="auto"/>
        <w:bottom w:val="none" w:sz="0" w:space="0" w:color="auto"/>
        <w:right w:val="none" w:sz="0" w:space="0" w:color="auto"/>
      </w:divBdr>
    </w:div>
    <w:div w:id="236212994">
      <w:bodyDiv w:val="1"/>
      <w:marLeft w:val="0"/>
      <w:marRight w:val="0"/>
      <w:marTop w:val="0"/>
      <w:marBottom w:val="0"/>
      <w:divBdr>
        <w:top w:val="none" w:sz="0" w:space="0" w:color="auto"/>
        <w:left w:val="none" w:sz="0" w:space="0" w:color="auto"/>
        <w:bottom w:val="none" w:sz="0" w:space="0" w:color="auto"/>
        <w:right w:val="none" w:sz="0" w:space="0" w:color="auto"/>
      </w:divBdr>
    </w:div>
    <w:div w:id="272246655">
      <w:bodyDiv w:val="1"/>
      <w:marLeft w:val="0"/>
      <w:marRight w:val="0"/>
      <w:marTop w:val="0"/>
      <w:marBottom w:val="0"/>
      <w:divBdr>
        <w:top w:val="none" w:sz="0" w:space="0" w:color="auto"/>
        <w:left w:val="none" w:sz="0" w:space="0" w:color="auto"/>
        <w:bottom w:val="none" w:sz="0" w:space="0" w:color="auto"/>
        <w:right w:val="none" w:sz="0" w:space="0" w:color="auto"/>
      </w:divBdr>
    </w:div>
    <w:div w:id="273902139">
      <w:bodyDiv w:val="1"/>
      <w:marLeft w:val="0"/>
      <w:marRight w:val="0"/>
      <w:marTop w:val="0"/>
      <w:marBottom w:val="0"/>
      <w:divBdr>
        <w:top w:val="none" w:sz="0" w:space="0" w:color="auto"/>
        <w:left w:val="none" w:sz="0" w:space="0" w:color="auto"/>
        <w:bottom w:val="none" w:sz="0" w:space="0" w:color="auto"/>
        <w:right w:val="none" w:sz="0" w:space="0" w:color="auto"/>
      </w:divBdr>
    </w:div>
    <w:div w:id="274411584">
      <w:bodyDiv w:val="1"/>
      <w:marLeft w:val="0"/>
      <w:marRight w:val="0"/>
      <w:marTop w:val="0"/>
      <w:marBottom w:val="0"/>
      <w:divBdr>
        <w:top w:val="none" w:sz="0" w:space="0" w:color="auto"/>
        <w:left w:val="none" w:sz="0" w:space="0" w:color="auto"/>
        <w:bottom w:val="none" w:sz="0" w:space="0" w:color="auto"/>
        <w:right w:val="none" w:sz="0" w:space="0" w:color="auto"/>
      </w:divBdr>
    </w:div>
    <w:div w:id="276135708">
      <w:bodyDiv w:val="1"/>
      <w:marLeft w:val="0"/>
      <w:marRight w:val="0"/>
      <w:marTop w:val="0"/>
      <w:marBottom w:val="0"/>
      <w:divBdr>
        <w:top w:val="none" w:sz="0" w:space="0" w:color="auto"/>
        <w:left w:val="none" w:sz="0" w:space="0" w:color="auto"/>
        <w:bottom w:val="none" w:sz="0" w:space="0" w:color="auto"/>
        <w:right w:val="none" w:sz="0" w:space="0" w:color="auto"/>
      </w:divBdr>
    </w:div>
    <w:div w:id="304510765">
      <w:bodyDiv w:val="1"/>
      <w:marLeft w:val="0"/>
      <w:marRight w:val="0"/>
      <w:marTop w:val="0"/>
      <w:marBottom w:val="0"/>
      <w:divBdr>
        <w:top w:val="none" w:sz="0" w:space="0" w:color="auto"/>
        <w:left w:val="none" w:sz="0" w:space="0" w:color="auto"/>
        <w:bottom w:val="none" w:sz="0" w:space="0" w:color="auto"/>
        <w:right w:val="none" w:sz="0" w:space="0" w:color="auto"/>
      </w:divBdr>
    </w:div>
    <w:div w:id="306932259">
      <w:bodyDiv w:val="1"/>
      <w:marLeft w:val="0"/>
      <w:marRight w:val="0"/>
      <w:marTop w:val="0"/>
      <w:marBottom w:val="0"/>
      <w:divBdr>
        <w:top w:val="none" w:sz="0" w:space="0" w:color="auto"/>
        <w:left w:val="none" w:sz="0" w:space="0" w:color="auto"/>
        <w:bottom w:val="none" w:sz="0" w:space="0" w:color="auto"/>
        <w:right w:val="none" w:sz="0" w:space="0" w:color="auto"/>
      </w:divBdr>
    </w:div>
    <w:div w:id="319306606">
      <w:bodyDiv w:val="1"/>
      <w:marLeft w:val="0"/>
      <w:marRight w:val="0"/>
      <w:marTop w:val="0"/>
      <w:marBottom w:val="0"/>
      <w:divBdr>
        <w:top w:val="none" w:sz="0" w:space="0" w:color="auto"/>
        <w:left w:val="none" w:sz="0" w:space="0" w:color="auto"/>
        <w:bottom w:val="none" w:sz="0" w:space="0" w:color="auto"/>
        <w:right w:val="none" w:sz="0" w:space="0" w:color="auto"/>
      </w:divBdr>
    </w:div>
    <w:div w:id="336226189">
      <w:bodyDiv w:val="1"/>
      <w:marLeft w:val="0"/>
      <w:marRight w:val="0"/>
      <w:marTop w:val="0"/>
      <w:marBottom w:val="0"/>
      <w:divBdr>
        <w:top w:val="none" w:sz="0" w:space="0" w:color="auto"/>
        <w:left w:val="none" w:sz="0" w:space="0" w:color="auto"/>
        <w:bottom w:val="none" w:sz="0" w:space="0" w:color="auto"/>
        <w:right w:val="none" w:sz="0" w:space="0" w:color="auto"/>
      </w:divBdr>
    </w:div>
    <w:div w:id="349720014">
      <w:bodyDiv w:val="1"/>
      <w:marLeft w:val="0"/>
      <w:marRight w:val="0"/>
      <w:marTop w:val="0"/>
      <w:marBottom w:val="0"/>
      <w:divBdr>
        <w:top w:val="none" w:sz="0" w:space="0" w:color="auto"/>
        <w:left w:val="none" w:sz="0" w:space="0" w:color="auto"/>
        <w:bottom w:val="none" w:sz="0" w:space="0" w:color="auto"/>
        <w:right w:val="none" w:sz="0" w:space="0" w:color="auto"/>
      </w:divBdr>
    </w:div>
    <w:div w:id="353043851">
      <w:bodyDiv w:val="1"/>
      <w:marLeft w:val="0"/>
      <w:marRight w:val="0"/>
      <w:marTop w:val="0"/>
      <w:marBottom w:val="0"/>
      <w:divBdr>
        <w:top w:val="none" w:sz="0" w:space="0" w:color="auto"/>
        <w:left w:val="none" w:sz="0" w:space="0" w:color="auto"/>
        <w:bottom w:val="none" w:sz="0" w:space="0" w:color="auto"/>
        <w:right w:val="none" w:sz="0" w:space="0" w:color="auto"/>
      </w:divBdr>
    </w:div>
    <w:div w:id="367418132">
      <w:bodyDiv w:val="1"/>
      <w:marLeft w:val="0"/>
      <w:marRight w:val="0"/>
      <w:marTop w:val="0"/>
      <w:marBottom w:val="0"/>
      <w:divBdr>
        <w:top w:val="none" w:sz="0" w:space="0" w:color="auto"/>
        <w:left w:val="none" w:sz="0" w:space="0" w:color="auto"/>
        <w:bottom w:val="none" w:sz="0" w:space="0" w:color="auto"/>
        <w:right w:val="none" w:sz="0" w:space="0" w:color="auto"/>
      </w:divBdr>
    </w:div>
    <w:div w:id="403064207">
      <w:bodyDiv w:val="1"/>
      <w:marLeft w:val="0"/>
      <w:marRight w:val="0"/>
      <w:marTop w:val="0"/>
      <w:marBottom w:val="0"/>
      <w:divBdr>
        <w:top w:val="none" w:sz="0" w:space="0" w:color="auto"/>
        <w:left w:val="none" w:sz="0" w:space="0" w:color="auto"/>
        <w:bottom w:val="none" w:sz="0" w:space="0" w:color="auto"/>
        <w:right w:val="none" w:sz="0" w:space="0" w:color="auto"/>
      </w:divBdr>
    </w:div>
    <w:div w:id="486555645">
      <w:bodyDiv w:val="1"/>
      <w:marLeft w:val="0"/>
      <w:marRight w:val="0"/>
      <w:marTop w:val="0"/>
      <w:marBottom w:val="0"/>
      <w:divBdr>
        <w:top w:val="none" w:sz="0" w:space="0" w:color="auto"/>
        <w:left w:val="none" w:sz="0" w:space="0" w:color="auto"/>
        <w:bottom w:val="none" w:sz="0" w:space="0" w:color="auto"/>
        <w:right w:val="none" w:sz="0" w:space="0" w:color="auto"/>
      </w:divBdr>
    </w:div>
    <w:div w:id="515657785">
      <w:bodyDiv w:val="1"/>
      <w:marLeft w:val="0"/>
      <w:marRight w:val="0"/>
      <w:marTop w:val="0"/>
      <w:marBottom w:val="0"/>
      <w:divBdr>
        <w:top w:val="none" w:sz="0" w:space="0" w:color="auto"/>
        <w:left w:val="none" w:sz="0" w:space="0" w:color="auto"/>
        <w:bottom w:val="none" w:sz="0" w:space="0" w:color="auto"/>
        <w:right w:val="none" w:sz="0" w:space="0" w:color="auto"/>
      </w:divBdr>
    </w:div>
    <w:div w:id="546844276">
      <w:bodyDiv w:val="1"/>
      <w:marLeft w:val="0"/>
      <w:marRight w:val="0"/>
      <w:marTop w:val="0"/>
      <w:marBottom w:val="0"/>
      <w:divBdr>
        <w:top w:val="none" w:sz="0" w:space="0" w:color="auto"/>
        <w:left w:val="none" w:sz="0" w:space="0" w:color="auto"/>
        <w:bottom w:val="none" w:sz="0" w:space="0" w:color="auto"/>
        <w:right w:val="none" w:sz="0" w:space="0" w:color="auto"/>
      </w:divBdr>
    </w:div>
    <w:div w:id="584193755">
      <w:bodyDiv w:val="1"/>
      <w:marLeft w:val="0"/>
      <w:marRight w:val="0"/>
      <w:marTop w:val="0"/>
      <w:marBottom w:val="0"/>
      <w:divBdr>
        <w:top w:val="none" w:sz="0" w:space="0" w:color="auto"/>
        <w:left w:val="none" w:sz="0" w:space="0" w:color="auto"/>
        <w:bottom w:val="none" w:sz="0" w:space="0" w:color="auto"/>
        <w:right w:val="none" w:sz="0" w:space="0" w:color="auto"/>
      </w:divBdr>
    </w:div>
    <w:div w:id="618149009">
      <w:bodyDiv w:val="1"/>
      <w:marLeft w:val="0"/>
      <w:marRight w:val="0"/>
      <w:marTop w:val="0"/>
      <w:marBottom w:val="0"/>
      <w:divBdr>
        <w:top w:val="none" w:sz="0" w:space="0" w:color="auto"/>
        <w:left w:val="none" w:sz="0" w:space="0" w:color="auto"/>
        <w:bottom w:val="none" w:sz="0" w:space="0" w:color="auto"/>
        <w:right w:val="none" w:sz="0" w:space="0" w:color="auto"/>
      </w:divBdr>
    </w:div>
    <w:div w:id="619381948">
      <w:bodyDiv w:val="1"/>
      <w:marLeft w:val="0"/>
      <w:marRight w:val="0"/>
      <w:marTop w:val="0"/>
      <w:marBottom w:val="0"/>
      <w:divBdr>
        <w:top w:val="none" w:sz="0" w:space="0" w:color="auto"/>
        <w:left w:val="none" w:sz="0" w:space="0" w:color="auto"/>
        <w:bottom w:val="none" w:sz="0" w:space="0" w:color="auto"/>
        <w:right w:val="none" w:sz="0" w:space="0" w:color="auto"/>
      </w:divBdr>
    </w:div>
    <w:div w:id="641235336">
      <w:bodyDiv w:val="1"/>
      <w:marLeft w:val="0"/>
      <w:marRight w:val="0"/>
      <w:marTop w:val="0"/>
      <w:marBottom w:val="0"/>
      <w:divBdr>
        <w:top w:val="none" w:sz="0" w:space="0" w:color="auto"/>
        <w:left w:val="none" w:sz="0" w:space="0" w:color="auto"/>
        <w:bottom w:val="none" w:sz="0" w:space="0" w:color="auto"/>
        <w:right w:val="none" w:sz="0" w:space="0" w:color="auto"/>
      </w:divBdr>
    </w:div>
    <w:div w:id="670524769">
      <w:bodyDiv w:val="1"/>
      <w:marLeft w:val="0"/>
      <w:marRight w:val="0"/>
      <w:marTop w:val="0"/>
      <w:marBottom w:val="0"/>
      <w:divBdr>
        <w:top w:val="none" w:sz="0" w:space="0" w:color="auto"/>
        <w:left w:val="none" w:sz="0" w:space="0" w:color="auto"/>
        <w:bottom w:val="none" w:sz="0" w:space="0" w:color="auto"/>
        <w:right w:val="none" w:sz="0" w:space="0" w:color="auto"/>
      </w:divBdr>
    </w:div>
    <w:div w:id="673798296">
      <w:bodyDiv w:val="1"/>
      <w:marLeft w:val="0"/>
      <w:marRight w:val="0"/>
      <w:marTop w:val="0"/>
      <w:marBottom w:val="0"/>
      <w:divBdr>
        <w:top w:val="none" w:sz="0" w:space="0" w:color="auto"/>
        <w:left w:val="none" w:sz="0" w:space="0" w:color="auto"/>
        <w:bottom w:val="none" w:sz="0" w:space="0" w:color="auto"/>
        <w:right w:val="none" w:sz="0" w:space="0" w:color="auto"/>
      </w:divBdr>
    </w:div>
    <w:div w:id="675037804">
      <w:bodyDiv w:val="1"/>
      <w:marLeft w:val="0"/>
      <w:marRight w:val="0"/>
      <w:marTop w:val="0"/>
      <w:marBottom w:val="0"/>
      <w:divBdr>
        <w:top w:val="none" w:sz="0" w:space="0" w:color="auto"/>
        <w:left w:val="none" w:sz="0" w:space="0" w:color="auto"/>
        <w:bottom w:val="none" w:sz="0" w:space="0" w:color="auto"/>
        <w:right w:val="none" w:sz="0" w:space="0" w:color="auto"/>
      </w:divBdr>
    </w:div>
    <w:div w:id="685063869">
      <w:bodyDiv w:val="1"/>
      <w:marLeft w:val="0"/>
      <w:marRight w:val="0"/>
      <w:marTop w:val="0"/>
      <w:marBottom w:val="0"/>
      <w:divBdr>
        <w:top w:val="none" w:sz="0" w:space="0" w:color="auto"/>
        <w:left w:val="none" w:sz="0" w:space="0" w:color="auto"/>
        <w:bottom w:val="none" w:sz="0" w:space="0" w:color="auto"/>
        <w:right w:val="none" w:sz="0" w:space="0" w:color="auto"/>
      </w:divBdr>
    </w:div>
    <w:div w:id="687407202">
      <w:bodyDiv w:val="1"/>
      <w:marLeft w:val="0"/>
      <w:marRight w:val="0"/>
      <w:marTop w:val="0"/>
      <w:marBottom w:val="0"/>
      <w:divBdr>
        <w:top w:val="none" w:sz="0" w:space="0" w:color="auto"/>
        <w:left w:val="none" w:sz="0" w:space="0" w:color="auto"/>
        <w:bottom w:val="none" w:sz="0" w:space="0" w:color="auto"/>
        <w:right w:val="none" w:sz="0" w:space="0" w:color="auto"/>
      </w:divBdr>
    </w:div>
    <w:div w:id="707992858">
      <w:bodyDiv w:val="1"/>
      <w:marLeft w:val="0"/>
      <w:marRight w:val="0"/>
      <w:marTop w:val="0"/>
      <w:marBottom w:val="0"/>
      <w:divBdr>
        <w:top w:val="none" w:sz="0" w:space="0" w:color="auto"/>
        <w:left w:val="none" w:sz="0" w:space="0" w:color="auto"/>
        <w:bottom w:val="none" w:sz="0" w:space="0" w:color="auto"/>
        <w:right w:val="none" w:sz="0" w:space="0" w:color="auto"/>
      </w:divBdr>
    </w:div>
    <w:div w:id="711225810">
      <w:bodyDiv w:val="1"/>
      <w:marLeft w:val="0"/>
      <w:marRight w:val="0"/>
      <w:marTop w:val="0"/>
      <w:marBottom w:val="0"/>
      <w:divBdr>
        <w:top w:val="none" w:sz="0" w:space="0" w:color="auto"/>
        <w:left w:val="none" w:sz="0" w:space="0" w:color="auto"/>
        <w:bottom w:val="none" w:sz="0" w:space="0" w:color="auto"/>
        <w:right w:val="none" w:sz="0" w:space="0" w:color="auto"/>
      </w:divBdr>
    </w:div>
    <w:div w:id="720061902">
      <w:bodyDiv w:val="1"/>
      <w:marLeft w:val="0"/>
      <w:marRight w:val="0"/>
      <w:marTop w:val="0"/>
      <w:marBottom w:val="0"/>
      <w:divBdr>
        <w:top w:val="none" w:sz="0" w:space="0" w:color="auto"/>
        <w:left w:val="none" w:sz="0" w:space="0" w:color="auto"/>
        <w:bottom w:val="none" w:sz="0" w:space="0" w:color="auto"/>
        <w:right w:val="none" w:sz="0" w:space="0" w:color="auto"/>
      </w:divBdr>
    </w:div>
    <w:div w:id="761531953">
      <w:bodyDiv w:val="1"/>
      <w:marLeft w:val="0"/>
      <w:marRight w:val="0"/>
      <w:marTop w:val="0"/>
      <w:marBottom w:val="0"/>
      <w:divBdr>
        <w:top w:val="none" w:sz="0" w:space="0" w:color="auto"/>
        <w:left w:val="none" w:sz="0" w:space="0" w:color="auto"/>
        <w:bottom w:val="none" w:sz="0" w:space="0" w:color="auto"/>
        <w:right w:val="none" w:sz="0" w:space="0" w:color="auto"/>
      </w:divBdr>
    </w:div>
    <w:div w:id="797259386">
      <w:bodyDiv w:val="1"/>
      <w:marLeft w:val="0"/>
      <w:marRight w:val="0"/>
      <w:marTop w:val="0"/>
      <w:marBottom w:val="0"/>
      <w:divBdr>
        <w:top w:val="none" w:sz="0" w:space="0" w:color="auto"/>
        <w:left w:val="none" w:sz="0" w:space="0" w:color="auto"/>
        <w:bottom w:val="none" w:sz="0" w:space="0" w:color="auto"/>
        <w:right w:val="none" w:sz="0" w:space="0" w:color="auto"/>
      </w:divBdr>
    </w:div>
    <w:div w:id="800196449">
      <w:bodyDiv w:val="1"/>
      <w:marLeft w:val="0"/>
      <w:marRight w:val="0"/>
      <w:marTop w:val="0"/>
      <w:marBottom w:val="0"/>
      <w:divBdr>
        <w:top w:val="none" w:sz="0" w:space="0" w:color="auto"/>
        <w:left w:val="none" w:sz="0" w:space="0" w:color="auto"/>
        <w:bottom w:val="none" w:sz="0" w:space="0" w:color="auto"/>
        <w:right w:val="none" w:sz="0" w:space="0" w:color="auto"/>
      </w:divBdr>
    </w:div>
    <w:div w:id="803474496">
      <w:bodyDiv w:val="1"/>
      <w:marLeft w:val="0"/>
      <w:marRight w:val="0"/>
      <w:marTop w:val="0"/>
      <w:marBottom w:val="0"/>
      <w:divBdr>
        <w:top w:val="none" w:sz="0" w:space="0" w:color="auto"/>
        <w:left w:val="none" w:sz="0" w:space="0" w:color="auto"/>
        <w:bottom w:val="none" w:sz="0" w:space="0" w:color="auto"/>
        <w:right w:val="none" w:sz="0" w:space="0" w:color="auto"/>
      </w:divBdr>
    </w:div>
    <w:div w:id="808210168">
      <w:bodyDiv w:val="1"/>
      <w:marLeft w:val="0"/>
      <w:marRight w:val="0"/>
      <w:marTop w:val="0"/>
      <w:marBottom w:val="0"/>
      <w:divBdr>
        <w:top w:val="none" w:sz="0" w:space="0" w:color="auto"/>
        <w:left w:val="none" w:sz="0" w:space="0" w:color="auto"/>
        <w:bottom w:val="none" w:sz="0" w:space="0" w:color="auto"/>
        <w:right w:val="none" w:sz="0" w:space="0" w:color="auto"/>
      </w:divBdr>
    </w:div>
    <w:div w:id="809830066">
      <w:bodyDiv w:val="1"/>
      <w:marLeft w:val="0"/>
      <w:marRight w:val="0"/>
      <w:marTop w:val="0"/>
      <w:marBottom w:val="0"/>
      <w:divBdr>
        <w:top w:val="none" w:sz="0" w:space="0" w:color="auto"/>
        <w:left w:val="none" w:sz="0" w:space="0" w:color="auto"/>
        <w:bottom w:val="none" w:sz="0" w:space="0" w:color="auto"/>
        <w:right w:val="none" w:sz="0" w:space="0" w:color="auto"/>
      </w:divBdr>
    </w:div>
    <w:div w:id="851720544">
      <w:bodyDiv w:val="1"/>
      <w:marLeft w:val="0"/>
      <w:marRight w:val="0"/>
      <w:marTop w:val="0"/>
      <w:marBottom w:val="0"/>
      <w:divBdr>
        <w:top w:val="none" w:sz="0" w:space="0" w:color="auto"/>
        <w:left w:val="none" w:sz="0" w:space="0" w:color="auto"/>
        <w:bottom w:val="none" w:sz="0" w:space="0" w:color="auto"/>
        <w:right w:val="none" w:sz="0" w:space="0" w:color="auto"/>
      </w:divBdr>
    </w:div>
    <w:div w:id="861435546">
      <w:bodyDiv w:val="1"/>
      <w:marLeft w:val="0"/>
      <w:marRight w:val="0"/>
      <w:marTop w:val="0"/>
      <w:marBottom w:val="0"/>
      <w:divBdr>
        <w:top w:val="none" w:sz="0" w:space="0" w:color="auto"/>
        <w:left w:val="none" w:sz="0" w:space="0" w:color="auto"/>
        <w:bottom w:val="none" w:sz="0" w:space="0" w:color="auto"/>
        <w:right w:val="none" w:sz="0" w:space="0" w:color="auto"/>
      </w:divBdr>
    </w:div>
    <w:div w:id="864295853">
      <w:bodyDiv w:val="1"/>
      <w:marLeft w:val="0"/>
      <w:marRight w:val="0"/>
      <w:marTop w:val="0"/>
      <w:marBottom w:val="0"/>
      <w:divBdr>
        <w:top w:val="none" w:sz="0" w:space="0" w:color="auto"/>
        <w:left w:val="none" w:sz="0" w:space="0" w:color="auto"/>
        <w:bottom w:val="none" w:sz="0" w:space="0" w:color="auto"/>
        <w:right w:val="none" w:sz="0" w:space="0" w:color="auto"/>
      </w:divBdr>
    </w:div>
    <w:div w:id="871957157">
      <w:bodyDiv w:val="1"/>
      <w:marLeft w:val="0"/>
      <w:marRight w:val="0"/>
      <w:marTop w:val="0"/>
      <w:marBottom w:val="0"/>
      <w:divBdr>
        <w:top w:val="none" w:sz="0" w:space="0" w:color="auto"/>
        <w:left w:val="none" w:sz="0" w:space="0" w:color="auto"/>
        <w:bottom w:val="none" w:sz="0" w:space="0" w:color="auto"/>
        <w:right w:val="none" w:sz="0" w:space="0" w:color="auto"/>
      </w:divBdr>
    </w:div>
    <w:div w:id="878515176">
      <w:bodyDiv w:val="1"/>
      <w:marLeft w:val="0"/>
      <w:marRight w:val="0"/>
      <w:marTop w:val="0"/>
      <w:marBottom w:val="0"/>
      <w:divBdr>
        <w:top w:val="none" w:sz="0" w:space="0" w:color="auto"/>
        <w:left w:val="none" w:sz="0" w:space="0" w:color="auto"/>
        <w:bottom w:val="none" w:sz="0" w:space="0" w:color="auto"/>
        <w:right w:val="none" w:sz="0" w:space="0" w:color="auto"/>
      </w:divBdr>
    </w:div>
    <w:div w:id="885916714">
      <w:bodyDiv w:val="1"/>
      <w:marLeft w:val="0"/>
      <w:marRight w:val="0"/>
      <w:marTop w:val="0"/>
      <w:marBottom w:val="0"/>
      <w:divBdr>
        <w:top w:val="none" w:sz="0" w:space="0" w:color="auto"/>
        <w:left w:val="none" w:sz="0" w:space="0" w:color="auto"/>
        <w:bottom w:val="none" w:sz="0" w:space="0" w:color="auto"/>
        <w:right w:val="none" w:sz="0" w:space="0" w:color="auto"/>
      </w:divBdr>
    </w:div>
    <w:div w:id="894926379">
      <w:bodyDiv w:val="1"/>
      <w:marLeft w:val="0"/>
      <w:marRight w:val="0"/>
      <w:marTop w:val="0"/>
      <w:marBottom w:val="0"/>
      <w:divBdr>
        <w:top w:val="none" w:sz="0" w:space="0" w:color="auto"/>
        <w:left w:val="none" w:sz="0" w:space="0" w:color="auto"/>
        <w:bottom w:val="none" w:sz="0" w:space="0" w:color="auto"/>
        <w:right w:val="none" w:sz="0" w:space="0" w:color="auto"/>
      </w:divBdr>
    </w:div>
    <w:div w:id="904994332">
      <w:bodyDiv w:val="1"/>
      <w:marLeft w:val="0"/>
      <w:marRight w:val="0"/>
      <w:marTop w:val="0"/>
      <w:marBottom w:val="0"/>
      <w:divBdr>
        <w:top w:val="none" w:sz="0" w:space="0" w:color="auto"/>
        <w:left w:val="none" w:sz="0" w:space="0" w:color="auto"/>
        <w:bottom w:val="none" w:sz="0" w:space="0" w:color="auto"/>
        <w:right w:val="none" w:sz="0" w:space="0" w:color="auto"/>
      </w:divBdr>
    </w:div>
    <w:div w:id="919099587">
      <w:bodyDiv w:val="1"/>
      <w:marLeft w:val="0"/>
      <w:marRight w:val="0"/>
      <w:marTop w:val="0"/>
      <w:marBottom w:val="0"/>
      <w:divBdr>
        <w:top w:val="none" w:sz="0" w:space="0" w:color="auto"/>
        <w:left w:val="none" w:sz="0" w:space="0" w:color="auto"/>
        <w:bottom w:val="none" w:sz="0" w:space="0" w:color="auto"/>
        <w:right w:val="none" w:sz="0" w:space="0" w:color="auto"/>
      </w:divBdr>
    </w:div>
    <w:div w:id="977296760">
      <w:bodyDiv w:val="1"/>
      <w:marLeft w:val="0"/>
      <w:marRight w:val="0"/>
      <w:marTop w:val="0"/>
      <w:marBottom w:val="0"/>
      <w:divBdr>
        <w:top w:val="none" w:sz="0" w:space="0" w:color="auto"/>
        <w:left w:val="none" w:sz="0" w:space="0" w:color="auto"/>
        <w:bottom w:val="none" w:sz="0" w:space="0" w:color="auto"/>
        <w:right w:val="none" w:sz="0" w:space="0" w:color="auto"/>
      </w:divBdr>
    </w:div>
    <w:div w:id="1030373874">
      <w:bodyDiv w:val="1"/>
      <w:marLeft w:val="0"/>
      <w:marRight w:val="0"/>
      <w:marTop w:val="0"/>
      <w:marBottom w:val="0"/>
      <w:divBdr>
        <w:top w:val="none" w:sz="0" w:space="0" w:color="auto"/>
        <w:left w:val="none" w:sz="0" w:space="0" w:color="auto"/>
        <w:bottom w:val="none" w:sz="0" w:space="0" w:color="auto"/>
        <w:right w:val="none" w:sz="0" w:space="0" w:color="auto"/>
      </w:divBdr>
    </w:div>
    <w:div w:id="1031806337">
      <w:bodyDiv w:val="1"/>
      <w:marLeft w:val="0"/>
      <w:marRight w:val="0"/>
      <w:marTop w:val="0"/>
      <w:marBottom w:val="0"/>
      <w:divBdr>
        <w:top w:val="none" w:sz="0" w:space="0" w:color="auto"/>
        <w:left w:val="none" w:sz="0" w:space="0" w:color="auto"/>
        <w:bottom w:val="none" w:sz="0" w:space="0" w:color="auto"/>
        <w:right w:val="none" w:sz="0" w:space="0" w:color="auto"/>
      </w:divBdr>
    </w:div>
    <w:div w:id="1037701237">
      <w:bodyDiv w:val="1"/>
      <w:marLeft w:val="0"/>
      <w:marRight w:val="0"/>
      <w:marTop w:val="0"/>
      <w:marBottom w:val="0"/>
      <w:divBdr>
        <w:top w:val="none" w:sz="0" w:space="0" w:color="auto"/>
        <w:left w:val="none" w:sz="0" w:space="0" w:color="auto"/>
        <w:bottom w:val="none" w:sz="0" w:space="0" w:color="auto"/>
        <w:right w:val="none" w:sz="0" w:space="0" w:color="auto"/>
      </w:divBdr>
    </w:div>
    <w:div w:id="1040739946">
      <w:bodyDiv w:val="1"/>
      <w:marLeft w:val="0"/>
      <w:marRight w:val="0"/>
      <w:marTop w:val="0"/>
      <w:marBottom w:val="0"/>
      <w:divBdr>
        <w:top w:val="none" w:sz="0" w:space="0" w:color="auto"/>
        <w:left w:val="none" w:sz="0" w:space="0" w:color="auto"/>
        <w:bottom w:val="none" w:sz="0" w:space="0" w:color="auto"/>
        <w:right w:val="none" w:sz="0" w:space="0" w:color="auto"/>
      </w:divBdr>
    </w:div>
    <w:div w:id="1047682708">
      <w:bodyDiv w:val="1"/>
      <w:marLeft w:val="0"/>
      <w:marRight w:val="0"/>
      <w:marTop w:val="0"/>
      <w:marBottom w:val="0"/>
      <w:divBdr>
        <w:top w:val="none" w:sz="0" w:space="0" w:color="auto"/>
        <w:left w:val="none" w:sz="0" w:space="0" w:color="auto"/>
        <w:bottom w:val="none" w:sz="0" w:space="0" w:color="auto"/>
        <w:right w:val="none" w:sz="0" w:space="0" w:color="auto"/>
      </w:divBdr>
    </w:div>
    <w:div w:id="1057313295">
      <w:bodyDiv w:val="1"/>
      <w:marLeft w:val="0"/>
      <w:marRight w:val="0"/>
      <w:marTop w:val="0"/>
      <w:marBottom w:val="0"/>
      <w:divBdr>
        <w:top w:val="none" w:sz="0" w:space="0" w:color="auto"/>
        <w:left w:val="none" w:sz="0" w:space="0" w:color="auto"/>
        <w:bottom w:val="none" w:sz="0" w:space="0" w:color="auto"/>
        <w:right w:val="none" w:sz="0" w:space="0" w:color="auto"/>
      </w:divBdr>
    </w:div>
    <w:div w:id="1072848589">
      <w:bodyDiv w:val="1"/>
      <w:marLeft w:val="0"/>
      <w:marRight w:val="0"/>
      <w:marTop w:val="0"/>
      <w:marBottom w:val="0"/>
      <w:divBdr>
        <w:top w:val="none" w:sz="0" w:space="0" w:color="auto"/>
        <w:left w:val="none" w:sz="0" w:space="0" w:color="auto"/>
        <w:bottom w:val="none" w:sz="0" w:space="0" w:color="auto"/>
        <w:right w:val="none" w:sz="0" w:space="0" w:color="auto"/>
      </w:divBdr>
    </w:div>
    <w:div w:id="1090731774">
      <w:bodyDiv w:val="1"/>
      <w:marLeft w:val="0"/>
      <w:marRight w:val="0"/>
      <w:marTop w:val="0"/>
      <w:marBottom w:val="0"/>
      <w:divBdr>
        <w:top w:val="none" w:sz="0" w:space="0" w:color="auto"/>
        <w:left w:val="none" w:sz="0" w:space="0" w:color="auto"/>
        <w:bottom w:val="none" w:sz="0" w:space="0" w:color="auto"/>
        <w:right w:val="none" w:sz="0" w:space="0" w:color="auto"/>
      </w:divBdr>
    </w:div>
    <w:div w:id="1123227328">
      <w:bodyDiv w:val="1"/>
      <w:marLeft w:val="0"/>
      <w:marRight w:val="0"/>
      <w:marTop w:val="0"/>
      <w:marBottom w:val="0"/>
      <w:divBdr>
        <w:top w:val="none" w:sz="0" w:space="0" w:color="auto"/>
        <w:left w:val="none" w:sz="0" w:space="0" w:color="auto"/>
        <w:bottom w:val="none" w:sz="0" w:space="0" w:color="auto"/>
        <w:right w:val="none" w:sz="0" w:space="0" w:color="auto"/>
      </w:divBdr>
    </w:div>
    <w:div w:id="1125074565">
      <w:bodyDiv w:val="1"/>
      <w:marLeft w:val="0"/>
      <w:marRight w:val="0"/>
      <w:marTop w:val="0"/>
      <w:marBottom w:val="0"/>
      <w:divBdr>
        <w:top w:val="none" w:sz="0" w:space="0" w:color="auto"/>
        <w:left w:val="none" w:sz="0" w:space="0" w:color="auto"/>
        <w:bottom w:val="none" w:sz="0" w:space="0" w:color="auto"/>
        <w:right w:val="none" w:sz="0" w:space="0" w:color="auto"/>
      </w:divBdr>
    </w:div>
    <w:div w:id="1129665161">
      <w:bodyDiv w:val="1"/>
      <w:marLeft w:val="0"/>
      <w:marRight w:val="0"/>
      <w:marTop w:val="0"/>
      <w:marBottom w:val="0"/>
      <w:divBdr>
        <w:top w:val="none" w:sz="0" w:space="0" w:color="auto"/>
        <w:left w:val="none" w:sz="0" w:space="0" w:color="auto"/>
        <w:bottom w:val="none" w:sz="0" w:space="0" w:color="auto"/>
        <w:right w:val="none" w:sz="0" w:space="0" w:color="auto"/>
      </w:divBdr>
    </w:div>
    <w:div w:id="1131242193">
      <w:bodyDiv w:val="1"/>
      <w:marLeft w:val="0"/>
      <w:marRight w:val="0"/>
      <w:marTop w:val="0"/>
      <w:marBottom w:val="0"/>
      <w:divBdr>
        <w:top w:val="none" w:sz="0" w:space="0" w:color="auto"/>
        <w:left w:val="none" w:sz="0" w:space="0" w:color="auto"/>
        <w:bottom w:val="none" w:sz="0" w:space="0" w:color="auto"/>
        <w:right w:val="none" w:sz="0" w:space="0" w:color="auto"/>
      </w:divBdr>
    </w:div>
    <w:div w:id="1141264397">
      <w:bodyDiv w:val="1"/>
      <w:marLeft w:val="0"/>
      <w:marRight w:val="0"/>
      <w:marTop w:val="0"/>
      <w:marBottom w:val="0"/>
      <w:divBdr>
        <w:top w:val="none" w:sz="0" w:space="0" w:color="auto"/>
        <w:left w:val="none" w:sz="0" w:space="0" w:color="auto"/>
        <w:bottom w:val="none" w:sz="0" w:space="0" w:color="auto"/>
        <w:right w:val="none" w:sz="0" w:space="0" w:color="auto"/>
      </w:divBdr>
    </w:div>
    <w:div w:id="1169904025">
      <w:bodyDiv w:val="1"/>
      <w:marLeft w:val="0"/>
      <w:marRight w:val="0"/>
      <w:marTop w:val="0"/>
      <w:marBottom w:val="0"/>
      <w:divBdr>
        <w:top w:val="none" w:sz="0" w:space="0" w:color="auto"/>
        <w:left w:val="none" w:sz="0" w:space="0" w:color="auto"/>
        <w:bottom w:val="none" w:sz="0" w:space="0" w:color="auto"/>
        <w:right w:val="none" w:sz="0" w:space="0" w:color="auto"/>
      </w:divBdr>
    </w:div>
    <w:div w:id="1173380418">
      <w:bodyDiv w:val="1"/>
      <w:marLeft w:val="0"/>
      <w:marRight w:val="0"/>
      <w:marTop w:val="0"/>
      <w:marBottom w:val="0"/>
      <w:divBdr>
        <w:top w:val="none" w:sz="0" w:space="0" w:color="auto"/>
        <w:left w:val="none" w:sz="0" w:space="0" w:color="auto"/>
        <w:bottom w:val="none" w:sz="0" w:space="0" w:color="auto"/>
        <w:right w:val="none" w:sz="0" w:space="0" w:color="auto"/>
      </w:divBdr>
    </w:div>
    <w:div w:id="1195777627">
      <w:bodyDiv w:val="1"/>
      <w:marLeft w:val="0"/>
      <w:marRight w:val="0"/>
      <w:marTop w:val="0"/>
      <w:marBottom w:val="0"/>
      <w:divBdr>
        <w:top w:val="none" w:sz="0" w:space="0" w:color="auto"/>
        <w:left w:val="none" w:sz="0" w:space="0" w:color="auto"/>
        <w:bottom w:val="none" w:sz="0" w:space="0" w:color="auto"/>
        <w:right w:val="none" w:sz="0" w:space="0" w:color="auto"/>
      </w:divBdr>
    </w:div>
    <w:div w:id="1219627406">
      <w:bodyDiv w:val="1"/>
      <w:marLeft w:val="0"/>
      <w:marRight w:val="0"/>
      <w:marTop w:val="0"/>
      <w:marBottom w:val="0"/>
      <w:divBdr>
        <w:top w:val="none" w:sz="0" w:space="0" w:color="auto"/>
        <w:left w:val="none" w:sz="0" w:space="0" w:color="auto"/>
        <w:bottom w:val="none" w:sz="0" w:space="0" w:color="auto"/>
        <w:right w:val="none" w:sz="0" w:space="0" w:color="auto"/>
      </w:divBdr>
    </w:div>
    <w:div w:id="1222014317">
      <w:bodyDiv w:val="1"/>
      <w:marLeft w:val="0"/>
      <w:marRight w:val="0"/>
      <w:marTop w:val="0"/>
      <w:marBottom w:val="0"/>
      <w:divBdr>
        <w:top w:val="none" w:sz="0" w:space="0" w:color="auto"/>
        <w:left w:val="none" w:sz="0" w:space="0" w:color="auto"/>
        <w:bottom w:val="none" w:sz="0" w:space="0" w:color="auto"/>
        <w:right w:val="none" w:sz="0" w:space="0" w:color="auto"/>
      </w:divBdr>
    </w:div>
    <w:div w:id="1229728770">
      <w:bodyDiv w:val="1"/>
      <w:marLeft w:val="0"/>
      <w:marRight w:val="0"/>
      <w:marTop w:val="0"/>
      <w:marBottom w:val="0"/>
      <w:divBdr>
        <w:top w:val="none" w:sz="0" w:space="0" w:color="auto"/>
        <w:left w:val="none" w:sz="0" w:space="0" w:color="auto"/>
        <w:bottom w:val="none" w:sz="0" w:space="0" w:color="auto"/>
        <w:right w:val="none" w:sz="0" w:space="0" w:color="auto"/>
      </w:divBdr>
    </w:div>
    <w:div w:id="1234852358">
      <w:bodyDiv w:val="1"/>
      <w:marLeft w:val="0"/>
      <w:marRight w:val="0"/>
      <w:marTop w:val="0"/>
      <w:marBottom w:val="0"/>
      <w:divBdr>
        <w:top w:val="none" w:sz="0" w:space="0" w:color="auto"/>
        <w:left w:val="none" w:sz="0" w:space="0" w:color="auto"/>
        <w:bottom w:val="none" w:sz="0" w:space="0" w:color="auto"/>
        <w:right w:val="none" w:sz="0" w:space="0" w:color="auto"/>
      </w:divBdr>
    </w:div>
    <w:div w:id="1250433745">
      <w:bodyDiv w:val="1"/>
      <w:marLeft w:val="0"/>
      <w:marRight w:val="0"/>
      <w:marTop w:val="0"/>
      <w:marBottom w:val="0"/>
      <w:divBdr>
        <w:top w:val="none" w:sz="0" w:space="0" w:color="auto"/>
        <w:left w:val="none" w:sz="0" w:space="0" w:color="auto"/>
        <w:bottom w:val="none" w:sz="0" w:space="0" w:color="auto"/>
        <w:right w:val="none" w:sz="0" w:space="0" w:color="auto"/>
      </w:divBdr>
    </w:div>
    <w:div w:id="1268732796">
      <w:bodyDiv w:val="1"/>
      <w:marLeft w:val="0"/>
      <w:marRight w:val="0"/>
      <w:marTop w:val="0"/>
      <w:marBottom w:val="0"/>
      <w:divBdr>
        <w:top w:val="none" w:sz="0" w:space="0" w:color="auto"/>
        <w:left w:val="none" w:sz="0" w:space="0" w:color="auto"/>
        <w:bottom w:val="none" w:sz="0" w:space="0" w:color="auto"/>
        <w:right w:val="none" w:sz="0" w:space="0" w:color="auto"/>
      </w:divBdr>
    </w:div>
    <w:div w:id="1290819181">
      <w:bodyDiv w:val="1"/>
      <w:marLeft w:val="0"/>
      <w:marRight w:val="0"/>
      <w:marTop w:val="0"/>
      <w:marBottom w:val="0"/>
      <w:divBdr>
        <w:top w:val="none" w:sz="0" w:space="0" w:color="auto"/>
        <w:left w:val="none" w:sz="0" w:space="0" w:color="auto"/>
        <w:bottom w:val="none" w:sz="0" w:space="0" w:color="auto"/>
        <w:right w:val="none" w:sz="0" w:space="0" w:color="auto"/>
      </w:divBdr>
    </w:div>
    <w:div w:id="1315404074">
      <w:bodyDiv w:val="1"/>
      <w:marLeft w:val="0"/>
      <w:marRight w:val="0"/>
      <w:marTop w:val="0"/>
      <w:marBottom w:val="0"/>
      <w:divBdr>
        <w:top w:val="none" w:sz="0" w:space="0" w:color="auto"/>
        <w:left w:val="none" w:sz="0" w:space="0" w:color="auto"/>
        <w:bottom w:val="none" w:sz="0" w:space="0" w:color="auto"/>
        <w:right w:val="none" w:sz="0" w:space="0" w:color="auto"/>
      </w:divBdr>
    </w:div>
    <w:div w:id="1350647153">
      <w:bodyDiv w:val="1"/>
      <w:marLeft w:val="0"/>
      <w:marRight w:val="0"/>
      <w:marTop w:val="0"/>
      <w:marBottom w:val="0"/>
      <w:divBdr>
        <w:top w:val="none" w:sz="0" w:space="0" w:color="auto"/>
        <w:left w:val="none" w:sz="0" w:space="0" w:color="auto"/>
        <w:bottom w:val="none" w:sz="0" w:space="0" w:color="auto"/>
        <w:right w:val="none" w:sz="0" w:space="0" w:color="auto"/>
      </w:divBdr>
    </w:div>
    <w:div w:id="1374421358">
      <w:bodyDiv w:val="1"/>
      <w:marLeft w:val="0"/>
      <w:marRight w:val="0"/>
      <w:marTop w:val="0"/>
      <w:marBottom w:val="0"/>
      <w:divBdr>
        <w:top w:val="none" w:sz="0" w:space="0" w:color="auto"/>
        <w:left w:val="none" w:sz="0" w:space="0" w:color="auto"/>
        <w:bottom w:val="none" w:sz="0" w:space="0" w:color="auto"/>
        <w:right w:val="none" w:sz="0" w:space="0" w:color="auto"/>
      </w:divBdr>
    </w:div>
    <w:div w:id="1375885702">
      <w:bodyDiv w:val="1"/>
      <w:marLeft w:val="0"/>
      <w:marRight w:val="0"/>
      <w:marTop w:val="0"/>
      <w:marBottom w:val="0"/>
      <w:divBdr>
        <w:top w:val="none" w:sz="0" w:space="0" w:color="auto"/>
        <w:left w:val="none" w:sz="0" w:space="0" w:color="auto"/>
        <w:bottom w:val="none" w:sz="0" w:space="0" w:color="auto"/>
        <w:right w:val="none" w:sz="0" w:space="0" w:color="auto"/>
      </w:divBdr>
    </w:div>
    <w:div w:id="1390108287">
      <w:bodyDiv w:val="1"/>
      <w:marLeft w:val="0"/>
      <w:marRight w:val="0"/>
      <w:marTop w:val="0"/>
      <w:marBottom w:val="0"/>
      <w:divBdr>
        <w:top w:val="none" w:sz="0" w:space="0" w:color="auto"/>
        <w:left w:val="none" w:sz="0" w:space="0" w:color="auto"/>
        <w:bottom w:val="none" w:sz="0" w:space="0" w:color="auto"/>
        <w:right w:val="none" w:sz="0" w:space="0" w:color="auto"/>
      </w:divBdr>
    </w:div>
    <w:div w:id="1411006908">
      <w:bodyDiv w:val="1"/>
      <w:marLeft w:val="0"/>
      <w:marRight w:val="0"/>
      <w:marTop w:val="0"/>
      <w:marBottom w:val="0"/>
      <w:divBdr>
        <w:top w:val="none" w:sz="0" w:space="0" w:color="auto"/>
        <w:left w:val="none" w:sz="0" w:space="0" w:color="auto"/>
        <w:bottom w:val="none" w:sz="0" w:space="0" w:color="auto"/>
        <w:right w:val="none" w:sz="0" w:space="0" w:color="auto"/>
      </w:divBdr>
    </w:div>
    <w:div w:id="1416705717">
      <w:bodyDiv w:val="1"/>
      <w:marLeft w:val="0"/>
      <w:marRight w:val="0"/>
      <w:marTop w:val="0"/>
      <w:marBottom w:val="0"/>
      <w:divBdr>
        <w:top w:val="none" w:sz="0" w:space="0" w:color="auto"/>
        <w:left w:val="none" w:sz="0" w:space="0" w:color="auto"/>
        <w:bottom w:val="none" w:sz="0" w:space="0" w:color="auto"/>
        <w:right w:val="none" w:sz="0" w:space="0" w:color="auto"/>
      </w:divBdr>
    </w:div>
    <w:div w:id="1468233026">
      <w:bodyDiv w:val="1"/>
      <w:marLeft w:val="0"/>
      <w:marRight w:val="0"/>
      <w:marTop w:val="0"/>
      <w:marBottom w:val="0"/>
      <w:divBdr>
        <w:top w:val="none" w:sz="0" w:space="0" w:color="auto"/>
        <w:left w:val="none" w:sz="0" w:space="0" w:color="auto"/>
        <w:bottom w:val="none" w:sz="0" w:space="0" w:color="auto"/>
        <w:right w:val="none" w:sz="0" w:space="0" w:color="auto"/>
      </w:divBdr>
    </w:div>
    <w:div w:id="1475371090">
      <w:bodyDiv w:val="1"/>
      <w:marLeft w:val="0"/>
      <w:marRight w:val="0"/>
      <w:marTop w:val="0"/>
      <w:marBottom w:val="0"/>
      <w:divBdr>
        <w:top w:val="none" w:sz="0" w:space="0" w:color="auto"/>
        <w:left w:val="none" w:sz="0" w:space="0" w:color="auto"/>
        <w:bottom w:val="none" w:sz="0" w:space="0" w:color="auto"/>
        <w:right w:val="none" w:sz="0" w:space="0" w:color="auto"/>
      </w:divBdr>
    </w:div>
    <w:div w:id="1493646409">
      <w:bodyDiv w:val="1"/>
      <w:marLeft w:val="0"/>
      <w:marRight w:val="0"/>
      <w:marTop w:val="0"/>
      <w:marBottom w:val="0"/>
      <w:divBdr>
        <w:top w:val="none" w:sz="0" w:space="0" w:color="auto"/>
        <w:left w:val="none" w:sz="0" w:space="0" w:color="auto"/>
        <w:bottom w:val="none" w:sz="0" w:space="0" w:color="auto"/>
        <w:right w:val="none" w:sz="0" w:space="0" w:color="auto"/>
      </w:divBdr>
    </w:div>
    <w:div w:id="1515147964">
      <w:bodyDiv w:val="1"/>
      <w:marLeft w:val="0"/>
      <w:marRight w:val="0"/>
      <w:marTop w:val="0"/>
      <w:marBottom w:val="0"/>
      <w:divBdr>
        <w:top w:val="none" w:sz="0" w:space="0" w:color="auto"/>
        <w:left w:val="none" w:sz="0" w:space="0" w:color="auto"/>
        <w:bottom w:val="none" w:sz="0" w:space="0" w:color="auto"/>
        <w:right w:val="none" w:sz="0" w:space="0" w:color="auto"/>
      </w:divBdr>
    </w:div>
    <w:div w:id="1542668384">
      <w:bodyDiv w:val="1"/>
      <w:marLeft w:val="0"/>
      <w:marRight w:val="0"/>
      <w:marTop w:val="0"/>
      <w:marBottom w:val="0"/>
      <w:divBdr>
        <w:top w:val="none" w:sz="0" w:space="0" w:color="auto"/>
        <w:left w:val="none" w:sz="0" w:space="0" w:color="auto"/>
        <w:bottom w:val="none" w:sz="0" w:space="0" w:color="auto"/>
        <w:right w:val="none" w:sz="0" w:space="0" w:color="auto"/>
      </w:divBdr>
    </w:div>
    <w:div w:id="1543401072">
      <w:bodyDiv w:val="1"/>
      <w:marLeft w:val="0"/>
      <w:marRight w:val="0"/>
      <w:marTop w:val="0"/>
      <w:marBottom w:val="0"/>
      <w:divBdr>
        <w:top w:val="none" w:sz="0" w:space="0" w:color="auto"/>
        <w:left w:val="none" w:sz="0" w:space="0" w:color="auto"/>
        <w:bottom w:val="none" w:sz="0" w:space="0" w:color="auto"/>
        <w:right w:val="none" w:sz="0" w:space="0" w:color="auto"/>
      </w:divBdr>
    </w:div>
    <w:div w:id="1544635940">
      <w:bodyDiv w:val="1"/>
      <w:marLeft w:val="0"/>
      <w:marRight w:val="0"/>
      <w:marTop w:val="0"/>
      <w:marBottom w:val="0"/>
      <w:divBdr>
        <w:top w:val="none" w:sz="0" w:space="0" w:color="auto"/>
        <w:left w:val="none" w:sz="0" w:space="0" w:color="auto"/>
        <w:bottom w:val="none" w:sz="0" w:space="0" w:color="auto"/>
        <w:right w:val="none" w:sz="0" w:space="0" w:color="auto"/>
      </w:divBdr>
    </w:div>
    <w:div w:id="1558467113">
      <w:bodyDiv w:val="1"/>
      <w:marLeft w:val="0"/>
      <w:marRight w:val="0"/>
      <w:marTop w:val="0"/>
      <w:marBottom w:val="0"/>
      <w:divBdr>
        <w:top w:val="none" w:sz="0" w:space="0" w:color="auto"/>
        <w:left w:val="none" w:sz="0" w:space="0" w:color="auto"/>
        <w:bottom w:val="none" w:sz="0" w:space="0" w:color="auto"/>
        <w:right w:val="none" w:sz="0" w:space="0" w:color="auto"/>
      </w:divBdr>
    </w:div>
    <w:div w:id="1559777941">
      <w:bodyDiv w:val="1"/>
      <w:marLeft w:val="0"/>
      <w:marRight w:val="0"/>
      <w:marTop w:val="0"/>
      <w:marBottom w:val="0"/>
      <w:divBdr>
        <w:top w:val="none" w:sz="0" w:space="0" w:color="auto"/>
        <w:left w:val="none" w:sz="0" w:space="0" w:color="auto"/>
        <w:bottom w:val="none" w:sz="0" w:space="0" w:color="auto"/>
        <w:right w:val="none" w:sz="0" w:space="0" w:color="auto"/>
      </w:divBdr>
    </w:div>
    <w:div w:id="1616254498">
      <w:bodyDiv w:val="1"/>
      <w:marLeft w:val="0"/>
      <w:marRight w:val="0"/>
      <w:marTop w:val="0"/>
      <w:marBottom w:val="0"/>
      <w:divBdr>
        <w:top w:val="none" w:sz="0" w:space="0" w:color="auto"/>
        <w:left w:val="none" w:sz="0" w:space="0" w:color="auto"/>
        <w:bottom w:val="none" w:sz="0" w:space="0" w:color="auto"/>
        <w:right w:val="none" w:sz="0" w:space="0" w:color="auto"/>
      </w:divBdr>
    </w:div>
    <w:div w:id="1621106910">
      <w:bodyDiv w:val="1"/>
      <w:marLeft w:val="0"/>
      <w:marRight w:val="0"/>
      <w:marTop w:val="0"/>
      <w:marBottom w:val="0"/>
      <w:divBdr>
        <w:top w:val="none" w:sz="0" w:space="0" w:color="auto"/>
        <w:left w:val="none" w:sz="0" w:space="0" w:color="auto"/>
        <w:bottom w:val="none" w:sz="0" w:space="0" w:color="auto"/>
        <w:right w:val="none" w:sz="0" w:space="0" w:color="auto"/>
      </w:divBdr>
    </w:div>
    <w:div w:id="1626962138">
      <w:bodyDiv w:val="1"/>
      <w:marLeft w:val="0"/>
      <w:marRight w:val="0"/>
      <w:marTop w:val="0"/>
      <w:marBottom w:val="0"/>
      <w:divBdr>
        <w:top w:val="none" w:sz="0" w:space="0" w:color="auto"/>
        <w:left w:val="none" w:sz="0" w:space="0" w:color="auto"/>
        <w:bottom w:val="none" w:sz="0" w:space="0" w:color="auto"/>
        <w:right w:val="none" w:sz="0" w:space="0" w:color="auto"/>
      </w:divBdr>
    </w:div>
    <w:div w:id="1628120797">
      <w:bodyDiv w:val="1"/>
      <w:marLeft w:val="0"/>
      <w:marRight w:val="0"/>
      <w:marTop w:val="0"/>
      <w:marBottom w:val="0"/>
      <w:divBdr>
        <w:top w:val="none" w:sz="0" w:space="0" w:color="auto"/>
        <w:left w:val="none" w:sz="0" w:space="0" w:color="auto"/>
        <w:bottom w:val="none" w:sz="0" w:space="0" w:color="auto"/>
        <w:right w:val="none" w:sz="0" w:space="0" w:color="auto"/>
      </w:divBdr>
    </w:div>
    <w:div w:id="1634602205">
      <w:bodyDiv w:val="1"/>
      <w:marLeft w:val="0"/>
      <w:marRight w:val="0"/>
      <w:marTop w:val="0"/>
      <w:marBottom w:val="0"/>
      <w:divBdr>
        <w:top w:val="none" w:sz="0" w:space="0" w:color="auto"/>
        <w:left w:val="none" w:sz="0" w:space="0" w:color="auto"/>
        <w:bottom w:val="none" w:sz="0" w:space="0" w:color="auto"/>
        <w:right w:val="none" w:sz="0" w:space="0" w:color="auto"/>
      </w:divBdr>
    </w:div>
    <w:div w:id="1635870407">
      <w:bodyDiv w:val="1"/>
      <w:marLeft w:val="0"/>
      <w:marRight w:val="0"/>
      <w:marTop w:val="0"/>
      <w:marBottom w:val="0"/>
      <w:divBdr>
        <w:top w:val="none" w:sz="0" w:space="0" w:color="auto"/>
        <w:left w:val="none" w:sz="0" w:space="0" w:color="auto"/>
        <w:bottom w:val="none" w:sz="0" w:space="0" w:color="auto"/>
        <w:right w:val="none" w:sz="0" w:space="0" w:color="auto"/>
      </w:divBdr>
    </w:div>
    <w:div w:id="1639338720">
      <w:bodyDiv w:val="1"/>
      <w:marLeft w:val="0"/>
      <w:marRight w:val="0"/>
      <w:marTop w:val="0"/>
      <w:marBottom w:val="0"/>
      <w:divBdr>
        <w:top w:val="none" w:sz="0" w:space="0" w:color="auto"/>
        <w:left w:val="none" w:sz="0" w:space="0" w:color="auto"/>
        <w:bottom w:val="none" w:sz="0" w:space="0" w:color="auto"/>
        <w:right w:val="none" w:sz="0" w:space="0" w:color="auto"/>
      </w:divBdr>
    </w:div>
    <w:div w:id="1655717944">
      <w:bodyDiv w:val="1"/>
      <w:marLeft w:val="0"/>
      <w:marRight w:val="0"/>
      <w:marTop w:val="0"/>
      <w:marBottom w:val="0"/>
      <w:divBdr>
        <w:top w:val="none" w:sz="0" w:space="0" w:color="auto"/>
        <w:left w:val="none" w:sz="0" w:space="0" w:color="auto"/>
        <w:bottom w:val="none" w:sz="0" w:space="0" w:color="auto"/>
        <w:right w:val="none" w:sz="0" w:space="0" w:color="auto"/>
      </w:divBdr>
    </w:div>
    <w:div w:id="1666935737">
      <w:bodyDiv w:val="1"/>
      <w:marLeft w:val="0"/>
      <w:marRight w:val="0"/>
      <w:marTop w:val="0"/>
      <w:marBottom w:val="0"/>
      <w:divBdr>
        <w:top w:val="none" w:sz="0" w:space="0" w:color="auto"/>
        <w:left w:val="none" w:sz="0" w:space="0" w:color="auto"/>
        <w:bottom w:val="none" w:sz="0" w:space="0" w:color="auto"/>
        <w:right w:val="none" w:sz="0" w:space="0" w:color="auto"/>
      </w:divBdr>
    </w:div>
    <w:div w:id="1681275114">
      <w:bodyDiv w:val="1"/>
      <w:marLeft w:val="0"/>
      <w:marRight w:val="0"/>
      <w:marTop w:val="0"/>
      <w:marBottom w:val="0"/>
      <w:divBdr>
        <w:top w:val="none" w:sz="0" w:space="0" w:color="auto"/>
        <w:left w:val="none" w:sz="0" w:space="0" w:color="auto"/>
        <w:bottom w:val="none" w:sz="0" w:space="0" w:color="auto"/>
        <w:right w:val="none" w:sz="0" w:space="0" w:color="auto"/>
      </w:divBdr>
    </w:div>
    <w:div w:id="1686202382">
      <w:bodyDiv w:val="1"/>
      <w:marLeft w:val="0"/>
      <w:marRight w:val="0"/>
      <w:marTop w:val="0"/>
      <w:marBottom w:val="0"/>
      <w:divBdr>
        <w:top w:val="none" w:sz="0" w:space="0" w:color="auto"/>
        <w:left w:val="none" w:sz="0" w:space="0" w:color="auto"/>
        <w:bottom w:val="none" w:sz="0" w:space="0" w:color="auto"/>
        <w:right w:val="none" w:sz="0" w:space="0" w:color="auto"/>
      </w:divBdr>
    </w:div>
    <w:div w:id="1689527605">
      <w:bodyDiv w:val="1"/>
      <w:marLeft w:val="0"/>
      <w:marRight w:val="0"/>
      <w:marTop w:val="0"/>
      <w:marBottom w:val="0"/>
      <w:divBdr>
        <w:top w:val="none" w:sz="0" w:space="0" w:color="auto"/>
        <w:left w:val="none" w:sz="0" w:space="0" w:color="auto"/>
        <w:bottom w:val="none" w:sz="0" w:space="0" w:color="auto"/>
        <w:right w:val="none" w:sz="0" w:space="0" w:color="auto"/>
      </w:divBdr>
    </w:div>
    <w:div w:id="1698651098">
      <w:bodyDiv w:val="1"/>
      <w:marLeft w:val="0"/>
      <w:marRight w:val="0"/>
      <w:marTop w:val="0"/>
      <w:marBottom w:val="0"/>
      <w:divBdr>
        <w:top w:val="none" w:sz="0" w:space="0" w:color="auto"/>
        <w:left w:val="none" w:sz="0" w:space="0" w:color="auto"/>
        <w:bottom w:val="none" w:sz="0" w:space="0" w:color="auto"/>
        <w:right w:val="none" w:sz="0" w:space="0" w:color="auto"/>
      </w:divBdr>
    </w:div>
    <w:div w:id="1705716409">
      <w:bodyDiv w:val="1"/>
      <w:marLeft w:val="0"/>
      <w:marRight w:val="0"/>
      <w:marTop w:val="0"/>
      <w:marBottom w:val="0"/>
      <w:divBdr>
        <w:top w:val="none" w:sz="0" w:space="0" w:color="auto"/>
        <w:left w:val="none" w:sz="0" w:space="0" w:color="auto"/>
        <w:bottom w:val="none" w:sz="0" w:space="0" w:color="auto"/>
        <w:right w:val="none" w:sz="0" w:space="0" w:color="auto"/>
      </w:divBdr>
    </w:div>
    <w:div w:id="1717511545">
      <w:bodyDiv w:val="1"/>
      <w:marLeft w:val="0"/>
      <w:marRight w:val="0"/>
      <w:marTop w:val="0"/>
      <w:marBottom w:val="0"/>
      <w:divBdr>
        <w:top w:val="none" w:sz="0" w:space="0" w:color="auto"/>
        <w:left w:val="none" w:sz="0" w:space="0" w:color="auto"/>
        <w:bottom w:val="none" w:sz="0" w:space="0" w:color="auto"/>
        <w:right w:val="none" w:sz="0" w:space="0" w:color="auto"/>
      </w:divBdr>
    </w:div>
    <w:div w:id="1722317538">
      <w:bodyDiv w:val="1"/>
      <w:marLeft w:val="0"/>
      <w:marRight w:val="0"/>
      <w:marTop w:val="0"/>
      <w:marBottom w:val="0"/>
      <w:divBdr>
        <w:top w:val="none" w:sz="0" w:space="0" w:color="auto"/>
        <w:left w:val="none" w:sz="0" w:space="0" w:color="auto"/>
        <w:bottom w:val="none" w:sz="0" w:space="0" w:color="auto"/>
        <w:right w:val="none" w:sz="0" w:space="0" w:color="auto"/>
      </w:divBdr>
    </w:div>
    <w:div w:id="1728648784">
      <w:bodyDiv w:val="1"/>
      <w:marLeft w:val="0"/>
      <w:marRight w:val="0"/>
      <w:marTop w:val="0"/>
      <w:marBottom w:val="0"/>
      <w:divBdr>
        <w:top w:val="none" w:sz="0" w:space="0" w:color="auto"/>
        <w:left w:val="none" w:sz="0" w:space="0" w:color="auto"/>
        <w:bottom w:val="none" w:sz="0" w:space="0" w:color="auto"/>
        <w:right w:val="none" w:sz="0" w:space="0" w:color="auto"/>
      </w:divBdr>
    </w:div>
    <w:div w:id="1747342345">
      <w:bodyDiv w:val="1"/>
      <w:marLeft w:val="0"/>
      <w:marRight w:val="0"/>
      <w:marTop w:val="0"/>
      <w:marBottom w:val="0"/>
      <w:divBdr>
        <w:top w:val="none" w:sz="0" w:space="0" w:color="auto"/>
        <w:left w:val="none" w:sz="0" w:space="0" w:color="auto"/>
        <w:bottom w:val="none" w:sz="0" w:space="0" w:color="auto"/>
        <w:right w:val="none" w:sz="0" w:space="0" w:color="auto"/>
      </w:divBdr>
    </w:div>
    <w:div w:id="1760364575">
      <w:bodyDiv w:val="1"/>
      <w:marLeft w:val="0"/>
      <w:marRight w:val="0"/>
      <w:marTop w:val="0"/>
      <w:marBottom w:val="0"/>
      <w:divBdr>
        <w:top w:val="none" w:sz="0" w:space="0" w:color="auto"/>
        <w:left w:val="none" w:sz="0" w:space="0" w:color="auto"/>
        <w:bottom w:val="none" w:sz="0" w:space="0" w:color="auto"/>
        <w:right w:val="none" w:sz="0" w:space="0" w:color="auto"/>
      </w:divBdr>
    </w:div>
    <w:div w:id="1776948945">
      <w:bodyDiv w:val="1"/>
      <w:marLeft w:val="0"/>
      <w:marRight w:val="0"/>
      <w:marTop w:val="0"/>
      <w:marBottom w:val="0"/>
      <w:divBdr>
        <w:top w:val="none" w:sz="0" w:space="0" w:color="auto"/>
        <w:left w:val="none" w:sz="0" w:space="0" w:color="auto"/>
        <w:bottom w:val="none" w:sz="0" w:space="0" w:color="auto"/>
        <w:right w:val="none" w:sz="0" w:space="0" w:color="auto"/>
      </w:divBdr>
    </w:div>
    <w:div w:id="1784690107">
      <w:bodyDiv w:val="1"/>
      <w:marLeft w:val="0"/>
      <w:marRight w:val="0"/>
      <w:marTop w:val="0"/>
      <w:marBottom w:val="0"/>
      <w:divBdr>
        <w:top w:val="none" w:sz="0" w:space="0" w:color="auto"/>
        <w:left w:val="none" w:sz="0" w:space="0" w:color="auto"/>
        <w:bottom w:val="none" w:sz="0" w:space="0" w:color="auto"/>
        <w:right w:val="none" w:sz="0" w:space="0" w:color="auto"/>
      </w:divBdr>
    </w:div>
    <w:div w:id="1791319044">
      <w:bodyDiv w:val="1"/>
      <w:marLeft w:val="0"/>
      <w:marRight w:val="0"/>
      <w:marTop w:val="0"/>
      <w:marBottom w:val="0"/>
      <w:divBdr>
        <w:top w:val="none" w:sz="0" w:space="0" w:color="auto"/>
        <w:left w:val="none" w:sz="0" w:space="0" w:color="auto"/>
        <w:bottom w:val="none" w:sz="0" w:space="0" w:color="auto"/>
        <w:right w:val="none" w:sz="0" w:space="0" w:color="auto"/>
      </w:divBdr>
    </w:div>
    <w:div w:id="1797334373">
      <w:bodyDiv w:val="1"/>
      <w:marLeft w:val="0"/>
      <w:marRight w:val="0"/>
      <w:marTop w:val="0"/>
      <w:marBottom w:val="0"/>
      <w:divBdr>
        <w:top w:val="none" w:sz="0" w:space="0" w:color="auto"/>
        <w:left w:val="none" w:sz="0" w:space="0" w:color="auto"/>
        <w:bottom w:val="none" w:sz="0" w:space="0" w:color="auto"/>
        <w:right w:val="none" w:sz="0" w:space="0" w:color="auto"/>
      </w:divBdr>
    </w:div>
    <w:div w:id="1800175496">
      <w:bodyDiv w:val="1"/>
      <w:marLeft w:val="0"/>
      <w:marRight w:val="0"/>
      <w:marTop w:val="0"/>
      <w:marBottom w:val="0"/>
      <w:divBdr>
        <w:top w:val="none" w:sz="0" w:space="0" w:color="auto"/>
        <w:left w:val="none" w:sz="0" w:space="0" w:color="auto"/>
        <w:bottom w:val="none" w:sz="0" w:space="0" w:color="auto"/>
        <w:right w:val="none" w:sz="0" w:space="0" w:color="auto"/>
      </w:divBdr>
    </w:div>
    <w:div w:id="1800874333">
      <w:bodyDiv w:val="1"/>
      <w:marLeft w:val="0"/>
      <w:marRight w:val="0"/>
      <w:marTop w:val="0"/>
      <w:marBottom w:val="0"/>
      <w:divBdr>
        <w:top w:val="none" w:sz="0" w:space="0" w:color="auto"/>
        <w:left w:val="none" w:sz="0" w:space="0" w:color="auto"/>
        <w:bottom w:val="none" w:sz="0" w:space="0" w:color="auto"/>
        <w:right w:val="none" w:sz="0" w:space="0" w:color="auto"/>
      </w:divBdr>
    </w:div>
    <w:div w:id="1810705958">
      <w:bodyDiv w:val="1"/>
      <w:marLeft w:val="0"/>
      <w:marRight w:val="0"/>
      <w:marTop w:val="0"/>
      <w:marBottom w:val="0"/>
      <w:divBdr>
        <w:top w:val="none" w:sz="0" w:space="0" w:color="auto"/>
        <w:left w:val="none" w:sz="0" w:space="0" w:color="auto"/>
        <w:bottom w:val="none" w:sz="0" w:space="0" w:color="auto"/>
        <w:right w:val="none" w:sz="0" w:space="0" w:color="auto"/>
      </w:divBdr>
    </w:div>
    <w:div w:id="1814788599">
      <w:bodyDiv w:val="1"/>
      <w:marLeft w:val="0"/>
      <w:marRight w:val="0"/>
      <w:marTop w:val="0"/>
      <w:marBottom w:val="0"/>
      <w:divBdr>
        <w:top w:val="none" w:sz="0" w:space="0" w:color="auto"/>
        <w:left w:val="none" w:sz="0" w:space="0" w:color="auto"/>
        <w:bottom w:val="none" w:sz="0" w:space="0" w:color="auto"/>
        <w:right w:val="none" w:sz="0" w:space="0" w:color="auto"/>
      </w:divBdr>
    </w:div>
    <w:div w:id="1822234286">
      <w:bodyDiv w:val="1"/>
      <w:marLeft w:val="0"/>
      <w:marRight w:val="0"/>
      <w:marTop w:val="0"/>
      <w:marBottom w:val="0"/>
      <w:divBdr>
        <w:top w:val="none" w:sz="0" w:space="0" w:color="auto"/>
        <w:left w:val="none" w:sz="0" w:space="0" w:color="auto"/>
        <w:bottom w:val="none" w:sz="0" w:space="0" w:color="auto"/>
        <w:right w:val="none" w:sz="0" w:space="0" w:color="auto"/>
      </w:divBdr>
    </w:div>
    <w:div w:id="1826972346">
      <w:bodyDiv w:val="1"/>
      <w:marLeft w:val="0"/>
      <w:marRight w:val="0"/>
      <w:marTop w:val="0"/>
      <w:marBottom w:val="0"/>
      <w:divBdr>
        <w:top w:val="none" w:sz="0" w:space="0" w:color="auto"/>
        <w:left w:val="none" w:sz="0" w:space="0" w:color="auto"/>
        <w:bottom w:val="none" w:sz="0" w:space="0" w:color="auto"/>
        <w:right w:val="none" w:sz="0" w:space="0" w:color="auto"/>
      </w:divBdr>
    </w:div>
    <w:div w:id="1845120839">
      <w:bodyDiv w:val="1"/>
      <w:marLeft w:val="0"/>
      <w:marRight w:val="0"/>
      <w:marTop w:val="0"/>
      <w:marBottom w:val="0"/>
      <w:divBdr>
        <w:top w:val="none" w:sz="0" w:space="0" w:color="auto"/>
        <w:left w:val="none" w:sz="0" w:space="0" w:color="auto"/>
        <w:bottom w:val="none" w:sz="0" w:space="0" w:color="auto"/>
        <w:right w:val="none" w:sz="0" w:space="0" w:color="auto"/>
      </w:divBdr>
    </w:div>
    <w:div w:id="1848593560">
      <w:bodyDiv w:val="1"/>
      <w:marLeft w:val="0"/>
      <w:marRight w:val="0"/>
      <w:marTop w:val="0"/>
      <w:marBottom w:val="0"/>
      <w:divBdr>
        <w:top w:val="none" w:sz="0" w:space="0" w:color="auto"/>
        <w:left w:val="none" w:sz="0" w:space="0" w:color="auto"/>
        <w:bottom w:val="none" w:sz="0" w:space="0" w:color="auto"/>
        <w:right w:val="none" w:sz="0" w:space="0" w:color="auto"/>
      </w:divBdr>
    </w:div>
    <w:div w:id="1853569347">
      <w:bodyDiv w:val="1"/>
      <w:marLeft w:val="0"/>
      <w:marRight w:val="0"/>
      <w:marTop w:val="0"/>
      <w:marBottom w:val="0"/>
      <w:divBdr>
        <w:top w:val="none" w:sz="0" w:space="0" w:color="auto"/>
        <w:left w:val="none" w:sz="0" w:space="0" w:color="auto"/>
        <w:bottom w:val="none" w:sz="0" w:space="0" w:color="auto"/>
        <w:right w:val="none" w:sz="0" w:space="0" w:color="auto"/>
      </w:divBdr>
    </w:div>
    <w:div w:id="1907260791">
      <w:bodyDiv w:val="1"/>
      <w:marLeft w:val="0"/>
      <w:marRight w:val="0"/>
      <w:marTop w:val="0"/>
      <w:marBottom w:val="0"/>
      <w:divBdr>
        <w:top w:val="none" w:sz="0" w:space="0" w:color="auto"/>
        <w:left w:val="none" w:sz="0" w:space="0" w:color="auto"/>
        <w:bottom w:val="none" w:sz="0" w:space="0" w:color="auto"/>
        <w:right w:val="none" w:sz="0" w:space="0" w:color="auto"/>
      </w:divBdr>
    </w:div>
    <w:div w:id="1908371195">
      <w:bodyDiv w:val="1"/>
      <w:marLeft w:val="0"/>
      <w:marRight w:val="0"/>
      <w:marTop w:val="0"/>
      <w:marBottom w:val="0"/>
      <w:divBdr>
        <w:top w:val="none" w:sz="0" w:space="0" w:color="auto"/>
        <w:left w:val="none" w:sz="0" w:space="0" w:color="auto"/>
        <w:bottom w:val="none" w:sz="0" w:space="0" w:color="auto"/>
        <w:right w:val="none" w:sz="0" w:space="0" w:color="auto"/>
      </w:divBdr>
    </w:div>
    <w:div w:id="1916931588">
      <w:bodyDiv w:val="1"/>
      <w:marLeft w:val="0"/>
      <w:marRight w:val="0"/>
      <w:marTop w:val="0"/>
      <w:marBottom w:val="0"/>
      <w:divBdr>
        <w:top w:val="none" w:sz="0" w:space="0" w:color="auto"/>
        <w:left w:val="none" w:sz="0" w:space="0" w:color="auto"/>
        <w:bottom w:val="none" w:sz="0" w:space="0" w:color="auto"/>
        <w:right w:val="none" w:sz="0" w:space="0" w:color="auto"/>
      </w:divBdr>
    </w:div>
    <w:div w:id="1994529340">
      <w:bodyDiv w:val="1"/>
      <w:marLeft w:val="0"/>
      <w:marRight w:val="0"/>
      <w:marTop w:val="0"/>
      <w:marBottom w:val="0"/>
      <w:divBdr>
        <w:top w:val="none" w:sz="0" w:space="0" w:color="auto"/>
        <w:left w:val="none" w:sz="0" w:space="0" w:color="auto"/>
        <w:bottom w:val="none" w:sz="0" w:space="0" w:color="auto"/>
        <w:right w:val="none" w:sz="0" w:space="0" w:color="auto"/>
      </w:divBdr>
    </w:div>
    <w:div w:id="1997300801">
      <w:bodyDiv w:val="1"/>
      <w:marLeft w:val="0"/>
      <w:marRight w:val="0"/>
      <w:marTop w:val="0"/>
      <w:marBottom w:val="0"/>
      <w:divBdr>
        <w:top w:val="none" w:sz="0" w:space="0" w:color="auto"/>
        <w:left w:val="none" w:sz="0" w:space="0" w:color="auto"/>
        <w:bottom w:val="none" w:sz="0" w:space="0" w:color="auto"/>
        <w:right w:val="none" w:sz="0" w:space="0" w:color="auto"/>
      </w:divBdr>
    </w:div>
    <w:div w:id="2006547168">
      <w:bodyDiv w:val="1"/>
      <w:marLeft w:val="0"/>
      <w:marRight w:val="0"/>
      <w:marTop w:val="0"/>
      <w:marBottom w:val="0"/>
      <w:divBdr>
        <w:top w:val="none" w:sz="0" w:space="0" w:color="auto"/>
        <w:left w:val="none" w:sz="0" w:space="0" w:color="auto"/>
        <w:bottom w:val="none" w:sz="0" w:space="0" w:color="auto"/>
        <w:right w:val="none" w:sz="0" w:space="0" w:color="auto"/>
      </w:divBdr>
    </w:div>
    <w:div w:id="2031030547">
      <w:bodyDiv w:val="1"/>
      <w:marLeft w:val="0"/>
      <w:marRight w:val="0"/>
      <w:marTop w:val="0"/>
      <w:marBottom w:val="0"/>
      <w:divBdr>
        <w:top w:val="none" w:sz="0" w:space="0" w:color="auto"/>
        <w:left w:val="none" w:sz="0" w:space="0" w:color="auto"/>
        <w:bottom w:val="none" w:sz="0" w:space="0" w:color="auto"/>
        <w:right w:val="none" w:sz="0" w:space="0" w:color="auto"/>
      </w:divBdr>
    </w:div>
    <w:div w:id="2039239474">
      <w:bodyDiv w:val="1"/>
      <w:marLeft w:val="0"/>
      <w:marRight w:val="0"/>
      <w:marTop w:val="0"/>
      <w:marBottom w:val="0"/>
      <w:divBdr>
        <w:top w:val="none" w:sz="0" w:space="0" w:color="auto"/>
        <w:left w:val="none" w:sz="0" w:space="0" w:color="auto"/>
        <w:bottom w:val="none" w:sz="0" w:space="0" w:color="auto"/>
        <w:right w:val="none" w:sz="0" w:space="0" w:color="auto"/>
      </w:divBdr>
    </w:div>
    <w:div w:id="2050450261">
      <w:bodyDiv w:val="1"/>
      <w:marLeft w:val="0"/>
      <w:marRight w:val="0"/>
      <w:marTop w:val="0"/>
      <w:marBottom w:val="0"/>
      <w:divBdr>
        <w:top w:val="none" w:sz="0" w:space="0" w:color="auto"/>
        <w:left w:val="none" w:sz="0" w:space="0" w:color="auto"/>
        <w:bottom w:val="none" w:sz="0" w:space="0" w:color="auto"/>
        <w:right w:val="none" w:sz="0" w:space="0" w:color="auto"/>
      </w:divBdr>
    </w:div>
    <w:div w:id="2056193397">
      <w:bodyDiv w:val="1"/>
      <w:marLeft w:val="0"/>
      <w:marRight w:val="0"/>
      <w:marTop w:val="0"/>
      <w:marBottom w:val="0"/>
      <w:divBdr>
        <w:top w:val="none" w:sz="0" w:space="0" w:color="auto"/>
        <w:left w:val="none" w:sz="0" w:space="0" w:color="auto"/>
        <w:bottom w:val="none" w:sz="0" w:space="0" w:color="auto"/>
        <w:right w:val="none" w:sz="0" w:space="0" w:color="auto"/>
      </w:divBdr>
    </w:div>
    <w:div w:id="2056393648">
      <w:bodyDiv w:val="1"/>
      <w:marLeft w:val="0"/>
      <w:marRight w:val="0"/>
      <w:marTop w:val="0"/>
      <w:marBottom w:val="0"/>
      <w:divBdr>
        <w:top w:val="none" w:sz="0" w:space="0" w:color="auto"/>
        <w:left w:val="none" w:sz="0" w:space="0" w:color="auto"/>
        <w:bottom w:val="none" w:sz="0" w:space="0" w:color="auto"/>
        <w:right w:val="none" w:sz="0" w:space="0" w:color="auto"/>
      </w:divBdr>
    </w:div>
    <w:div w:id="2075346452">
      <w:bodyDiv w:val="1"/>
      <w:marLeft w:val="0"/>
      <w:marRight w:val="0"/>
      <w:marTop w:val="0"/>
      <w:marBottom w:val="0"/>
      <w:divBdr>
        <w:top w:val="none" w:sz="0" w:space="0" w:color="auto"/>
        <w:left w:val="none" w:sz="0" w:space="0" w:color="auto"/>
        <w:bottom w:val="none" w:sz="0" w:space="0" w:color="auto"/>
        <w:right w:val="none" w:sz="0" w:space="0" w:color="auto"/>
      </w:divBdr>
    </w:div>
    <w:div w:id="209119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NI%20&amp;%20MIRI\AppData\Roaming\Microsoft\Templates\Student%20report%20with%20cover%20photo(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Llo19</b:Tag>
    <b:SourceType>InternetSite</b:SourceType>
    <b:Guid>{2098DF16-7B62-4EA1-90C5-3225F35CD782}</b:Guid>
    <b:Author>
      <b:Author>
        <b:NameList>
          <b:Person>
            <b:Last>Lloyds</b:Last>
          </b:Person>
        </b:NameList>
      </b:Author>
    </b:Author>
    <b:Title>LLoyds Bank, our heritage</b:Title>
    <b:Year>2019</b:Year>
    <b:YearAccessed>2019</b:YearAccessed>
    <b:MonthAccessed>April</b:MonthAccessed>
    <b:DayAccessed>13</b:DayAccessed>
    <b:URL>https://www.lloydsbankinggroup.com/Our-Group/our-heritage/our-history/lloyds-bank/lloyds-bank/ </b:URL>
    <b:RefOrder>1</b:RefOrder>
  </b:Source>
  <b:Source>
    <b:Tag>Jon13</b:Tag>
    <b:SourceType>InternetSite</b:SourceType>
    <b:Guid>{27964FD1-C276-428D-BEFC-860102AF5AFD}</b:Guid>
    <b:Author>
      <b:Author>
        <b:NameList>
          <b:Person>
            <b:Last>Jones</b:Last>
            <b:First>Rupert</b:First>
          </b:Person>
        </b:NameList>
      </b:Author>
    </b:Author>
    <b:Title>TSB returns to the high street as Lloyds splits its branches</b:Title>
    <b:Year>2013</b:Year>
    <b:YearAccessed>2019</b:YearAccessed>
    <b:MonthAccessed>April</b:MonthAccessed>
    <b:DayAccessed>23</b:DayAccessed>
    <b:URL>https://www.theguardian.com/business/2013/sep/08/tsb-returns-high-street</b:URL>
    <b:InternetSiteTitle>www.theguardian.com</b:InternetSiteTitle>
    <b:RefOrder>2</b:RefOrder>
  </b:Source>
  <b:Source>
    <b:Tag>Tre18</b:Tag>
    <b:SourceType>InternetSite</b:SourceType>
    <b:Guid>{5BF56A1A-89C1-4AFB-A674-8F3B95EEC2C6}</b:Guid>
    <b:Author>
      <b:Author>
        <b:NameList>
          <b:Person>
            <b:Last>Treanor</b:Last>
            <b:First>Jill</b:First>
          </b:Person>
        </b:NameList>
      </b:Author>
    </b:Author>
    <b:Title>Don't bank on it: Why we fail to switch our accounts</b:Title>
    <b:Year>2018</b:Year>
    <b:YearAccessed>2019</b:YearAccessed>
    <b:MonthAccessed>May</b:MonthAccessed>
    <b:DayAccessed>01</b:DayAccessed>
    <b:URL>https://www.bbc.co.uk/news/business-44522630</b:URL>
    <b:InternetSiteTitle>www.bbc.co.uk</b:InternetSiteTitle>
    <b:Month>June</b:Month>
    <b:RefOrder>3</b:RefOrder>
  </b:Source>
  <b:Source>
    <b:Tag>FCA15</b:Tag>
    <b:SourceType>InternetSite</b:SourceType>
    <b:Guid>{6FF60D5E-079C-4C46-8ED6-4C05758313D8}</b:Guid>
    <b:Title>Lloyds Banking Group fined £117m for failing to handle PPI complaints fairly</b:Title>
    <b:Year>2015</b:Year>
    <b:YearAccessed>2019</b:YearAccessed>
    <b:MonthAccessed>May</b:MonthAccessed>
    <b:DayAccessed>01</b:DayAccessed>
    <b:URL>https://www.fca.org.uk/news/press-releases/lloyds-banking-group-fined-%C2%A3117m-failing-handle-ppi-complaints-fairly</b:URL>
    <b:Author>
      <b:Author>
        <b:NameList>
          <b:Person>
            <b:Last>FCA</b:Last>
          </b:Person>
        </b:NameList>
      </b:Author>
    </b:Author>
    <b:Month>June</b:Month>
    <b:Day>05</b:Day>
    <b:RefOrder>4</b:RefOrder>
  </b:Source>
  <b:Source>
    <b:Tag>FT17</b:Tag>
    <b:SourceType>InternetSite</b:SourceType>
    <b:Guid>{24B49DE1-5792-4941-9553-834C0F58A1B7}</b:Guid>
    <b:Title>Lloyds committed ‘serious’ PPI breaches, says watchdog</b:Title>
    <b:Year>2017</b:Year>
    <b:YearAccessed>2019</b:YearAccessed>
    <b:MonthAccessed>May</b:MonthAccessed>
    <b:DayAccessed>02</b:DayAccessed>
    <b:URL>https://www.ft.com/content/c44717a0-e32f-11e6-8405-9e5580d6e5fb</b:URL>
    <b:Author>
      <b:Author>
        <b:NameList>
          <b:Person>
            <b:Last>FT</b:Last>
          </b:Person>
        </b:NameList>
      </b:Author>
    </b:Author>
    <b:InternetSiteTitle>www.ft.com</b:InternetSiteTitle>
    <b:Month>January</b:Month>
    <b:Day>25</b:Day>
    <b:RefOrder>5</b:RefOrder>
  </b:Source>
  <b:Source>
    <b:Tag>Jil17</b:Tag>
    <b:SourceType>InternetSite</b:SourceType>
    <b:Guid>{D7DD5D5D-966A-4E73-8A11-04D7EA5C35BD}</b:Guid>
    <b:Title>World's biggest banks face £264bn bill for poor conduct</b:Title>
    <b:Year>2017</b:Year>
    <b:YearAccessed>2019</b:YearAccessed>
    <b:MonthAccessed>May</b:MonthAccessed>
    <b:DayAccessed>01</b:DayAccessed>
    <b:URL>https://www.theguardian.com/business/2017/aug/14/worlds-biggest-banks-face-264bn-bill-for-poor-conduct</b:URL>
    <b:Author>
      <b:Author>
        <b:NameList>
          <b:Person>
            <b:Last>Treanor</b:Last>
            <b:First>Jill</b:First>
          </b:Person>
        </b:NameList>
      </b:Author>
    </b:Author>
    <b:Month>August</b:Month>
    <b:Day>14</b:Day>
    <b:RefOrder>6</b:RefOrder>
  </b:Source>
  <b:Source>
    <b:Tag>BBC18</b:Tag>
    <b:SourceType>InternetSite</b:SourceType>
    <b:Guid>{E761C317-823B-4A96-9B0D-8E1F0CC22DDA}</b:Guid>
    <b:Title>Lloyds Bank profits jump by 23% to £1.6bn</b:Title>
    <b:Year>2018</b:Year>
    <b:YearAccessed>2019</b:YearAccessed>
    <b:MonthAccessed>April</b:MonthAccessed>
    <b:DayAccessed>25</b:DayAccessed>
    <b:URL>https://www.bbc.co.uk/news/business-43890409</b:URL>
    <b:Author>
      <b:Author>
        <b:NameList>
          <b:Person>
            <b:Last>BBC</b:Last>
          </b:Person>
        </b:NameList>
      </b:Author>
    </b:Author>
    <b:InternetSiteTitle>www.bbc.co.uk</b:InternetSiteTitle>
    <b:Month>April</b:Month>
    <b:Day>25</b:Day>
    <b:RefOrder>7</b:RefOrder>
  </b:Source>
  <b:Source>
    <b:Tag>Iai19</b:Tag>
    <b:SourceType>InternetSite</b:SourceType>
    <b:Guid>{E8685762-1562-4A4F-9F72-EE5F771D452D}</b:Guid>
    <b:Title>Lloyds Bank brushes off Brexit fears with £4 billion investor payout</b:Title>
    <b:YearAccessed>2019</b:YearAccessed>
    <b:MonthAccessed>April</b:MonthAccessed>
    <b:DayAccessed>25</b:DayAccessed>
    <b:URL>https://uk.reuters.com/article/uk-lloyds-results/lloyds-bank-brushes-off-brexit-fears-with-4-billion-investor-payout-idUKKCN1Q90MR</b:URL>
    <b:Author>
      <b:Author>
        <b:NameList>
          <b:Person>
            <b:Last>Withers</b:Last>
            <b:First>Iain</b:First>
          </b:Person>
          <b:Person>
            <b:Last>White</b:Last>
            <b:First>Lawrence</b:First>
          </b:Person>
        </b:NameList>
      </b:Author>
    </b:Author>
    <b:InternetSiteTitle>uk.reuters.com</b:InternetSiteTitle>
    <b:Year>2019</b:Year>
    <b:Month>February</b:Month>
    <b:Day>20</b:Day>
    <b:RefOrder>8</b:RefOrder>
  </b:Source>
  <b:Source>
    <b:Tag>Bar19</b:Tag>
    <b:SourceType>InternetSite</b:SourceType>
    <b:Guid>{284DE90F-AFF5-44FE-936D-95BAEFC6A218}</b:Guid>
    <b:Author>
      <b:Author>
        <b:NameList>
          <b:Person>
            <b:Last>Barclays</b:Last>
          </b:Person>
        </b:NameList>
      </b:Author>
    </b:Author>
    <b:Title>Barclays</b:Title>
    <b:Year>2019</b:Year>
    <b:YearAccessed>2019</b:YearAccessed>
    <b:MonthAccessed>May</b:MonthAccessed>
    <b:DayAccessed>05</b:DayAccessed>
    <b:URL>https://home.barclays/who-we-are/</b:URL>
    <b:RefOrder>9</b:RefOrder>
  </b:Source>
  <b:Source>
    <b:Tag>FCA151</b:Tag>
    <b:SourceType>InternetSite</b:SourceType>
    <b:Guid>{A1EF6600-2696-4D86-A8EF-262E57E08519}</b:Guid>
    <b:Author>
      <b:Author>
        <b:NameList>
          <b:Person>
            <b:Last>FCA</b:Last>
          </b:Person>
        </b:NameList>
      </b:Author>
    </b:Author>
    <b:Title>FCA fines Barclays £72 million for poor handling of financial crime risks</b:Title>
    <b:Year>2015</b:Year>
    <b:YearAccessed>2019</b:YearAccessed>
    <b:MonthAccessed>May</b:MonthAccessed>
    <b:DayAccessed>05</b:DayAccessed>
    <b:URL>https://www.fca.org.uk/news/press-releases/fca-fines-barclays-%C2%A372-million-poor-handling-financial-crime-risks</b:URL>
    <b:RefOrder>10</b:RefOrder>
  </b:Source>
  <b:Source>
    <b:Tag>FCA18</b:Tag>
    <b:SourceType>InternetSite</b:SourceType>
    <b:Guid>{22B82460-1160-4100-BEE1-C85525228EE5}</b:Guid>
    <b:Author>
      <b:Author>
        <b:NameList>
          <b:Person>
            <b:Last>FCA</b:Last>
          </b:Person>
        </b:NameList>
      </b:Author>
    </b:Author>
    <b:Title>FCA and PRA jointly fine Mr James Staley £642,430 and announce special requirements regarding whistleblowing systems and controls at Barclays</b:Title>
    <b:Year>2018</b:Year>
    <b:YearAccessed>2019</b:YearAccessed>
    <b:MonthAccessed>May</b:MonthAccessed>
    <b:DayAccessed>05</b:DayAccessed>
    <b:URL>https://www.fca.org.uk/news/press-releases/fca-and-pra-jointly-fine-mr-james-staley-announce-special-requirements </b:URL>
    <b:RefOrder>11</b:RefOrder>
  </b:Source>
  <b:Source>
    <b:Tag>Wit18</b:Tag>
    <b:SourceType>InternetSite</b:SourceType>
    <b:Guid>{49CE9CF9-DAC0-465A-946F-7A4B25E052F1}</b:Guid>
    <b:Author>
      <b:Author>
        <b:NameList>
          <b:Person>
            <b:Last>Withers</b:Last>
            <b:First>Iain</b:First>
          </b:Person>
          <b:Person>
            <b:Last>Wallace</b:Last>
            <b:First>Tim</b:First>
          </b:Person>
        </b:NameList>
      </b:Author>
    </b:Author>
    <b:Title>Barclays is first UK bank to complete £1bn ring-fence to split retail lending from investment banking</b:Title>
    <b:Year>2018</b:Year>
    <b:YearAccessed>2019</b:YearAccessed>
    <b:MonthAccessed>May</b:MonthAccessed>
    <b:DayAccessed>05</b:DayAccessed>
    <b:URL>https://www.telegraph.co.uk/business/2018/04/01/barclays-works-round-clock-launch-safer-ring-fenced-uk-bank/</b:URL>
    <b:RefOrder>12</b:RefOrder>
  </b:Source>
  <b:Source>
    <b:Tag>Mon18</b:Tag>
    <b:SourceType>InternetSite</b:SourceType>
    <b:Guid>{0E6FE56C-9A3A-4B4B-8C70-49CA44B70F63}</b:Guid>
    <b:Author>
      <b:Author>
        <b:NameList>
          <b:Person>
            <b:Last>Monaghan</b:Last>
            <b:First>Angela</b:First>
          </b:Person>
          <b:Person>
            <b:Last>Collinson</b:Last>
            <b:First>Patrick</b:First>
          </b:Person>
        </b:NameList>
      </b:Author>
    </b:Author>
    <b:Title>Lloyds to hand £3bn to shareholders as profits jump 24% to £5.3bn</b:Title>
    <b:Year>2018</b:Year>
    <b:YearAccessed>2019</b:YearAccessed>
    <b:MonthAccessed>May</b:MonthAccessed>
    <b:DayAccessed>05</b:DayAccessed>
    <b:URL>https://www.theguardian.com/business/2018/feb/21/lloyds-bumper-profits-deliver-1bn-bonanza-for-shareholders</b:URL>
    <b:RefOrder>18</b:RefOrder>
  </b:Source>
  <b:Source>
    <b:Tag>BIS19</b:Tag>
    <b:SourceType>InternetSite</b:SourceType>
    <b:Guid>{90475DFD-A5E2-4A4E-BEA3-FE6E2DEA0A51}</b:Guid>
    <b:Author>
      <b:Author>
        <b:NameList>
          <b:Person>
            <b:Last>BIS.Org</b:Last>
          </b:Person>
        </b:NameList>
      </b:Author>
    </b:Author>
    <b:Title>Basel III: international regulatory framework for banks</b:Title>
    <b:Year>2019</b:Year>
    <b:YearAccessed>2019</b:YearAccessed>
    <b:MonthAccessed>MAY</b:MonthAccessed>
    <b:DayAccessed>06</b:DayAccessed>
    <b:URL>https://www.bis.org/bcbs/basel3.htm  </b:URL>
    <b:RefOrder>19</b:RefOrder>
  </b:Source>
  <b:Source>
    <b:Tag>EBF19</b:Tag>
    <b:SourceType>InternetSite</b:SourceType>
    <b:Guid>{3C0621F0-039A-4588-A773-5F9E4CD2EFFB}</b:Guid>
    <b:Author>
      <b:Author>
        <b:NameList>
          <b:Person>
            <b:Last>EBF.EU</b:Last>
          </b:Person>
        </b:NameList>
      </b:Author>
    </b:Author>
    <b:Title>BANKING SECTOR PERFORMANCE</b:Title>
    <b:Year>2019</b:Year>
    <b:YearAccessed>2019</b:YearAccessed>
    <b:MonthAccessed>May</b:MonthAccessed>
    <b:DayAccessed>06</b:DayAccessed>
    <b:URL>https://www.ebf.eu/facts-and-figures/banking-sector-performance/</b:URL>
    <b:RefOrder>20</b:RefOrder>
  </b:Source>
  <b:Source>
    <b:Tag>Llo191</b:Tag>
    <b:SourceType>InternetSite</b:SourceType>
    <b:Guid>{B606C984-E635-4F2D-ACC2-4BC51879B81A}</b:Guid>
    <b:Author>
      <b:Author>
        <b:NameList>
          <b:Person>
            <b:Last>Lloyds</b:Last>
          </b:Person>
        </b:NameList>
      </b:Author>
    </b:Author>
    <b:Title>Download centre, Annual reports</b:Title>
    <b:Year>2019</b:Year>
    <b:YearAccessed>2019</b:YearAccessed>
    <b:MonthAccessed>April</b:MonthAccessed>
    <b:DayAccessed>30</b:DayAccessed>
    <b:URL>https://www.lloydsbankinggroup.com/Investors/annual-report-2018/download-centre/</b:URL>
    <b:RefOrder>13</b:RefOrder>
  </b:Source>
  <b:Source>
    <b:Tag>Llo18</b:Tag>
    <b:SourceType>InternetSite</b:SourceType>
    <b:Guid>{D9278AF2-1E8B-4C75-BDD7-92AA7ABA5A8D}</b:Guid>
    <b:Author>
      <b:Author>
        <b:NameList>
          <b:Person>
            <b:Last>Lloyds</b:Last>
          </b:Person>
        </b:NameList>
      </b:Author>
    </b:Author>
    <b:Title>Lloyds Banking Group Capital and Risk Management Pillar 3 Report 2018</b:Title>
    <b:Year>2018</b:Year>
    <b:YearAccessed>2019</b:YearAccessed>
    <b:MonthAccessed>April</b:MonthAccessed>
    <b:DayAccessed>30</b:DayAccessed>
    <b:URL>https://www.lloydsbankinggroup.com/globalassets/documents/investors/2018/2018_lbg_pillar_3_report_v2.pdf </b:URL>
    <b:RefOrder>14</b:RefOrder>
  </b:Source>
  <b:Source>
    <b:Tag>Sta18</b:Tag>
    <b:SourceType>InternetSite</b:SourceType>
    <b:Guid>{0FE259DB-CABA-4BD7-A3E8-0CEDA6E20C07}</b:Guid>
    <b:Author>
      <b:Author>
        <b:NameList>
          <b:Person>
            <b:Last>Statista</b:Last>
          </b:Person>
        </b:NameList>
      </b:Author>
    </b:Author>
    <b:Title>Tier 1 capital ratio of United Kingdom (UK) Lloyds Banking Group from 2010 to 2017</b:Title>
    <b:Year>2018</b:Year>
    <b:YearAccessed>2019</b:YearAccessed>
    <b:MonthAccessed>May</b:MonthAccessed>
    <b:DayAccessed>04</b:DayAccessed>
    <b:URL>https://www.statista.com/statistics/474544/uk-lloyds-banking-group-tier-one-capital-ratio/</b:URL>
    <b:RefOrder>15</b:RefOrder>
  </b:Source>
  <b:Source>
    <b:Tag>Bar181</b:Tag>
    <b:SourceType>InternetSite</b:SourceType>
    <b:Guid>{C46A1CB9-4F86-4D8F-87E2-7CDB7F75C58F}</b:Guid>
    <b:Author>
      <b:Author>
        <b:NameList>
          <b:Person>
            <b:Last>Barclays</b:Last>
          </b:Person>
        </b:NameList>
      </b:Author>
    </b:Author>
    <b:Title>Barclays PLC Annual Report 2018</b:Title>
    <b:Year>2018</b:Year>
    <b:YearAccessed>2019</b:YearAccessed>
    <b:MonthAccessed>May</b:MonthAccessed>
    <b:DayAccessed>04</b:DayAccessed>
    <b:URL>https://home.barclays/content/dam/home-barclays/documents/investor-relations/reports-and-events/annual-reports/2018/2018-barclays-plc-annual-report.pdf </b:URL>
    <b:RefOrder>16</b:RefOrder>
  </b:Source>
  <b:Source>
    <b:Tag>Bar17</b:Tag>
    <b:SourceType>InternetSite</b:SourceType>
    <b:Guid>{A60FA092-E170-458E-8DC1-004AECCF99C0}</b:Guid>
    <b:Author>
      <b:Author>
        <b:NameList>
          <b:Person>
            <b:Last>Barclays</b:Last>
          </b:Person>
        </b:NameList>
      </b:Author>
    </b:Author>
    <b:Title>Barclays PLC Pillar 3 Report 2017</b:Title>
    <b:Year>2017</b:Year>
    <b:YearAccessed>2019</b:YearAccessed>
    <b:MonthAccessed>May</b:MonthAccessed>
    <b:DayAccessed>05</b:DayAccessed>
    <b:URL>https://home.barclays/content/dam/home-barclays/documents/investor-relations/reports-and-events/annual-reports/2017/Barclays-PLC-Pillar-3-Report-2017.pdf </b:URL>
    <b:RefOrder>17</b:RefOrder>
  </b:Source>
  <b:Source>
    <b:Tag>dmo19</b:Tag>
    <b:SourceType>InternetSite</b:SourceType>
    <b:Guid>{4C6D41D6-7AE3-4A56-87B6-640ED064C98A}</b:Guid>
    <b:Author>
      <b:Author>
        <b:NameList>
          <b:Person>
            <b:Last>dmo.gov.uk</b:Last>
          </b:Person>
        </b:NameList>
      </b:Author>
    </b:Author>
    <b:Title>Money Markets</b:Title>
    <b:Year>2019</b:Year>
    <b:YearAccessed>2019</b:YearAccessed>
    <b:MonthAccessed>May</b:MonthAccessed>
    <b:DayAccessed>05</b:DayAccessed>
    <b:URL>https://www.dmo.gov.uk/responsibilities/money-markets/about-treasury-bills/</b:URL>
    <b:RefOrder>21</b:RefOrder>
  </b:Source>
</b:Sources>
</file>

<file path=customXml/itemProps1.xml><?xml version="1.0" encoding="utf-8"?>
<ds:datastoreItem xmlns:ds="http://schemas.openxmlformats.org/officeDocument/2006/customXml" ds:itemID="{B3C9DDB1-1534-4FE7-A479-76BBEF135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photo(2)</Template>
  <TotalTime>4719</TotalTime>
  <Pages>13</Pages>
  <Words>4672</Words>
  <Characters>26635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 &amp; MIRI</dc:creator>
  <cp:keywords/>
  <dc:description/>
  <cp:lastModifiedBy>enjada lezaj</cp:lastModifiedBy>
  <cp:revision>178</cp:revision>
  <dcterms:created xsi:type="dcterms:W3CDTF">2019-05-05T14:07:00Z</dcterms:created>
  <dcterms:modified xsi:type="dcterms:W3CDTF">2019-05-08T22:51:00Z</dcterms:modified>
</cp:coreProperties>
</file>