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7A7C227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381648">
        <w:t>(Smith, 2022)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086FC5BF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381648">
        <w:t>(Smith, 2022, p.15)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1830371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381648">
        <w:t xml:space="preserve"> (Smith and Jones, 2021)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3A15E2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2596C54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381648">
        <w:t xml:space="preserve"> Smith, J (2022) </w:t>
      </w:r>
      <w:r w:rsidR="00381648">
        <w:rPr>
          <w:i/>
          <w:iCs/>
        </w:rPr>
        <w:t>Understanding Care</w:t>
      </w:r>
      <w:r w:rsidR="00381648">
        <w:t>. London: Sage</w:t>
      </w:r>
      <w:r>
        <w:br/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7568DAFB" w14:textId="77777777" w:rsidR="00381648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38164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629E75E8" w14:textId="1D9E4C49" w:rsidR="004A02F4" w:rsidRDefault="003816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color w:val="404040"/>
          <w:sz w:val="24"/>
          <w:szCs w:val="24"/>
        </w:rPr>
        <w:t xml:space="preserve">Social Care Institute for Excellence (2024) </w:t>
      </w:r>
      <w:r>
        <w:rPr>
          <w:rFonts w:ascii="Cambria" w:hAnsi="Cambria"/>
          <w:i/>
          <w:iCs/>
          <w:color w:val="404040"/>
          <w:sz w:val="24"/>
          <w:szCs w:val="24"/>
        </w:rPr>
        <w:t>Safeguarding adults sharing information</w:t>
      </w:r>
      <w:r>
        <w:rPr>
          <w:rFonts w:ascii="Cambria" w:hAnsi="Cambria"/>
          <w:color w:val="404040"/>
          <w:sz w:val="24"/>
          <w:szCs w:val="24"/>
        </w:rPr>
        <w:t xml:space="preserve">. Available at: </w:t>
      </w:r>
      <w:hyperlink r:id="rId7" w:history="1">
        <w:r w:rsidRPr="00CD37CA">
          <w:rPr>
            <w:rStyle w:val="Hyperlink"/>
            <w:rFonts w:ascii="Cambria" w:hAnsi="Cambria"/>
            <w:sz w:val="24"/>
            <w:szCs w:val="24"/>
          </w:rPr>
          <w:t>https://www.scie.org.uk/safeguarding/adults/practice/sharing-information/</w:t>
        </w:r>
      </w:hyperlink>
      <w:r>
        <w:rPr>
          <w:rFonts w:ascii="Cambria" w:hAnsi="Cambria"/>
          <w:color w:val="404040"/>
          <w:sz w:val="24"/>
          <w:szCs w:val="24"/>
        </w:rPr>
        <w:t xml:space="preserve"> (Accessed: 10 October 2025)</w:t>
      </w:r>
      <w:r w:rsidR="004A02F4">
        <w:br/>
      </w:r>
      <w:r w:rsidR="004A02F4">
        <w:br/>
      </w:r>
      <w:r w:rsidR="004A02F4"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06D5CC5" w:rsidR="008E070C" w:rsidRPr="00381648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38164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381648">
        <w:rPr>
          <w:rFonts w:ascii="Cambria" w:hAnsi="Cambria"/>
          <w:color w:val="404040"/>
          <w:sz w:val="24"/>
          <w:szCs w:val="24"/>
        </w:rPr>
        <w:t>Book</w:t>
      </w:r>
    </w:p>
    <w:p w14:paraId="361BB3D4" w14:textId="586918AB" w:rsidR="008E070C" w:rsidRPr="00381648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38164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381648">
        <w:rPr>
          <w:rFonts w:ascii="Cambria" w:hAnsi="Cambria"/>
          <w:color w:val="404040"/>
          <w:sz w:val="24"/>
          <w:szCs w:val="24"/>
        </w:rPr>
        <w:t>According to Connelly and Forsyth</w:t>
      </w:r>
      <w:r w:rsidR="001F377E">
        <w:rPr>
          <w:rFonts w:ascii="Cambria" w:hAnsi="Cambria"/>
          <w:color w:val="404040"/>
          <w:sz w:val="24"/>
          <w:szCs w:val="24"/>
        </w:rPr>
        <w:t xml:space="preserve"> 2012</w:t>
      </w:r>
    </w:p>
    <w:p w14:paraId="5FCE8BA1" w14:textId="5B15BE22" w:rsidR="008E070C" w:rsidRPr="00381648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38164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7D596C">
        <w:rPr>
          <w:rFonts w:ascii="Cambria" w:hAnsi="Cambria"/>
          <w:color w:val="404040"/>
          <w:sz w:val="24"/>
          <w:szCs w:val="24"/>
        </w:rPr>
        <w:t>(</w:t>
      </w:r>
      <w:r w:rsidR="00381648">
        <w:rPr>
          <w:rFonts w:ascii="Cambria" w:hAnsi="Cambria"/>
          <w:color w:val="404040"/>
          <w:sz w:val="24"/>
          <w:szCs w:val="24"/>
        </w:rPr>
        <w:t>Connelly and Forsyth</w:t>
      </w:r>
      <w:r w:rsidR="001F377E">
        <w:rPr>
          <w:rFonts w:ascii="Cambria" w:hAnsi="Cambria"/>
          <w:color w:val="404040"/>
          <w:sz w:val="24"/>
          <w:szCs w:val="24"/>
        </w:rPr>
        <w:t>, 2012)</w:t>
      </w:r>
    </w:p>
    <w:p w14:paraId="60A7AF17" w14:textId="22396CBA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1F377E">
        <w:rPr>
          <w:rFonts w:ascii="Cambria" w:hAnsi="Cambria"/>
          <w:b/>
          <w:bCs/>
          <w:color w:val="404040"/>
          <w:sz w:val="24"/>
          <w:szCs w:val="24"/>
        </w:rPr>
        <w:t xml:space="preserve"> </w:t>
      </w:r>
      <w:r w:rsidR="001F377E">
        <w:rPr>
          <w:rFonts w:ascii="Cambria" w:hAnsi="Cambria"/>
          <w:color w:val="404040"/>
          <w:sz w:val="24"/>
          <w:szCs w:val="24"/>
        </w:rPr>
        <w:t>Connelly, J and Forsyth, P (2012).</w:t>
      </w:r>
      <w:r w:rsidR="001F377E">
        <w:rPr>
          <w:rFonts w:ascii="Cambria" w:hAnsi="Cambria"/>
          <w:i/>
          <w:iCs/>
          <w:color w:val="404040"/>
          <w:sz w:val="24"/>
          <w:szCs w:val="24"/>
        </w:rPr>
        <w:t xml:space="preserve"> Essential techniques to gain top marks. 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024B0DE4" w:rsidR="00F02448" w:rsidRPr="00EE4563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EE4563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EE4563">
        <w:rPr>
          <w:rFonts w:ascii="Cambria" w:hAnsi="Cambria"/>
          <w:color w:val="404040"/>
          <w:sz w:val="24"/>
          <w:szCs w:val="24"/>
        </w:rPr>
        <w:t xml:space="preserve"> Journal Article </w:t>
      </w:r>
    </w:p>
    <w:p w14:paraId="758B4806" w14:textId="5976E4E6" w:rsidR="00F02448" w:rsidRPr="00EE4563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EE4563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EE4563">
        <w:rPr>
          <w:rFonts w:ascii="Cambria" w:hAnsi="Cambria"/>
          <w:color w:val="404040"/>
          <w:sz w:val="24"/>
          <w:szCs w:val="24"/>
        </w:rPr>
        <w:t>According to Callinan, Van Der Zee and Wilson (2015)</w:t>
      </w:r>
    </w:p>
    <w:p w14:paraId="7B570756" w14:textId="7645A851" w:rsidR="00F02448" w:rsidRPr="00EE4563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</w:t>
      </w:r>
      <w:r w:rsidR="007D596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: (</w:t>
      </w:r>
      <w:r w:rsidR="00EE4563">
        <w:rPr>
          <w:rFonts w:ascii="Cambria" w:hAnsi="Cambria"/>
          <w:color w:val="404040"/>
          <w:sz w:val="24"/>
          <w:szCs w:val="24"/>
        </w:rPr>
        <w:t xml:space="preserve">Callinan, Van Der Zee and Wilson, </w:t>
      </w:r>
      <w:r w:rsidR="007D596C">
        <w:rPr>
          <w:rFonts w:ascii="Cambria" w:hAnsi="Cambria"/>
          <w:color w:val="404040"/>
          <w:sz w:val="24"/>
          <w:szCs w:val="24"/>
        </w:rPr>
        <w:t>2015)</w:t>
      </w:r>
    </w:p>
    <w:p w14:paraId="54C16381" w14:textId="2C7F6279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7D596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7D596C">
        <w:rPr>
          <w:rFonts w:ascii="Cambria" w:hAnsi="Cambria"/>
          <w:color w:val="404040"/>
          <w:sz w:val="24"/>
          <w:szCs w:val="24"/>
        </w:rPr>
        <w:t>Callinan, J, Van Der Zee, E and Wilson G. (2015)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7AD6EF8A" w:rsidR="00216CC6" w:rsidRDefault="00EE4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790AA7E1" w:rsidR="00216CC6" w:rsidRDefault="00EE4563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37D82A2E" w:rsidR="00216CC6" w:rsidRDefault="00EE4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3A15E2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2A69103B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</w:t>
      </w:r>
      <w:r w:rsidR="00EE4563">
        <w:rPr>
          <w:rFonts w:ascii="Cambria" w:hAnsi="Cambria"/>
          <w:sz w:val="24"/>
          <w:szCs w:val="24"/>
        </w:rPr>
        <w:t xml:space="preserve"> (NHS England, (2023).</w:t>
      </w:r>
      <w:r>
        <w:rPr>
          <w:rFonts w:ascii="Cambria" w:hAnsi="Cambria"/>
          <w:sz w:val="24"/>
          <w:szCs w:val="24"/>
        </w:rPr>
        <w:t xml:space="preserve"> Communication between professionals is essential for safe care.</w:t>
      </w:r>
      <w:r w:rsidR="00EE4563">
        <w:rPr>
          <w:rFonts w:ascii="Cambria" w:hAnsi="Cambria"/>
          <w:sz w:val="24"/>
          <w:szCs w:val="24"/>
        </w:rPr>
        <w:t xml:space="preserve"> (According to Smith (2022).</w:t>
      </w:r>
      <w:r>
        <w:rPr>
          <w:rFonts w:ascii="Cambria" w:hAnsi="Cambria"/>
          <w:sz w:val="24"/>
          <w:szCs w:val="24"/>
        </w:rPr>
        <w:t xml:space="preserve"> Reflective practice supports lifelong learning.</w:t>
      </w:r>
      <w:r w:rsidR="00EE4563">
        <w:rPr>
          <w:rFonts w:ascii="Cambria" w:hAnsi="Cambria"/>
          <w:sz w:val="24"/>
          <w:szCs w:val="24"/>
        </w:rPr>
        <w:t xml:space="preserve"> (Browns, 2021).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3A15E2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1BA0770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EE4563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539BD7A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EE4563">
        <w:t>A and C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1CAE272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EE4563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5D4320B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EE4563">
        <w:rPr>
          <w:lang w:eastAsia="en-GB"/>
        </w:rPr>
        <w:t>D</w:t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734A900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EE4563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C7E73" w14:textId="77777777" w:rsidR="003A15E2" w:rsidRDefault="003A15E2" w:rsidP="001E7F7E">
      <w:pPr>
        <w:spacing w:after="0" w:line="240" w:lineRule="auto"/>
      </w:pPr>
      <w:r>
        <w:separator/>
      </w:r>
    </w:p>
  </w:endnote>
  <w:endnote w:type="continuationSeparator" w:id="0">
    <w:p w14:paraId="285E4F6C" w14:textId="77777777" w:rsidR="003A15E2" w:rsidRDefault="003A15E2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29FAB" w14:textId="77777777" w:rsidR="003A15E2" w:rsidRDefault="003A15E2" w:rsidP="001E7F7E">
      <w:pPr>
        <w:spacing w:after="0" w:line="240" w:lineRule="auto"/>
      </w:pPr>
      <w:r>
        <w:separator/>
      </w:r>
    </w:p>
  </w:footnote>
  <w:footnote w:type="continuationSeparator" w:id="0">
    <w:p w14:paraId="33334F88" w14:textId="77777777" w:rsidR="003A15E2" w:rsidRDefault="003A15E2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37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1648"/>
    <w:rsid w:val="00386DFA"/>
    <w:rsid w:val="003A15E2"/>
    <w:rsid w:val="003B5FCF"/>
    <w:rsid w:val="003F362D"/>
    <w:rsid w:val="00401107"/>
    <w:rsid w:val="0040462C"/>
    <w:rsid w:val="00450A52"/>
    <w:rsid w:val="00463427"/>
    <w:rsid w:val="00483231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D596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EE4563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cie.org.uk/safeguarding/adults/practice/sharing-information/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Kirstie Monique Louise Mattan (2543816)</cp:lastModifiedBy>
  <cp:revision>2</cp:revision>
  <dcterms:created xsi:type="dcterms:W3CDTF">2026-10-02T10:02:00Z</dcterms:created>
  <dcterms:modified xsi:type="dcterms:W3CDTF">2026-10-02T10:02:00Z</dcterms:modified>
</cp:coreProperties>
</file>