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31249" w14:textId="6C532DD1" w:rsidR="002647FF" w:rsidRPr="005849E3" w:rsidRDefault="002647FF" w:rsidP="005849E3">
      <w:pPr>
        <w:tabs>
          <w:tab w:val="left" w:pos="912"/>
        </w:tabs>
        <w:rPr>
          <w:rFonts w:cstheme="minorHAnsi"/>
          <w:b/>
          <w:bCs/>
          <w:sz w:val="36"/>
          <w:szCs w:val="36"/>
        </w:rPr>
      </w:pPr>
      <w:r w:rsidRPr="001A368A">
        <w:rPr>
          <w:rFonts w:cstheme="minorHAnsi"/>
          <w:b/>
          <w:bCs/>
          <w:sz w:val="36"/>
          <w:szCs w:val="36"/>
        </w:rPr>
        <w:t xml:space="preserve"> </w:t>
      </w:r>
      <w:r w:rsidR="001552A3" w:rsidRPr="001A368A">
        <w:rPr>
          <w:rFonts w:cstheme="minorHAnsi"/>
          <w:b/>
          <w:bCs/>
          <w:sz w:val="36"/>
          <w:szCs w:val="36"/>
        </w:rPr>
        <w:tab/>
      </w:r>
      <w:r w:rsidR="005849E3" w:rsidRPr="005849E3">
        <w:rPr>
          <w:rFonts w:cstheme="minorHAnsi"/>
          <w:sz w:val="24"/>
          <w:szCs w:val="24"/>
          <w:u w:val="single"/>
        </w:rPr>
        <w:t xml:space="preserve">1,000 Word Commentary – Thomas Aquinas’ </w:t>
      </w:r>
      <w:r w:rsidR="005849E3" w:rsidRPr="005849E3">
        <w:rPr>
          <w:rFonts w:cstheme="minorHAnsi"/>
          <w:i/>
          <w:iCs/>
          <w:sz w:val="24"/>
          <w:szCs w:val="24"/>
          <w:u w:val="single"/>
        </w:rPr>
        <w:t>Summa Contra Gentiles</w:t>
      </w:r>
    </w:p>
    <w:p w14:paraId="25A7A0DD" w14:textId="77777777" w:rsidR="005849E3" w:rsidRDefault="005849E3" w:rsidP="005849E3">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CHAPTER 101 -- Of Miracles </w:t>
      </w:r>
    </w:p>
    <w:p w14:paraId="2AD31461" w14:textId="77777777" w:rsidR="005849E3" w:rsidRDefault="005849E3" w:rsidP="005849E3">
      <w:pPr>
        <w:spacing w:line="360" w:lineRule="auto"/>
        <w:rPr>
          <w:rFonts w:ascii="Times New Roman" w:hAnsi="Times New Roman" w:cs="Times New Roman"/>
          <w:sz w:val="24"/>
          <w:szCs w:val="24"/>
        </w:rPr>
      </w:pPr>
      <w:r>
        <w:rPr>
          <w:rFonts w:ascii="Times New Roman" w:hAnsi="Times New Roman" w:cs="Times New Roman"/>
          <w:sz w:val="24"/>
          <w:szCs w:val="24"/>
        </w:rPr>
        <w:t xml:space="preserve">THINGS that are done occasionally by divine power outside of the usual established order of events are commonly called miracles (wonders). We wonder when we see an effect and do not know the cause. And because one and the same cause is sometimes known to some and unknown to others, it happens that of the witnesses of the effect some wonder and some do not wonder: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an astronomer does not wonder at seeing an eclipse of the sun, at which a person that is ignorant of astronomy cannot help wondering. An event is wonderful relatively to one man and not to another. The </w:t>
      </w:r>
      <w:proofErr w:type="gramStart"/>
      <w:r>
        <w:rPr>
          <w:rFonts w:ascii="Times New Roman" w:hAnsi="Times New Roman" w:cs="Times New Roman"/>
          <w:sz w:val="24"/>
          <w:szCs w:val="24"/>
        </w:rPr>
        <w:t>absolutely wonderful</w:t>
      </w:r>
      <w:proofErr w:type="gramEnd"/>
      <w:r>
        <w:rPr>
          <w:rFonts w:ascii="Times New Roman" w:hAnsi="Times New Roman" w:cs="Times New Roman"/>
          <w:sz w:val="24"/>
          <w:szCs w:val="24"/>
        </w:rPr>
        <w:t xml:space="preserve"> is that which has a cause absolutely hidden. This then is the meaning of the word `miracle,' an event of itself full of wonder, not to this man or that man only. Now the cause absolutely hidden to every man is God, </w:t>
      </w:r>
      <w:proofErr w:type="gramStart"/>
      <w:r>
        <w:rPr>
          <w:rFonts w:ascii="Times New Roman" w:hAnsi="Times New Roman" w:cs="Times New Roman"/>
          <w:sz w:val="24"/>
          <w:szCs w:val="24"/>
        </w:rPr>
        <w:t>inasmuch as</w:t>
      </w:r>
      <w:proofErr w:type="gramEnd"/>
      <w:r>
        <w:rPr>
          <w:rFonts w:ascii="Times New Roman" w:hAnsi="Times New Roman" w:cs="Times New Roman"/>
          <w:sz w:val="24"/>
          <w:szCs w:val="24"/>
        </w:rPr>
        <w:t xml:space="preserve"> no man in this life can mentally grasp the essence of God (Chap. [409] XLVII). Those events then are properly to be styled miracles, which happen by divine power beyond the order commonly observed in nature. </w:t>
      </w:r>
    </w:p>
    <w:p w14:paraId="410C2A93" w14:textId="74FAEA4F" w:rsidR="005849E3" w:rsidRPr="005849E3" w:rsidRDefault="005849E3" w:rsidP="005849E3">
      <w:pPr>
        <w:spacing w:line="360" w:lineRule="auto"/>
        <w:rPr>
          <w:rFonts w:ascii="Times New Roman" w:hAnsi="Times New Roman" w:cs="Times New Roman"/>
          <w:sz w:val="24"/>
          <w:szCs w:val="24"/>
        </w:rPr>
      </w:pPr>
      <w:r>
        <w:rPr>
          <w:rFonts w:ascii="Times New Roman" w:hAnsi="Times New Roman" w:cs="Times New Roman"/>
          <w:sz w:val="24"/>
          <w:szCs w:val="24"/>
        </w:rPr>
        <w:t xml:space="preserve">Of these miracles there are several ranks and orders. Miracles of the highest rank are those in which something is done by God that nature can never do. Miracles of the second rank are those in which God does something that nature can do, but not in that sequence and connexion.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it is a work of nature that an animal should live, see and walk: but that it should live after death, see after blindness, walk after lameness, these things nature is powerless to effect, but God sometimes brings them about miraculously. A miracle of the third rank is something done by God, which is usually done by the operation of nature, but is done in this case without the working of natural principles, as when one is cured by divine power of a fever, </w:t>
      </w:r>
      <w:proofErr w:type="gramStart"/>
      <w:r>
        <w:rPr>
          <w:rFonts w:ascii="Times New Roman" w:hAnsi="Times New Roman" w:cs="Times New Roman"/>
          <w:sz w:val="24"/>
          <w:szCs w:val="24"/>
        </w:rPr>
        <w:t>in itself naturally</w:t>
      </w:r>
      <w:proofErr w:type="gramEnd"/>
      <w:r>
        <w:rPr>
          <w:rFonts w:ascii="Times New Roman" w:hAnsi="Times New Roman" w:cs="Times New Roman"/>
          <w:sz w:val="24"/>
          <w:szCs w:val="24"/>
        </w:rPr>
        <w:t xml:space="preserve"> curable, or when it rains without any working of the elements.</w:t>
      </w:r>
    </w:p>
    <w:p w14:paraId="2C9DC3B7" w14:textId="77777777" w:rsidR="005849E3" w:rsidRPr="005849E3" w:rsidRDefault="005849E3">
      <w:pPr>
        <w:rPr>
          <w:rFonts w:cstheme="minorHAnsi"/>
        </w:rPr>
      </w:pPr>
    </w:p>
    <w:p w14:paraId="7C429A1C" w14:textId="63C5772A" w:rsidR="00037164" w:rsidRPr="001A368A" w:rsidRDefault="005E7037">
      <w:pPr>
        <w:rPr>
          <w:rFonts w:cstheme="minorHAnsi"/>
        </w:rPr>
      </w:pPr>
      <w:r w:rsidRPr="001A368A">
        <w:rPr>
          <w:rFonts w:cstheme="minorHAnsi"/>
        </w:rPr>
        <w:t>The Summa Contra Gentiles</w:t>
      </w:r>
      <w:r w:rsidR="00037164" w:rsidRPr="001A368A">
        <w:rPr>
          <w:rFonts w:cstheme="minorHAnsi"/>
        </w:rPr>
        <w:t>, also referred to as the ‘</w:t>
      </w:r>
      <w:r w:rsidR="00037164" w:rsidRPr="001A368A">
        <w:rPr>
          <w:rFonts w:cstheme="minorHAnsi"/>
          <w:i/>
          <w:iCs/>
        </w:rPr>
        <w:t>Liber de veritate catholicae fidei contra errores infidelium</w:t>
      </w:r>
      <w:r w:rsidR="00037164" w:rsidRPr="001A368A">
        <w:rPr>
          <w:rFonts w:cstheme="minorHAnsi"/>
        </w:rPr>
        <w:t>’ (</w:t>
      </w:r>
      <w:r w:rsidR="005457D7" w:rsidRPr="001A368A">
        <w:rPr>
          <w:rFonts w:cstheme="minorHAnsi"/>
        </w:rPr>
        <w:t>translated as ‘</w:t>
      </w:r>
      <w:r w:rsidR="00037164" w:rsidRPr="001A368A">
        <w:rPr>
          <w:rFonts w:cstheme="minorHAnsi"/>
        </w:rPr>
        <w:t xml:space="preserve">Book on the truth of the Catholic faith </w:t>
      </w:r>
      <w:r w:rsidR="005457D7" w:rsidRPr="001A368A">
        <w:rPr>
          <w:rFonts w:cstheme="minorHAnsi"/>
        </w:rPr>
        <w:t>against the errors of the unbelievers’)</w:t>
      </w:r>
      <w:r w:rsidRPr="001A368A">
        <w:rPr>
          <w:rFonts w:cstheme="minorHAnsi"/>
        </w:rPr>
        <w:t xml:space="preserve"> is a book written by Thomas Aquinas, who is frequently described as one of the greatest minds in history in the fields of theology and philosophy.</w:t>
      </w:r>
      <w:r w:rsidRPr="001A368A">
        <w:rPr>
          <w:rStyle w:val="FootnoteReference"/>
          <w:rFonts w:cstheme="minorHAnsi"/>
        </w:rPr>
        <w:footnoteReference w:id="1"/>
      </w:r>
      <w:r w:rsidR="00760B1B" w:rsidRPr="001A368A">
        <w:rPr>
          <w:rFonts w:cstheme="minorHAnsi"/>
        </w:rPr>
        <w:t xml:space="preserve"> </w:t>
      </w:r>
      <w:r w:rsidR="00DB57B9" w:rsidRPr="001A368A">
        <w:rPr>
          <w:rFonts w:cstheme="minorHAnsi"/>
        </w:rPr>
        <w:t xml:space="preserve">The work explores </w:t>
      </w:r>
      <w:r w:rsidR="00217DFA" w:rsidRPr="001A368A">
        <w:rPr>
          <w:rFonts w:cstheme="minorHAnsi"/>
        </w:rPr>
        <w:t>Aquinas</w:t>
      </w:r>
      <w:r w:rsidR="00037164" w:rsidRPr="001A368A">
        <w:rPr>
          <w:rFonts w:cstheme="minorHAnsi"/>
        </w:rPr>
        <w:t xml:space="preserve">’ thoughts on miracles, </w:t>
      </w:r>
      <w:r w:rsidR="00D90092" w:rsidRPr="001A368A">
        <w:rPr>
          <w:rFonts w:cstheme="minorHAnsi"/>
        </w:rPr>
        <w:t xml:space="preserve">the theology of the Catholic church, and attempts to give arguments of logic and reason against disagreements with the Catholic faith. </w:t>
      </w:r>
      <w:r w:rsidR="00760B1B" w:rsidRPr="001A368A">
        <w:rPr>
          <w:rFonts w:cstheme="minorHAnsi"/>
        </w:rPr>
        <w:t xml:space="preserve">This Commentary will explore what the </w:t>
      </w:r>
      <w:r w:rsidR="00760B1B" w:rsidRPr="001A368A">
        <w:rPr>
          <w:rFonts w:cstheme="minorHAnsi"/>
        </w:rPr>
        <w:lastRenderedPageBreak/>
        <w:t xml:space="preserve">source is, what it is trying to convey, why it was written, and why it is a significant piece of writing both for its time and for the modern day. </w:t>
      </w:r>
    </w:p>
    <w:p w14:paraId="4BB38B8D" w14:textId="77777777" w:rsidR="00A27C05" w:rsidRPr="001A368A" w:rsidRDefault="00A27C05">
      <w:pPr>
        <w:rPr>
          <w:rFonts w:cstheme="minorHAnsi"/>
          <w:b/>
          <w:bCs/>
        </w:rPr>
      </w:pPr>
    </w:p>
    <w:p w14:paraId="690FC3D7" w14:textId="3EEFFD09" w:rsidR="00622CFA" w:rsidRPr="001A368A" w:rsidRDefault="00EF25DD">
      <w:pPr>
        <w:rPr>
          <w:rFonts w:cstheme="minorHAnsi"/>
        </w:rPr>
      </w:pPr>
      <w:r w:rsidRPr="001A368A">
        <w:rPr>
          <w:rFonts w:cstheme="minorHAnsi"/>
        </w:rPr>
        <w:t>T</w:t>
      </w:r>
      <w:r w:rsidR="000D3282" w:rsidRPr="001A368A">
        <w:rPr>
          <w:rFonts w:cstheme="minorHAnsi"/>
        </w:rPr>
        <w:t xml:space="preserve">his extract of the Summa Contra Gentiles </w:t>
      </w:r>
      <w:r w:rsidR="00C937ED" w:rsidRPr="001A368A">
        <w:rPr>
          <w:rFonts w:cstheme="minorHAnsi"/>
        </w:rPr>
        <w:t xml:space="preserve">begins by describing the concept of a miracle, as something done outside of the “established order of events”. </w:t>
      </w:r>
      <w:r w:rsidR="00563788" w:rsidRPr="001A368A">
        <w:rPr>
          <w:rFonts w:cstheme="minorHAnsi"/>
        </w:rPr>
        <w:t xml:space="preserve">Aquinas’ then compares </w:t>
      </w:r>
      <w:r w:rsidR="00FE6E80" w:rsidRPr="001A368A">
        <w:rPr>
          <w:rFonts w:cstheme="minorHAnsi"/>
        </w:rPr>
        <w:t xml:space="preserve">the concept of understanding miracles, and the </w:t>
      </w:r>
      <w:r w:rsidR="009C7C67" w:rsidRPr="001A368A">
        <w:rPr>
          <w:rFonts w:cstheme="minorHAnsi"/>
        </w:rPr>
        <w:t xml:space="preserve">understanding of a solar eclipse. To </w:t>
      </w:r>
      <w:r w:rsidR="002647FF" w:rsidRPr="001A368A">
        <w:rPr>
          <w:rFonts w:cstheme="minorHAnsi"/>
        </w:rPr>
        <w:t xml:space="preserve">Aquinas, an astronomer does not ponder the eclipse because he knows what causes it, while someone who does not understand astronomy is left to ponder why </w:t>
      </w:r>
      <w:r w:rsidR="00E47C91" w:rsidRPr="001A368A">
        <w:rPr>
          <w:rFonts w:cstheme="minorHAnsi"/>
        </w:rPr>
        <w:t>the sun disappears in an eclipse</w:t>
      </w:r>
      <w:r w:rsidR="002647FF" w:rsidRPr="001A368A">
        <w:rPr>
          <w:rFonts w:cstheme="minorHAnsi"/>
        </w:rPr>
        <w:t xml:space="preserve">. </w:t>
      </w:r>
      <w:r w:rsidR="004A0E8D" w:rsidRPr="001A368A">
        <w:rPr>
          <w:rFonts w:cstheme="minorHAnsi"/>
        </w:rPr>
        <w:t xml:space="preserve">This itself is a particularly apt metaphor, as during this period several solar eclipses occurred. </w:t>
      </w:r>
      <w:r w:rsidR="007F399A" w:rsidRPr="001A368A">
        <w:rPr>
          <w:rFonts w:cstheme="minorHAnsi"/>
        </w:rPr>
        <w:t xml:space="preserve">Aquinas argues that events such as eclipses are relative, and that knowledge is what separates understanding of the event, not the event itself. Miracles, however, must be different, as they </w:t>
      </w:r>
      <w:r w:rsidR="00196BA9" w:rsidRPr="001A368A">
        <w:rPr>
          <w:rFonts w:cstheme="minorHAnsi"/>
        </w:rPr>
        <w:t xml:space="preserve">are “full of wonder” and cannot be explained or fully understood by </w:t>
      </w:r>
      <w:r w:rsidR="008205BF" w:rsidRPr="001A368A">
        <w:rPr>
          <w:rFonts w:cstheme="minorHAnsi"/>
        </w:rPr>
        <w:t>any man, as God and his reasoning cannot be understood either. Thus, according to Aquinas, miracles can never be fully understood or reasoned, other than the reasoning that they happen by divine power.</w:t>
      </w:r>
    </w:p>
    <w:p w14:paraId="2E002C07" w14:textId="77777777" w:rsidR="004A0E8D" w:rsidRPr="001A368A" w:rsidRDefault="004A0E8D">
      <w:pPr>
        <w:rPr>
          <w:rFonts w:cstheme="minorHAnsi"/>
        </w:rPr>
      </w:pPr>
    </w:p>
    <w:p w14:paraId="0F8EF66F" w14:textId="0ECBCB98" w:rsidR="004A0E8D" w:rsidRPr="001A368A" w:rsidRDefault="00A70AA6">
      <w:pPr>
        <w:rPr>
          <w:rFonts w:cstheme="minorHAnsi"/>
        </w:rPr>
      </w:pPr>
      <w:r w:rsidRPr="001A368A">
        <w:rPr>
          <w:rFonts w:cstheme="minorHAnsi"/>
        </w:rPr>
        <w:t xml:space="preserve">Aquinas goes on to say that there are several different types of Miracles. </w:t>
      </w:r>
      <w:r w:rsidR="00C46BC8" w:rsidRPr="001A368A">
        <w:rPr>
          <w:rFonts w:cstheme="minorHAnsi"/>
        </w:rPr>
        <w:t xml:space="preserve">The highest level of miracle is when God does something that nothing in nature could do. </w:t>
      </w:r>
      <w:r w:rsidR="00DD7722" w:rsidRPr="001A368A">
        <w:rPr>
          <w:rFonts w:cstheme="minorHAnsi"/>
        </w:rPr>
        <w:t>The second level is when God does something that nature might be able to do, but not in the same order. Aquinas gives the examples of an animal living after death, walking after being unable to, and seeing after being blind. The third rank of miracles that Aquinas gives is when something is done by God</w:t>
      </w:r>
      <w:r w:rsidR="00316D07" w:rsidRPr="001A368A">
        <w:rPr>
          <w:rFonts w:cstheme="minorHAnsi"/>
        </w:rPr>
        <w:t xml:space="preserve">, which can usually be done by nature by itself, but in this case is done by God. Examples given of this type of miracle include curing of a fever, or when it rains without cause. </w:t>
      </w:r>
    </w:p>
    <w:p w14:paraId="0AE53D55" w14:textId="77777777" w:rsidR="007D287B" w:rsidRPr="001A368A" w:rsidRDefault="007D287B">
      <w:pPr>
        <w:rPr>
          <w:rFonts w:cstheme="minorHAnsi"/>
        </w:rPr>
      </w:pPr>
    </w:p>
    <w:p w14:paraId="2F10D393" w14:textId="294C3090" w:rsidR="005113E8" w:rsidRPr="001A368A" w:rsidRDefault="00DB57B9">
      <w:pPr>
        <w:rPr>
          <w:rFonts w:cstheme="minorHAnsi"/>
        </w:rPr>
      </w:pPr>
      <w:r w:rsidRPr="001A368A">
        <w:rPr>
          <w:rFonts w:cstheme="minorHAnsi"/>
        </w:rPr>
        <w:t>T</w:t>
      </w:r>
      <w:r w:rsidR="00EF25DD" w:rsidRPr="001A368A">
        <w:rPr>
          <w:rFonts w:cstheme="minorHAnsi"/>
        </w:rPr>
        <w:t xml:space="preserve">he Summa Contra Gentiles was written by Thomas Aquinas, </w:t>
      </w:r>
      <w:r w:rsidR="007248CD" w:rsidRPr="001A368A">
        <w:rPr>
          <w:rFonts w:cstheme="minorHAnsi"/>
        </w:rPr>
        <w:t xml:space="preserve">a theologian and </w:t>
      </w:r>
      <w:r w:rsidR="00FE6E80" w:rsidRPr="001A368A">
        <w:rPr>
          <w:rFonts w:cstheme="minorHAnsi"/>
        </w:rPr>
        <w:t>philosopher of the 13</w:t>
      </w:r>
      <w:r w:rsidR="00FE6E80" w:rsidRPr="001A368A">
        <w:rPr>
          <w:rFonts w:cstheme="minorHAnsi"/>
          <w:vertAlign w:val="superscript"/>
        </w:rPr>
        <w:t>th</w:t>
      </w:r>
      <w:r w:rsidR="00FE6E80" w:rsidRPr="001A368A">
        <w:rPr>
          <w:rFonts w:cstheme="minorHAnsi"/>
        </w:rPr>
        <w:t xml:space="preserve"> century. </w:t>
      </w:r>
      <w:r w:rsidR="006825C4" w:rsidRPr="001A368A">
        <w:rPr>
          <w:rFonts w:cstheme="minorHAnsi"/>
        </w:rPr>
        <w:t xml:space="preserve">Born between 1224-6 </w:t>
      </w:r>
      <w:r w:rsidR="00CF3D56" w:rsidRPr="001A368A">
        <w:rPr>
          <w:rFonts w:cstheme="minorHAnsi"/>
        </w:rPr>
        <w:t xml:space="preserve">in southern Italy </w:t>
      </w:r>
      <w:r w:rsidR="006825C4" w:rsidRPr="001A368A">
        <w:rPr>
          <w:rFonts w:cstheme="minorHAnsi"/>
        </w:rPr>
        <w:t>and dying in 1274,</w:t>
      </w:r>
      <w:r w:rsidR="00CF3D56" w:rsidRPr="001A368A">
        <w:rPr>
          <w:rFonts w:cstheme="minorHAnsi"/>
        </w:rPr>
        <w:t xml:space="preserve"> </w:t>
      </w:r>
      <w:r w:rsidR="006825C4" w:rsidRPr="001A368A">
        <w:rPr>
          <w:rFonts w:cstheme="minorHAnsi"/>
        </w:rPr>
        <w:t>h</w:t>
      </w:r>
      <w:r w:rsidR="00E47C91" w:rsidRPr="001A368A">
        <w:rPr>
          <w:rFonts w:cstheme="minorHAnsi"/>
        </w:rPr>
        <w:t>e is frequently referred to as one of the greatest minds in the fields of theology and philosophy.</w:t>
      </w:r>
      <w:r w:rsidR="00E47C91" w:rsidRPr="001A368A">
        <w:rPr>
          <w:rStyle w:val="FootnoteReference"/>
          <w:rFonts w:cstheme="minorHAnsi"/>
        </w:rPr>
        <w:footnoteReference w:id="2"/>
      </w:r>
      <w:r w:rsidR="0004471A" w:rsidRPr="001A368A">
        <w:rPr>
          <w:rFonts w:cstheme="minorHAnsi"/>
        </w:rPr>
        <w:t xml:space="preserve"> </w:t>
      </w:r>
      <w:r w:rsidR="000200AA" w:rsidRPr="001A368A">
        <w:rPr>
          <w:rFonts w:cstheme="minorHAnsi"/>
        </w:rPr>
        <w:t xml:space="preserve">The </w:t>
      </w:r>
      <w:r w:rsidR="006825C4" w:rsidRPr="001A368A">
        <w:rPr>
          <w:rFonts w:cstheme="minorHAnsi"/>
          <w:i/>
          <w:iCs/>
        </w:rPr>
        <w:t>Summa Contra Gentiles</w:t>
      </w:r>
      <w:r w:rsidR="006825C4" w:rsidRPr="001A368A">
        <w:rPr>
          <w:rFonts w:cstheme="minorHAnsi"/>
        </w:rPr>
        <w:t xml:space="preserve"> was </w:t>
      </w:r>
      <w:r w:rsidR="000851D4" w:rsidRPr="001A368A">
        <w:rPr>
          <w:rFonts w:cstheme="minorHAnsi"/>
        </w:rPr>
        <w:t>begun</w:t>
      </w:r>
      <w:r w:rsidR="006825C4" w:rsidRPr="001A368A">
        <w:rPr>
          <w:rFonts w:cstheme="minorHAnsi"/>
        </w:rPr>
        <w:t xml:space="preserve"> at the end of </w:t>
      </w:r>
      <w:r w:rsidR="000200AA" w:rsidRPr="001A368A">
        <w:rPr>
          <w:rFonts w:cstheme="minorHAnsi"/>
        </w:rPr>
        <w:t>his stay in Paris</w:t>
      </w:r>
      <w:r w:rsidR="006825C4" w:rsidRPr="001A368A">
        <w:rPr>
          <w:rFonts w:cstheme="minorHAnsi"/>
        </w:rPr>
        <w:t xml:space="preserve">, having been </w:t>
      </w:r>
      <w:r w:rsidR="00CF3D56" w:rsidRPr="001A368A">
        <w:rPr>
          <w:rFonts w:cstheme="minorHAnsi"/>
        </w:rPr>
        <w:t>preceded</w:t>
      </w:r>
      <w:r w:rsidR="006825C4" w:rsidRPr="001A368A">
        <w:rPr>
          <w:rFonts w:cstheme="minorHAnsi"/>
        </w:rPr>
        <w:t xml:space="preserve"> by a myriad of other philosophical works. </w:t>
      </w:r>
      <w:r w:rsidR="00616882" w:rsidRPr="001A368A">
        <w:rPr>
          <w:rFonts w:cstheme="minorHAnsi"/>
        </w:rPr>
        <w:t xml:space="preserve">While Aquinas’ </w:t>
      </w:r>
      <w:r w:rsidR="00616882" w:rsidRPr="001A368A">
        <w:rPr>
          <w:rFonts w:cstheme="minorHAnsi"/>
          <w:i/>
          <w:iCs/>
        </w:rPr>
        <w:t xml:space="preserve">Summa </w:t>
      </w:r>
      <w:proofErr w:type="spellStart"/>
      <w:r w:rsidR="00616882" w:rsidRPr="001A368A">
        <w:rPr>
          <w:rFonts w:cstheme="minorHAnsi"/>
          <w:i/>
          <w:iCs/>
        </w:rPr>
        <w:t>Theologicae</w:t>
      </w:r>
      <w:proofErr w:type="spellEnd"/>
      <w:r w:rsidR="00616882" w:rsidRPr="001A368A">
        <w:rPr>
          <w:rFonts w:cstheme="minorHAnsi"/>
        </w:rPr>
        <w:t xml:space="preserve"> states clearly in the introduction that it aims to</w:t>
      </w:r>
      <w:r w:rsidR="00616882" w:rsidRPr="001A368A">
        <w:rPr>
          <w:rFonts w:cstheme="minorHAnsi"/>
        </w:rPr>
        <w:t xml:space="preserve"> instruct beginner theologians, and thus</w:t>
      </w:r>
      <w:r w:rsidR="00616882" w:rsidRPr="001A368A">
        <w:rPr>
          <w:rFonts w:cstheme="minorHAnsi"/>
        </w:rPr>
        <w:t xml:space="preserve"> replace Peter Lombard’s </w:t>
      </w:r>
      <w:r w:rsidR="00616882" w:rsidRPr="001A368A">
        <w:rPr>
          <w:rFonts w:cstheme="minorHAnsi"/>
          <w:i/>
          <w:iCs/>
        </w:rPr>
        <w:t>Sententiae</w:t>
      </w:r>
      <w:r w:rsidR="00616882" w:rsidRPr="001A368A">
        <w:rPr>
          <w:rFonts w:cstheme="minorHAnsi"/>
        </w:rPr>
        <w:t xml:space="preserve"> as the “handbook” of theology, the same clarity cannot be said about the purpose of the Summa Contra Gentiles.</w:t>
      </w:r>
      <w:r w:rsidR="00616882" w:rsidRPr="001A368A">
        <w:rPr>
          <w:rStyle w:val="FootnoteReference"/>
          <w:rFonts w:cstheme="minorHAnsi"/>
        </w:rPr>
        <w:footnoteReference w:id="3"/>
      </w:r>
      <w:r w:rsidR="00616882" w:rsidRPr="001A368A">
        <w:rPr>
          <w:rFonts w:cstheme="minorHAnsi"/>
        </w:rPr>
        <w:t xml:space="preserve"> It is likely that </w:t>
      </w:r>
      <w:r w:rsidRPr="001A368A">
        <w:rPr>
          <w:rFonts w:cstheme="minorHAnsi"/>
        </w:rPr>
        <w:t>T</w:t>
      </w:r>
      <w:r w:rsidR="00D11A68" w:rsidRPr="001A368A">
        <w:rPr>
          <w:rFonts w:cstheme="minorHAnsi"/>
        </w:rPr>
        <w:t xml:space="preserve">homas </w:t>
      </w:r>
      <w:r w:rsidR="00616882" w:rsidRPr="001A368A">
        <w:rPr>
          <w:rFonts w:cstheme="minorHAnsi"/>
        </w:rPr>
        <w:t>Aquinas</w:t>
      </w:r>
      <w:r w:rsidR="00D11A68" w:rsidRPr="001A368A">
        <w:rPr>
          <w:rFonts w:cstheme="minorHAnsi"/>
        </w:rPr>
        <w:t xml:space="preserve"> wrote the Summa Contra Gentiles to be </w:t>
      </w:r>
      <w:r w:rsidR="005532BE" w:rsidRPr="001A368A">
        <w:rPr>
          <w:rFonts w:cstheme="minorHAnsi"/>
        </w:rPr>
        <w:t>a</w:t>
      </w:r>
      <w:r w:rsidR="00FE6E80" w:rsidRPr="001A368A">
        <w:rPr>
          <w:rFonts w:cstheme="minorHAnsi"/>
        </w:rPr>
        <w:t>n introductory text to the arguments against Catholic theology</w:t>
      </w:r>
      <w:r w:rsidR="0010287D" w:rsidRPr="001A368A">
        <w:rPr>
          <w:rFonts w:cstheme="minorHAnsi"/>
        </w:rPr>
        <w:t xml:space="preserve"> and the reasonings and logics that the Christian church has against these opponents</w:t>
      </w:r>
      <w:r w:rsidR="00FE6E80" w:rsidRPr="001A368A">
        <w:rPr>
          <w:rFonts w:cstheme="minorHAnsi"/>
        </w:rPr>
        <w:t xml:space="preserve">. As such, the main body of the Summa Contra Gentiles discusses </w:t>
      </w:r>
      <w:r w:rsidR="00E861C3" w:rsidRPr="001A368A">
        <w:rPr>
          <w:rFonts w:cstheme="minorHAnsi"/>
        </w:rPr>
        <w:t xml:space="preserve">ideas of truth, reason, and the concepts and existence of a monotheistic Christian God. </w:t>
      </w:r>
      <w:r w:rsidR="005113E8" w:rsidRPr="001A368A">
        <w:rPr>
          <w:rFonts w:cstheme="minorHAnsi"/>
        </w:rPr>
        <w:t>It has also been stated that Aquinas was requested to write this book by Raymond of Penafort, the advisor to James I of Aragon, as a resource for Dominican missionaries in Spain who were looking to convert the Jewish and Muslim peoples living there.</w:t>
      </w:r>
      <w:r w:rsidR="005113E8" w:rsidRPr="001A368A">
        <w:rPr>
          <w:rStyle w:val="FootnoteReference"/>
          <w:rFonts w:cstheme="minorHAnsi"/>
        </w:rPr>
        <w:footnoteReference w:id="4"/>
      </w:r>
      <w:r w:rsidR="005113E8" w:rsidRPr="001A368A">
        <w:rPr>
          <w:rFonts w:cstheme="minorHAnsi"/>
        </w:rPr>
        <w:t xml:space="preserve"> This is further </w:t>
      </w:r>
      <w:r w:rsidR="00DD71C7" w:rsidRPr="001A368A">
        <w:rPr>
          <w:rFonts w:cstheme="minorHAnsi"/>
        </w:rPr>
        <w:t>demonstrated</w:t>
      </w:r>
      <w:r w:rsidR="005113E8" w:rsidRPr="001A368A">
        <w:rPr>
          <w:rFonts w:cstheme="minorHAnsi"/>
        </w:rPr>
        <w:t xml:space="preserve"> in Aquinas’ layout of the </w:t>
      </w:r>
      <w:r w:rsidR="005113E8" w:rsidRPr="001A368A">
        <w:rPr>
          <w:rFonts w:cstheme="minorHAnsi"/>
          <w:i/>
          <w:iCs/>
        </w:rPr>
        <w:t>Summa Contra Gentiles</w:t>
      </w:r>
      <w:r w:rsidR="005113E8" w:rsidRPr="001A368A">
        <w:rPr>
          <w:rFonts w:cstheme="minorHAnsi"/>
        </w:rPr>
        <w:t xml:space="preserve">, dedicating the first three books to discussions of general theology and the ideas of a monotheistic God, before moving on to discussing specifically Christian ideas and thoughts. </w:t>
      </w:r>
    </w:p>
    <w:p w14:paraId="313A65B6" w14:textId="77777777" w:rsidR="003362EF" w:rsidRPr="001A368A" w:rsidRDefault="003362EF">
      <w:pPr>
        <w:rPr>
          <w:rFonts w:cstheme="minorHAnsi"/>
          <w:b/>
          <w:bCs/>
        </w:rPr>
      </w:pPr>
    </w:p>
    <w:p w14:paraId="53B50C65" w14:textId="485FF02A" w:rsidR="00DB57B9" w:rsidRPr="001A368A" w:rsidRDefault="00972D25">
      <w:pPr>
        <w:rPr>
          <w:rFonts w:cstheme="minorHAnsi"/>
        </w:rPr>
      </w:pPr>
      <w:r w:rsidRPr="001A368A">
        <w:rPr>
          <w:rFonts w:cstheme="minorHAnsi"/>
        </w:rPr>
        <w:lastRenderedPageBreak/>
        <w:t xml:space="preserve">The exact date of the writing of the </w:t>
      </w:r>
      <w:r w:rsidRPr="001A368A">
        <w:rPr>
          <w:rFonts w:cstheme="minorHAnsi"/>
          <w:i/>
          <w:iCs/>
        </w:rPr>
        <w:t>Summa Contra Gentiles</w:t>
      </w:r>
      <w:r w:rsidRPr="001A368A">
        <w:rPr>
          <w:rFonts w:cstheme="minorHAnsi"/>
        </w:rPr>
        <w:t xml:space="preserve"> has been the </w:t>
      </w:r>
      <w:r w:rsidR="003E5104" w:rsidRPr="001A368A">
        <w:rPr>
          <w:rFonts w:cstheme="minorHAnsi"/>
        </w:rPr>
        <w:t xml:space="preserve">subject of specialist research. While it is all but certain that the first </w:t>
      </w:r>
      <w:r w:rsidR="00895073" w:rsidRPr="001A368A">
        <w:rPr>
          <w:rFonts w:cstheme="minorHAnsi"/>
        </w:rPr>
        <w:t>53 chapters were written during his stay in Paris (1252-1259), that he finished Book I in Italy (1259-1261), Book II in Orvieto (1261-62), Book III between 1263-64, and Book IV in 1264-65.</w:t>
      </w:r>
      <w:r w:rsidR="00895073" w:rsidRPr="001A368A">
        <w:rPr>
          <w:rStyle w:val="FootnoteReference"/>
          <w:rFonts w:cstheme="minorHAnsi"/>
        </w:rPr>
        <w:footnoteReference w:id="5"/>
      </w:r>
      <w:r w:rsidR="00895073" w:rsidRPr="001A368A">
        <w:rPr>
          <w:rFonts w:cstheme="minorHAnsi"/>
        </w:rPr>
        <w:t xml:space="preserve"> Therefore, this specific extract was written </w:t>
      </w:r>
      <w:r w:rsidR="000851D4" w:rsidRPr="001A368A">
        <w:rPr>
          <w:rFonts w:cstheme="minorHAnsi"/>
        </w:rPr>
        <w:t>at the end of</w:t>
      </w:r>
      <w:r w:rsidR="00895073" w:rsidRPr="001A368A">
        <w:rPr>
          <w:rFonts w:cstheme="minorHAnsi"/>
        </w:rPr>
        <w:t xml:space="preserve"> the Parisian excursion</w:t>
      </w:r>
      <w:r w:rsidR="000851D4" w:rsidRPr="001A368A">
        <w:rPr>
          <w:rFonts w:cstheme="minorHAnsi"/>
        </w:rPr>
        <w:t xml:space="preserve"> and somewhere in his stay in Italy. </w:t>
      </w:r>
      <w:r w:rsidR="003362EF" w:rsidRPr="001A368A">
        <w:rPr>
          <w:rFonts w:cstheme="minorHAnsi"/>
        </w:rPr>
        <w:t>I</w:t>
      </w:r>
      <w:r w:rsidR="000851D4" w:rsidRPr="001A368A">
        <w:rPr>
          <w:rFonts w:cstheme="minorHAnsi"/>
        </w:rPr>
        <w:t xml:space="preserve">t was </w:t>
      </w:r>
      <w:r w:rsidR="000200AA" w:rsidRPr="001A368A">
        <w:rPr>
          <w:rFonts w:cstheme="minorHAnsi"/>
        </w:rPr>
        <w:t xml:space="preserve">thus </w:t>
      </w:r>
      <w:r w:rsidR="000851D4" w:rsidRPr="001A368A">
        <w:rPr>
          <w:rFonts w:cstheme="minorHAnsi"/>
        </w:rPr>
        <w:t xml:space="preserve">likely influenced by key papal ideas of the time, such as </w:t>
      </w:r>
      <w:r w:rsidR="00B92948" w:rsidRPr="001A368A">
        <w:rPr>
          <w:rFonts w:cstheme="minorHAnsi"/>
        </w:rPr>
        <w:t xml:space="preserve">the work of Peter Lombard’s </w:t>
      </w:r>
      <w:r w:rsidR="00B92948" w:rsidRPr="001A368A">
        <w:rPr>
          <w:rFonts w:cstheme="minorHAnsi"/>
          <w:i/>
          <w:iCs/>
        </w:rPr>
        <w:t>Sentences</w:t>
      </w:r>
      <w:r w:rsidR="00B92948" w:rsidRPr="001A368A">
        <w:rPr>
          <w:rFonts w:cstheme="minorHAnsi"/>
        </w:rPr>
        <w:t xml:space="preserve">, which he had already analysed and refuted before writing the </w:t>
      </w:r>
      <w:r w:rsidR="00B92948" w:rsidRPr="001A368A">
        <w:rPr>
          <w:rFonts w:cstheme="minorHAnsi"/>
          <w:i/>
          <w:iCs/>
        </w:rPr>
        <w:t>Summa Contra Gentiles</w:t>
      </w:r>
      <w:r w:rsidR="00B92948" w:rsidRPr="001A368A">
        <w:rPr>
          <w:rFonts w:cstheme="minorHAnsi"/>
        </w:rPr>
        <w:t xml:space="preserve">. </w:t>
      </w:r>
    </w:p>
    <w:p w14:paraId="35DC7C9B" w14:textId="77777777" w:rsidR="00972D25" w:rsidRPr="001A368A" w:rsidRDefault="00972D25">
      <w:pPr>
        <w:rPr>
          <w:rFonts w:cstheme="minorHAnsi"/>
        </w:rPr>
      </w:pPr>
    </w:p>
    <w:p w14:paraId="47585358" w14:textId="26461160" w:rsidR="006825C4" w:rsidRPr="001A368A" w:rsidRDefault="00DB57B9">
      <w:pPr>
        <w:rPr>
          <w:rFonts w:cstheme="minorHAnsi"/>
        </w:rPr>
      </w:pPr>
      <w:r w:rsidRPr="001A368A">
        <w:rPr>
          <w:rFonts w:cstheme="minorHAnsi"/>
        </w:rPr>
        <w:t>T</w:t>
      </w:r>
      <w:r w:rsidR="00E2675F" w:rsidRPr="001A368A">
        <w:rPr>
          <w:rFonts w:cstheme="minorHAnsi"/>
        </w:rPr>
        <w:t xml:space="preserve">he Summa Contra Gentiles, being written as an exploration of Christian theology and the arguments against it, sits at an interesting place in historical context. </w:t>
      </w:r>
      <w:r w:rsidR="000851D4" w:rsidRPr="001A368A">
        <w:rPr>
          <w:rFonts w:cstheme="minorHAnsi"/>
        </w:rPr>
        <w:t xml:space="preserve">While it has been stated that the book was commissioned by </w:t>
      </w:r>
      <w:r w:rsidR="00002B79" w:rsidRPr="001A368A">
        <w:rPr>
          <w:rFonts w:cstheme="minorHAnsi"/>
        </w:rPr>
        <w:t xml:space="preserve">Raymond of Penafort, </w:t>
      </w:r>
      <w:r w:rsidR="00E82B26" w:rsidRPr="001A368A">
        <w:rPr>
          <w:rFonts w:cstheme="minorHAnsi"/>
        </w:rPr>
        <w:t>it is also surrounded by the 12</w:t>
      </w:r>
      <w:r w:rsidR="00E82B26" w:rsidRPr="001A368A">
        <w:rPr>
          <w:rFonts w:cstheme="minorHAnsi"/>
          <w:vertAlign w:val="superscript"/>
        </w:rPr>
        <w:t>th</w:t>
      </w:r>
      <w:r w:rsidR="00E82B26" w:rsidRPr="001A368A">
        <w:rPr>
          <w:rFonts w:cstheme="minorHAnsi"/>
        </w:rPr>
        <w:t xml:space="preserve"> century Christian renaissance and the emergence of modern ideas of Christianity, as found in texts such as Peter Lombard’s </w:t>
      </w:r>
      <w:r w:rsidR="00E82B26" w:rsidRPr="001A368A">
        <w:rPr>
          <w:rFonts w:cstheme="minorHAnsi"/>
          <w:i/>
          <w:iCs/>
        </w:rPr>
        <w:t>Sentences</w:t>
      </w:r>
      <w:r w:rsidR="00E82B26" w:rsidRPr="001A368A">
        <w:rPr>
          <w:rFonts w:cstheme="minorHAnsi"/>
        </w:rPr>
        <w:t xml:space="preserve">. </w:t>
      </w:r>
      <w:r w:rsidRPr="001A368A">
        <w:rPr>
          <w:rFonts w:cstheme="minorHAnsi"/>
        </w:rPr>
        <w:t>T</w:t>
      </w:r>
      <w:r w:rsidR="00D90092" w:rsidRPr="001A368A">
        <w:rPr>
          <w:rFonts w:cstheme="minorHAnsi"/>
        </w:rPr>
        <w:t xml:space="preserve">he </w:t>
      </w:r>
      <w:r w:rsidR="00D90092" w:rsidRPr="001A368A">
        <w:rPr>
          <w:rFonts w:cstheme="minorHAnsi"/>
          <w:i/>
          <w:iCs/>
        </w:rPr>
        <w:t>Summa Contra Gentiles</w:t>
      </w:r>
      <w:r w:rsidR="00D90092" w:rsidRPr="001A368A">
        <w:rPr>
          <w:rFonts w:cstheme="minorHAnsi"/>
        </w:rPr>
        <w:t xml:space="preserve"> is</w:t>
      </w:r>
      <w:r w:rsidR="00E82B26" w:rsidRPr="001A368A">
        <w:rPr>
          <w:rFonts w:cstheme="minorHAnsi"/>
        </w:rPr>
        <w:t xml:space="preserve"> also</w:t>
      </w:r>
      <w:r w:rsidR="00D90092" w:rsidRPr="001A368A">
        <w:rPr>
          <w:rFonts w:cstheme="minorHAnsi"/>
        </w:rPr>
        <w:t xml:space="preserve"> considered an </w:t>
      </w:r>
      <w:r w:rsidR="001D6660" w:rsidRPr="001A368A">
        <w:rPr>
          <w:rFonts w:cstheme="minorHAnsi"/>
        </w:rPr>
        <w:t xml:space="preserve">immensely significant work for both Thomas Aquinas and for Christian medieval theology. </w:t>
      </w:r>
      <w:r w:rsidR="00853E78" w:rsidRPr="001A368A">
        <w:rPr>
          <w:rFonts w:cstheme="minorHAnsi"/>
        </w:rPr>
        <w:t xml:space="preserve">The first three chapters of the </w:t>
      </w:r>
      <w:r w:rsidR="00853E78" w:rsidRPr="001A368A">
        <w:rPr>
          <w:rFonts w:cstheme="minorHAnsi"/>
          <w:i/>
          <w:iCs/>
        </w:rPr>
        <w:t>Summa Contra Gentiles</w:t>
      </w:r>
      <w:r w:rsidR="00853E78" w:rsidRPr="001A368A">
        <w:rPr>
          <w:rFonts w:cstheme="minorHAnsi"/>
        </w:rPr>
        <w:t xml:space="preserve"> were translated into Hebrew in 1650 </w:t>
      </w:r>
      <w:r w:rsidR="00825410" w:rsidRPr="001A368A">
        <w:rPr>
          <w:rFonts w:cstheme="minorHAnsi"/>
        </w:rPr>
        <w:t>by Giuseppe Ciantes and was used by Ciantes for his mission of preaching to the Jewish people of Rome, given by Pope Urban VIII.</w:t>
      </w:r>
      <w:r w:rsidR="00825410" w:rsidRPr="001A368A">
        <w:rPr>
          <w:rStyle w:val="FootnoteReference"/>
          <w:rFonts w:cstheme="minorHAnsi"/>
        </w:rPr>
        <w:footnoteReference w:id="6"/>
      </w:r>
      <w:r w:rsidR="00825410" w:rsidRPr="001A368A">
        <w:rPr>
          <w:rFonts w:cstheme="minorHAnsi"/>
        </w:rPr>
        <w:t xml:space="preserve"> This remains the only recorded translation of a major Latin text into modern Hebrew. </w:t>
      </w:r>
    </w:p>
    <w:p w14:paraId="775809B7" w14:textId="77777777" w:rsidR="006825C4" w:rsidRPr="001A368A" w:rsidRDefault="006825C4">
      <w:pPr>
        <w:rPr>
          <w:rFonts w:cstheme="minorHAnsi"/>
        </w:rPr>
      </w:pPr>
    </w:p>
    <w:p w14:paraId="5A7C85A8" w14:textId="6FED6C13" w:rsidR="00622CFA" w:rsidRPr="001A368A" w:rsidRDefault="00825410">
      <w:pPr>
        <w:rPr>
          <w:rFonts w:cstheme="minorHAnsi"/>
        </w:rPr>
      </w:pPr>
      <w:r w:rsidRPr="001A368A">
        <w:rPr>
          <w:rFonts w:cstheme="minorHAnsi"/>
        </w:rPr>
        <w:t>The Summa Contra Gentiles</w:t>
      </w:r>
      <w:r w:rsidR="001D257E" w:rsidRPr="001A368A">
        <w:rPr>
          <w:rFonts w:cstheme="minorHAnsi"/>
        </w:rPr>
        <w:t xml:space="preserve"> has also been translated into Greek within the mid-fourteenth century by Demetrius </w:t>
      </w:r>
      <w:proofErr w:type="spellStart"/>
      <w:r w:rsidR="001D257E" w:rsidRPr="001A368A">
        <w:rPr>
          <w:rFonts w:cstheme="minorHAnsi"/>
        </w:rPr>
        <w:t>Cydones</w:t>
      </w:r>
      <w:proofErr w:type="spellEnd"/>
      <w:r w:rsidR="001D257E" w:rsidRPr="001A368A">
        <w:rPr>
          <w:rFonts w:cstheme="minorHAnsi"/>
        </w:rPr>
        <w:t xml:space="preserve">, and was considered important to Byzantine Christians, due to their </w:t>
      </w:r>
      <w:r w:rsidR="00B86CA3" w:rsidRPr="001A368A">
        <w:rPr>
          <w:rFonts w:cstheme="minorHAnsi"/>
        </w:rPr>
        <w:t xml:space="preserve">proximity to the Ottoman Empire, and the </w:t>
      </w:r>
      <w:r w:rsidR="00B86CA3" w:rsidRPr="001A368A">
        <w:rPr>
          <w:rFonts w:cstheme="minorHAnsi"/>
          <w:i/>
          <w:iCs/>
        </w:rPr>
        <w:t>Summa Contra</w:t>
      </w:r>
      <w:r w:rsidR="00B86CA3" w:rsidRPr="001A368A">
        <w:rPr>
          <w:rFonts w:cstheme="minorHAnsi"/>
        </w:rPr>
        <w:t>’s commentary on the ideas of a monotheistic god and how the text was originally used to explore ideas of both Christianity but also Judaism and Islam.</w:t>
      </w:r>
      <w:r w:rsidR="00B86CA3" w:rsidRPr="001A368A">
        <w:rPr>
          <w:rStyle w:val="FootnoteReference"/>
          <w:rFonts w:cstheme="minorHAnsi"/>
        </w:rPr>
        <w:footnoteReference w:id="7"/>
      </w:r>
    </w:p>
    <w:p w14:paraId="5264B159" w14:textId="77777777" w:rsidR="00622CFA" w:rsidRPr="001A368A" w:rsidRDefault="00622CFA">
      <w:pPr>
        <w:rPr>
          <w:rFonts w:cstheme="minorHAnsi"/>
        </w:rPr>
      </w:pPr>
    </w:p>
    <w:p w14:paraId="6BE064C2" w14:textId="04554AF1" w:rsidR="00622CFA" w:rsidRPr="001A368A" w:rsidRDefault="008B286E">
      <w:pPr>
        <w:rPr>
          <w:rFonts w:cstheme="minorHAnsi"/>
        </w:rPr>
      </w:pPr>
      <w:r w:rsidRPr="001A368A">
        <w:rPr>
          <w:rFonts w:cstheme="minorHAnsi"/>
        </w:rPr>
        <w:t>[Word Count – 1</w:t>
      </w:r>
      <w:r w:rsidR="00843E4B" w:rsidRPr="001A368A">
        <w:rPr>
          <w:rFonts w:cstheme="minorHAnsi"/>
        </w:rPr>
        <w:t>,</w:t>
      </w:r>
      <w:r w:rsidRPr="001A368A">
        <w:rPr>
          <w:rFonts w:cstheme="minorHAnsi"/>
        </w:rPr>
        <w:t xml:space="preserve">013] </w:t>
      </w:r>
    </w:p>
    <w:p w14:paraId="1C8C1181" w14:textId="77777777" w:rsidR="008B286E" w:rsidRPr="001A368A" w:rsidRDefault="008B286E">
      <w:pPr>
        <w:rPr>
          <w:rFonts w:cstheme="minorHAnsi"/>
        </w:rPr>
      </w:pPr>
    </w:p>
    <w:p w14:paraId="3961B18B" w14:textId="011B1E1E" w:rsidR="008B286E" w:rsidRPr="001A368A" w:rsidRDefault="008B286E">
      <w:pPr>
        <w:rPr>
          <w:rFonts w:cstheme="minorHAnsi"/>
          <w:u w:val="single"/>
        </w:rPr>
      </w:pPr>
      <w:r w:rsidRPr="001A368A">
        <w:rPr>
          <w:rFonts w:cstheme="minorHAnsi"/>
          <w:u w:val="single"/>
        </w:rPr>
        <w:t xml:space="preserve">Bibliography </w:t>
      </w:r>
    </w:p>
    <w:p w14:paraId="7C8058FE" w14:textId="3C8B6637" w:rsidR="00843E4B" w:rsidRPr="001A368A" w:rsidRDefault="00843E4B" w:rsidP="00843E4B">
      <w:pPr>
        <w:rPr>
          <w:rFonts w:cstheme="minorHAnsi"/>
        </w:rPr>
      </w:pPr>
      <w:proofErr w:type="spellStart"/>
      <w:r w:rsidRPr="001A368A">
        <w:rPr>
          <w:rFonts w:cstheme="minorHAnsi"/>
        </w:rPr>
        <w:t>A.Vater</w:t>
      </w:r>
      <w:proofErr w:type="spellEnd"/>
      <w:r w:rsidRPr="001A368A">
        <w:rPr>
          <w:rFonts w:cstheme="minorHAnsi"/>
        </w:rPr>
        <w:t xml:space="preserve">, Carl, ‘The Absence of Divine Ideas in the Summa Contra Gentiles’, New Blackfriars, 102.1102 </w:t>
      </w:r>
      <w:r w:rsidR="001A368A">
        <w:rPr>
          <w:rFonts w:cstheme="minorHAnsi"/>
        </w:rPr>
        <w:t>(</w:t>
      </w:r>
      <w:r w:rsidRPr="001A368A">
        <w:rPr>
          <w:rFonts w:cstheme="minorHAnsi"/>
        </w:rPr>
        <w:t xml:space="preserve">2021), </w:t>
      </w:r>
      <w:r w:rsidR="001A368A" w:rsidRPr="001A368A">
        <w:rPr>
          <w:rFonts w:cstheme="minorHAnsi"/>
        </w:rPr>
        <w:t>p.</w:t>
      </w:r>
      <w:r w:rsidRPr="001A368A">
        <w:rPr>
          <w:rFonts w:cstheme="minorHAnsi"/>
        </w:rPr>
        <w:t xml:space="preserve">979-96. </w:t>
      </w:r>
    </w:p>
    <w:p w14:paraId="223AE330" w14:textId="77777777" w:rsidR="00843E4B" w:rsidRPr="001A368A" w:rsidRDefault="00843E4B" w:rsidP="00843E4B">
      <w:pPr>
        <w:rPr>
          <w:rFonts w:cstheme="minorHAnsi"/>
        </w:rPr>
      </w:pPr>
    </w:p>
    <w:p w14:paraId="44987CA4" w14:textId="39D49FC0" w:rsidR="008B286E" w:rsidRPr="001A368A" w:rsidRDefault="008B286E">
      <w:pPr>
        <w:rPr>
          <w:rFonts w:cstheme="minorHAnsi"/>
        </w:rPr>
      </w:pPr>
      <w:r w:rsidRPr="001A368A">
        <w:rPr>
          <w:rFonts w:cstheme="minorHAnsi"/>
        </w:rPr>
        <w:t>Davies, Brian, and Eleonore Stump, ‘The Oxford Handbook of Aquinas’, 1</w:t>
      </w:r>
      <w:r w:rsidRPr="001A368A">
        <w:rPr>
          <w:rFonts w:cstheme="minorHAnsi"/>
          <w:vertAlign w:val="superscript"/>
        </w:rPr>
        <w:t>st</w:t>
      </w:r>
      <w:r w:rsidRPr="001A368A">
        <w:rPr>
          <w:rFonts w:cstheme="minorHAnsi"/>
        </w:rPr>
        <w:t xml:space="preserve"> Edition, New York: Oxford University Press (2012). </w:t>
      </w:r>
    </w:p>
    <w:p w14:paraId="7E240B0B" w14:textId="77777777" w:rsidR="008B286E" w:rsidRPr="001A368A" w:rsidRDefault="008B286E">
      <w:pPr>
        <w:rPr>
          <w:rFonts w:cstheme="minorHAnsi"/>
        </w:rPr>
      </w:pPr>
    </w:p>
    <w:p w14:paraId="75E6D92C" w14:textId="1ACFB06E" w:rsidR="008B286E" w:rsidRPr="001A368A" w:rsidRDefault="008B286E">
      <w:pPr>
        <w:rPr>
          <w:rFonts w:cstheme="minorHAnsi"/>
        </w:rPr>
      </w:pPr>
      <w:r w:rsidRPr="001A368A">
        <w:rPr>
          <w:rFonts w:cstheme="minorHAnsi"/>
        </w:rPr>
        <w:t xml:space="preserve">Hood, John Y.B., ‘Aquinas and the Jews’, University of Pennsylvania Press (1995). </w:t>
      </w:r>
    </w:p>
    <w:p w14:paraId="4A85464E" w14:textId="77777777" w:rsidR="00DD2A06" w:rsidRPr="001A368A" w:rsidRDefault="00DD2A06">
      <w:pPr>
        <w:rPr>
          <w:rFonts w:cstheme="minorHAnsi"/>
        </w:rPr>
      </w:pPr>
    </w:p>
    <w:p w14:paraId="3BF083CF" w14:textId="058193D9" w:rsidR="00DD2A06" w:rsidRPr="001A368A" w:rsidRDefault="00DD2A06">
      <w:pPr>
        <w:rPr>
          <w:rFonts w:cstheme="minorHAnsi"/>
        </w:rPr>
      </w:pPr>
      <w:r w:rsidRPr="001A368A">
        <w:rPr>
          <w:rFonts w:cstheme="minorHAnsi"/>
        </w:rPr>
        <w:lastRenderedPageBreak/>
        <w:t xml:space="preserve">Kovacs, David K., ‘Overall and Aquinas on Miracles’, Dialogue – Canadian Philosophical Association, 55.1 (2016), </w:t>
      </w:r>
      <w:r w:rsidR="001A368A" w:rsidRPr="001A368A">
        <w:rPr>
          <w:rFonts w:cstheme="minorHAnsi"/>
        </w:rPr>
        <w:t>p.</w:t>
      </w:r>
      <w:r w:rsidRPr="001A368A">
        <w:rPr>
          <w:rFonts w:cstheme="minorHAnsi"/>
        </w:rPr>
        <w:t xml:space="preserve">151-60. </w:t>
      </w:r>
    </w:p>
    <w:p w14:paraId="7C95F324" w14:textId="77777777" w:rsidR="008B286E" w:rsidRPr="001A368A" w:rsidRDefault="008B286E">
      <w:pPr>
        <w:rPr>
          <w:rFonts w:cstheme="minorHAnsi"/>
        </w:rPr>
      </w:pPr>
    </w:p>
    <w:p w14:paraId="7C0A18CE" w14:textId="45F2EA52" w:rsidR="008B286E" w:rsidRPr="001A368A" w:rsidRDefault="008B286E">
      <w:pPr>
        <w:rPr>
          <w:rFonts w:cstheme="minorHAnsi"/>
        </w:rPr>
      </w:pPr>
      <w:r w:rsidRPr="001A368A">
        <w:rPr>
          <w:rFonts w:cstheme="minorHAnsi"/>
        </w:rPr>
        <w:t xml:space="preserve">Schwartz, </w:t>
      </w:r>
      <w:proofErr w:type="spellStart"/>
      <w:r w:rsidRPr="001A368A">
        <w:rPr>
          <w:rFonts w:cstheme="minorHAnsi"/>
        </w:rPr>
        <w:t>Yossef</w:t>
      </w:r>
      <w:proofErr w:type="spellEnd"/>
      <w:r w:rsidRPr="001A368A">
        <w:rPr>
          <w:rFonts w:cstheme="minorHAnsi"/>
        </w:rPr>
        <w:t xml:space="preserve">, ‘Kabbalah and Conversion: </w:t>
      </w:r>
      <w:proofErr w:type="spellStart"/>
      <w:r w:rsidRPr="001A368A">
        <w:rPr>
          <w:rFonts w:cstheme="minorHAnsi"/>
        </w:rPr>
        <w:t>Caramuel</w:t>
      </w:r>
      <w:proofErr w:type="spellEnd"/>
      <w:r w:rsidRPr="001A368A">
        <w:rPr>
          <w:rFonts w:cstheme="minorHAnsi"/>
        </w:rPr>
        <w:t xml:space="preserve"> and Ciantes on Kabbalah as a Means for the Conversion of the Jews’, </w:t>
      </w:r>
      <w:r w:rsidR="00843E4B" w:rsidRPr="001A368A">
        <w:rPr>
          <w:rFonts w:cstheme="minorHAnsi"/>
        </w:rPr>
        <w:t xml:space="preserve">in </w:t>
      </w:r>
      <w:proofErr w:type="spellStart"/>
      <w:r w:rsidR="00843E4B" w:rsidRPr="001A368A">
        <w:rPr>
          <w:rFonts w:cstheme="minorHAnsi"/>
        </w:rPr>
        <w:t>Un’altra</w:t>
      </w:r>
      <w:proofErr w:type="spellEnd"/>
      <w:r w:rsidR="00843E4B" w:rsidRPr="001A368A">
        <w:rPr>
          <w:rFonts w:cstheme="minorHAnsi"/>
        </w:rPr>
        <w:t xml:space="preserve"> </w:t>
      </w:r>
      <w:proofErr w:type="spellStart"/>
      <w:r w:rsidR="00843E4B" w:rsidRPr="001A368A">
        <w:rPr>
          <w:rFonts w:cstheme="minorHAnsi"/>
        </w:rPr>
        <w:t>modernita</w:t>
      </w:r>
      <w:proofErr w:type="spellEnd"/>
      <w:r w:rsidR="00843E4B" w:rsidRPr="001A368A">
        <w:rPr>
          <w:rFonts w:cstheme="minorHAnsi"/>
        </w:rPr>
        <w:t xml:space="preserve">. Juan Caramel </w:t>
      </w:r>
      <w:proofErr w:type="spellStart"/>
      <w:r w:rsidR="00843E4B" w:rsidRPr="001A368A">
        <w:rPr>
          <w:rFonts w:cstheme="minorHAnsi"/>
        </w:rPr>
        <w:t>Lobkowitz</w:t>
      </w:r>
      <w:proofErr w:type="spellEnd"/>
      <w:r w:rsidR="00843E4B" w:rsidRPr="001A368A">
        <w:rPr>
          <w:rFonts w:cstheme="minorHAnsi"/>
        </w:rPr>
        <w:t xml:space="preserve"> (1606-1682): </w:t>
      </w:r>
      <w:proofErr w:type="spellStart"/>
      <w:r w:rsidR="00843E4B" w:rsidRPr="001A368A">
        <w:rPr>
          <w:rFonts w:cstheme="minorHAnsi"/>
        </w:rPr>
        <w:t>enciclopedia</w:t>
      </w:r>
      <w:proofErr w:type="spellEnd"/>
      <w:r w:rsidR="00843E4B" w:rsidRPr="001A368A">
        <w:rPr>
          <w:rFonts w:cstheme="minorHAnsi"/>
        </w:rPr>
        <w:t xml:space="preserve"> e </w:t>
      </w:r>
      <w:proofErr w:type="spellStart"/>
      <w:r w:rsidR="00843E4B" w:rsidRPr="001A368A">
        <w:rPr>
          <w:rFonts w:cstheme="minorHAnsi"/>
        </w:rPr>
        <w:t>probabilisimo</w:t>
      </w:r>
      <w:proofErr w:type="spellEnd"/>
      <w:r w:rsidR="00843E4B" w:rsidRPr="001A368A">
        <w:rPr>
          <w:rFonts w:cstheme="minorHAnsi"/>
        </w:rPr>
        <w:t xml:space="preserve">, eds. Daniele </w:t>
      </w:r>
      <w:proofErr w:type="spellStart"/>
      <w:r w:rsidR="00843E4B" w:rsidRPr="001A368A">
        <w:rPr>
          <w:rFonts w:cstheme="minorHAnsi"/>
        </w:rPr>
        <w:t>Sabaino</w:t>
      </w:r>
      <w:proofErr w:type="spellEnd"/>
      <w:r w:rsidR="00843E4B" w:rsidRPr="001A368A">
        <w:rPr>
          <w:rFonts w:cstheme="minorHAnsi"/>
        </w:rPr>
        <w:t xml:space="preserve"> and Paolo C. </w:t>
      </w:r>
      <w:proofErr w:type="spellStart"/>
      <w:r w:rsidR="00843E4B" w:rsidRPr="001A368A">
        <w:rPr>
          <w:rFonts w:cstheme="minorHAnsi"/>
        </w:rPr>
        <w:t>Pissavino</w:t>
      </w:r>
      <w:proofErr w:type="spellEnd"/>
      <w:r w:rsidR="00843E4B" w:rsidRPr="001A368A">
        <w:rPr>
          <w:rFonts w:cstheme="minorHAnsi"/>
        </w:rPr>
        <w:t xml:space="preserve">, (Pisa: </w:t>
      </w:r>
      <w:proofErr w:type="spellStart"/>
      <w:r w:rsidR="00843E4B" w:rsidRPr="001A368A">
        <w:rPr>
          <w:rFonts w:cstheme="minorHAnsi"/>
        </w:rPr>
        <w:t>Edizioni</w:t>
      </w:r>
      <w:proofErr w:type="spellEnd"/>
      <w:r w:rsidR="00843E4B" w:rsidRPr="001A368A">
        <w:rPr>
          <w:rFonts w:cstheme="minorHAnsi"/>
        </w:rPr>
        <w:t xml:space="preserve"> EPS 2012): </w:t>
      </w:r>
      <w:r w:rsidR="001A368A" w:rsidRPr="001A368A">
        <w:rPr>
          <w:rFonts w:cstheme="minorHAnsi"/>
        </w:rPr>
        <w:t>p.</w:t>
      </w:r>
      <w:r w:rsidR="00843E4B" w:rsidRPr="001A368A">
        <w:rPr>
          <w:rFonts w:cstheme="minorHAnsi"/>
        </w:rPr>
        <w:t xml:space="preserve">175-187. </w:t>
      </w:r>
    </w:p>
    <w:p w14:paraId="41ED21D6" w14:textId="77777777" w:rsidR="00DD2A06" w:rsidRPr="001A368A" w:rsidRDefault="00DD2A06">
      <w:pPr>
        <w:rPr>
          <w:rFonts w:cstheme="minorHAnsi"/>
        </w:rPr>
      </w:pPr>
    </w:p>
    <w:p w14:paraId="18B19001" w14:textId="6F05AFF4" w:rsidR="00DD2A06" w:rsidRPr="001A368A" w:rsidRDefault="00DD2A06">
      <w:pPr>
        <w:rPr>
          <w:rFonts w:cstheme="minorHAnsi"/>
        </w:rPr>
      </w:pPr>
      <w:r w:rsidRPr="001A368A">
        <w:rPr>
          <w:rFonts w:cstheme="minorHAnsi"/>
        </w:rPr>
        <w:t xml:space="preserve">Silva, Ignacio, ‘Great Minds Think (Almost) Alike Thomas Aquinas and Alvin Plantinga on Divine Action in Nature’, Philosophia </w:t>
      </w:r>
      <w:proofErr w:type="spellStart"/>
      <w:r w:rsidRPr="001A368A">
        <w:rPr>
          <w:rFonts w:cstheme="minorHAnsi"/>
        </w:rPr>
        <w:t>Reformata</w:t>
      </w:r>
      <w:proofErr w:type="spellEnd"/>
      <w:r w:rsidRPr="001A368A">
        <w:rPr>
          <w:rFonts w:cstheme="minorHAnsi"/>
        </w:rPr>
        <w:t xml:space="preserve">, 79.1 (2014), </w:t>
      </w:r>
      <w:r w:rsidR="001A368A" w:rsidRPr="001A368A">
        <w:rPr>
          <w:rFonts w:cstheme="minorHAnsi"/>
        </w:rPr>
        <w:t>p.</w:t>
      </w:r>
      <w:r w:rsidRPr="001A368A">
        <w:rPr>
          <w:rFonts w:cstheme="minorHAnsi"/>
        </w:rPr>
        <w:t xml:space="preserve">8-20. </w:t>
      </w:r>
    </w:p>
    <w:p w14:paraId="17C4086F" w14:textId="77777777" w:rsidR="00843E4B" w:rsidRPr="001A368A" w:rsidRDefault="00843E4B">
      <w:pPr>
        <w:rPr>
          <w:rFonts w:cstheme="minorHAnsi"/>
        </w:rPr>
      </w:pPr>
    </w:p>
    <w:p w14:paraId="5CC20725" w14:textId="52510AA9" w:rsidR="00843E4B" w:rsidRPr="001A368A" w:rsidRDefault="00843E4B">
      <w:pPr>
        <w:rPr>
          <w:rFonts w:cstheme="minorHAnsi"/>
        </w:rPr>
      </w:pPr>
      <w:r w:rsidRPr="001A368A">
        <w:rPr>
          <w:rFonts w:cstheme="minorHAnsi"/>
        </w:rPr>
        <w:t xml:space="preserve">Ward, Keith, ‘Believing in Miracles’, Zygon, 37.3 (2002), </w:t>
      </w:r>
      <w:r w:rsidR="001A368A" w:rsidRPr="001A368A">
        <w:rPr>
          <w:rFonts w:cstheme="minorHAnsi"/>
        </w:rPr>
        <w:t>p.</w:t>
      </w:r>
      <w:r w:rsidRPr="001A368A">
        <w:rPr>
          <w:rFonts w:cstheme="minorHAnsi"/>
        </w:rPr>
        <w:t xml:space="preserve">741-50. </w:t>
      </w:r>
    </w:p>
    <w:sectPr w:rsidR="00843E4B" w:rsidRPr="001A36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72B7F" w14:textId="77777777" w:rsidR="00225971" w:rsidRDefault="00225971" w:rsidP="005E7037">
      <w:pPr>
        <w:spacing w:after="0" w:line="240" w:lineRule="auto"/>
      </w:pPr>
      <w:r>
        <w:separator/>
      </w:r>
    </w:p>
  </w:endnote>
  <w:endnote w:type="continuationSeparator" w:id="0">
    <w:p w14:paraId="0EF75560" w14:textId="77777777" w:rsidR="00225971" w:rsidRDefault="00225971" w:rsidP="005E7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0A9AF" w14:textId="77777777" w:rsidR="00225971" w:rsidRDefault="00225971" w:rsidP="005E7037">
      <w:pPr>
        <w:spacing w:after="0" w:line="240" w:lineRule="auto"/>
      </w:pPr>
      <w:r>
        <w:separator/>
      </w:r>
    </w:p>
  </w:footnote>
  <w:footnote w:type="continuationSeparator" w:id="0">
    <w:p w14:paraId="21F3747A" w14:textId="77777777" w:rsidR="00225971" w:rsidRDefault="00225971" w:rsidP="005E7037">
      <w:pPr>
        <w:spacing w:after="0" w:line="240" w:lineRule="auto"/>
      </w:pPr>
      <w:r>
        <w:continuationSeparator/>
      </w:r>
    </w:p>
  </w:footnote>
  <w:footnote w:id="1">
    <w:p w14:paraId="3291A0A7" w14:textId="01F2FD43" w:rsidR="005E7037" w:rsidRDefault="005E7037">
      <w:pPr>
        <w:pStyle w:val="FootnoteText"/>
      </w:pPr>
      <w:r>
        <w:rPr>
          <w:rStyle w:val="FootnoteReference"/>
        </w:rPr>
        <w:footnoteRef/>
      </w:r>
      <w:r>
        <w:t xml:space="preserve"> </w:t>
      </w:r>
      <w:r w:rsidR="00DD71C7">
        <w:t>Silva Ignacio, ‘</w:t>
      </w:r>
      <w:r>
        <w:t>Great Minds Think (Almost) Alike</w:t>
      </w:r>
      <w:r w:rsidR="00DD71C7">
        <w:t xml:space="preserve"> Thomas Aquinas and Alvin Plantinga on Divine Action in Nature’</w:t>
      </w:r>
      <w:r>
        <w:t xml:space="preserve">, p.8. </w:t>
      </w:r>
    </w:p>
  </w:footnote>
  <w:footnote w:id="2">
    <w:p w14:paraId="1EA3F9F7" w14:textId="04598E11" w:rsidR="00E47C91" w:rsidRDefault="00E47C91">
      <w:pPr>
        <w:pStyle w:val="FootnoteText"/>
      </w:pPr>
      <w:r>
        <w:rPr>
          <w:rStyle w:val="FootnoteReference"/>
        </w:rPr>
        <w:footnoteRef/>
      </w:r>
      <w:r>
        <w:t xml:space="preserve"> </w:t>
      </w:r>
      <w:r w:rsidR="00DD71C7">
        <w:t xml:space="preserve">Brian Davies, ‘The </w:t>
      </w:r>
      <w:r w:rsidR="00CF3D56">
        <w:t>Oxford Handbook of Aquinas</w:t>
      </w:r>
      <w:r w:rsidR="00DD71C7">
        <w:t>’</w:t>
      </w:r>
      <w:r w:rsidR="00CF3D56">
        <w:t xml:space="preserve">, p.15. </w:t>
      </w:r>
    </w:p>
  </w:footnote>
  <w:footnote w:id="3">
    <w:p w14:paraId="7F35185D" w14:textId="46CF2B0A" w:rsidR="00616882" w:rsidRDefault="00616882">
      <w:pPr>
        <w:pStyle w:val="FootnoteText"/>
      </w:pPr>
      <w:r>
        <w:rPr>
          <w:rStyle w:val="FootnoteReference"/>
        </w:rPr>
        <w:footnoteRef/>
      </w:r>
      <w:r>
        <w:t xml:space="preserve"> </w:t>
      </w:r>
      <w:r w:rsidR="00DD71C7">
        <w:t xml:space="preserve">Carl A. </w:t>
      </w:r>
      <w:proofErr w:type="spellStart"/>
      <w:r w:rsidR="00DD71C7">
        <w:t>Vater</w:t>
      </w:r>
      <w:proofErr w:type="spellEnd"/>
      <w:r w:rsidR="00DD71C7">
        <w:t xml:space="preserve">, ‘The </w:t>
      </w:r>
      <w:r>
        <w:t>Absence of Divine Ideas</w:t>
      </w:r>
      <w:r w:rsidR="00DD71C7">
        <w:t xml:space="preserve"> in the Summa Contra Gentiles’</w:t>
      </w:r>
      <w:r>
        <w:t xml:space="preserve">, p.980. </w:t>
      </w:r>
    </w:p>
  </w:footnote>
  <w:footnote w:id="4">
    <w:p w14:paraId="699BDC58" w14:textId="4C7A56A1" w:rsidR="005113E8" w:rsidRDefault="005113E8">
      <w:pPr>
        <w:pStyle w:val="FootnoteText"/>
      </w:pPr>
      <w:r>
        <w:rPr>
          <w:rStyle w:val="FootnoteReference"/>
        </w:rPr>
        <w:footnoteRef/>
      </w:r>
      <w:r>
        <w:t xml:space="preserve"> John Hood, </w:t>
      </w:r>
      <w:r w:rsidR="00DD71C7">
        <w:t>‘</w:t>
      </w:r>
      <w:r>
        <w:t>Aquinas and the Jews</w:t>
      </w:r>
      <w:r w:rsidR="00DD71C7">
        <w:t>’</w:t>
      </w:r>
      <w:r>
        <w:t xml:space="preserve">, p.37. </w:t>
      </w:r>
    </w:p>
  </w:footnote>
  <w:footnote w:id="5">
    <w:p w14:paraId="6977D4DC" w14:textId="47BBB622" w:rsidR="00895073" w:rsidRDefault="00895073">
      <w:pPr>
        <w:pStyle w:val="FootnoteText"/>
      </w:pPr>
      <w:r>
        <w:rPr>
          <w:rStyle w:val="FootnoteReference"/>
        </w:rPr>
        <w:footnoteRef/>
      </w:r>
      <w:r>
        <w:t xml:space="preserve"> </w:t>
      </w:r>
      <w:r w:rsidR="00DD71C7">
        <w:t>Davies, ‘</w:t>
      </w:r>
      <w:r>
        <w:t>Oxford Handbook of Aquinas</w:t>
      </w:r>
      <w:r w:rsidR="00DD71C7">
        <w:t>’</w:t>
      </w:r>
      <w:r>
        <w:t xml:space="preserve">, p.19. </w:t>
      </w:r>
    </w:p>
  </w:footnote>
  <w:footnote w:id="6">
    <w:p w14:paraId="0863E12B" w14:textId="05C85058" w:rsidR="00825410" w:rsidRDefault="00825410">
      <w:pPr>
        <w:pStyle w:val="FootnoteText"/>
      </w:pPr>
      <w:r>
        <w:rPr>
          <w:rStyle w:val="FootnoteReference"/>
        </w:rPr>
        <w:footnoteRef/>
      </w:r>
      <w:r>
        <w:t xml:space="preserve"> </w:t>
      </w:r>
      <w:proofErr w:type="spellStart"/>
      <w:r w:rsidR="00DD71C7">
        <w:t>Yossef</w:t>
      </w:r>
      <w:proofErr w:type="spellEnd"/>
      <w:r w:rsidR="00DD71C7">
        <w:t xml:space="preserve"> Schwartz, ‘</w:t>
      </w:r>
      <w:proofErr w:type="spellStart"/>
      <w:r>
        <w:t>Caramuel</w:t>
      </w:r>
      <w:proofErr w:type="spellEnd"/>
      <w:r>
        <w:t xml:space="preserve"> and Ciantes on Kabbalah as a Means</w:t>
      </w:r>
      <w:r w:rsidR="00DD71C7">
        <w:t xml:space="preserve"> for the Conversion of the Jews’, p.177. </w:t>
      </w:r>
    </w:p>
  </w:footnote>
  <w:footnote w:id="7">
    <w:p w14:paraId="02580406" w14:textId="1798D885" w:rsidR="00B86CA3" w:rsidRDefault="00B86CA3">
      <w:pPr>
        <w:pStyle w:val="FootnoteText"/>
      </w:pPr>
      <w:r>
        <w:rPr>
          <w:rStyle w:val="FootnoteReference"/>
        </w:rPr>
        <w:footnoteRef/>
      </w:r>
      <w:r>
        <w:t xml:space="preserve"> </w:t>
      </w:r>
      <w:r w:rsidR="00DD71C7">
        <w:t>Davies, ‘</w:t>
      </w:r>
      <w:r>
        <w:t>Oxford Handbook of Aquinas</w:t>
      </w:r>
      <w:r w:rsidR="00DD71C7">
        <w:t>’</w:t>
      </w:r>
      <w:r>
        <w:t xml:space="preserve">, p.514.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64C16"/>
    <w:multiLevelType w:val="hybridMultilevel"/>
    <w:tmpl w:val="9880D5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C784BC1"/>
    <w:multiLevelType w:val="hybridMultilevel"/>
    <w:tmpl w:val="55C4D7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86063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66940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1D2"/>
    <w:rsid w:val="00002B79"/>
    <w:rsid w:val="000200AA"/>
    <w:rsid w:val="00037164"/>
    <w:rsid w:val="0004471A"/>
    <w:rsid w:val="000851D4"/>
    <w:rsid w:val="000D3282"/>
    <w:rsid w:val="000F7720"/>
    <w:rsid w:val="0010287D"/>
    <w:rsid w:val="00111680"/>
    <w:rsid w:val="001552A3"/>
    <w:rsid w:val="00196BA9"/>
    <w:rsid w:val="001A368A"/>
    <w:rsid w:val="001D257E"/>
    <w:rsid w:val="001D6660"/>
    <w:rsid w:val="00217DFA"/>
    <w:rsid w:val="00225971"/>
    <w:rsid w:val="002413A3"/>
    <w:rsid w:val="00243607"/>
    <w:rsid w:val="00255A22"/>
    <w:rsid w:val="002647FF"/>
    <w:rsid w:val="002D3789"/>
    <w:rsid w:val="00316D07"/>
    <w:rsid w:val="003362EF"/>
    <w:rsid w:val="003E5104"/>
    <w:rsid w:val="00401575"/>
    <w:rsid w:val="004A0E8D"/>
    <w:rsid w:val="005113E8"/>
    <w:rsid w:val="005457D7"/>
    <w:rsid w:val="005532BE"/>
    <w:rsid w:val="00563788"/>
    <w:rsid w:val="00580E72"/>
    <w:rsid w:val="005831D2"/>
    <w:rsid w:val="005849E3"/>
    <w:rsid w:val="005E7037"/>
    <w:rsid w:val="005F720B"/>
    <w:rsid w:val="00616882"/>
    <w:rsid w:val="00622CFA"/>
    <w:rsid w:val="006825C4"/>
    <w:rsid w:val="00685E0C"/>
    <w:rsid w:val="006D0DFC"/>
    <w:rsid w:val="007248CD"/>
    <w:rsid w:val="00760B1B"/>
    <w:rsid w:val="00764D90"/>
    <w:rsid w:val="007D287B"/>
    <w:rsid w:val="007F399A"/>
    <w:rsid w:val="008205BF"/>
    <w:rsid w:val="00825410"/>
    <w:rsid w:val="00843E4B"/>
    <w:rsid w:val="00853E78"/>
    <w:rsid w:val="00895073"/>
    <w:rsid w:val="008B286E"/>
    <w:rsid w:val="0094796F"/>
    <w:rsid w:val="00972D25"/>
    <w:rsid w:val="009C7C67"/>
    <w:rsid w:val="00A27C05"/>
    <w:rsid w:val="00A70AA6"/>
    <w:rsid w:val="00B67C7D"/>
    <w:rsid w:val="00B86CA3"/>
    <w:rsid w:val="00B92948"/>
    <w:rsid w:val="00C46BC8"/>
    <w:rsid w:val="00C937ED"/>
    <w:rsid w:val="00CA04AB"/>
    <w:rsid w:val="00CF2DB5"/>
    <w:rsid w:val="00CF3D56"/>
    <w:rsid w:val="00D11A68"/>
    <w:rsid w:val="00D61B46"/>
    <w:rsid w:val="00D90092"/>
    <w:rsid w:val="00DB57B9"/>
    <w:rsid w:val="00DD2A06"/>
    <w:rsid w:val="00DD71C7"/>
    <w:rsid w:val="00DD7722"/>
    <w:rsid w:val="00E2675F"/>
    <w:rsid w:val="00E47C91"/>
    <w:rsid w:val="00E82B26"/>
    <w:rsid w:val="00E861C3"/>
    <w:rsid w:val="00EF25DD"/>
    <w:rsid w:val="00FE6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43C7A"/>
  <w15:chartTrackingRefBased/>
  <w15:docId w15:val="{FF3814B8-AA88-422B-8C6C-38B4BBC4D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79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796F"/>
    <w:rPr>
      <w:b/>
      <w:bCs/>
    </w:rPr>
  </w:style>
  <w:style w:type="paragraph" w:styleId="ListParagraph">
    <w:name w:val="List Paragraph"/>
    <w:basedOn w:val="Normal"/>
    <w:uiPriority w:val="34"/>
    <w:qFormat/>
    <w:rsid w:val="00622CFA"/>
    <w:pPr>
      <w:spacing w:line="256" w:lineRule="auto"/>
      <w:ind w:left="720"/>
      <w:contextualSpacing/>
    </w:pPr>
    <w:rPr>
      <w:kern w:val="0"/>
      <w14:ligatures w14:val="none"/>
    </w:rPr>
  </w:style>
  <w:style w:type="paragraph" w:styleId="FootnoteText">
    <w:name w:val="footnote text"/>
    <w:basedOn w:val="Normal"/>
    <w:link w:val="FootnoteTextChar"/>
    <w:uiPriority w:val="99"/>
    <w:semiHidden/>
    <w:unhideWhenUsed/>
    <w:rsid w:val="005E70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7037"/>
    <w:rPr>
      <w:sz w:val="20"/>
      <w:szCs w:val="20"/>
    </w:rPr>
  </w:style>
  <w:style w:type="character" w:styleId="FootnoteReference">
    <w:name w:val="footnote reference"/>
    <w:basedOn w:val="DefaultParagraphFont"/>
    <w:uiPriority w:val="99"/>
    <w:semiHidden/>
    <w:unhideWhenUsed/>
    <w:rsid w:val="005E70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00010">
      <w:bodyDiv w:val="1"/>
      <w:marLeft w:val="0"/>
      <w:marRight w:val="0"/>
      <w:marTop w:val="0"/>
      <w:marBottom w:val="0"/>
      <w:divBdr>
        <w:top w:val="none" w:sz="0" w:space="0" w:color="auto"/>
        <w:left w:val="none" w:sz="0" w:space="0" w:color="auto"/>
        <w:bottom w:val="none" w:sz="0" w:space="0" w:color="auto"/>
        <w:right w:val="none" w:sz="0" w:space="0" w:color="auto"/>
      </w:divBdr>
    </w:div>
    <w:div w:id="1198547625">
      <w:bodyDiv w:val="1"/>
      <w:marLeft w:val="0"/>
      <w:marRight w:val="0"/>
      <w:marTop w:val="0"/>
      <w:marBottom w:val="0"/>
      <w:divBdr>
        <w:top w:val="none" w:sz="0" w:space="0" w:color="auto"/>
        <w:left w:val="none" w:sz="0" w:space="0" w:color="auto"/>
        <w:bottom w:val="none" w:sz="0" w:space="0" w:color="auto"/>
        <w:right w:val="none" w:sz="0" w:space="0" w:color="auto"/>
      </w:divBdr>
    </w:div>
    <w:div w:id="1981036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4</Pages>
  <Words>1312</Words>
  <Characters>7485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76</cp:revision>
  <dcterms:created xsi:type="dcterms:W3CDTF">2023-03-24T10:27:00Z</dcterms:created>
  <dcterms:modified xsi:type="dcterms:W3CDTF">2023-05-07T17:57:00Z</dcterms:modified>
</cp:coreProperties>
</file>