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D018B0" w14:textId="45156612" w:rsidR="00D5669C" w:rsidRDefault="004A7205">
      <w:r>
        <w:t>Women in the Aegean</w:t>
      </w:r>
    </w:p>
    <w:p w14:paraId="4AD3517E" w14:textId="1C8DA1E7" w:rsidR="007C3528" w:rsidRDefault="007C3528"/>
    <w:p w14:paraId="2FC59916" w14:textId="77777777" w:rsidR="00EC1238" w:rsidRPr="00EC1238" w:rsidRDefault="00EC1238" w:rsidP="00EC1238">
      <w:pPr>
        <w:pStyle w:val="ListParagraph"/>
        <w:numPr>
          <w:ilvl w:val="0"/>
          <w:numId w:val="1"/>
        </w:numPr>
        <w:rPr>
          <w:u w:val="single"/>
        </w:rPr>
      </w:pPr>
      <w:r w:rsidRPr="00EC1238">
        <w:rPr>
          <w:u w:val="single"/>
        </w:rPr>
        <w:t>Book Chapter</w:t>
      </w:r>
    </w:p>
    <w:p w14:paraId="4A8EA1F4" w14:textId="77777777" w:rsidR="00EC1238" w:rsidRDefault="00EC1238" w:rsidP="00EC1238"/>
    <w:p w14:paraId="5CE7F9FC" w14:textId="77777777" w:rsidR="00EC1238" w:rsidRDefault="00EC1238" w:rsidP="00EC1238">
      <w:r>
        <w:t xml:space="preserve">Champion, T., Gamble, C., </w:t>
      </w:r>
      <w:proofErr w:type="spellStart"/>
      <w:r>
        <w:t>Shennan</w:t>
      </w:r>
      <w:proofErr w:type="spellEnd"/>
      <w:r>
        <w:t xml:space="preserve">, S. &amp; Whittle, A. 1884. Prestige, Power and Hierarchies 2300-1400 BC, in </w:t>
      </w:r>
      <w:r>
        <w:rPr>
          <w:i/>
          <w:iCs/>
        </w:rPr>
        <w:t xml:space="preserve">Prehistoric Europe. </w:t>
      </w:r>
      <w:r>
        <w:t>196-237. San Diego: Academic Press Limited</w:t>
      </w:r>
    </w:p>
    <w:p w14:paraId="4A6E2B69" w14:textId="77777777" w:rsidR="00EC1238" w:rsidRDefault="00EC1238" w:rsidP="00EC1238"/>
    <w:p w14:paraId="7F844670" w14:textId="3F62D3B7" w:rsidR="00EC1238" w:rsidRDefault="00EC1238" w:rsidP="00EC1238">
      <w:r>
        <w:t xml:space="preserve">The </w:t>
      </w:r>
      <w:r>
        <w:t>c</w:t>
      </w:r>
      <w:r>
        <w:t>hapter of this book outlines and portrays the stability of this specific period of the Bronze Age</w:t>
      </w:r>
      <w:r>
        <w:t xml:space="preserve"> being 2300 to 1400 BCE</w:t>
      </w:r>
      <w:r>
        <w:t xml:space="preserve">. There is suggestion that during the beginning of the second millennium is when the Aegean first saw a dramatic change through the emergence of Cretan palaces and then around five hundred years later said palaces began to emerge on the </w:t>
      </w:r>
      <w:r>
        <w:t>Greek mainland</w:t>
      </w:r>
      <w:r>
        <w:t xml:space="preserve">. There are also conclusions made which present the differences of the changing states between the Aegean and a prehistoric Europe. </w:t>
      </w:r>
    </w:p>
    <w:p w14:paraId="108F3B17" w14:textId="77777777" w:rsidR="00EC1238" w:rsidRDefault="00EC1238" w:rsidP="00EC1238"/>
    <w:p w14:paraId="61DA9355" w14:textId="39C25448" w:rsidR="00EC1238" w:rsidRPr="000946E6" w:rsidRDefault="00EC1238" w:rsidP="00EC1238">
      <w:r>
        <w:t>The Chapter is targeted at an Audience who has a strong interest in Prehistoric Europe, thus why they would be reading this particular book. The Chapter is supported by copious amounts of evidence by various scholars and authors and so it can be assumed that the text holds a large amount of validity and reliability. It also includes suggestions of further reading which is extremely useful for anyone studying this particular area. However, the chapter does not include anything about women or the family structure</w:t>
      </w:r>
      <w:r>
        <w:t>,</w:t>
      </w:r>
      <w:r>
        <w:t xml:space="preserve"> nor </w:t>
      </w:r>
      <w:r>
        <w:t xml:space="preserve">does it include </w:t>
      </w:r>
      <w:r>
        <w:t>much detail</w:t>
      </w:r>
      <w:r>
        <w:t xml:space="preserve"> on this matter</w:t>
      </w:r>
      <w:r>
        <w:t xml:space="preserve"> in the book as a whole. This means that it is very limited in terms of generalisability as it only makes reference of men during this time period. This limits the chapter as a whole, especially when making reference to Women of the Aegean.</w:t>
      </w:r>
    </w:p>
    <w:p w14:paraId="7EFFA0B7" w14:textId="3185EADE" w:rsidR="00EC1238" w:rsidRDefault="00EC1238"/>
    <w:p w14:paraId="7990153F" w14:textId="77777777" w:rsidR="00B543EA" w:rsidRDefault="00B543EA"/>
    <w:p w14:paraId="0D2283B3" w14:textId="77777777" w:rsidR="007C3528" w:rsidRPr="00EC1238" w:rsidRDefault="007C3528" w:rsidP="00EC1238">
      <w:pPr>
        <w:pStyle w:val="ListParagraph"/>
        <w:numPr>
          <w:ilvl w:val="0"/>
          <w:numId w:val="1"/>
        </w:numPr>
        <w:rPr>
          <w:u w:val="single"/>
        </w:rPr>
      </w:pPr>
      <w:r w:rsidRPr="00EC1238">
        <w:rPr>
          <w:u w:val="single"/>
        </w:rPr>
        <w:t xml:space="preserve">Monograph </w:t>
      </w:r>
    </w:p>
    <w:p w14:paraId="0023108B" w14:textId="77777777" w:rsidR="007C3528" w:rsidRDefault="007C3528" w:rsidP="007C3528"/>
    <w:p w14:paraId="5C3E65E8" w14:textId="77777777" w:rsidR="007C3528" w:rsidRPr="00441FC5" w:rsidRDefault="007C3528" w:rsidP="007C3528">
      <w:r>
        <w:t xml:space="preserve">Olsen, B. A. 2014. </w:t>
      </w:r>
      <w:r>
        <w:rPr>
          <w:i/>
          <w:iCs/>
        </w:rPr>
        <w:t xml:space="preserve">Women in Mycenaean Greece. </w:t>
      </w:r>
      <w:r>
        <w:t>London: Routledge.</w:t>
      </w:r>
    </w:p>
    <w:p w14:paraId="60D86513" w14:textId="77777777" w:rsidR="007C3528" w:rsidRDefault="007C3528" w:rsidP="007C3528"/>
    <w:p w14:paraId="68AA726D" w14:textId="14396D65" w:rsidR="007C3528" w:rsidRDefault="007C3528" w:rsidP="007C3528">
      <w:r>
        <w:t>The monograph is a study of women from Mycenaean Greece and looks specifically into Pylos which is mainland Greece and Knossos which is located on the island of Crete. It looks into</w:t>
      </w:r>
      <w:r w:rsidR="00F97A0A">
        <w:t xml:space="preserve"> the</w:t>
      </w:r>
      <w:r>
        <w:t xml:space="preserve"> tasks </w:t>
      </w:r>
      <w:r w:rsidR="00F97A0A">
        <w:t>that</w:t>
      </w:r>
      <w:r>
        <w:t xml:space="preserve"> these women </w:t>
      </w:r>
      <w:r w:rsidR="00F97A0A">
        <w:t xml:space="preserve">would have carried out </w:t>
      </w:r>
      <w:r>
        <w:t xml:space="preserve">and how they would have functioned depending on their social and economic status in the period. The article looks into women </w:t>
      </w:r>
      <w:r w:rsidR="00F97A0A">
        <w:t>from</w:t>
      </w:r>
      <w:r>
        <w:t xml:space="preserve"> all sorts of backgrounds from one extreme to another, it puts focus on not just those from a lower status but also looks into women related to religion such as priestesses who had a prominent role in art.</w:t>
      </w:r>
    </w:p>
    <w:p w14:paraId="6DF4A858" w14:textId="77777777" w:rsidR="007C3528" w:rsidRDefault="007C3528" w:rsidP="007C3528"/>
    <w:p w14:paraId="6E38B036" w14:textId="03AF87A1" w:rsidR="00EC1238" w:rsidRDefault="007C3528">
      <w:r>
        <w:t>This research in a book format is targeted at both scholars as well as those merely wanting to research into the subject area. This can be assumed because of the literary style that Olsen produces. It is very easy to read regardless of much previous knowledge which is a huge strength because it means that many people of all abilities can access this book regardless of their own education in the subject matter. It is hard to critique a piece of work like this because it is very extensive in research and covers a vast amount of types of women from this period. The one weakness would be that which can be generalised to all books which may be that during or after publication research which may help of hinder the book may have emerged. It is therefore necessary to keep researching the area when looking into Women of the Aegean.</w:t>
      </w:r>
      <w:bookmarkStart w:id="0" w:name="_GoBack"/>
      <w:bookmarkEnd w:id="0"/>
    </w:p>
    <w:p w14:paraId="19FE5102" w14:textId="12D1315D" w:rsidR="00AE0345" w:rsidRPr="00EC1238" w:rsidRDefault="00AE0345" w:rsidP="00EC1238">
      <w:pPr>
        <w:pStyle w:val="ListParagraph"/>
        <w:numPr>
          <w:ilvl w:val="0"/>
          <w:numId w:val="1"/>
        </w:numPr>
        <w:rPr>
          <w:u w:val="single"/>
        </w:rPr>
      </w:pPr>
      <w:r w:rsidRPr="00EC1238">
        <w:rPr>
          <w:u w:val="single"/>
        </w:rPr>
        <w:lastRenderedPageBreak/>
        <w:t>Journal Article</w:t>
      </w:r>
    </w:p>
    <w:p w14:paraId="7E5F6E62" w14:textId="2E1AAF3F" w:rsidR="00AE0345" w:rsidRDefault="00AE0345"/>
    <w:p w14:paraId="50C1D149" w14:textId="19D733DC" w:rsidR="00AE0345" w:rsidRDefault="00AE0345">
      <w:r>
        <w:t>Olsen, B. A.</w:t>
      </w:r>
      <w:r w:rsidR="0026740C">
        <w:t xml:space="preserve"> 1998. </w:t>
      </w:r>
      <w:r w:rsidR="00441FC5">
        <w:t xml:space="preserve">Women, Children and the Family in the Late Aegean Bronze Age: Differences in Minoan and Mycenaean Constructions of Gender. </w:t>
      </w:r>
      <w:r w:rsidR="00441FC5">
        <w:rPr>
          <w:i/>
          <w:iCs/>
        </w:rPr>
        <w:t xml:space="preserve">World Archaeology </w:t>
      </w:r>
      <w:r w:rsidR="00441FC5">
        <w:t>29(3): 380-392</w:t>
      </w:r>
    </w:p>
    <w:p w14:paraId="23F79F00" w14:textId="4EC14146" w:rsidR="00E528BD" w:rsidRDefault="00E528BD"/>
    <w:p w14:paraId="6E3FC9B0" w14:textId="1FFFC06D" w:rsidR="003602D3" w:rsidRDefault="003602D3" w:rsidP="003602D3">
      <w:r>
        <w:t>The article addresses mainly relationships between women and children and how said relationships were understood in Ancient Greece. Its main focus is on how different Mycenaean women and Late Minoan women are depicted in relation to child rearing, with Mycenaean women being seen as the first act of socialising their young whilst that of the Minoan are characterised as the opposite and not usually seen as completing domesticated tasks</w:t>
      </w:r>
      <w:r w:rsidR="00B543EA">
        <w:t xml:space="preserve"> and chores</w:t>
      </w:r>
      <w:r>
        <w:t>. The article addressed that although these groups of people had the same language and the same beliefs in terms of religion (being the gods in which they worshipped), their ways of life</w:t>
      </w:r>
      <w:r w:rsidR="00B543EA">
        <w:t>,</w:t>
      </w:r>
      <w:r>
        <w:t xml:space="preserve"> especially in relation to raising their younger generations is very different. The conclusions from the piece are mainly focussed on the fundamentally different approach to gender roles in the two comparable societies.</w:t>
      </w:r>
    </w:p>
    <w:p w14:paraId="2029606C" w14:textId="77777777" w:rsidR="003602D3" w:rsidRDefault="003602D3" w:rsidP="003602D3"/>
    <w:p w14:paraId="66F20892" w14:textId="655D7300" w:rsidR="003602D3" w:rsidRPr="00441FC5" w:rsidRDefault="003602D3">
      <w:r>
        <w:t>It can be assumed that the article is targeted at scholars looking into this specific region of relationships within the household during the Bronze Age. Primary knowledge of the subject area at hand is also necessary, i.e. you need some understanding about the time zone of the Bronze age and need to take into account that women were viewed in a very different to that of the contemporary. This could also be seen as a limitation of the piece as it is not just something that anyone could use as evidence for more vague or basic research. However, contrastingly this can be viewed as a strength of the article because it is very focussed.</w:t>
      </w:r>
    </w:p>
    <w:p w14:paraId="6C730F3B" w14:textId="278C007C" w:rsidR="00C86662" w:rsidRDefault="00C86662"/>
    <w:p w14:paraId="40FB4C6B" w14:textId="77777777" w:rsidR="00B543EA" w:rsidRDefault="00B543EA"/>
    <w:p w14:paraId="65991326" w14:textId="77777777" w:rsidR="007C3528" w:rsidRPr="00EC1238" w:rsidRDefault="007C3528" w:rsidP="00EC1238">
      <w:pPr>
        <w:pStyle w:val="ListParagraph"/>
        <w:numPr>
          <w:ilvl w:val="0"/>
          <w:numId w:val="1"/>
        </w:numPr>
        <w:rPr>
          <w:u w:val="single"/>
        </w:rPr>
      </w:pPr>
      <w:r w:rsidRPr="00EC1238">
        <w:rPr>
          <w:u w:val="single"/>
        </w:rPr>
        <w:t>Online Web Source</w:t>
      </w:r>
    </w:p>
    <w:p w14:paraId="3C8081EE" w14:textId="77777777" w:rsidR="007C3528" w:rsidRDefault="007C3528" w:rsidP="007C3528"/>
    <w:p w14:paraId="29055B3C" w14:textId="77777777" w:rsidR="007C3528" w:rsidRDefault="007C3528" w:rsidP="007C3528">
      <w:proofErr w:type="spellStart"/>
      <w:r>
        <w:t>Witcombe</w:t>
      </w:r>
      <w:proofErr w:type="spellEnd"/>
      <w:r>
        <w:t xml:space="preserve">, C. L. C. E. 2000. Women in the Aegean, Minoan Snake Goddess: 10. Women in Minoan Culture. Art History Resources. </w:t>
      </w:r>
    </w:p>
    <w:p w14:paraId="4D89C31F" w14:textId="77777777" w:rsidR="007C3528" w:rsidRDefault="007C3528" w:rsidP="007C3528">
      <w:r>
        <w:t xml:space="preserve">Available from: </w:t>
      </w:r>
      <w:hyperlink r:id="rId7" w:history="1">
        <w:r w:rsidRPr="00B64750">
          <w:rPr>
            <w:rStyle w:val="Hyperlink"/>
          </w:rPr>
          <w:t>http://arthistoryresources.net/</w:t>
        </w:r>
      </w:hyperlink>
      <w:r>
        <w:t xml:space="preserve"> </w:t>
      </w:r>
    </w:p>
    <w:p w14:paraId="390F4A30" w14:textId="77777777" w:rsidR="007C3528" w:rsidRDefault="007C3528" w:rsidP="007C3528">
      <w:r>
        <w:t>[Accessed 7</w:t>
      </w:r>
      <w:r w:rsidRPr="00C86662">
        <w:rPr>
          <w:vertAlign w:val="superscript"/>
        </w:rPr>
        <w:t>th</w:t>
      </w:r>
      <w:r>
        <w:t xml:space="preserve"> April 2020]</w:t>
      </w:r>
    </w:p>
    <w:p w14:paraId="1A9DE9AF" w14:textId="77777777" w:rsidR="007C3528" w:rsidRDefault="007C3528" w:rsidP="007C3528"/>
    <w:p w14:paraId="371A94AC" w14:textId="77777777" w:rsidR="007C3528" w:rsidRDefault="007C3528" w:rsidP="007C3528">
      <w:r>
        <w:t>The web source suggests that women had a dominating position in relation to religion in Minoan culture. The author uses imagery to portray the status of women by engaging in a dangerous sport which depicts “somersaulting over the back of a charging bull”. A conclusion gathered from the information as a whole is that women were by far more heavily involved in religion than men were. This is because women or priestesses played a dominating role in religious ceremonies and rituals.</w:t>
      </w:r>
    </w:p>
    <w:p w14:paraId="11C669DF" w14:textId="77777777" w:rsidR="007C3528" w:rsidRDefault="007C3528" w:rsidP="007C3528"/>
    <w:p w14:paraId="6A1EE9F8" w14:textId="20BF634D" w:rsidR="004A7205" w:rsidRDefault="007C3528">
      <w:r>
        <w:t xml:space="preserve">As a whole, the web page can be assumed to be targeted at anyone of any ability as it can be easily accessed by a simple web search of the topic area at hand being women in the Aegean. It can be seen in a positive light because of how the author uses evidence to support his findings through imagery, as well as this it is very easy to read with quite simple vocabulary. However, this can also be used as a negative factor of the text. It may not be the best source for scholars when using supportive evidence, however, it can be used to assist direction to further readings. The web source is also limited in reliability as it does not use </w:t>
      </w:r>
      <w:r>
        <w:lastRenderedPageBreak/>
        <w:t xml:space="preserve">citations throughout with evidence to support his </w:t>
      </w:r>
      <w:r w:rsidR="00840A35">
        <w:t>findings but</w:t>
      </w:r>
      <w:r>
        <w:t xml:space="preserve"> does include a </w:t>
      </w:r>
      <w:r w:rsidR="00840A35">
        <w:t>bibliography</w:t>
      </w:r>
      <w:r>
        <w:t xml:space="preserve"> at the end of the text.</w:t>
      </w:r>
    </w:p>
    <w:sectPr w:rsidR="004A7205" w:rsidSect="00C9430C">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ED269" w14:textId="77777777" w:rsidR="001E321D" w:rsidRDefault="001E321D" w:rsidP="001A33BA">
      <w:r>
        <w:separator/>
      </w:r>
    </w:p>
  </w:endnote>
  <w:endnote w:type="continuationSeparator" w:id="0">
    <w:p w14:paraId="27E635C3" w14:textId="77777777" w:rsidR="001E321D" w:rsidRDefault="001E321D" w:rsidP="001A3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2216582"/>
      <w:docPartObj>
        <w:docPartGallery w:val="Page Numbers (Bottom of Page)"/>
        <w:docPartUnique/>
      </w:docPartObj>
    </w:sdtPr>
    <w:sdtEndPr>
      <w:rPr>
        <w:rStyle w:val="PageNumber"/>
      </w:rPr>
    </w:sdtEndPr>
    <w:sdtContent>
      <w:p w14:paraId="35EFE0E0" w14:textId="6F0C7FDA" w:rsidR="001A33BA" w:rsidRDefault="001A33BA"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1DD054" w14:textId="77777777" w:rsidR="001A33BA" w:rsidRDefault="001A33BA" w:rsidP="001A33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771484"/>
      <w:docPartObj>
        <w:docPartGallery w:val="Page Numbers (Bottom of Page)"/>
        <w:docPartUnique/>
      </w:docPartObj>
    </w:sdtPr>
    <w:sdtEndPr>
      <w:rPr>
        <w:rStyle w:val="PageNumber"/>
      </w:rPr>
    </w:sdtEndPr>
    <w:sdtContent>
      <w:p w14:paraId="0EBF7387" w14:textId="09B89B95" w:rsidR="001A33BA" w:rsidRDefault="001A33BA"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6555E9" w14:textId="0B4C5912" w:rsidR="001A33BA" w:rsidRDefault="001A33BA" w:rsidP="001A33BA">
    <w:pPr>
      <w:pStyle w:val="Footer"/>
      <w:ind w:right="360"/>
    </w:pPr>
    <w:r>
      <w:t>HPAR400</w:t>
    </w:r>
    <w:r w:rsidR="004A7205">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91E30" w14:textId="77777777" w:rsidR="001E321D" w:rsidRDefault="001E321D" w:rsidP="001A33BA">
      <w:r>
        <w:separator/>
      </w:r>
    </w:p>
  </w:footnote>
  <w:footnote w:type="continuationSeparator" w:id="0">
    <w:p w14:paraId="5989501E" w14:textId="77777777" w:rsidR="001E321D" w:rsidRDefault="001E321D" w:rsidP="001A33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E2AA4" w14:textId="274C08CF" w:rsidR="001A33BA" w:rsidRDefault="001A33BA">
    <w:pPr>
      <w:pStyle w:val="Header"/>
    </w:pPr>
    <w:r>
      <w:t>Feryn Walmsley A</w:t>
    </w:r>
    <w:r w:rsidR="004A7205">
      <w:t>nnotated 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C4422"/>
    <w:multiLevelType w:val="hybridMultilevel"/>
    <w:tmpl w:val="7EE4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3BA"/>
    <w:rsid w:val="000946E6"/>
    <w:rsid w:val="000E6D7B"/>
    <w:rsid w:val="001A33BA"/>
    <w:rsid w:val="001E321D"/>
    <w:rsid w:val="0026740C"/>
    <w:rsid w:val="003602D3"/>
    <w:rsid w:val="00441FC5"/>
    <w:rsid w:val="004A7205"/>
    <w:rsid w:val="007C3528"/>
    <w:rsid w:val="00840A35"/>
    <w:rsid w:val="009F1497"/>
    <w:rsid w:val="00AE0345"/>
    <w:rsid w:val="00B543EA"/>
    <w:rsid w:val="00C77FC2"/>
    <w:rsid w:val="00C86662"/>
    <w:rsid w:val="00C9430C"/>
    <w:rsid w:val="00E528BD"/>
    <w:rsid w:val="00EC1238"/>
    <w:rsid w:val="00F97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883623"/>
  <w15:chartTrackingRefBased/>
  <w15:docId w15:val="{28B16C6D-B79A-6A4E-B39F-63748B88B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034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33BA"/>
    <w:pPr>
      <w:tabs>
        <w:tab w:val="center" w:pos="4513"/>
        <w:tab w:val="right" w:pos="9026"/>
      </w:tabs>
    </w:pPr>
  </w:style>
  <w:style w:type="character" w:customStyle="1" w:styleId="HeaderChar">
    <w:name w:val="Header Char"/>
    <w:basedOn w:val="DefaultParagraphFont"/>
    <w:link w:val="Header"/>
    <w:uiPriority w:val="99"/>
    <w:rsid w:val="001A33BA"/>
  </w:style>
  <w:style w:type="paragraph" w:styleId="Footer">
    <w:name w:val="footer"/>
    <w:basedOn w:val="Normal"/>
    <w:link w:val="FooterChar"/>
    <w:uiPriority w:val="99"/>
    <w:unhideWhenUsed/>
    <w:rsid w:val="001A33BA"/>
    <w:pPr>
      <w:tabs>
        <w:tab w:val="center" w:pos="4513"/>
        <w:tab w:val="right" w:pos="9026"/>
      </w:tabs>
    </w:pPr>
  </w:style>
  <w:style w:type="character" w:customStyle="1" w:styleId="FooterChar">
    <w:name w:val="Footer Char"/>
    <w:basedOn w:val="DefaultParagraphFont"/>
    <w:link w:val="Footer"/>
    <w:uiPriority w:val="99"/>
    <w:rsid w:val="001A33BA"/>
  </w:style>
  <w:style w:type="character" w:styleId="PageNumber">
    <w:name w:val="page number"/>
    <w:basedOn w:val="DefaultParagraphFont"/>
    <w:uiPriority w:val="99"/>
    <w:semiHidden/>
    <w:unhideWhenUsed/>
    <w:rsid w:val="001A33BA"/>
  </w:style>
  <w:style w:type="character" w:customStyle="1" w:styleId="apple-converted-space">
    <w:name w:val="apple-converted-space"/>
    <w:basedOn w:val="DefaultParagraphFont"/>
    <w:rsid w:val="004A7205"/>
  </w:style>
  <w:style w:type="paragraph" w:styleId="NormalWeb">
    <w:name w:val="Normal (Web)"/>
    <w:basedOn w:val="Normal"/>
    <w:uiPriority w:val="99"/>
    <w:semiHidden/>
    <w:unhideWhenUsed/>
    <w:rsid w:val="004A720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A7205"/>
    <w:rPr>
      <w:color w:val="0000FF"/>
      <w:u w:val="single"/>
    </w:rPr>
  </w:style>
  <w:style w:type="character" w:styleId="UnresolvedMention">
    <w:name w:val="Unresolved Mention"/>
    <w:basedOn w:val="DefaultParagraphFont"/>
    <w:uiPriority w:val="99"/>
    <w:semiHidden/>
    <w:unhideWhenUsed/>
    <w:rsid w:val="00C86662"/>
    <w:rPr>
      <w:color w:val="605E5C"/>
      <w:shd w:val="clear" w:color="auto" w:fill="E1DFDD"/>
    </w:rPr>
  </w:style>
  <w:style w:type="character" w:customStyle="1" w:styleId="Heading1Char">
    <w:name w:val="Heading 1 Char"/>
    <w:basedOn w:val="DefaultParagraphFont"/>
    <w:link w:val="Heading1"/>
    <w:uiPriority w:val="9"/>
    <w:rsid w:val="00AE0345"/>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AE0345"/>
    <w:rPr>
      <w:i/>
      <w:iCs/>
    </w:rPr>
  </w:style>
  <w:style w:type="character" w:customStyle="1" w:styleId="visuallyhidden">
    <w:name w:val="visuallyhidden"/>
    <w:basedOn w:val="DefaultParagraphFont"/>
    <w:rsid w:val="00441FC5"/>
  </w:style>
  <w:style w:type="character" w:customStyle="1" w:styleId="info-type">
    <w:name w:val="info-type"/>
    <w:basedOn w:val="DefaultParagraphFont"/>
    <w:rsid w:val="00441FC5"/>
  </w:style>
  <w:style w:type="paragraph" w:styleId="ListParagraph">
    <w:name w:val="List Paragraph"/>
    <w:basedOn w:val="Normal"/>
    <w:uiPriority w:val="34"/>
    <w:qFormat/>
    <w:rsid w:val="00EC12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929103">
      <w:bodyDiv w:val="1"/>
      <w:marLeft w:val="0"/>
      <w:marRight w:val="0"/>
      <w:marTop w:val="0"/>
      <w:marBottom w:val="0"/>
      <w:divBdr>
        <w:top w:val="none" w:sz="0" w:space="0" w:color="auto"/>
        <w:left w:val="none" w:sz="0" w:space="0" w:color="auto"/>
        <w:bottom w:val="none" w:sz="0" w:space="0" w:color="auto"/>
        <w:right w:val="none" w:sz="0" w:space="0" w:color="auto"/>
      </w:divBdr>
      <w:divsChild>
        <w:div w:id="2132093468">
          <w:marLeft w:val="0"/>
          <w:marRight w:val="0"/>
          <w:marTop w:val="0"/>
          <w:marBottom w:val="0"/>
          <w:divBdr>
            <w:top w:val="none" w:sz="0" w:space="0" w:color="auto"/>
            <w:left w:val="none" w:sz="0" w:space="0" w:color="auto"/>
            <w:bottom w:val="none" w:sz="0" w:space="0" w:color="auto"/>
            <w:right w:val="none" w:sz="0" w:space="0" w:color="auto"/>
          </w:divBdr>
          <w:divsChild>
            <w:div w:id="1973515252">
              <w:marLeft w:val="0"/>
              <w:marRight w:val="0"/>
              <w:marTop w:val="0"/>
              <w:marBottom w:val="0"/>
              <w:divBdr>
                <w:top w:val="none" w:sz="0" w:space="0" w:color="auto"/>
                <w:left w:val="none" w:sz="0" w:space="0" w:color="auto"/>
                <w:bottom w:val="none" w:sz="0" w:space="0" w:color="auto"/>
                <w:right w:val="none" w:sz="0" w:space="0" w:color="auto"/>
              </w:divBdr>
              <w:divsChild>
                <w:div w:id="96083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296799">
          <w:marLeft w:val="0"/>
          <w:marRight w:val="0"/>
          <w:marTop w:val="0"/>
          <w:marBottom w:val="0"/>
          <w:divBdr>
            <w:top w:val="none" w:sz="0" w:space="0" w:color="auto"/>
            <w:left w:val="none" w:sz="0" w:space="0" w:color="auto"/>
            <w:bottom w:val="none" w:sz="0" w:space="0" w:color="auto"/>
            <w:right w:val="none" w:sz="0" w:space="0" w:color="auto"/>
          </w:divBdr>
          <w:divsChild>
            <w:div w:id="150684829">
              <w:marLeft w:val="0"/>
              <w:marRight w:val="0"/>
              <w:marTop w:val="0"/>
              <w:marBottom w:val="0"/>
              <w:divBdr>
                <w:top w:val="none" w:sz="0" w:space="0" w:color="auto"/>
                <w:left w:val="none" w:sz="0" w:space="0" w:color="auto"/>
                <w:bottom w:val="none" w:sz="0" w:space="0" w:color="auto"/>
                <w:right w:val="none" w:sz="0" w:space="0" w:color="auto"/>
              </w:divBdr>
            </w:div>
            <w:div w:id="1815372574">
              <w:marLeft w:val="0"/>
              <w:marRight w:val="0"/>
              <w:marTop w:val="0"/>
              <w:marBottom w:val="0"/>
              <w:divBdr>
                <w:top w:val="none" w:sz="0" w:space="0" w:color="auto"/>
                <w:left w:val="none" w:sz="0" w:space="0" w:color="auto"/>
                <w:bottom w:val="none" w:sz="0" w:space="0" w:color="auto"/>
                <w:right w:val="none" w:sz="0" w:space="0" w:color="auto"/>
              </w:divBdr>
              <w:divsChild>
                <w:div w:id="1680161332">
                  <w:marLeft w:val="0"/>
                  <w:marRight w:val="0"/>
                  <w:marTop w:val="0"/>
                  <w:marBottom w:val="0"/>
                  <w:divBdr>
                    <w:top w:val="none" w:sz="0" w:space="0" w:color="auto"/>
                    <w:left w:val="none" w:sz="0" w:space="0" w:color="auto"/>
                    <w:bottom w:val="none" w:sz="0" w:space="0" w:color="auto"/>
                    <w:right w:val="none" w:sz="0" w:space="0" w:color="auto"/>
                  </w:divBdr>
                </w:div>
                <w:div w:id="1721593596">
                  <w:marLeft w:val="0"/>
                  <w:marRight w:val="0"/>
                  <w:marTop w:val="0"/>
                  <w:marBottom w:val="0"/>
                  <w:divBdr>
                    <w:top w:val="none" w:sz="0" w:space="0" w:color="auto"/>
                    <w:left w:val="none" w:sz="0" w:space="0" w:color="auto"/>
                    <w:bottom w:val="none" w:sz="0" w:space="0" w:color="auto"/>
                    <w:right w:val="none" w:sz="0" w:space="0" w:color="auto"/>
                  </w:divBdr>
                  <w:divsChild>
                    <w:div w:id="194098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545059">
      <w:bodyDiv w:val="1"/>
      <w:marLeft w:val="0"/>
      <w:marRight w:val="0"/>
      <w:marTop w:val="0"/>
      <w:marBottom w:val="0"/>
      <w:divBdr>
        <w:top w:val="none" w:sz="0" w:space="0" w:color="auto"/>
        <w:left w:val="none" w:sz="0" w:space="0" w:color="auto"/>
        <w:bottom w:val="none" w:sz="0" w:space="0" w:color="auto"/>
        <w:right w:val="none" w:sz="0" w:space="0" w:color="auto"/>
      </w:divBdr>
    </w:div>
    <w:div w:id="2140684551">
      <w:bodyDiv w:val="1"/>
      <w:marLeft w:val="0"/>
      <w:marRight w:val="0"/>
      <w:marTop w:val="0"/>
      <w:marBottom w:val="0"/>
      <w:divBdr>
        <w:top w:val="none" w:sz="0" w:space="0" w:color="auto"/>
        <w:left w:val="none" w:sz="0" w:space="0" w:color="auto"/>
        <w:bottom w:val="none" w:sz="0" w:space="0" w:color="auto"/>
        <w:right w:val="none" w:sz="0" w:space="0" w:color="auto"/>
      </w:divBdr>
      <w:divsChild>
        <w:div w:id="1225600617">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arthistoryresources.ne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3</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4</cp:revision>
  <dcterms:created xsi:type="dcterms:W3CDTF">2020-04-08T11:55:00Z</dcterms:created>
  <dcterms:modified xsi:type="dcterms:W3CDTF">2020-04-08T19:01:00Z</dcterms:modified>
</cp:coreProperties>
</file>