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A60FE4" w14:textId="0F525985" w:rsidR="00FE1A4B" w:rsidRDefault="00AD6228">
      <w:pPr>
        <w:rPr>
          <w:rFonts w:ascii="Times New Roman" w:hAnsi="Times New Roman" w:cs="Times New Roman"/>
          <w:sz w:val="24"/>
          <w:szCs w:val="24"/>
          <w:u w:val="single"/>
        </w:rPr>
      </w:pPr>
      <w:r w:rsidRPr="00AD6228">
        <w:rPr>
          <w:rFonts w:ascii="Times New Roman" w:hAnsi="Times New Roman" w:cs="Times New Roman"/>
          <w:sz w:val="24"/>
          <w:szCs w:val="24"/>
          <w:u w:val="single"/>
        </w:rPr>
        <w:t>An Evaluation of the Pharisees, Sadducees, Essenes and Zealots at the beginning of the Christian Era.</w:t>
      </w:r>
    </w:p>
    <w:p w14:paraId="6540F691" w14:textId="102830E5" w:rsidR="00232326" w:rsidRPr="00232326" w:rsidRDefault="00232326">
      <w:pPr>
        <w:rPr>
          <w:rFonts w:ascii="Times New Roman" w:hAnsi="Times New Roman" w:cs="Times New Roman"/>
          <w:sz w:val="24"/>
          <w:szCs w:val="24"/>
        </w:rPr>
      </w:pPr>
      <w:r w:rsidRPr="00232326">
        <w:rPr>
          <w:rFonts w:ascii="Times New Roman" w:hAnsi="Times New Roman" w:cs="Times New Roman"/>
          <w:sz w:val="24"/>
          <w:szCs w:val="24"/>
        </w:rPr>
        <w:t xml:space="preserve">This exam will evaluate how Judaism </w:t>
      </w:r>
      <w:r>
        <w:rPr>
          <w:rFonts w:ascii="Times New Roman" w:hAnsi="Times New Roman" w:cs="Times New Roman"/>
          <w:sz w:val="24"/>
          <w:szCs w:val="24"/>
        </w:rPr>
        <w:t>was divided into many different groups at the beginning of the Christian Era by using references and examples to the Pharisees, Sadducees, Essenes and Zealots. This exam will evaluate how through the first Christian Era the history of how the Jewish people were ruled changed from been ruled through Kings who pledged an alliance to the Romans to been ruled through Roman administrators. It will evaluate a new way of how to practice Judaism developed through the second temple period. It will discuss the importance of Josephus as a primary source in this time period. This exam will use Josephus and the New Testament as primary sources to discuss the different groups of Judaism. It will evaluate how the different groups of Judaism believed different things on how to practice Judaism. Lastly this exam will evaluate the Zealots, it will discuss the most popular view that bandits, Zealots and Sicarii are al the same group. This exam will use secondary sources to argue that the bandits, Zealots and Sicarii were separate groups or organisations.</w:t>
      </w:r>
    </w:p>
    <w:p w14:paraId="78A32D3C" w14:textId="07AF9F15" w:rsidR="00AD6228" w:rsidRPr="009C07A6" w:rsidRDefault="00AD6228">
      <w:pPr>
        <w:rPr>
          <w:rFonts w:ascii="Times New Roman" w:hAnsi="Times New Roman" w:cs="Times New Roman"/>
          <w:sz w:val="28"/>
          <w:szCs w:val="28"/>
          <w:u w:val="single"/>
        </w:rPr>
      </w:pPr>
      <w:r w:rsidRPr="009C07A6">
        <w:rPr>
          <w:rFonts w:ascii="Times New Roman" w:hAnsi="Times New Roman" w:cs="Times New Roman"/>
          <w:sz w:val="28"/>
          <w:szCs w:val="28"/>
          <w:u w:val="single"/>
        </w:rPr>
        <w:t>History</w:t>
      </w:r>
    </w:p>
    <w:p w14:paraId="7776AF82" w14:textId="0500DBCD" w:rsidR="00AD6228" w:rsidRDefault="00AD6228">
      <w:pPr>
        <w:rPr>
          <w:rFonts w:ascii="Times New Roman" w:hAnsi="Times New Roman" w:cs="Times New Roman"/>
          <w:sz w:val="24"/>
          <w:szCs w:val="24"/>
        </w:rPr>
      </w:pPr>
      <w:r w:rsidRPr="00AD6228">
        <w:rPr>
          <w:rFonts w:ascii="Times New Roman" w:hAnsi="Times New Roman" w:cs="Times New Roman"/>
          <w:sz w:val="24"/>
          <w:szCs w:val="24"/>
        </w:rPr>
        <w:t>At the beginning</w:t>
      </w:r>
      <w:r>
        <w:rPr>
          <w:rFonts w:ascii="Times New Roman" w:hAnsi="Times New Roman" w:cs="Times New Roman"/>
          <w:sz w:val="24"/>
          <w:szCs w:val="24"/>
        </w:rPr>
        <w:t xml:space="preserve"> of the Christian era, Judaism was divided into many different groups. The Romans had previously ruled over the Jews through kings who pledged an alliance to the romans but in the beginning of the Christian era this changed and the Jewish people were ruled through Roman administrators, who were often called procurators or prefects, most of the administrators were corrupt and incompetent. In the Second Temple period from 160 BCE to 70 CE it saw the rise of different “sects” who had different opinions on how to </w:t>
      </w:r>
      <w:r>
        <w:rPr>
          <w:rFonts w:ascii="Times New Roman" w:hAnsi="Times New Roman" w:cs="Times New Roman"/>
          <w:sz w:val="24"/>
          <w:szCs w:val="24"/>
        </w:rPr>
        <w:lastRenderedPageBreak/>
        <w:t>practice been a Jew.</w:t>
      </w:r>
      <w:r w:rsidR="00397E2A">
        <w:rPr>
          <w:rStyle w:val="FootnoteReference"/>
          <w:rFonts w:ascii="Times New Roman" w:hAnsi="Times New Roman" w:cs="Times New Roman"/>
          <w:sz w:val="24"/>
          <w:szCs w:val="24"/>
        </w:rPr>
        <w:footnoteReference w:id="1"/>
      </w:r>
      <w:r w:rsidR="002D7AD3">
        <w:rPr>
          <w:rFonts w:ascii="Times New Roman" w:hAnsi="Times New Roman" w:cs="Times New Roman"/>
          <w:sz w:val="24"/>
          <w:szCs w:val="24"/>
        </w:rPr>
        <w:t xml:space="preserve"> </w:t>
      </w:r>
      <w:r w:rsidR="00AC37F0">
        <w:rPr>
          <w:rFonts w:ascii="Times New Roman" w:hAnsi="Times New Roman" w:cs="Times New Roman"/>
          <w:sz w:val="24"/>
          <w:szCs w:val="24"/>
        </w:rPr>
        <w:t xml:space="preserve">Judea had started to see a rapidly increasing economy partly due to the Romans and also because of the achievements through King Herod’s rule. </w:t>
      </w:r>
      <w:r w:rsidR="00D4478F">
        <w:rPr>
          <w:rFonts w:ascii="Times New Roman" w:hAnsi="Times New Roman" w:cs="Times New Roman"/>
          <w:sz w:val="24"/>
          <w:szCs w:val="24"/>
        </w:rPr>
        <w:t xml:space="preserve">Yet the ordinary common Jewish man did not see the benefits of this new economy as the corrupt </w:t>
      </w:r>
      <w:r w:rsidR="00071DA3">
        <w:rPr>
          <w:rFonts w:ascii="Times New Roman" w:hAnsi="Times New Roman" w:cs="Times New Roman"/>
          <w:sz w:val="24"/>
          <w:szCs w:val="24"/>
        </w:rPr>
        <w:t>Roman administrators saw to it that goods sold in the markets in Jerusalem, instead of going back into the Judean economy went instead to the “elites” of society. The Roman administrators disliked the Jewish people, and this caused anger and growing tensions between them and the ordinary Jewish people. Along with economic tensions, there was also political and religious tensions.</w:t>
      </w:r>
      <w:r w:rsidR="0094349D">
        <w:rPr>
          <w:rFonts w:ascii="Times New Roman" w:hAnsi="Times New Roman" w:cs="Times New Roman"/>
          <w:sz w:val="24"/>
          <w:szCs w:val="24"/>
        </w:rPr>
        <w:t xml:space="preserve"> The Temple was not only the main focal point for the religious and social life of the Jewish people, but it was also a sign of God’s presence.</w:t>
      </w:r>
      <w:r w:rsidR="0094349D">
        <w:rPr>
          <w:rStyle w:val="FootnoteReference"/>
          <w:rFonts w:ascii="Times New Roman" w:hAnsi="Times New Roman" w:cs="Times New Roman"/>
          <w:sz w:val="24"/>
          <w:szCs w:val="24"/>
        </w:rPr>
        <w:footnoteReference w:id="2"/>
      </w:r>
    </w:p>
    <w:p w14:paraId="0CFCED8A" w14:textId="78EEA938" w:rsidR="00541613" w:rsidRDefault="00614E2D">
      <w:pPr>
        <w:rPr>
          <w:rFonts w:ascii="Times New Roman" w:hAnsi="Times New Roman" w:cs="Times New Roman"/>
          <w:sz w:val="24"/>
          <w:szCs w:val="24"/>
        </w:rPr>
      </w:pPr>
      <w:r>
        <w:rPr>
          <w:rFonts w:ascii="Times New Roman" w:hAnsi="Times New Roman" w:cs="Times New Roman"/>
          <w:sz w:val="24"/>
          <w:szCs w:val="24"/>
        </w:rPr>
        <w:t xml:space="preserve">In the Second Temple period a new way of </w:t>
      </w:r>
      <w:r w:rsidR="000E4353">
        <w:rPr>
          <w:rFonts w:ascii="Times New Roman" w:hAnsi="Times New Roman" w:cs="Times New Roman"/>
          <w:sz w:val="24"/>
          <w:szCs w:val="24"/>
        </w:rPr>
        <w:t>practising Judaism developed. Private worship and the study of the word of God became the new way to practice worship.</w:t>
      </w:r>
      <w:r w:rsidR="005769F6">
        <w:rPr>
          <w:rFonts w:ascii="Times New Roman" w:hAnsi="Times New Roman" w:cs="Times New Roman"/>
          <w:sz w:val="24"/>
          <w:szCs w:val="24"/>
        </w:rPr>
        <w:t xml:space="preserve"> It also focused on the individual</w:t>
      </w:r>
      <w:r w:rsidR="00A65A35">
        <w:rPr>
          <w:rFonts w:ascii="Times New Roman" w:hAnsi="Times New Roman" w:cs="Times New Roman"/>
          <w:sz w:val="24"/>
          <w:szCs w:val="24"/>
        </w:rPr>
        <w:t xml:space="preserve"> </w:t>
      </w:r>
      <w:r w:rsidR="005769F6">
        <w:rPr>
          <w:rFonts w:ascii="Times New Roman" w:hAnsi="Times New Roman" w:cs="Times New Roman"/>
          <w:sz w:val="24"/>
          <w:szCs w:val="24"/>
        </w:rPr>
        <w:t xml:space="preserve">rather than the collective when it came to understanding how God </w:t>
      </w:r>
      <w:r w:rsidR="00A65A35">
        <w:rPr>
          <w:rFonts w:ascii="Times New Roman" w:hAnsi="Times New Roman" w:cs="Times New Roman"/>
          <w:sz w:val="24"/>
          <w:szCs w:val="24"/>
        </w:rPr>
        <w:t xml:space="preserve">administrated Justice. God punished and rewarded the individual </w:t>
      </w:r>
      <w:r w:rsidR="00440DDF">
        <w:rPr>
          <w:rFonts w:ascii="Times New Roman" w:hAnsi="Times New Roman" w:cs="Times New Roman"/>
          <w:sz w:val="24"/>
          <w:szCs w:val="24"/>
        </w:rPr>
        <w:t>and if not in this world then in the next.</w:t>
      </w:r>
      <w:r w:rsidR="007C7584">
        <w:rPr>
          <w:rFonts w:ascii="Times New Roman" w:hAnsi="Times New Roman" w:cs="Times New Roman"/>
          <w:sz w:val="24"/>
          <w:szCs w:val="24"/>
        </w:rPr>
        <w:t xml:space="preserve"> Each “sect” believed that they were the true temple and their followers were the true priests because </w:t>
      </w:r>
      <w:r w:rsidR="00883EEC">
        <w:rPr>
          <w:rFonts w:ascii="Times New Roman" w:hAnsi="Times New Roman" w:cs="Times New Roman"/>
          <w:sz w:val="24"/>
          <w:szCs w:val="24"/>
        </w:rPr>
        <w:t>only their sect could understand how to follow and serve God properly.</w:t>
      </w:r>
      <w:r w:rsidR="003579F2">
        <w:rPr>
          <w:rStyle w:val="FootnoteReference"/>
          <w:rFonts w:ascii="Times New Roman" w:hAnsi="Times New Roman" w:cs="Times New Roman"/>
          <w:sz w:val="24"/>
          <w:szCs w:val="24"/>
        </w:rPr>
        <w:footnoteReference w:id="3"/>
      </w:r>
    </w:p>
    <w:p w14:paraId="76DEB8C2" w14:textId="3638DC24" w:rsidR="00AE086D" w:rsidRDefault="00AE086D">
      <w:pPr>
        <w:rPr>
          <w:rFonts w:ascii="Times New Roman" w:hAnsi="Times New Roman" w:cs="Times New Roman"/>
          <w:sz w:val="24"/>
          <w:szCs w:val="24"/>
        </w:rPr>
      </w:pPr>
      <w:r>
        <w:rPr>
          <w:rFonts w:ascii="Times New Roman" w:hAnsi="Times New Roman" w:cs="Times New Roman"/>
          <w:sz w:val="24"/>
          <w:szCs w:val="24"/>
        </w:rPr>
        <w:t>Many of the Palestinian Jews did not belong to any of the four sects, the “ordinary” Jew practised their religion through the Torah, the temple and acts of kindness. They were loyal to the temple, the holy city, religious-national festivals and the law.</w:t>
      </w:r>
      <w:r>
        <w:rPr>
          <w:rStyle w:val="FootnoteReference"/>
          <w:rFonts w:ascii="Times New Roman" w:hAnsi="Times New Roman" w:cs="Times New Roman"/>
          <w:sz w:val="24"/>
          <w:szCs w:val="24"/>
        </w:rPr>
        <w:footnoteReference w:id="4"/>
      </w:r>
    </w:p>
    <w:p w14:paraId="34D9CFF0" w14:textId="2CB8D2C1" w:rsidR="00861FC1" w:rsidRDefault="003D0177">
      <w:pPr>
        <w:rPr>
          <w:rFonts w:ascii="Times New Roman" w:hAnsi="Times New Roman" w:cs="Times New Roman"/>
          <w:sz w:val="24"/>
          <w:szCs w:val="24"/>
        </w:rPr>
      </w:pPr>
      <w:r>
        <w:rPr>
          <w:rFonts w:ascii="Times New Roman" w:hAnsi="Times New Roman" w:cs="Times New Roman"/>
          <w:sz w:val="24"/>
          <w:szCs w:val="24"/>
        </w:rPr>
        <w:t xml:space="preserve">Flavius Josephus is one of the only primary sources for this time period. He was born into an aristocratic family of priestly lineage, he spoke Aramaic and Hebrew and was an observant </w:t>
      </w:r>
      <w:r>
        <w:rPr>
          <w:rFonts w:ascii="Times New Roman" w:hAnsi="Times New Roman" w:cs="Times New Roman"/>
          <w:sz w:val="24"/>
          <w:szCs w:val="24"/>
        </w:rPr>
        <w:lastRenderedPageBreak/>
        <w:t>Jew who had connections with the three schools of Judaism, Pharisees, Sadducees and the Essenes. Josephus work was thought to be sometimes inaccurate, contradictory or even fabricated. He engaged in apologetic writing in which he tried to inform others about the Jewish people and at the same time defend them and their traditions. Josephus was an eyewitness to many of the events which took place in the first Christian era.</w:t>
      </w:r>
      <w:r>
        <w:rPr>
          <w:rStyle w:val="FootnoteReference"/>
          <w:rFonts w:ascii="Times New Roman" w:hAnsi="Times New Roman" w:cs="Times New Roman"/>
          <w:sz w:val="24"/>
          <w:szCs w:val="24"/>
        </w:rPr>
        <w:footnoteReference w:id="5"/>
      </w:r>
    </w:p>
    <w:p w14:paraId="20B9EC9B" w14:textId="3D23586E" w:rsidR="00EC211A" w:rsidRDefault="009C07A6">
      <w:pPr>
        <w:rPr>
          <w:rFonts w:ascii="Times New Roman" w:hAnsi="Times New Roman" w:cs="Times New Roman"/>
          <w:sz w:val="28"/>
          <w:szCs w:val="28"/>
          <w:u w:val="single"/>
        </w:rPr>
      </w:pPr>
      <w:r w:rsidRPr="009C07A6">
        <w:rPr>
          <w:rFonts w:ascii="Times New Roman" w:hAnsi="Times New Roman" w:cs="Times New Roman"/>
          <w:sz w:val="28"/>
          <w:szCs w:val="28"/>
          <w:u w:val="single"/>
        </w:rPr>
        <w:t>Pharisees</w:t>
      </w:r>
    </w:p>
    <w:p w14:paraId="10045419" w14:textId="6E1D7FA8" w:rsidR="00E807ED" w:rsidRDefault="00E807ED">
      <w:pPr>
        <w:rPr>
          <w:rFonts w:ascii="Times New Roman" w:hAnsi="Times New Roman" w:cs="Times New Roman"/>
          <w:sz w:val="24"/>
          <w:szCs w:val="24"/>
        </w:rPr>
      </w:pPr>
      <w:r w:rsidRPr="00E807ED">
        <w:rPr>
          <w:rFonts w:ascii="Times New Roman" w:hAnsi="Times New Roman" w:cs="Times New Roman"/>
          <w:sz w:val="24"/>
          <w:szCs w:val="24"/>
        </w:rPr>
        <w:t>A</w:t>
      </w:r>
      <w:r>
        <w:rPr>
          <w:rFonts w:ascii="Times New Roman" w:hAnsi="Times New Roman" w:cs="Times New Roman"/>
          <w:sz w:val="24"/>
          <w:szCs w:val="24"/>
        </w:rPr>
        <w:t>ccording to Josephus in his book</w:t>
      </w:r>
      <w:r w:rsidRPr="00E807ED">
        <w:rPr>
          <w:rFonts w:ascii="Times New Roman" w:hAnsi="Times New Roman" w:cs="Times New Roman"/>
          <w:i/>
          <w:iCs/>
          <w:sz w:val="24"/>
          <w:szCs w:val="24"/>
        </w:rPr>
        <w:t xml:space="preserve"> Of the War, Book </w:t>
      </w:r>
      <w:r w:rsidR="00AB6135">
        <w:rPr>
          <w:rFonts w:ascii="Times New Roman" w:hAnsi="Times New Roman" w:cs="Times New Roman"/>
          <w:i/>
          <w:iCs/>
          <w:sz w:val="24"/>
          <w:szCs w:val="24"/>
        </w:rPr>
        <w:t>II</w:t>
      </w:r>
      <w:r>
        <w:rPr>
          <w:rFonts w:ascii="Times New Roman" w:hAnsi="Times New Roman" w:cs="Times New Roman"/>
          <w:sz w:val="24"/>
          <w:szCs w:val="24"/>
        </w:rPr>
        <w:t>, the Pharisees are</w:t>
      </w:r>
    </w:p>
    <w:p w14:paraId="0808D47E" w14:textId="41C11078" w:rsidR="00E807ED" w:rsidRDefault="00E807ED">
      <w:pPr>
        <w:rPr>
          <w:rFonts w:ascii="Times New Roman" w:hAnsi="Times New Roman" w:cs="Times New Roman"/>
          <w:sz w:val="24"/>
          <w:szCs w:val="24"/>
        </w:rPr>
      </w:pPr>
      <w:r>
        <w:rPr>
          <w:rFonts w:ascii="Times New Roman" w:hAnsi="Times New Roman" w:cs="Times New Roman"/>
          <w:sz w:val="24"/>
          <w:szCs w:val="24"/>
        </w:rPr>
        <w:tab/>
        <w:t>“Those who are esteemed most skilful in the exact explication of their laws…They ascribe all to fate [or providence], and to God, and yet allow, that to act what is right, or the contrary, is principally in the power of men; although fate does co-operate in every action. They say that all souls are incorruptible, but that the souls of good men only are removed into other bodies, but that the souls of bad men are subject to eternal punishment… the Pharisees are friendly to one another, and are for the exercise of concord, and regard for the public.”</w:t>
      </w:r>
      <w:r w:rsidR="00AB6135">
        <w:rPr>
          <w:rStyle w:val="FootnoteReference"/>
          <w:rFonts w:ascii="Times New Roman" w:hAnsi="Times New Roman" w:cs="Times New Roman"/>
          <w:sz w:val="24"/>
          <w:szCs w:val="24"/>
        </w:rPr>
        <w:footnoteReference w:id="6"/>
      </w:r>
    </w:p>
    <w:p w14:paraId="6402D6FB" w14:textId="413A35D3" w:rsidR="00AB6135" w:rsidRDefault="00AB6135">
      <w:pPr>
        <w:rPr>
          <w:rFonts w:ascii="Times New Roman" w:hAnsi="Times New Roman" w:cs="Times New Roman"/>
          <w:sz w:val="24"/>
          <w:szCs w:val="24"/>
        </w:rPr>
      </w:pPr>
      <w:r>
        <w:rPr>
          <w:rFonts w:ascii="Times New Roman" w:hAnsi="Times New Roman" w:cs="Times New Roman"/>
          <w:sz w:val="24"/>
          <w:szCs w:val="24"/>
        </w:rPr>
        <w:t xml:space="preserve">In his book </w:t>
      </w:r>
      <w:r w:rsidRPr="00AB6135">
        <w:rPr>
          <w:rFonts w:ascii="Times New Roman" w:hAnsi="Times New Roman" w:cs="Times New Roman"/>
          <w:i/>
          <w:iCs/>
          <w:sz w:val="24"/>
          <w:szCs w:val="24"/>
        </w:rPr>
        <w:t>Antiquities of the Jews, Book XIII</w:t>
      </w:r>
      <w:r>
        <w:rPr>
          <w:rFonts w:ascii="Times New Roman" w:hAnsi="Times New Roman" w:cs="Times New Roman"/>
          <w:i/>
          <w:iCs/>
          <w:sz w:val="24"/>
          <w:szCs w:val="24"/>
        </w:rPr>
        <w:t xml:space="preserve">, </w:t>
      </w:r>
      <w:r w:rsidRPr="00AB6135">
        <w:rPr>
          <w:rFonts w:ascii="Times New Roman" w:hAnsi="Times New Roman" w:cs="Times New Roman"/>
          <w:sz w:val="24"/>
          <w:szCs w:val="24"/>
        </w:rPr>
        <w:t>Josephus says that the Pharisees</w:t>
      </w:r>
      <w:r>
        <w:rPr>
          <w:rFonts w:ascii="Times New Roman" w:hAnsi="Times New Roman" w:cs="Times New Roman"/>
          <w:sz w:val="24"/>
          <w:szCs w:val="24"/>
        </w:rPr>
        <w:t xml:space="preserve"> say that actions are the work of fate, but not all actions, as some fates are in our own power and are liable to fate, but are not caused by fate.</w:t>
      </w:r>
      <w:r w:rsidR="001E6D16">
        <w:rPr>
          <w:rFonts w:ascii="Times New Roman" w:hAnsi="Times New Roman" w:cs="Times New Roman"/>
          <w:sz w:val="24"/>
          <w:szCs w:val="24"/>
        </w:rPr>
        <w:t xml:space="preserve"> He also states that the profession of the Pharisees was to be a righteous man and do all they can to please God, they are not apt in been severe with punishments. They have also delivered to the people the law of their fathers</w:t>
      </w:r>
      <w:r w:rsidR="00FF6DED">
        <w:rPr>
          <w:rFonts w:ascii="Times New Roman" w:hAnsi="Times New Roman" w:cs="Times New Roman"/>
          <w:sz w:val="24"/>
          <w:szCs w:val="24"/>
        </w:rPr>
        <w:t xml:space="preserve"> which is not </w:t>
      </w:r>
      <w:r w:rsidR="00FF6DED">
        <w:rPr>
          <w:rFonts w:ascii="Times New Roman" w:hAnsi="Times New Roman" w:cs="Times New Roman"/>
          <w:sz w:val="24"/>
          <w:szCs w:val="24"/>
        </w:rPr>
        <w:lastRenderedPageBreak/>
        <w:t>written in the laws of Moses, he goes onto say that the Pharisees have the multitudes on their side.</w:t>
      </w:r>
      <w:r w:rsidR="00F44585">
        <w:rPr>
          <w:rStyle w:val="FootnoteReference"/>
          <w:rFonts w:ascii="Times New Roman" w:hAnsi="Times New Roman" w:cs="Times New Roman"/>
          <w:sz w:val="24"/>
          <w:szCs w:val="24"/>
        </w:rPr>
        <w:footnoteReference w:id="7"/>
      </w:r>
    </w:p>
    <w:p w14:paraId="22DFDD05" w14:textId="029991CB" w:rsidR="00A25CC3" w:rsidRDefault="00A25CC3">
      <w:pPr>
        <w:rPr>
          <w:rFonts w:ascii="Times New Roman" w:hAnsi="Times New Roman" w:cs="Times New Roman"/>
          <w:sz w:val="24"/>
          <w:szCs w:val="24"/>
        </w:rPr>
      </w:pPr>
      <w:r>
        <w:rPr>
          <w:rFonts w:ascii="Times New Roman" w:hAnsi="Times New Roman" w:cs="Times New Roman"/>
          <w:sz w:val="24"/>
          <w:szCs w:val="24"/>
        </w:rPr>
        <w:t xml:space="preserve">The pharisees are also mentioned in the </w:t>
      </w:r>
      <w:r w:rsidRPr="00C976FC">
        <w:rPr>
          <w:rFonts w:ascii="Times New Roman" w:hAnsi="Times New Roman" w:cs="Times New Roman"/>
          <w:i/>
          <w:iCs/>
          <w:sz w:val="24"/>
          <w:szCs w:val="24"/>
        </w:rPr>
        <w:t>New Testament</w:t>
      </w:r>
      <w:r>
        <w:rPr>
          <w:rFonts w:ascii="Times New Roman" w:hAnsi="Times New Roman" w:cs="Times New Roman"/>
          <w:sz w:val="24"/>
          <w:szCs w:val="24"/>
        </w:rPr>
        <w:t xml:space="preserve">, </w:t>
      </w:r>
      <w:r w:rsidR="00C976FC">
        <w:rPr>
          <w:rFonts w:ascii="Times New Roman" w:hAnsi="Times New Roman" w:cs="Times New Roman"/>
          <w:sz w:val="24"/>
          <w:szCs w:val="24"/>
        </w:rPr>
        <w:t>“</w:t>
      </w:r>
      <w:r>
        <w:rPr>
          <w:rFonts w:ascii="Times New Roman" w:hAnsi="Times New Roman" w:cs="Times New Roman"/>
          <w:sz w:val="24"/>
          <w:szCs w:val="24"/>
        </w:rPr>
        <w:t>the Pharisees do not eat unless they wash their hands, observing the traditions of the elders.</w:t>
      </w:r>
      <w:r w:rsidR="00C976FC">
        <w:rPr>
          <w:rFonts w:ascii="Times New Roman" w:hAnsi="Times New Roman" w:cs="Times New Roman"/>
          <w:sz w:val="24"/>
          <w:szCs w:val="24"/>
        </w:rPr>
        <w:t>”</w:t>
      </w:r>
      <w:r>
        <w:rPr>
          <w:rFonts w:ascii="Times New Roman" w:hAnsi="Times New Roman" w:cs="Times New Roman"/>
          <w:sz w:val="24"/>
          <w:szCs w:val="24"/>
        </w:rPr>
        <w:t xml:space="preserve"> (</w:t>
      </w:r>
      <w:r w:rsidRPr="00C976FC">
        <w:rPr>
          <w:rFonts w:ascii="Times New Roman" w:hAnsi="Times New Roman" w:cs="Times New Roman"/>
          <w:i/>
          <w:iCs/>
          <w:sz w:val="24"/>
          <w:szCs w:val="24"/>
        </w:rPr>
        <w:t>Mark</w:t>
      </w:r>
      <w:r w:rsidR="00C976FC" w:rsidRPr="00C976FC">
        <w:rPr>
          <w:rFonts w:ascii="Times New Roman" w:hAnsi="Times New Roman" w:cs="Times New Roman"/>
          <w:i/>
          <w:iCs/>
          <w:sz w:val="24"/>
          <w:szCs w:val="24"/>
        </w:rPr>
        <w:t xml:space="preserve"> 7:3).</w:t>
      </w:r>
      <w:r w:rsidR="00C976FC">
        <w:rPr>
          <w:rFonts w:ascii="Times New Roman" w:hAnsi="Times New Roman" w:cs="Times New Roman"/>
          <w:sz w:val="24"/>
          <w:szCs w:val="24"/>
        </w:rPr>
        <w:t xml:space="preserve"> Also,” the Sadducees believe there is no resurrection, or angels, or spirits but the Pharisees acknowledge all three.” (</w:t>
      </w:r>
      <w:r w:rsidR="00C976FC" w:rsidRPr="00C976FC">
        <w:rPr>
          <w:rFonts w:ascii="Times New Roman" w:hAnsi="Times New Roman" w:cs="Times New Roman"/>
          <w:i/>
          <w:iCs/>
          <w:sz w:val="24"/>
          <w:szCs w:val="24"/>
        </w:rPr>
        <w:t>Acts 23:8</w:t>
      </w:r>
      <w:r w:rsidR="00C976FC">
        <w:rPr>
          <w:rFonts w:ascii="Times New Roman" w:hAnsi="Times New Roman" w:cs="Times New Roman"/>
          <w:sz w:val="24"/>
          <w:szCs w:val="24"/>
        </w:rPr>
        <w:t>). The Pharisees are also mentioned in</w:t>
      </w:r>
      <w:r w:rsidR="0014081A">
        <w:rPr>
          <w:rFonts w:ascii="Times New Roman" w:hAnsi="Times New Roman" w:cs="Times New Roman"/>
          <w:sz w:val="24"/>
          <w:szCs w:val="24"/>
        </w:rPr>
        <w:t xml:space="preserve"> the book of</w:t>
      </w:r>
      <w:r w:rsidR="00C976FC">
        <w:rPr>
          <w:rFonts w:ascii="Times New Roman" w:hAnsi="Times New Roman" w:cs="Times New Roman"/>
          <w:sz w:val="24"/>
          <w:szCs w:val="24"/>
        </w:rPr>
        <w:t xml:space="preserve"> Matthew, Jesus tells his disciples and the crowd to listen to the Pharisees and do as they tell you but do not do as they do</w:t>
      </w:r>
      <w:r w:rsidR="0014081A">
        <w:rPr>
          <w:rFonts w:ascii="Times New Roman" w:hAnsi="Times New Roman" w:cs="Times New Roman"/>
          <w:sz w:val="24"/>
          <w:szCs w:val="24"/>
        </w:rPr>
        <w:t>, they are hypocrites that do not practice what they teach. (</w:t>
      </w:r>
      <w:r w:rsidR="0014081A" w:rsidRPr="0014081A">
        <w:rPr>
          <w:rFonts w:ascii="Times New Roman" w:hAnsi="Times New Roman" w:cs="Times New Roman"/>
          <w:i/>
          <w:iCs/>
          <w:sz w:val="24"/>
          <w:szCs w:val="24"/>
        </w:rPr>
        <w:t>Matt 23:1-39</w:t>
      </w:r>
      <w:r w:rsidR="0014081A">
        <w:rPr>
          <w:rFonts w:ascii="Times New Roman" w:hAnsi="Times New Roman" w:cs="Times New Roman"/>
          <w:sz w:val="24"/>
          <w:szCs w:val="24"/>
        </w:rPr>
        <w:t>).</w:t>
      </w:r>
    </w:p>
    <w:p w14:paraId="19456058" w14:textId="198E4BE0" w:rsidR="00790048" w:rsidRDefault="00790048">
      <w:pPr>
        <w:rPr>
          <w:rFonts w:ascii="Times New Roman" w:hAnsi="Times New Roman" w:cs="Times New Roman"/>
          <w:sz w:val="24"/>
          <w:szCs w:val="24"/>
        </w:rPr>
      </w:pPr>
      <w:r>
        <w:rPr>
          <w:rFonts w:ascii="Times New Roman" w:hAnsi="Times New Roman" w:cs="Times New Roman"/>
          <w:sz w:val="24"/>
          <w:szCs w:val="24"/>
        </w:rPr>
        <w:t>Morton Smith argues that the Pharisees were just one of several sects, they may have been the largest and the most influential, but they had no real hold on the government or the people.</w:t>
      </w:r>
      <w:r>
        <w:rPr>
          <w:rStyle w:val="FootnoteReference"/>
          <w:rFonts w:ascii="Times New Roman" w:hAnsi="Times New Roman" w:cs="Times New Roman"/>
          <w:sz w:val="24"/>
          <w:szCs w:val="24"/>
        </w:rPr>
        <w:footnoteReference w:id="8"/>
      </w:r>
    </w:p>
    <w:p w14:paraId="030182BB" w14:textId="60C25471" w:rsidR="00350BC1" w:rsidRDefault="00350BC1">
      <w:pPr>
        <w:rPr>
          <w:rFonts w:ascii="Times New Roman" w:hAnsi="Times New Roman" w:cs="Times New Roman"/>
          <w:sz w:val="28"/>
          <w:szCs w:val="28"/>
          <w:u w:val="single"/>
        </w:rPr>
      </w:pPr>
      <w:r w:rsidRPr="00350BC1">
        <w:rPr>
          <w:rFonts w:ascii="Times New Roman" w:hAnsi="Times New Roman" w:cs="Times New Roman"/>
          <w:sz w:val="28"/>
          <w:szCs w:val="28"/>
          <w:u w:val="single"/>
        </w:rPr>
        <w:t>Sadducees</w:t>
      </w:r>
    </w:p>
    <w:p w14:paraId="1A2E5BF4" w14:textId="3F107BDC" w:rsidR="008725A8" w:rsidRDefault="008725A8">
      <w:pPr>
        <w:rPr>
          <w:rFonts w:ascii="Times New Roman" w:hAnsi="Times New Roman" w:cs="Times New Roman"/>
          <w:sz w:val="24"/>
          <w:szCs w:val="24"/>
        </w:rPr>
      </w:pPr>
      <w:r w:rsidRPr="008725A8">
        <w:rPr>
          <w:rFonts w:ascii="Times New Roman" w:hAnsi="Times New Roman" w:cs="Times New Roman"/>
          <w:sz w:val="24"/>
          <w:szCs w:val="24"/>
        </w:rPr>
        <w:t>J</w:t>
      </w:r>
      <w:r>
        <w:rPr>
          <w:rFonts w:ascii="Times New Roman" w:hAnsi="Times New Roman" w:cs="Times New Roman"/>
          <w:sz w:val="24"/>
          <w:szCs w:val="24"/>
        </w:rPr>
        <w:t xml:space="preserve">osephus in his book, </w:t>
      </w:r>
      <w:r w:rsidRPr="008725A8">
        <w:rPr>
          <w:rFonts w:ascii="Times New Roman" w:hAnsi="Times New Roman" w:cs="Times New Roman"/>
          <w:i/>
          <w:iCs/>
          <w:sz w:val="24"/>
          <w:szCs w:val="24"/>
        </w:rPr>
        <w:t>Of the War, Book II</w:t>
      </w:r>
      <w:r>
        <w:rPr>
          <w:rFonts w:ascii="Times New Roman" w:hAnsi="Times New Roman" w:cs="Times New Roman"/>
          <w:i/>
          <w:iCs/>
          <w:sz w:val="24"/>
          <w:szCs w:val="24"/>
        </w:rPr>
        <w:t xml:space="preserve"> </w:t>
      </w:r>
      <w:r w:rsidRPr="008725A8">
        <w:rPr>
          <w:rFonts w:ascii="Times New Roman" w:hAnsi="Times New Roman" w:cs="Times New Roman"/>
          <w:sz w:val="24"/>
          <w:szCs w:val="24"/>
        </w:rPr>
        <w:t>he describes the</w:t>
      </w:r>
      <w:r>
        <w:rPr>
          <w:rFonts w:ascii="Times New Roman" w:hAnsi="Times New Roman" w:cs="Times New Roman"/>
          <w:i/>
          <w:iCs/>
          <w:sz w:val="24"/>
          <w:szCs w:val="24"/>
        </w:rPr>
        <w:t xml:space="preserve"> </w:t>
      </w:r>
      <w:r w:rsidRPr="008725A8">
        <w:rPr>
          <w:rFonts w:ascii="Times New Roman" w:hAnsi="Times New Roman" w:cs="Times New Roman"/>
          <w:sz w:val="24"/>
          <w:szCs w:val="24"/>
        </w:rPr>
        <w:t>Sadducees</w:t>
      </w:r>
      <w:r>
        <w:rPr>
          <w:rFonts w:ascii="Times New Roman" w:hAnsi="Times New Roman" w:cs="Times New Roman"/>
          <w:sz w:val="24"/>
          <w:szCs w:val="24"/>
        </w:rPr>
        <w:t xml:space="preserve"> as:</w:t>
      </w:r>
    </w:p>
    <w:p w14:paraId="766C827B" w14:textId="64D1A7A4" w:rsidR="008725A8" w:rsidRDefault="008725A8">
      <w:pPr>
        <w:rPr>
          <w:rFonts w:ascii="Times New Roman" w:hAnsi="Times New Roman" w:cs="Times New Roman"/>
          <w:sz w:val="24"/>
          <w:szCs w:val="24"/>
        </w:rPr>
      </w:pPr>
      <w:r>
        <w:rPr>
          <w:rFonts w:ascii="Times New Roman" w:hAnsi="Times New Roman" w:cs="Times New Roman"/>
          <w:sz w:val="24"/>
          <w:szCs w:val="24"/>
        </w:rPr>
        <w:tab/>
        <w:t xml:space="preserve">“Those that compose the second order, and take away fate entirely, and suppose that God is not concerned in our doing or not doing what is evil; and they say, that to act what is good, or what is evil, is at men’s own choice…They also take away the belief of the immortal duration of the soul, and the punishments and rewards in Hades.” </w:t>
      </w:r>
      <w:r>
        <w:rPr>
          <w:rStyle w:val="FootnoteReference"/>
          <w:rFonts w:ascii="Times New Roman" w:hAnsi="Times New Roman" w:cs="Times New Roman"/>
          <w:sz w:val="24"/>
          <w:szCs w:val="24"/>
        </w:rPr>
        <w:footnoteReference w:id="9"/>
      </w:r>
      <w:r>
        <w:rPr>
          <w:rFonts w:ascii="Times New Roman" w:hAnsi="Times New Roman" w:cs="Times New Roman"/>
          <w:sz w:val="24"/>
          <w:szCs w:val="24"/>
        </w:rPr>
        <w:t xml:space="preserve"> He goes on to say that the way the Sadducees behave towards one another is wild and the conversations they hold is barbarous and they may as well be strangers.</w:t>
      </w:r>
      <w:r w:rsidR="00F44585">
        <w:rPr>
          <w:rFonts w:ascii="Times New Roman" w:hAnsi="Times New Roman" w:cs="Times New Roman"/>
          <w:sz w:val="24"/>
          <w:szCs w:val="24"/>
        </w:rPr>
        <w:t xml:space="preserve"> Josephus in his book,</w:t>
      </w:r>
      <w:r w:rsidR="00F44585" w:rsidRPr="00F44585">
        <w:rPr>
          <w:rFonts w:ascii="Times New Roman" w:hAnsi="Times New Roman" w:cs="Times New Roman"/>
          <w:i/>
          <w:iCs/>
          <w:sz w:val="24"/>
          <w:szCs w:val="24"/>
        </w:rPr>
        <w:t xml:space="preserve"> Antiquities of the Jews, </w:t>
      </w:r>
      <w:r w:rsidR="00F44585" w:rsidRPr="00F44585">
        <w:rPr>
          <w:rFonts w:ascii="Times New Roman" w:hAnsi="Times New Roman" w:cs="Times New Roman"/>
          <w:i/>
          <w:iCs/>
          <w:sz w:val="24"/>
          <w:szCs w:val="24"/>
        </w:rPr>
        <w:lastRenderedPageBreak/>
        <w:t>Book XIII</w:t>
      </w:r>
      <w:r w:rsidR="00F44585">
        <w:rPr>
          <w:rFonts w:ascii="Times New Roman" w:hAnsi="Times New Roman" w:cs="Times New Roman"/>
          <w:i/>
          <w:iCs/>
          <w:sz w:val="24"/>
          <w:szCs w:val="24"/>
        </w:rPr>
        <w:t xml:space="preserve"> </w:t>
      </w:r>
      <w:r w:rsidR="00F44585" w:rsidRPr="00F44585">
        <w:rPr>
          <w:rFonts w:ascii="Times New Roman" w:hAnsi="Times New Roman" w:cs="Times New Roman"/>
          <w:sz w:val="24"/>
          <w:szCs w:val="24"/>
        </w:rPr>
        <w:t xml:space="preserve">he states that </w:t>
      </w:r>
      <w:r w:rsidR="00F44585">
        <w:rPr>
          <w:rFonts w:ascii="Times New Roman" w:hAnsi="Times New Roman" w:cs="Times New Roman"/>
          <w:sz w:val="24"/>
          <w:szCs w:val="24"/>
        </w:rPr>
        <w:t>the Sadducees only believe in the written word and they do not observe the traditions of our fore-fathers, the only followers they have are the rich people and it is not as many as the Pharisees.</w:t>
      </w:r>
      <w:r w:rsidR="00F44585">
        <w:rPr>
          <w:rStyle w:val="FootnoteReference"/>
          <w:rFonts w:ascii="Times New Roman" w:hAnsi="Times New Roman" w:cs="Times New Roman"/>
          <w:sz w:val="24"/>
          <w:szCs w:val="24"/>
        </w:rPr>
        <w:footnoteReference w:id="10"/>
      </w:r>
    </w:p>
    <w:p w14:paraId="03C600C7" w14:textId="00B803D3" w:rsidR="00345352" w:rsidRDefault="00345352">
      <w:pPr>
        <w:rPr>
          <w:rFonts w:ascii="Times New Roman" w:hAnsi="Times New Roman" w:cs="Times New Roman"/>
          <w:sz w:val="24"/>
          <w:szCs w:val="24"/>
        </w:rPr>
      </w:pPr>
      <w:r>
        <w:rPr>
          <w:rFonts w:ascii="Times New Roman" w:hAnsi="Times New Roman" w:cs="Times New Roman"/>
          <w:sz w:val="24"/>
          <w:szCs w:val="24"/>
        </w:rPr>
        <w:t xml:space="preserve">The Sadducees are also mentioned in the </w:t>
      </w:r>
      <w:r w:rsidRPr="00345352">
        <w:rPr>
          <w:rFonts w:ascii="Times New Roman" w:hAnsi="Times New Roman" w:cs="Times New Roman"/>
          <w:i/>
          <w:iCs/>
          <w:sz w:val="24"/>
          <w:szCs w:val="24"/>
        </w:rPr>
        <w:t>New Testament</w:t>
      </w:r>
      <w:r>
        <w:rPr>
          <w:rFonts w:ascii="Times New Roman" w:hAnsi="Times New Roman" w:cs="Times New Roman"/>
          <w:i/>
          <w:iCs/>
          <w:sz w:val="24"/>
          <w:szCs w:val="24"/>
        </w:rPr>
        <w:t>, “</w:t>
      </w:r>
      <w:r w:rsidRPr="00345352">
        <w:rPr>
          <w:rFonts w:ascii="Times New Roman" w:hAnsi="Times New Roman" w:cs="Times New Roman"/>
          <w:sz w:val="24"/>
          <w:szCs w:val="24"/>
        </w:rPr>
        <w:t>While</w:t>
      </w:r>
      <w:r>
        <w:rPr>
          <w:rFonts w:ascii="Times New Roman" w:hAnsi="Times New Roman" w:cs="Times New Roman"/>
          <w:sz w:val="24"/>
          <w:szCs w:val="24"/>
        </w:rPr>
        <w:t xml:space="preserve"> Peter and John were speaking to the </w:t>
      </w:r>
      <w:r w:rsidR="00D43A90">
        <w:rPr>
          <w:rFonts w:ascii="Times New Roman" w:hAnsi="Times New Roman" w:cs="Times New Roman"/>
          <w:sz w:val="24"/>
          <w:szCs w:val="24"/>
        </w:rPr>
        <w:t>people, the priests the captain of the temple, and the Sadducees came to them.” (</w:t>
      </w:r>
      <w:r w:rsidR="00D43A90" w:rsidRPr="00D43A90">
        <w:rPr>
          <w:rFonts w:ascii="Times New Roman" w:hAnsi="Times New Roman" w:cs="Times New Roman"/>
          <w:i/>
          <w:iCs/>
          <w:sz w:val="24"/>
          <w:szCs w:val="24"/>
        </w:rPr>
        <w:t>Acts: 4:1</w:t>
      </w:r>
      <w:r w:rsidR="00D43A90">
        <w:rPr>
          <w:rFonts w:ascii="Times New Roman" w:hAnsi="Times New Roman" w:cs="Times New Roman"/>
          <w:sz w:val="24"/>
          <w:szCs w:val="24"/>
        </w:rPr>
        <w:t xml:space="preserve">). The Sadducees were made up of wealthy people mainly priests, merchants and aristocrats they took an active role in political and economic life and many of them </w:t>
      </w:r>
      <w:r w:rsidR="00AE3034">
        <w:rPr>
          <w:rFonts w:ascii="Times New Roman" w:hAnsi="Times New Roman" w:cs="Times New Roman"/>
          <w:sz w:val="24"/>
          <w:szCs w:val="24"/>
        </w:rPr>
        <w:t xml:space="preserve">belonged to the supreme Jewish council which was called the Sanhedrin. The Pharisees were said to have the authority of piety and </w:t>
      </w:r>
      <w:r w:rsidR="00AE086D">
        <w:rPr>
          <w:rFonts w:ascii="Times New Roman" w:hAnsi="Times New Roman" w:cs="Times New Roman"/>
          <w:sz w:val="24"/>
          <w:szCs w:val="24"/>
        </w:rPr>
        <w:t>learning,</w:t>
      </w:r>
      <w:r w:rsidR="00AE3034">
        <w:rPr>
          <w:rFonts w:ascii="Times New Roman" w:hAnsi="Times New Roman" w:cs="Times New Roman"/>
          <w:sz w:val="24"/>
          <w:szCs w:val="24"/>
        </w:rPr>
        <w:t xml:space="preserve"> and the Sadducees had the authority when it came to genealogy and position.</w:t>
      </w:r>
      <w:r w:rsidR="00143355">
        <w:rPr>
          <w:rStyle w:val="FootnoteReference"/>
          <w:rFonts w:ascii="Times New Roman" w:hAnsi="Times New Roman" w:cs="Times New Roman"/>
          <w:sz w:val="24"/>
          <w:szCs w:val="24"/>
        </w:rPr>
        <w:footnoteReference w:id="11"/>
      </w:r>
      <w:r w:rsidR="00AE3034">
        <w:rPr>
          <w:rFonts w:ascii="Times New Roman" w:hAnsi="Times New Roman" w:cs="Times New Roman"/>
          <w:sz w:val="24"/>
          <w:szCs w:val="24"/>
        </w:rPr>
        <w:t xml:space="preserve"> </w:t>
      </w:r>
      <w:r w:rsidR="00143355">
        <w:rPr>
          <w:rFonts w:ascii="Times New Roman" w:hAnsi="Times New Roman" w:cs="Times New Roman"/>
          <w:sz w:val="24"/>
          <w:szCs w:val="24"/>
        </w:rPr>
        <w:t>The Sadducees came to power and had influence in Judaism by accepting Hellenization, they lost their influence through the Maccabean revolt but they rose to power again through the reign of  John Hyrcanus, and they stayed in power until the destruction of the second temple in 70CE.</w:t>
      </w:r>
      <w:r w:rsidR="00AB371D">
        <w:rPr>
          <w:rStyle w:val="FootnoteReference"/>
          <w:rFonts w:ascii="Times New Roman" w:hAnsi="Times New Roman" w:cs="Times New Roman"/>
          <w:sz w:val="24"/>
          <w:szCs w:val="24"/>
        </w:rPr>
        <w:footnoteReference w:id="12"/>
      </w:r>
    </w:p>
    <w:p w14:paraId="4E6390E5" w14:textId="6730E4F3" w:rsidR="002333A3" w:rsidRDefault="00AB371D">
      <w:pPr>
        <w:rPr>
          <w:rFonts w:ascii="Times New Roman" w:hAnsi="Times New Roman" w:cs="Times New Roman"/>
          <w:sz w:val="28"/>
          <w:szCs w:val="28"/>
          <w:u w:val="single"/>
        </w:rPr>
      </w:pPr>
      <w:r w:rsidRPr="00AB371D">
        <w:rPr>
          <w:rFonts w:ascii="Times New Roman" w:hAnsi="Times New Roman" w:cs="Times New Roman"/>
          <w:sz w:val="28"/>
          <w:szCs w:val="28"/>
          <w:u w:val="single"/>
        </w:rPr>
        <w:t>Essenes</w:t>
      </w:r>
    </w:p>
    <w:p w14:paraId="59CC39D5" w14:textId="1F46D4DF" w:rsidR="00F435F7" w:rsidRDefault="00F435F7">
      <w:pPr>
        <w:rPr>
          <w:rFonts w:ascii="Times New Roman" w:hAnsi="Times New Roman" w:cs="Times New Roman"/>
          <w:i/>
          <w:iCs/>
          <w:sz w:val="24"/>
          <w:szCs w:val="24"/>
        </w:rPr>
      </w:pPr>
      <w:r w:rsidRPr="00F435F7">
        <w:rPr>
          <w:rFonts w:ascii="Times New Roman" w:hAnsi="Times New Roman" w:cs="Times New Roman"/>
          <w:sz w:val="24"/>
          <w:szCs w:val="24"/>
        </w:rPr>
        <w:t>Josephus in his book</w:t>
      </w:r>
      <w:r>
        <w:rPr>
          <w:rFonts w:ascii="Times New Roman" w:hAnsi="Times New Roman" w:cs="Times New Roman"/>
          <w:sz w:val="24"/>
          <w:szCs w:val="24"/>
        </w:rPr>
        <w:t xml:space="preserve"> </w:t>
      </w:r>
      <w:r w:rsidRPr="00AB3EE1">
        <w:rPr>
          <w:rFonts w:ascii="Times New Roman" w:hAnsi="Times New Roman" w:cs="Times New Roman"/>
          <w:i/>
          <w:iCs/>
          <w:sz w:val="24"/>
          <w:szCs w:val="24"/>
        </w:rPr>
        <w:t>Of the War, Book II</w:t>
      </w:r>
      <w:r w:rsidR="00AB3EE1">
        <w:rPr>
          <w:rFonts w:ascii="Times New Roman" w:hAnsi="Times New Roman" w:cs="Times New Roman"/>
          <w:i/>
          <w:iCs/>
          <w:sz w:val="24"/>
          <w:szCs w:val="24"/>
        </w:rPr>
        <w:t xml:space="preserve">, </w:t>
      </w:r>
      <w:r w:rsidR="00AB3EE1" w:rsidRPr="00AB3EE1">
        <w:rPr>
          <w:rFonts w:ascii="Times New Roman" w:hAnsi="Times New Roman" w:cs="Times New Roman"/>
          <w:sz w:val="24"/>
          <w:szCs w:val="24"/>
        </w:rPr>
        <w:t>describes the Essenes as</w:t>
      </w:r>
      <w:r w:rsidR="00AB3EE1">
        <w:rPr>
          <w:rFonts w:ascii="Times New Roman" w:hAnsi="Times New Roman" w:cs="Times New Roman"/>
          <w:i/>
          <w:iCs/>
          <w:sz w:val="24"/>
          <w:szCs w:val="24"/>
        </w:rPr>
        <w:t>:</w:t>
      </w:r>
    </w:p>
    <w:p w14:paraId="1F4F3EFB" w14:textId="28BFCCF9" w:rsidR="00877AB4" w:rsidRDefault="00AB3EE1">
      <w:pPr>
        <w:rPr>
          <w:rFonts w:ascii="Times New Roman" w:hAnsi="Times New Roman" w:cs="Times New Roman"/>
          <w:sz w:val="24"/>
          <w:szCs w:val="24"/>
        </w:rPr>
      </w:pPr>
      <w:r w:rsidRPr="00AB3EE1">
        <w:rPr>
          <w:rFonts w:ascii="Times New Roman" w:hAnsi="Times New Roman" w:cs="Times New Roman"/>
          <w:sz w:val="24"/>
          <w:szCs w:val="24"/>
        </w:rPr>
        <w:lastRenderedPageBreak/>
        <w:tab/>
        <w:t>“</w:t>
      </w:r>
      <w:r>
        <w:rPr>
          <w:rFonts w:ascii="Times New Roman" w:hAnsi="Times New Roman" w:cs="Times New Roman"/>
          <w:sz w:val="24"/>
          <w:szCs w:val="24"/>
        </w:rPr>
        <w:t>These last are Jews by birth and seem to have greater affection for one another than the other sects have.”</w:t>
      </w:r>
      <w:r>
        <w:rPr>
          <w:rStyle w:val="FootnoteReference"/>
          <w:rFonts w:ascii="Times New Roman" w:hAnsi="Times New Roman" w:cs="Times New Roman"/>
          <w:sz w:val="24"/>
          <w:szCs w:val="24"/>
        </w:rPr>
        <w:footnoteReference w:id="13"/>
      </w:r>
      <w:r>
        <w:rPr>
          <w:rFonts w:ascii="Times New Roman" w:hAnsi="Times New Roman" w:cs="Times New Roman"/>
          <w:sz w:val="24"/>
          <w:szCs w:val="24"/>
        </w:rPr>
        <w:t xml:space="preserve"> He states that they reject pleasures as an evil, neglect marriage but raise other peoples children as their own but then says that there is another order of Essenes who </w:t>
      </w:r>
      <w:r w:rsidR="00AD6BF2">
        <w:rPr>
          <w:rFonts w:ascii="Times New Roman" w:hAnsi="Times New Roman" w:cs="Times New Roman"/>
          <w:sz w:val="24"/>
          <w:szCs w:val="24"/>
        </w:rPr>
        <w:t xml:space="preserve">do marry but not for pleasure but for the sake of posterity. They despise the rich and choose to give everything they own to the order so that all members are equal in status. There is no one area where all the Essenes live but they dwell in every city and when they </w:t>
      </w:r>
      <w:r w:rsidR="00C7386F">
        <w:rPr>
          <w:rFonts w:ascii="Times New Roman" w:hAnsi="Times New Roman" w:cs="Times New Roman"/>
          <w:sz w:val="24"/>
          <w:szCs w:val="24"/>
        </w:rPr>
        <w:t>travel,</w:t>
      </w:r>
      <w:r w:rsidR="00AD6BF2">
        <w:rPr>
          <w:rFonts w:ascii="Times New Roman" w:hAnsi="Times New Roman" w:cs="Times New Roman"/>
          <w:sz w:val="24"/>
          <w:szCs w:val="24"/>
        </w:rPr>
        <w:t xml:space="preserve"> they do so with no belongings but only a weapon to guard them from thieves. They are not allowed to buy or sell things from one another but </w:t>
      </w:r>
      <w:r w:rsidR="00C7386F">
        <w:rPr>
          <w:rFonts w:ascii="Times New Roman" w:hAnsi="Times New Roman" w:cs="Times New Roman"/>
          <w:sz w:val="24"/>
          <w:szCs w:val="24"/>
        </w:rPr>
        <w:t>must</w:t>
      </w:r>
      <w:r w:rsidR="00AD6BF2">
        <w:rPr>
          <w:rFonts w:ascii="Times New Roman" w:hAnsi="Times New Roman" w:cs="Times New Roman"/>
          <w:sz w:val="24"/>
          <w:szCs w:val="24"/>
        </w:rPr>
        <w:t xml:space="preserve"> give and receive things freely.</w:t>
      </w:r>
      <w:r w:rsidR="00C7386F">
        <w:rPr>
          <w:rFonts w:ascii="Times New Roman" w:hAnsi="Times New Roman" w:cs="Times New Roman"/>
          <w:sz w:val="24"/>
          <w:szCs w:val="24"/>
        </w:rPr>
        <w:t xml:space="preserve"> Josephus states that it takes three years to become a full member of  the order and the new member has to swear an oath that he will exercise piety towards God, observe justice to all men, never harm others either by choice or by command. They must hate the wicked and </w:t>
      </w:r>
      <w:r w:rsidR="00E31ABB">
        <w:rPr>
          <w:rFonts w:ascii="Times New Roman" w:hAnsi="Times New Roman" w:cs="Times New Roman"/>
          <w:sz w:val="24"/>
          <w:szCs w:val="24"/>
        </w:rPr>
        <w:t xml:space="preserve">assist the righteous, show fidelity to all men especially those in authority, if they become an </w:t>
      </w:r>
      <w:r w:rsidR="005D0767">
        <w:rPr>
          <w:rFonts w:ascii="Times New Roman" w:hAnsi="Times New Roman" w:cs="Times New Roman"/>
          <w:sz w:val="24"/>
          <w:szCs w:val="24"/>
        </w:rPr>
        <w:t>authoritative</w:t>
      </w:r>
      <w:r w:rsidR="00E31ABB">
        <w:rPr>
          <w:rFonts w:ascii="Times New Roman" w:hAnsi="Times New Roman" w:cs="Times New Roman"/>
          <w:sz w:val="24"/>
          <w:szCs w:val="24"/>
        </w:rPr>
        <w:t xml:space="preserve"> figure they themselves must then never strive to be better than anyone else in the wearing of their garments or other finery. They must become a lover of truth, reprimand those that tell lies, never steal or receive anything that has been stolen, never hide anything from members of their sect and most importantly they must never disclose the doctrines of the sect but preserve</w:t>
      </w:r>
      <w:r w:rsidR="00E90F5C">
        <w:rPr>
          <w:rFonts w:ascii="Times New Roman" w:hAnsi="Times New Roman" w:cs="Times New Roman"/>
          <w:sz w:val="24"/>
          <w:szCs w:val="24"/>
        </w:rPr>
        <w:t xml:space="preserve"> </w:t>
      </w:r>
      <w:r w:rsidR="00E31ABB">
        <w:rPr>
          <w:rFonts w:ascii="Times New Roman" w:hAnsi="Times New Roman" w:cs="Times New Roman"/>
          <w:sz w:val="24"/>
          <w:szCs w:val="24"/>
        </w:rPr>
        <w:t>the books that belong to the sects.</w:t>
      </w:r>
      <w:r w:rsidR="00877AB4">
        <w:rPr>
          <w:rStyle w:val="FootnoteReference"/>
          <w:rFonts w:ascii="Times New Roman" w:hAnsi="Times New Roman" w:cs="Times New Roman"/>
          <w:sz w:val="24"/>
          <w:szCs w:val="24"/>
        </w:rPr>
        <w:footnoteReference w:id="14"/>
      </w:r>
    </w:p>
    <w:p w14:paraId="612736EF" w14:textId="1B257F54" w:rsidR="00877AB4" w:rsidRDefault="00877AB4">
      <w:pPr>
        <w:rPr>
          <w:rFonts w:ascii="Times New Roman" w:hAnsi="Times New Roman" w:cs="Times New Roman"/>
          <w:sz w:val="24"/>
          <w:szCs w:val="24"/>
        </w:rPr>
      </w:pPr>
      <w:r>
        <w:rPr>
          <w:rFonts w:ascii="Times New Roman" w:hAnsi="Times New Roman" w:cs="Times New Roman"/>
          <w:sz w:val="24"/>
          <w:szCs w:val="24"/>
        </w:rPr>
        <w:t xml:space="preserve">The Essene believe that their bodies are </w:t>
      </w:r>
      <w:r w:rsidR="00290F4F">
        <w:rPr>
          <w:rFonts w:ascii="Times New Roman" w:hAnsi="Times New Roman" w:cs="Times New Roman"/>
          <w:sz w:val="24"/>
          <w:szCs w:val="24"/>
        </w:rPr>
        <w:t>corruptible,</w:t>
      </w:r>
      <w:r>
        <w:rPr>
          <w:rFonts w:ascii="Times New Roman" w:hAnsi="Times New Roman" w:cs="Times New Roman"/>
          <w:sz w:val="24"/>
          <w:szCs w:val="24"/>
        </w:rPr>
        <w:t xml:space="preserve"> and their souls are </w:t>
      </w:r>
      <w:r w:rsidR="00290F4F">
        <w:rPr>
          <w:rFonts w:ascii="Times New Roman" w:hAnsi="Times New Roman" w:cs="Times New Roman"/>
          <w:sz w:val="24"/>
          <w:szCs w:val="24"/>
        </w:rPr>
        <w:t>immortal</w:t>
      </w:r>
      <w:r w:rsidR="00262F7F">
        <w:rPr>
          <w:rFonts w:ascii="Times New Roman" w:hAnsi="Times New Roman" w:cs="Times New Roman"/>
          <w:sz w:val="24"/>
          <w:szCs w:val="24"/>
        </w:rPr>
        <w:t>.</w:t>
      </w:r>
      <w:r w:rsidR="00290F4F">
        <w:rPr>
          <w:rFonts w:ascii="Times New Roman" w:hAnsi="Times New Roman" w:cs="Times New Roman"/>
          <w:sz w:val="24"/>
          <w:szCs w:val="24"/>
        </w:rPr>
        <w:t xml:space="preserve"> They have members of the sect who can foretell the future by reading holy books, using different sorts of purification and having knowledge in the prophets, Josephus states that they are seldom wrong in their predictions.</w:t>
      </w:r>
      <w:r w:rsidR="00502233">
        <w:rPr>
          <w:rFonts w:ascii="Times New Roman" w:hAnsi="Times New Roman" w:cs="Times New Roman"/>
          <w:sz w:val="24"/>
          <w:szCs w:val="24"/>
        </w:rPr>
        <w:t xml:space="preserve"> Josephus goes on to say that the Essenes were tortured by the Romans during the war, they were burnt and torn to pieces</w:t>
      </w:r>
      <w:r w:rsidR="00E679BA">
        <w:rPr>
          <w:rFonts w:ascii="Times New Roman" w:hAnsi="Times New Roman" w:cs="Times New Roman"/>
          <w:sz w:val="24"/>
          <w:szCs w:val="24"/>
        </w:rPr>
        <w:t xml:space="preserve">, forced to blaspheme and eat food </w:t>
      </w:r>
      <w:r w:rsidR="00E679BA">
        <w:rPr>
          <w:rFonts w:ascii="Times New Roman" w:hAnsi="Times New Roman" w:cs="Times New Roman"/>
          <w:sz w:val="24"/>
          <w:szCs w:val="24"/>
        </w:rPr>
        <w:lastRenderedPageBreak/>
        <w:t xml:space="preserve">of which they were not allowed. He states that the </w:t>
      </w:r>
      <w:r w:rsidR="002A5151">
        <w:rPr>
          <w:rFonts w:ascii="Times New Roman" w:hAnsi="Times New Roman" w:cs="Times New Roman"/>
          <w:sz w:val="24"/>
          <w:szCs w:val="24"/>
        </w:rPr>
        <w:t>Essenes refused</w:t>
      </w:r>
      <w:r w:rsidR="00E679BA">
        <w:rPr>
          <w:rFonts w:ascii="Times New Roman" w:hAnsi="Times New Roman" w:cs="Times New Roman"/>
          <w:sz w:val="24"/>
          <w:szCs w:val="24"/>
        </w:rPr>
        <w:t xml:space="preserve"> to do any of </w:t>
      </w:r>
      <w:r w:rsidR="002A5151">
        <w:rPr>
          <w:rFonts w:ascii="Times New Roman" w:hAnsi="Times New Roman" w:cs="Times New Roman"/>
          <w:sz w:val="24"/>
          <w:szCs w:val="24"/>
        </w:rPr>
        <w:t>it,</w:t>
      </w:r>
      <w:r w:rsidR="00E679BA">
        <w:rPr>
          <w:rFonts w:ascii="Times New Roman" w:hAnsi="Times New Roman" w:cs="Times New Roman"/>
          <w:sz w:val="24"/>
          <w:szCs w:val="24"/>
        </w:rPr>
        <w:t xml:space="preserve"> and they laughed at their tormentors.</w:t>
      </w:r>
      <w:r w:rsidR="002D201C">
        <w:rPr>
          <w:rStyle w:val="FootnoteReference"/>
          <w:rFonts w:ascii="Times New Roman" w:hAnsi="Times New Roman" w:cs="Times New Roman"/>
          <w:sz w:val="24"/>
          <w:szCs w:val="24"/>
        </w:rPr>
        <w:footnoteReference w:id="15"/>
      </w:r>
    </w:p>
    <w:p w14:paraId="6125B076" w14:textId="6379AAF0" w:rsidR="0015745C" w:rsidRDefault="0015745C">
      <w:pPr>
        <w:rPr>
          <w:rFonts w:ascii="Times New Roman" w:hAnsi="Times New Roman" w:cs="Times New Roman"/>
          <w:sz w:val="28"/>
          <w:szCs w:val="28"/>
          <w:u w:val="single"/>
        </w:rPr>
      </w:pPr>
      <w:r w:rsidRPr="0015745C">
        <w:rPr>
          <w:rFonts w:ascii="Times New Roman" w:hAnsi="Times New Roman" w:cs="Times New Roman"/>
          <w:sz w:val="28"/>
          <w:szCs w:val="28"/>
          <w:u w:val="single"/>
        </w:rPr>
        <w:t>Zealots</w:t>
      </w:r>
    </w:p>
    <w:p w14:paraId="4D9F987F" w14:textId="10E7E51F" w:rsidR="0015745C" w:rsidRDefault="00BC0479">
      <w:pPr>
        <w:rPr>
          <w:rFonts w:ascii="Times New Roman" w:hAnsi="Times New Roman" w:cs="Times New Roman"/>
          <w:sz w:val="24"/>
          <w:szCs w:val="24"/>
        </w:rPr>
      </w:pPr>
      <w:r w:rsidRPr="00BC0479">
        <w:rPr>
          <w:rFonts w:ascii="Times New Roman" w:hAnsi="Times New Roman" w:cs="Times New Roman"/>
          <w:sz w:val="24"/>
          <w:szCs w:val="24"/>
        </w:rPr>
        <w:t xml:space="preserve">The </w:t>
      </w:r>
      <w:r>
        <w:rPr>
          <w:rFonts w:ascii="Times New Roman" w:hAnsi="Times New Roman" w:cs="Times New Roman"/>
          <w:sz w:val="24"/>
          <w:szCs w:val="24"/>
        </w:rPr>
        <w:t>popular view is that the revolt against Rome was led by one single party founded by Judas of Galilee in 6 CE and that other groups such as the Sicarii who were said to be followers of John of Gischala and also followers of Simon bar Giora were in fact factions that had developed between the one party which were known as the Zealots.</w:t>
      </w:r>
      <w:r>
        <w:rPr>
          <w:rStyle w:val="FootnoteReference"/>
          <w:rFonts w:ascii="Times New Roman" w:hAnsi="Times New Roman" w:cs="Times New Roman"/>
          <w:sz w:val="24"/>
          <w:szCs w:val="24"/>
        </w:rPr>
        <w:footnoteReference w:id="16"/>
      </w:r>
      <w:r w:rsidR="00E47F41">
        <w:rPr>
          <w:rFonts w:ascii="Times New Roman" w:hAnsi="Times New Roman" w:cs="Times New Roman"/>
          <w:sz w:val="24"/>
          <w:szCs w:val="24"/>
        </w:rPr>
        <w:t xml:space="preserve"> Josephus in his book</w:t>
      </w:r>
      <w:r w:rsidR="00AA660A">
        <w:rPr>
          <w:rFonts w:ascii="Times New Roman" w:hAnsi="Times New Roman" w:cs="Times New Roman"/>
          <w:sz w:val="24"/>
          <w:szCs w:val="24"/>
        </w:rPr>
        <w:t xml:space="preserve"> </w:t>
      </w:r>
      <w:r w:rsidR="00AA660A" w:rsidRPr="00AA660A">
        <w:rPr>
          <w:rFonts w:ascii="Times New Roman" w:hAnsi="Times New Roman" w:cs="Times New Roman"/>
          <w:i/>
          <w:iCs/>
          <w:sz w:val="24"/>
          <w:szCs w:val="24"/>
        </w:rPr>
        <w:t>Of the War, Book II</w:t>
      </w:r>
      <w:r w:rsidR="00AA660A">
        <w:rPr>
          <w:rFonts w:ascii="Times New Roman" w:hAnsi="Times New Roman" w:cs="Times New Roman"/>
          <w:i/>
          <w:iCs/>
          <w:sz w:val="24"/>
          <w:szCs w:val="24"/>
        </w:rPr>
        <w:t xml:space="preserve"> </w:t>
      </w:r>
      <w:r w:rsidR="00AA660A" w:rsidRPr="00AA660A">
        <w:rPr>
          <w:rFonts w:ascii="Times New Roman" w:hAnsi="Times New Roman" w:cs="Times New Roman"/>
          <w:sz w:val="24"/>
          <w:szCs w:val="24"/>
        </w:rPr>
        <w:t>states</w:t>
      </w:r>
      <w:r w:rsidR="00AA660A">
        <w:rPr>
          <w:rFonts w:ascii="Times New Roman" w:hAnsi="Times New Roman" w:cs="Times New Roman"/>
          <w:sz w:val="24"/>
          <w:szCs w:val="24"/>
        </w:rPr>
        <w:t>:</w:t>
      </w:r>
    </w:p>
    <w:p w14:paraId="2B4D7E5A" w14:textId="1BC8709D" w:rsidR="00AA660A" w:rsidRDefault="00AA660A">
      <w:pPr>
        <w:rPr>
          <w:rFonts w:ascii="Times New Roman" w:hAnsi="Times New Roman" w:cs="Times New Roman"/>
          <w:color w:val="000000"/>
          <w:sz w:val="24"/>
          <w:szCs w:val="24"/>
          <w:shd w:val="clear" w:color="auto" w:fill="FFFFFF"/>
        </w:rPr>
      </w:pPr>
      <w:r>
        <w:rPr>
          <w:rFonts w:ascii="Times New Roman" w:hAnsi="Times New Roman" w:cs="Times New Roman"/>
          <w:sz w:val="24"/>
          <w:szCs w:val="24"/>
        </w:rPr>
        <w:tab/>
      </w:r>
      <w:r w:rsidRPr="00AA660A">
        <w:rPr>
          <w:rFonts w:ascii="Times New Roman" w:hAnsi="Times New Roman" w:cs="Times New Roman"/>
          <w:sz w:val="24"/>
          <w:szCs w:val="24"/>
        </w:rPr>
        <w:t>“</w:t>
      </w:r>
      <w:r w:rsidRPr="00AA660A">
        <w:rPr>
          <w:rFonts w:ascii="Times New Roman" w:hAnsi="Times New Roman" w:cs="Times New Roman"/>
          <w:color w:val="000000"/>
          <w:sz w:val="24"/>
          <w:szCs w:val="24"/>
          <w:shd w:val="clear" w:color="auto" w:fill="FFFFFF"/>
        </w:rPr>
        <w:t xml:space="preserve">But of the fourth sect of Jewish philosophy, Judas the Galilean was the author. These men agree in all other things with the </w:t>
      </w:r>
      <w:r w:rsidR="00765813" w:rsidRPr="00AA660A">
        <w:rPr>
          <w:rFonts w:ascii="Times New Roman" w:hAnsi="Times New Roman" w:cs="Times New Roman"/>
          <w:color w:val="000000"/>
          <w:sz w:val="24"/>
          <w:szCs w:val="24"/>
          <w:shd w:val="clear" w:color="auto" w:fill="FFFFFF"/>
        </w:rPr>
        <w:t>Pharisaic</w:t>
      </w:r>
      <w:r w:rsidRPr="00AA660A">
        <w:rPr>
          <w:rFonts w:ascii="Times New Roman" w:hAnsi="Times New Roman" w:cs="Times New Roman"/>
          <w:color w:val="000000"/>
          <w:sz w:val="24"/>
          <w:szCs w:val="24"/>
          <w:shd w:val="clear" w:color="auto" w:fill="FFFFFF"/>
        </w:rPr>
        <w:t xml:space="preserve"> notions; but they have an inviolable attachment to liberty; and say that God is to be their only ruler and lord.</w:t>
      </w:r>
      <w:r w:rsidRPr="00AA660A">
        <w:rPr>
          <w:rFonts w:ascii="Times New Roman" w:hAnsi="Times New Roman" w:cs="Times New Roman"/>
          <w:color w:val="000000"/>
          <w:sz w:val="24"/>
          <w:szCs w:val="24"/>
          <w:shd w:val="clear" w:color="auto" w:fill="FFFFFF"/>
        </w:rPr>
        <w:t>”</w:t>
      </w:r>
      <w:r>
        <w:rPr>
          <w:rStyle w:val="FootnoteReference"/>
          <w:rFonts w:ascii="Times New Roman" w:hAnsi="Times New Roman" w:cs="Times New Roman"/>
          <w:color w:val="000000"/>
          <w:sz w:val="24"/>
          <w:szCs w:val="24"/>
          <w:shd w:val="clear" w:color="auto" w:fill="FFFFFF"/>
        </w:rPr>
        <w:footnoteReference w:id="17"/>
      </w:r>
      <w:r w:rsidR="00107665">
        <w:rPr>
          <w:rFonts w:ascii="Times New Roman" w:hAnsi="Times New Roman" w:cs="Times New Roman"/>
          <w:color w:val="000000"/>
          <w:sz w:val="24"/>
          <w:szCs w:val="24"/>
          <w:shd w:val="clear" w:color="auto" w:fill="FFFFFF"/>
        </w:rPr>
        <w:t xml:space="preserve">  It is also argued that  “bandits”, “Zealots” and “Sicarii” are different names used to describe the one group. T. L. Donaldson argues that a Zealot party </w:t>
      </w:r>
      <w:r w:rsidR="00765813">
        <w:rPr>
          <w:rFonts w:ascii="Times New Roman" w:hAnsi="Times New Roman" w:cs="Times New Roman"/>
          <w:color w:val="000000"/>
          <w:sz w:val="24"/>
          <w:szCs w:val="24"/>
          <w:shd w:val="clear" w:color="auto" w:fill="FFFFFF"/>
        </w:rPr>
        <w:t>only emerges after the winter of 67-68 C.E. after the fall of Galilee and the collapse of the government under the High Priest Ananus. He argues that the Zealot party is just one of several factions that are fighting for control of the war.</w:t>
      </w:r>
      <w:r w:rsidR="000A40E7">
        <w:rPr>
          <w:rFonts w:ascii="Times New Roman" w:hAnsi="Times New Roman" w:cs="Times New Roman"/>
          <w:color w:val="000000"/>
          <w:sz w:val="24"/>
          <w:szCs w:val="24"/>
          <w:shd w:val="clear" w:color="auto" w:fill="FFFFFF"/>
        </w:rPr>
        <w:t xml:space="preserve"> They Fourth Philosophy and the Sicarii are not peasant movements but are literate groups with logical and consistent ideologies and strategies.</w:t>
      </w:r>
    </w:p>
    <w:p w14:paraId="06F6BE5E" w14:textId="1324E7A4" w:rsidR="00262F7F" w:rsidRDefault="00262F7F">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Social banditry according to Eric </w:t>
      </w:r>
      <w:r w:rsidR="00A51BEE">
        <w:rPr>
          <w:rFonts w:ascii="Times New Roman" w:hAnsi="Times New Roman" w:cs="Times New Roman"/>
          <w:color w:val="000000"/>
          <w:sz w:val="24"/>
          <w:szCs w:val="24"/>
          <w:shd w:val="clear" w:color="auto" w:fill="FFFFFF"/>
        </w:rPr>
        <w:t>Hobsbawm</w:t>
      </w:r>
      <w:r>
        <w:rPr>
          <w:rFonts w:ascii="Times New Roman" w:hAnsi="Times New Roman" w:cs="Times New Roman"/>
          <w:color w:val="000000"/>
          <w:sz w:val="24"/>
          <w:szCs w:val="24"/>
          <w:shd w:val="clear" w:color="auto" w:fill="FFFFFF"/>
        </w:rPr>
        <w:t xml:space="preserve"> is a well-known social</w:t>
      </w:r>
      <w:r w:rsidR="00F44749">
        <w:rPr>
          <w:rFonts w:ascii="Times New Roman" w:hAnsi="Times New Roman" w:cs="Times New Roman"/>
          <w:color w:val="000000"/>
          <w:sz w:val="24"/>
          <w:szCs w:val="24"/>
          <w:shd w:val="clear" w:color="auto" w:fill="FFFFFF"/>
        </w:rPr>
        <w:t xml:space="preserve"> rural</w:t>
      </w:r>
      <w:r>
        <w:rPr>
          <w:rFonts w:ascii="Times New Roman" w:hAnsi="Times New Roman" w:cs="Times New Roman"/>
          <w:color w:val="000000"/>
          <w:sz w:val="24"/>
          <w:szCs w:val="24"/>
          <w:shd w:val="clear" w:color="auto" w:fill="FFFFFF"/>
        </w:rPr>
        <w:t xml:space="preserve"> </w:t>
      </w:r>
      <w:r w:rsidR="00A51BEE">
        <w:rPr>
          <w:rFonts w:ascii="Times New Roman" w:hAnsi="Times New Roman" w:cs="Times New Roman"/>
          <w:color w:val="000000"/>
          <w:sz w:val="24"/>
          <w:szCs w:val="24"/>
          <w:shd w:val="clear" w:color="auto" w:fill="FFFFFF"/>
        </w:rPr>
        <w:t>phenomenon</w:t>
      </w:r>
      <w:r>
        <w:rPr>
          <w:rFonts w:ascii="Times New Roman" w:hAnsi="Times New Roman" w:cs="Times New Roman"/>
          <w:color w:val="000000"/>
          <w:sz w:val="24"/>
          <w:szCs w:val="24"/>
          <w:shd w:val="clear" w:color="auto" w:fill="FFFFFF"/>
        </w:rPr>
        <w:t xml:space="preserve"> that occurs in peasant </w:t>
      </w:r>
      <w:r w:rsidR="00A51BEE">
        <w:rPr>
          <w:rFonts w:ascii="Times New Roman" w:hAnsi="Times New Roman" w:cs="Times New Roman"/>
          <w:color w:val="000000"/>
          <w:sz w:val="24"/>
          <w:szCs w:val="24"/>
          <w:shd w:val="clear" w:color="auto" w:fill="FFFFFF"/>
        </w:rPr>
        <w:t>society,</w:t>
      </w:r>
      <w:r>
        <w:rPr>
          <w:rFonts w:ascii="Times New Roman" w:hAnsi="Times New Roman" w:cs="Times New Roman"/>
          <w:color w:val="000000"/>
          <w:sz w:val="24"/>
          <w:szCs w:val="24"/>
          <w:shd w:val="clear" w:color="auto" w:fill="FFFFFF"/>
        </w:rPr>
        <w:t xml:space="preserve"> but it is distinct from common criminality. A bandit group consist </w:t>
      </w:r>
      <w:r>
        <w:rPr>
          <w:rFonts w:ascii="Times New Roman" w:hAnsi="Times New Roman" w:cs="Times New Roman"/>
          <w:color w:val="000000"/>
          <w:sz w:val="24"/>
          <w:szCs w:val="24"/>
          <w:shd w:val="clear" w:color="auto" w:fill="FFFFFF"/>
        </w:rPr>
        <w:lastRenderedPageBreak/>
        <w:t xml:space="preserve">of between ten to twenty members who feel that life has become unbearable or intolerable due to social and economic factor. Although viewed as common criminals by people in high society to a peasant society they would be viewed as victims of injustice or even considered as heroes, but they would be admired and supported by the peasant society. The social bandits may have initially supported the Zealots as they captured Jerusalem but when the bandits felt that the Zealots had gone too far or that their interests were no longer taken into </w:t>
      </w:r>
      <w:r w:rsidR="00A51BEE">
        <w:rPr>
          <w:rFonts w:ascii="Times New Roman" w:hAnsi="Times New Roman" w:cs="Times New Roman"/>
          <w:color w:val="000000"/>
          <w:sz w:val="24"/>
          <w:szCs w:val="24"/>
          <w:shd w:val="clear" w:color="auto" w:fill="FFFFFF"/>
        </w:rPr>
        <w:t>account,</w:t>
      </w:r>
      <w:r>
        <w:rPr>
          <w:rFonts w:ascii="Times New Roman" w:hAnsi="Times New Roman" w:cs="Times New Roman"/>
          <w:color w:val="000000"/>
          <w:sz w:val="24"/>
          <w:szCs w:val="24"/>
          <w:shd w:val="clear" w:color="auto" w:fill="FFFFFF"/>
        </w:rPr>
        <w:t xml:space="preserve"> </w:t>
      </w:r>
      <w:r w:rsidR="008D0D90">
        <w:rPr>
          <w:rFonts w:ascii="Times New Roman" w:hAnsi="Times New Roman" w:cs="Times New Roman"/>
          <w:color w:val="000000"/>
          <w:sz w:val="24"/>
          <w:szCs w:val="24"/>
          <w:shd w:val="clear" w:color="auto" w:fill="FFFFFF"/>
        </w:rPr>
        <w:t>they withdrew their support.</w:t>
      </w:r>
      <w:r w:rsidR="00A51BEE">
        <w:rPr>
          <w:rStyle w:val="FootnoteReference"/>
          <w:rFonts w:ascii="Times New Roman" w:hAnsi="Times New Roman" w:cs="Times New Roman"/>
          <w:color w:val="000000"/>
          <w:sz w:val="24"/>
          <w:szCs w:val="24"/>
          <w:shd w:val="clear" w:color="auto" w:fill="FFFFFF"/>
        </w:rPr>
        <w:footnoteReference w:id="18"/>
      </w:r>
      <w:r w:rsidR="00836E6B">
        <w:rPr>
          <w:rFonts w:ascii="Times New Roman" w:hAnsi="Times New Roman" w:cs="Times New Roman"/>
          <w:color w:val="000000"/>
          <w:sz w:val="24"/>
          <w:szCs w:val="24"/>
          <w:shd w:val="clear" w:color="auto" w:fill="FFFFFF"/>
        </w:rPr>
        <w:t xml:space="preserve"> The Sicarii were a different type of bandit which operated in urban settings, they committed murder and assassinations using dagger type weapons. They operated in the city of Jerusalem and in the holy temple because their identities were unknown, they could continue to live in the city undetected. The first to be assassinated by them was Jonathan the High Priest and after this, murders happened on a daily occurrence.</w:t>
      </w:r>
      <w:r w:rsidR="00E834A8">
        <w:rPr>
          <w:rFonts w:ascii="Times New Roman" w:hAnsi="Times New Roman" w:cs="Times New Roman"/>
          <w:color w:val="000000"/>
          <w:sz w:val="24"/>
          <w:szCs w:val="24"/>
          <w:shd w:val="clear" w:color="auto" w:fill="FFFFFF"/>
        </w:rPr>
        <w:t xml:space="preserve"> The Sicarii focused on assassinating the Jewish ruling groups, the aristocracy, the royal family, anyone high up in society because the Romans ruled through the upper classes. By attacking these </w:t>
      </w:r>
      <w:r w:rsidR="003D2AAB">
        <w:rPr>
          <w:rFonts w:ascii="Times New Roman" w:hAnsi="Times New Roman" w:cs="Times New Roman"/>
          <w:color w:val="000000"/>
          <w:sz w:val="24"/>
          <w:szCs w:val="24"/>
          <w:shd w:val="clear" w:color="auto" w:fill="FFFFFF"/>
        </w:rPr>
        <w:t>people,</w:t>
      </w:r>
      <w:r w:rsidR="00E834A8">
        <w:rPr>
          <w:rFonts w:ascii="Times New Roman" w:hAnsi="Times New Roman" w:cs="Times New Roman"/>
          <w:color w:val="000000"/>
          <w:sz w:val="24"/>
          <w:szCs w:val="24"/>
          <w:shd w:val="clear" w:color="auto" w:fill="FFFFFF"/>
        </w:rPr>
        <w:t xml:space="preserve"> they could demonstrate that the established regime was </w:t>
      </w:r>
      <w:r w:rsidR="003D2AAB">
        <w:rPr>
          <w:rFonts w:ascii="Times New Roman" w:hAnsi="Times New Roman" w:cs="Times New Roman"/>
          <w:color w:val="000000"/>
          <w:sz w:val="24"/>
          <w:szCs w:val="24"/>
          <w:shd w:val="clear" w:color="auto" w:fill="FFFFFF"/>
        </w:rPr>
        <w:t>vulnerable,</w:t>
      </w:r>
      <w:r w:rsidR="00E834A8">
        <w:rPr>
          <w:rFonts w:ascii="Times New Roman" w:hAnsi="Times New Roman" w:cs="Times New Roman"/>
          <w:color w:val="000000"/>
          <w:sz w:val="24"/>
          <w:szCs w:val="24"/>
          <w:shd w:val="clear" w:color="auto" w:fill="FFFFFF"/>
        </w:rPr>
        <w:t xml:space="preserve"> but it was also a way to spread terror through them.</w:t>
      </w:r>
      <w:r w:rsidR="003D2AAB">
        <w:rPr>
          <w:rFonts w:ascii="Times New Roman" w:hAnsi="Times New Roman" w:cs="Times New Roman"/>
          <w:color w:val="000000"/>
          <w:sz w:val="24"/>
          <w:szCs w:val="24"/>
          <w:shd w:val="clear" w:color="auto" w:fill="FFFFFF"/>
        </w:rPr>
        <w:t xml:space="preserve"> It was the Zealots and the Sicarii that took a last stand at Masada </w:t>
      </w:r>
      <w:r w:rsidR="00502233">
        <w:rPr>
          <w:rFonts w:ascii="Times New Roman" w:hAnsi="Times New Roman" w:cs="Times New Roman"/>
          <w:color w:val="000000"/>
          <w:sz w:val="24"/>
          <w:szCs w:val="24"/>
          <w:shd w:val="clear" w:color="auto" w:fill="FFFFFF"/>
        </w:rPr>
        <w:t>in 73-74 A.D.</w:t>
      </w:r>
      <w:r w:rsidR="00502233">
        <w:rPr>
          <w:rStyle w:val="FootnoteReference"/>
          <w:rFonts w:ascii="Times New Roman" w:hAnsi="Times New Roman" w:cs="Times New Roman"/>
          <w:color w:val="000000"/>
          <w:sz w:val="24"/>
          <w:szCs w:val="24"/>
          <w:shd w:val="clear" w:color="auto" w:fill="FFFFFF"/>
        </w:rPr>
        <w:footnoteReference w:id="19"/>
      </w:r>
    </w:p>
    <w:p w14:paraId="09D73D4C" w14:textId="1CF415A2" w:rsidR="00C747AB" w:rsidRDefault="00C747AB">
      <w:pPr>
        <w:rPr>
          <w:rFonts w:ascii="Times New Roman" w:hAnsi="Times New Roman" w:cs="Times New Roman"/>
          <w:color w:val="000000"/>
          <w:sz w:val="28"/>
          <w:szCs w:val="28"/>
          <w:u w:val="single"/>
          <w:shd w:val="clear" w:color="auto" w:fill="FFFFFF"/>
        </w:rPr>
      </w:pPr>
      <w:r w:rsidRPr="00C747AB">
        <w:rPr>
          <w:rFonts w:ascii="Times New Roman" w:hAnsi="Times New Roman" w:cs="Times New Roman"/>
          <w:color w:val="000000"/>
          <w:sz w:val="28"/>
          <w:szCs w:val="28"/>
          <w:u w:val="single"/>
          <w:shd w:val="clear" w:color="auto" w:fill="FFFFFF"/>
        </w:rPr>
        <w:t>Conclusion</w:t>
      </w:r>
    </w:p>
    <w:p w14:paraId="5AEE9F73" w14:textId="1BB094D9" w:rsidR="00C747AB" w:rsidRDefault="00C747AB">
      <w:pPr>
        <w:rPr>
          <w:rFonts w:ascii="Times New Roman" w:hAnsi="Times New Roman" w:cs="Times New Roman"/>
          <w:color w:val="000000"/>
          <w:sz w:val="24"/>
          <w:szCs w:val="24"/>
          <w:shd w:val="clear" w:color="auto" w:fill="FFFFFF"/>
        </w:rPr>
      </w:pPr>
      <w:r w:rsidRPr="00C747AB">
        <w:rPr>
          <w:rFonts w:ascii="Times New Roman" w:hAnsi="Times New Roman" w:cs="Times New Roman"/>
          <w:color w:val="000000"/>
          <w:sz w:val="24"/>
          <w:szCs w:val="24"/>
          <w:shd w:val="clear" w:color="auto" w:fill="FFFFFF"/>
        </w:rPr>
        <w:t>This</w:t>
      </w:r>
      <w:r>
        <w:rPr>
          <w:rFonts w:ascii="Times New Roman" w:hAnsi="Times New Roman" w:cs="Times New Roman"/>
          <w:color w:val="000000"/>
          <w:sz w:val="24"/>
          <w:szCs w:val="24"/>
          <w:shd w:val="clear" w:color="auto" w:fill="FFFFFF"/>
        </w:rPr>
        <w:t xml:space="preserve"> exam has evaluated how the Pharisees, Sadducees, Essenes and Zealots were divided into different groups at the beginning of the Christian Era.</w:t>
      </w:r>
      <w:r w:rsidR="002A5151">
        <w:rPr>
          <w:rFonts w:ascii="Times New Roman" w:hAnsi="Times New Roman" w:cs="Times New Roman"/>
          <w:color w:val="000000"/>
          <w:sz w:val="24"/>
          <w:szCs w:val="24"/>
          <w:shd w:val="clear" w:color="auto" w:fill="FFFFFF"/>
        </w:rPr>
        <w:t xml:space="preserve"> It has also evaluated the Palestinian Jew who belonged to none of the four different groups mentioned above. The Palestinian Jew chose to practice their religion through the temple, the Torah and acts of kindness, they were loyal to none of the above four groups and chose to be loyal to the </w:t>
      </w:r>
      <w:r w:rsidR="002A5151">
        <w:rPr>
          <w:rFonts w:ascii="Times New Roman" w:hAnsi="Times New Roman" w:cs="Times New Roman"/>
          <w:color w:val="000000"/>
          <w:sz w:val="24"/>
          <w:szCs w:val="24"/>
          <w:shd w:val="clear" w:color="auto" w:fill="FFFFFF"/>
        </w:rPr>
        <w:lastRenderedPageBreak/>
        <w:t>temple and the law. This exam has evaluated the importance of Josephus as a primary source for this time period. Josephus was an eyewitness to all or most of the events that took place, he wrote in his book about all the four different groups  and it gives a good insight into the thoughts and practices of those groups even if some of these thoughts and practices were slightly exaggerated or even fabricated. The Zealots and the Sicarii were organized literate groups with logical and consistent thoughts and strategies, but the bandits were not. The bandits were members of a peasant society who were thought of as common criminals by the upper class but were often thought of as heroes by the peasant society. After the destruction of the Second Temple in 70 AD the only group to have survived in any great numbers and to have any great influence in Judaism in any significant way was the Pharisees.</w:t>
      </w:r>
    </w:p>
    <w:p w14:paraId="372E17C7" w14:textId="09285C70" w:rsidR="003967B8" w:rsidRPr="003967B8" w:rsidRDefault="00EB755C">
      <w:pPr>
        <w:rPr>
          <w:rFonts w:ascii="Times New Roman" w:hAnsi="Times New Roman" w:cs="Times New Roman"/>
          <w:color w:val="000000"/>
          <w:sz w:val="28"/>
          <w:szCs w:val="28"/>
          <w:u w:val="single"/>
          <w:shd w:val="clear" w:color="auto" w:fill="FFFFFF"/>
        </w:rPr>
      </w:pPr>
      <w:r w:rsidRPr="00902BA7">
        <w:rPr>
          <w:rFonts w:ascii="Times New Roman" w:hAnsi="Times New Roman" w:cs="Times New Roman"/>
          <w:color w:val="000000"/>
          <w:sz w:val="28"/>
          <w:szCs w:val="28"/>
          <w:u w:val="single"/>
          <w:shd w:val="clear" w:color="auto" w:fill="FFFFFF"/>
        </w:rPr>
        <w:t>Bibliography</w:t>
      </w:r>
    </w:p>
    <w:p w14:paraId="7E52FC0B" w14:textId="77777777" w:rsidR="003967B8" w:rsidRDefault="003967B8">
      <w:pPr>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 Botha</w:t>
      </w:r>
      <w:r>
        <w:rPr>
          <w:rFonts w:ascii="Arial" w:hAnsi="Arial" w:cs="Arial"/>
          <w:color w:val="000000"/>
          <w:sz w:val="19"/>
          <w:szCs w:val="19"/>
          <w:shd w:val="clear" w:color="auto" w:fill="FFFFFF"/>
        </w:rPr>
        <w:t xml:space="preserve"> Pieter J. J</w:t>
      </w:r>
      <w:r>
        <w:rPr>
          <w:rFonts w:ascii="Arial" w:hAnsi="Arial" w:cs="Arial"/>
          <w:color w:val="000000"/>
          <w:sz w:val="19"/>
          <w:szCs w:val="19"/>
          <w:shd w:val="clear" w:color="auto" w:fill="FFFFFF"/>
        </w:rPr>
        <w:t xml:space="preserve">, 'History and point of view: understanding the Sadducees', </w:t>
      </w:r>
      <w:proofErr w:type="spellStart"/>
      <w:r>
        <w:rPr>
          <w:rFonts w:ascii="Arial" w:hAnsi="Arial" w:cs="Arial"/>
          <w:i/>
          <w:iCs/>
          <w:color w:val="000000"/>
          <w:sz w:val="19"/>
          <w:szCs w:val="19"/>
        </w:rPr>
        <w:t>Neotestamentica</w:t>
      </w:r>
      <w:proofErr w:type="spellEnd"/>
      <w:r>
        <w:rPr>
          <w:rFonts w:ascii="Arial" w:hAnsi="Arial" w:cs="Arial"/>
          <w:color w:val="000000"/>
          <w:sz w:val="19"/>
          <w:szCs w:val="19"/>
          <w:shd w:val="clear" w:color="auto" w:fill="FFFFFF"/>
        </w:rPr>
        <w:t>, 30.2, (1996), 235-280</w:t>
      </w:r>
      <w:r>
        <w:rPr>
          <w:rFonts w:ascii="Arial" w:hAnsi="Arial" w:cs="Arial"/>
          <w:color w:val="000000"/>
          <w:sz w:val="19"/>
          <w:szCs w:val="19"/>
          <w:shd w:val="clear" w:color="auto" w:fill="FFFFFF"/>
        </w:rPr>
        <w:t>.</w:t>
      </w:r>
    </w:p>
    <w:p w14:paraId="762C40A9" w14:textId="77777777" w:rsidR="003967B8" w:rsidRDefault="003967B8">
      <w:pPr>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 Cohen</w:t>
      </w:r>
      <w:r>
        <w:rPr>
          <w:rFonts w:ascii="Arial" w:hAnsi="Arial" w:cs="Arial"/>
          <w:color w:val="000000"/>
          <w:sz w:val="19"/>
          <w:szCs w:val="19"/>
          <w:shd w:val="clear" w:color="auto" w:fill="FFFFFF"/>
        </w:rPr>
        <w:t xml:space="preserve"> Shaye J. D</w:t>
      </w:r>
      <w:r>
        <w:rPr>
          <w:rFonts w:ascii="Arial" w:hAnsi="Arial" w:cs="Arial"/>
          <w:color w:val="000000"/>
          <w:sz w:val="19"/>
          <w:szCs w:val="19"/>
          <w:shd w:val="clear" w:color="auto" w:fill="FFFFFF"/>
        </w:rPr>
        <w:t xml:space="preserve">, </w:t>
      </w:r>
      <w:r>
        <w:rPr>
          <w:rFonts w:ascii="Arial" w:hAnsi="Arial" w:cs="Arial"/>
          <w:i/>
          <w:iCs/>
          <w:color w:val="000000"/>
          <w:sz w:val="19"/>
          <w:szCs w:val="19"/>
        </w:rPr>
        <w:t>From the Maccabees to the Mishnah</w:t>
      </w:r>
      <w:r>
        <w:rPr>
          <w:rFonts w:ascii="Arial" w:hAnsi="Arial" w:cs="Arial"/>
          <w:color w:val="000000"/>
          <w:sz w:val="19"/>
          <w:szCs w:val="19"/>
          <w:shd w:val="clear" w:color="auto" w:fill="FFFFFF"/>
        </w:rPr>
        <w:t xml:space="preserve"> (Philadelphia: The Westminster Press, 1987)</w:t>
      </w:r>
      <w:r>
        <w:rPr>
          <w:rFonts w:ascii="Arial" w:hAnsi="Arial" w:cs="Arial"/>
          <w:color w:val="000000"/>
          <w:sz w:val="19"/>
          <w:szCs w:val="19"/>
          <w:shd w:val="clear" w:color="auto" w:fill="FFFFFF"/>
        </w:rPr>
        <w:t>.</w:t>
      </w:r>
      <w:r w:rsidRPr="00902BA7">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 xml:space="preserve"> </w:t>
      </w:r>
    </w:p>
    <w:p w14:paraId="509C1F2A" w14:textId="6C6EEAA2" w:rsidR="003967B8" w:rsidRDefault="003967B8">
      <w:pPr>
        <w:rPr>
          <w:rFonts w:ascii="Arial" w:hAnsi="Arial" w:cs="Arial"/>
          <w:color w:val="000000"/>
          <w:sz w:val="19"/>
          <w:szCs w:val="19"/>
          <w:shd w:val="clear" w:color="auto" w:fill="FFFFFF"/>
        </w:rPr>
      </w:pPr>
      <w:r>
        <w:rPr>
          <w:rFonts w:ascii="Arial" w:hAnsi="Arial" w:cs="Arial"/>
          <w:color w:val="000000"/>
          <w:sz w:val="19"/>
          <w:szCs w:val="19"/>
          <w:shd w:val="clear" w:color="auto" w:fill="FFFFFF"/>
        </w:rPr>
        <w:t>Oates</w:t>
      </w:r>
      <w:r>
        <w:rPr>
          <w:rFonts w:ascii="Arial" w:hAnsi="Arial" w:cs="Arial"/>
          <w:color w:val="000000"/>
          <w:sz w:val="19"/>
          <w:szCs w:val="19"/>
          <w:shd w:val="clear" w:color="auto" w:fill="FFFFFF"/>
        </w:rPr>
        <w:t xml:space="preserve"> Harry</w:t>
      </w:r>
      <w:r>
        <w:rPr>
          <w:rFonts w:ascii="Arial" w:hAnsi="Arial" w:cs="Arial"/>
          <w:color w:val="000000"/>
          <w:sz w:val="19"/>
          <w:szCs w:val="19"/>
          <w:shd w:val="clear" w:color="auto" w:fill="FFFFFF"/>
        </w:rPr>
        <w:t xml:space="preserve">, </w:t>
      </w:r>
      <w:r>
        <w:rPr>
          <w:rFonts w:ascii="Arial" w:hAnsi="Arial" w:cs="Arial"/>
          <w:i/>
          <w:iCs/>
          <w:color w:val="000000"/>
          <w:sz w:val="19"/>
          <w:szCs w:val="19"/>
        </w:rPr>
        <w:t>The Great Jewish Revolt of 66 CE</w:t>
      </w:r>
      <w:r>
        <w:rPr>
          <w:rFonts w:ascii="Arial" w:hAnsi="Arial" w:cs="Arial"/>
          <w:color w:val="000000"/>
          <w:sz w:val="19"/>
          <w:szCs w:val="19"/>
          <w:shd w:val="clear" w:color="auto" w:fill="FFFFFF"/>
        </w:rPr>
        <w:t xml:space="preserve"> (2020) &lt;https://www.ancient.eu/article/823/the-great-jewish-revolt-of-66-ce/&gt; [accessed 11 June 2020].</w:t>
      </w:r>
    </w:p>
    <w:p w14:paraId="10648120" w14:textId="77777777" w:rsidR="003967B8" w:rsidRDefault="003967B8">
      <w:pPr>
        <w:rPr>
          <w:rFonts w:ascii="Arial" w:eastAsia="Times New Roman" w:hAnsi="Arial" w:cs="Arial"/>
          <w:color w:val="000000"/>
          <w:sz w:val="19"/>
          <w:szCs w:val="19"/>
          <w:lang w:eastAsia="en-GB"/>
        </w:rPr>
      </w:pPr>
      <w:r w:rsidRPr="00E47F41">
        <w:rPr>
          <w:rFonts w:ascii="Arial" w:eastAsia="Times New Roman" w:hAnsi="Arial" w:cs="Arial"/>
          <w:color w:val="000000"/>
          <w:sz w:val="19"/>
          <w:szCs w:val="19"/>
          <w:lang w:eastAsia="en-GB"/>
        </w:rPr>
        <w:t xml:space="preserve"> Donaldson</w:t>
      </w:r>
      <w:r>
        <w:rPr>
          <w:rFonts w:ascii="Arial" w:eastAsia="Times New Roman" w:hAnsi="Arial" w:cs="Arial"/>
          <w:color w:val="000000"/>
          <w:sz w:val="19"/>
          <w:szCs w:val="19"/>
          <w:lang w:eastAsia="en-GB"/>
        </w:rPr>
        <w:t xml:space="preserve"> T. L</w:t>
      </w:r>
      <w:r w:rsidRPr="00E47F41">
        <w:rPr>
          <w:rFonts w:ascii="Arial" w:eastAsia="Times New Roman" w:hAnsi="Arial" w:cs="Arial"/>
          <w:color w:val="000000"/>
          <w:sz w:val="19"/>
          <w:szCs w:val="19"/>
          <w:lang w:eastAsia="en-GB"/>
        </w:rPr>
        <w:t xml:space="preserve">, 'Rural Bandits, City Mobs and the Zealots', </w:t>
      </w:r>
      <w:r w:rsidRPr="00E47F41">
        <w:rPr>
          <w:rFonts w:ascii="Arial" w:eastAsia="Times New Roman" w:hAnsi="Arial" w:cs="Arial"/>
          <w:i/>
          <w:iCs/>
          <w:color w:val="000000"/>
          <w:sz w:val="19"/>
          <w:szCs w:val="19"/>
          <w:lang w:eastAsia="en-GB"/>
        </w:rPr>
        <w:t>Journal for the Study of Judaism in the Persian, Hellenistic, and Roman Period</w:t>
      </w:r>
      <w:r w:rsidRPr="00E47F41">
        <w:rPr>
          <w:rFonts w:ascii="Arial" w:eastAsia="Times New Roman" w:hAnsi="Arial" w:cs="Arial"/>
          <w:color w:val="000000"/>
          <w:sz w:val="19"/>
          <w:szCs w:val="19"/>
          <w:lang w:eastAsia="en-GB"/>
        </w:rPr>
        <w:t>, 21.1, (1990), 19-40</w:t>
      </w:r>
    </w:p>
    <w:p w14:paraId="7ABA6D8E" w14:textId="77777777" w:rsidR="003967B8" w:rsidRDefault="003967B8">
      <w:pPr>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 Hobsbawm</w:t>
      </w:r>
      <w:r>
        <w:rPr>
          <w:rFonts w:ascii="Arial" w:hAnsi="Arial" w:cs="Arial"/>
          <w:color w:val="000000"/>
          <w:sz w:val="19"/>
          <w:szCs w:val="19"/>
          <w:shd w:val="clear" w:color="auto" w:fill="FFFFFF"/>
        </w:rPr>
        <w:t xml:space="preserve"> E.J</w:t>
      </w:r>
      <w:r>
        <w:rPr>
          <w:rFonts w:ascii="Arial" w:hAnsi="Arial" w:cs="Arial"/>
          <w:color w:val="000000"/>
          <w:sz w:val="19"/>
          <w:szCs w:val="19"/>
          <w:shd w:val="clear" w:color="auto" w:fill="FFFFFF"/>
        </w:rPr>
        <w:t xml:space="preserve">, </w:t>
      </w:r>
      <w:r>
        <w:rPr>
          <w:rFonts w:ascii="Arial" w:hAnsi="Arial" w:cs="Arial"/>
          <w:i/>
          <w:iCs/>
          <w:color w:val="000000"/>
          <w:sz w:val="19"/>
          <w:szCs w:val="19"/>
        </w:rPr>
        <w:t>Bandits</w:t>
      </w:r>
      <w:r>
        <w:rPr>
          <w:rFonts w:ascii="Arial" w:hAnsi="Arial" w:cs="Arial"/>
          <w:color w:val="000000"/>
          <w:sz w:val="19"/>
          <w:szCs w:val="19"/>
          <w:shd w:val="clear" w:color="auto" w:fill="FFFFFF"/>
        </w:rPr>
        <w:t xml:space="preserve"> (London: Weidenfeld &amp; Nicolson, 1969).</w:t>
      </w:r>
    </w:p>
    <w:p w14:paraId="5D09E4FC" w14:textId="77777777" w:rsidR="003967B8" w:rsidRDefault="003967B8">
      <w:pPr>
        <w:rPr>
          <w:rFonts w:ascii="Arial" w:eastAsia="Times New Roman" w:hAnsi="Arial" w:cs="Arial"/>
          <w:color w:val="000000"/>
          <w:sz w:val="19"/>
          <w:szCs w:val="19"/>
          <w:lang w:eastAsia="en-GB"/>
        </w:rPr>
      </w:pPr>
      <w:r>
        <w:rPr>
          <w:rFonts w:ascii="Arial" w:hAnsi="Arial" w:cs="Arial"/>
          <w:color w:val="000000"/>
          <w:sz w:val="19"/>
          <w:szCs w:val="19"/>
          <w:shd w:val="clear" w:color="auto" w:fill="FFFFFF"/>
        </w:rPr>
        <w:t xml:space="preserve"> </w:t>
      </w:r>
      <w:r>
        <w:rPr>
          <w:rFonts w:ascii="Arial" w:hAnsi="Arial" w:cs="Arial"/>
          <w:i/>
          <w:iCs/>
          <w:color w:val="000000"/>
          <w:sz w:val="19"/>
          <w:szCs w:val="19"/>
        </w:rPr>
        <w:t>Holy Bible: New Revised Standard Version</w:t>
      </w:r>
      <w:r>
        <w:rPr>
          <w:rFonts w:ascii="Arial" w:hAnsi="Arial" w:cs="Arial"/>
          <w:color w:val="000000"/>
          <w:sz w:val="19"/>
          <w:szCs w:val="19"/>
          <w:shd w:val="clear" w:color="auto" w:fill="FFFFFF"/>
        </w:rPr>
        <w:t xml:space="preserve"> (London: HarperCollins Publishers, 2007).</w:t>
      </w:r>
    </w:p>
    <w:p w14:paraId="5FA26FE3" w14:textId="77777777" w:rsidR="003967B8" w:rsidRDefault="003967B8">
      <w:pPr>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 Horsley</w:t>
      </w:r>
      <w:r>
        <w:rPr>
          <w:rFonts w:ascii="Arial" w:hAnsi="Arial" w:cs="Arial"/>
          <w:color w:val="000000"/>
          <w:sz w:val="19"/>
          <w:szCs w:val="19"/>
          <w:shd w:val="clear" w:color="auto" w:fill="FFFFFF"/>
        </w:rPr>
        <w:t xml:space="preserve"> Richard. A</w:t>
      </w:r>
      <w:r>
        <w:rPr>
          <w:rFonts w:ascii="Arial" w:hAnsi="Arial" w:cs="Arial"/>
          <w:color w:val="000000"/>
          <w:sz w:val="19"/>
          <w:szCs w:val="19"/>
          <w:shd w:val="clear" w:color="auto" w:fill="FFFFFF"/>
        </w:rPr>
        <w:t xml:space="preserve">, 'The Sicarii: Ancient Jewish "Terrorists"', </w:t>
      </w:r>
      <w:r>
        <w:rPr>
          <w:rFonts w:ascii="Arial" w:hAnsi="Arial" w:cs="Arial"/>
          <w:i/>
          <w:iCs/>
          <w:color w:val="000000"/>
          <w:sz w:val="19"/>
          <w:szCs w:val="19"/>
        </w:rPr>
        <w:t>The Journal of Religion</w:t>
      </w:r>
      <w:r>
        <w:rPr>
          <w:rFonts w:ascii="Arial" w:hAnsi="Arial" w:cs="Arial"/>
          <w:color w:val="000000"/>
          <w:sz w:val="19"/>
          <w:szCs w:val="19"/>
          <w:shd w:val="clear" w:color="auto" w:fill="FFFFFF"/>
        </w:rPr>
        <w:t>, 59.4, (1979), 435-458.</w:t>
      </w:r>
    </w:p>
    <w:p w14:paraId="75AB3738" w14:textId="77777777" w:rsidR="003967B8" w:rsidRDefault="003967B8">
      <w:pPr>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 Huntsman</w:t>
      </w:r>
      <w:r>
        <w:rPr>
          <w:rFonts w:ascii="Arial" w:hAnsi="Arial" w:cs="Arial"/>
          <w:color w:val="000000"/>
          <w:sz w:val="19"/>
          <w:szCs w:val="19"/>
          <w:shd w:val="clear" w:color="auto" w:fill="FFFFFF"/>
        </w:rPr>
        <w:t xml:space="preserve"> Eric D</w:t>
      </w:r>
      <w:r>
        <w:rPr>
          <w:rFonts w:ascii="Arial" w:hAnsi="Arial" w:cs="Arial"/>
          <w:color w:val="000000"/>
          <w:sz w:val="19"/>
          <w:szCs w:val="19"/>
          <w:shd w:val="clear" w:color="auto" w:fill="FFFFFF"/>
        </w:rPr>
        <w:t xml:space="preserve">, 'The Reliability of Josephus: Can He Be Trusted?', </w:t>
      </w:r>
      <w:r>
        <w:rPr>
          <w:rFonts w:ascii="Arial" w:hAnsi="Arial" w:cs="Arial"/>
          <w:i/>
          <w:iCs/>
          <w:color w:val="000000"/>
          <w:sz w:val="19"/>
          <w:szCs w:val="19"/>
        </w:rPr>
        <w:t>BYU Studies Quarterly</w:t>
      </w:r>
      <w:r>
        <w:rPr>
          <w:rFonts w:ascii="Arial" w:hAnsi="Arial" w:cs="Arial"/>
          <w:color w:val="000000"/>
          <w:sz w:val="19"/>
          <w:szCs w:val="19"/>
          <w:shd w:val="clear" w:color="auto" w:fill="FFFFFF"/>
        </w:rPr>
        <w:t>, 36.3, (1996).</w:t>
      </w:r>
    </w:p>
    <w:p w14:paraId="447264CB" w14:textId="77777777" w:rsidR="003967B8" w:rsidRDefault="003967B8">
      <w:pPr>
        <w:rPr>
          <w:rFonts w:ascii="Arial" w:eastAsia="Times New Roman" w:hAnsi="Arial" w:cs="Arial"/>
          <w:color w:val="000000"/>
          <w:sz w:val="19"/>
          <w:szCs w:val="19"/>
          <w:lang w:eastAsia="en-GB"/>
        </w:rPr>
      </w:pPr>
      <w:r w:rsidRPr="00143355">
        <w:rPr>
          <w:rFonts w:ascii="Arial" w:eastAsia="Times New Roman" w:hAnsi="Arial" w:cs="Arial"/>
          <w:color w:val="000000"/>
          <w:sz w:val="19"/>
          <w:szCs w:val="19"/>
          <w:lang w:eastAsia="en-GB"/>
        </w:rPr>
        <w:t xml:space="preserve"> Mansoor</w:t>
      </w:r>
      <w:r>
        <w:rPr>
          <w:rFonts w:ascii="Arial" w:eastAsia="Times New Roman" w:hAnsi="Arial" w:cs="Arial"/>
          <w:color w:val="000000"/>
          <w:sz w:val="19"/>
          <w:szCs w:val="19"/>
          <w:lang w:eastAsia="en-GB"/>
        </w:rPr>
        <w:t xml:space="preserve"> Menahem</w:t>
      </w:r>
      <w:r w:rsidRPr="00143355">
        <w:rPr>
          <w:rFonts w:ascii="Arial" w:eastAsia="Times New Roman" w:hAnsi="Arial" w:cs="Arial"/>
          <w:color w:val="000000"/>
          <w:sz w:val="19"/>
          <w:szCs w:val="19"/>
          <w:lang w:eastAsia="en-GB"/>
        </w:rPr>
        <w:t xml:space="preserve">, </w:t>
      </w:r>
      <w:r w:rsidRPr="00143355">
        <w:rPr>
          <w:rFonts w:ascii="Arial" w:eastAsia="Times New Roman" w:hAnsi="Arial" w:cs="Arial"/>
          <w:i/>
          <w:iCs/>
          <w:color w:val="000000"/>
          <w:sz w:val="19"/>
          <w:szCs w:val="19"/>
          <w:lang w:eastAsia="en-GB"/>
        </w:rPr>
        <w:t>Sadducees</w:t>
      </w:r>
      <w:r w:rsidRPr="00143355">
        <w:rPr>
          <w:rFonts w:ascii="Arial" w:eastAsia="Times New Roman" w:hAnsi="Arial" w:cs="Arial"/>
          <w:color w:val="000000"/>
          <w:sz w:val="19"/>
          <w:szCs w:val="19"/>
          <w:lang w:eastAsia="en-GB"/>
        </w:rPr>
        <w:t>, ed. by Michael Berenbaum Fred Skolnik, 2 edn. (USA: Macmillan Reference, 2007), in Encyclopaedia Judaica, &lt;https://go-gale-</w:t>
      </w:r>
      <w:r w:rsidRPr="00143355">
        <w:rPr>
          <w:rFonts w:ascii="Arial" w:eastAsia="Times New Roman" w:hAnsi="Arial" w:cs="Arial"/>
          <w:color w:val="000000"/>
          <w:sz w:val="19"/>
          <w:szCs w:val="19"/>
          <w:lang w:eastAsia="en-GB"/>
        </w:rPr>
        <w:lastRenderedPageBreak/>
        <w:t>com.ezproxy.uwtsd.ac.uk/ps/i.do?p=GVRL&amp;u=walamp&amp;id=GALE|CX2587517261&amp;v=2.1&amp;it=r&amp;sid=exlibris&gt; [accessed 12 June 2020].</w:t>
      </w:r>
    </w:p>
    <w:p w14:paraId="7391868D" w14:textId="77777777" w:rsidR="003967B8" w:rsidRDefault="003967B8">
      <w:r>
        <w:t xml:space="preserve">The article appeared in Moshe DAVIS, editor, </w:t>
      </w:r>
      <w:r w:rsidRPr="00790048">
        <w:rPr>
          <w:i/>
          <w:iCs/>
        </w:rPr>
        <w:t>Israel: Its Role in Civilization</w:t>
      </w:r>
      <w:r>
        <w:t xml:space="preserve"> (New York, 1956).</w:t>
      </w:r>
    </w:p>
    <w:p w14:paraId="30E3C204" w14:textId="77777777" w:rsidR="003967B8" w:rsidRDefault="003967B8">
      <w:pPr>
        <w:rPr>
          <w:rFonts w:ascii="Arial" w:eastAsia="Times New Roman" w:hAnsi="Arial" w:cs="Arial"/>
          <w:color w:val="000000"/>
          <w:sz w:val="19"/>
          <w:szCs w:val="19"/>
          <w:lang w:eastAsia="en-GB"/>
        </w:rPr>
      </w:pPr>
      <w:r w:rsidRPr="00F44585">
        <w:rPr>
          <w:rFonts w:ascii="Arial" w:eastAsia="Times New Roman" w:hAnsi="Arial" w:cs="Arial"/>
          <w:color w:val="000000"/>
          <w:sz w:val="19"/>
          <w:szCs w:val="19"/>
          <w:lang w:eastAsia="en-GB"/>
        </w:rPr>
        <w:t xml:space="preserve"> Whiston</w:t>
      </w:r>
      <w:r>
        <w:rPr>
          <w:rFonts w:ascii="Arial" w:eastAsia="Times New Roman" w:hAnsi="Arial" w:cs="Arial"/>
          <w:color w:val="000000"/>
          <w:sz w:val="19"/>
          <w:szCs w:val="19"/>
          <w:lang w:eastAsia="en-GB"/>
        </w:rPr>
        <w:t xml:space="preserve"> William</w:t>
      </w:r>
      <w:r w:rsidRPr="00F44585">
        <w:rPr>
          <w:rFonts w:ascii="Arial" w:eastAsia="Times New Roman" w:hAnsi="Arial" w:cs="Arial"/>
          <w:color w:val="000000"/>
          <w:sz w:val="19"/>
          <w:szCs w:val="19"/>
          <w:lang w:eastAsia="en-GB"/>
        </w:rPr>
        <w:t xml:space="preserve">, </w:t>
      </w:r>
      <w:r w:rsidRPr="00F44585">
        <w:rPr>
          <w:rFonts w:ascii="Arial" w:eastAsia="Times New Roman" w:hAnsi="Arial" w:cs="Arial"/>
          <w:i/>
          <w:iCs/>
          <w:color w:val="000000"/>
          <w:sz w:val="19"/>
          <w:szCs w:val="19"/>
          <w:lang w:eastAsia="en-GB"/>
        </w:rPr>
        <w:t>Antiquities of the Jews, Book XIII</w:t>
      </w:r>
      <w:r w:rsidRPr="00F44585">
        <w:rPr>
          <w:rFonts w:ascii="Arial" w:eastAsia="Times New Roman" w:hAnsi="Arial" w:cs="Arial"/>
          <w:color w:val="000000"/>
          <w:sz w:val="19"/>
          <w:szCs w:val="19"/>
          <w:lang w:eastAsia="en-GB"/>
        </w:rPr>
        <w:t xml:space="preserve"> (2020) &lt;http://penelope.uchicago.edu/josephus/ant-18.html&gt; [accessed 11 June 2020].</w:t>
      </w:r>
    </w:p>
    <w:p w14:paraId="2C96D16C" w14:textId="77777777" w:rsidR="003967B8" w:rsidRDefault="003967B8">
      <w:pPr>
        <w:rPr>
          <w:rFonts w:ascii="Arial" w:eastAsia="Times New Roman" w:hAnsi="Arial" w:cs="Arial"/>
          <w:color w:val="000000"/>
          <w:sz w:val="19"/>
          <w:szCs w:val="19"/>
          <w:lang w:eastAsia="en-GB"/>
        </w:rPr>
      </w:pPr>
      <w:r w:rsidRPr="00AB6135">
        <w:rPr>
          <w:rFonts w:ascii="Arial" w:eastAsia="Times New Roman" w:hAnsi="Arial" w:cs="Arial"/>
          <w:color w:val="000000"/>
          <w:sz w:val="19"/>
          <w:szCs w:val="19"/>
          <w:lang w:eastAsia="en-GB"/>
        </w:rPr>
        <w:t xml:space="preserve"> Whiston</w:t>
      </w:r>
      <w:r>
        <w:rPr>
          <w:rFonts w:ascii="Arial" w:eastAsia="Times New Roman" w:hAnsi="Arial" w:cs="Arial"/>
          <w:color w:val="000000"/>
          <w:sz w:val="19"/>
          <w:szCs w:val="19"/>
          <w:lang w:eastAsia="en-GB"/>
        </w:rPr>
        <w:t xml:space="preserve"> William</w:t>
      </w:r>
      <w:r w:rsidRPr="00AB6135">
        <w:rPr>
          <w:rFonts w:ascii="Arial" w:eastAsia="Times New Roman" w:hAnsi="Arial" w:cs="Arial"/>
          <w:color w:val="000000"/>
          <w:sz w:val="19"/>
          <w:szCs w:val="19"/>
          <w:lang w:eastAsia="en-GB"/>
        </w:rPr>
        <w:t xml:space="preserve">, </w:t>
      </w:r>
      <w:r w:rsidRPr="00AB6135">
        <w:rPr>
          <w:rFonts w:ascii="Arial" w:eastAsia="Times New Roman" w:hAnsi="Arial" w:cs="Arial"/>
          <w:i/>
          <w:iCs/>
          <w:color w:val="000000"/>
          <w:sz w:val="19"/>
          <w:szCs w:val="19"/>
          <w:lang w:eastAsia="en-GB"/>
        </w:rPr>
        <w:t>Of the War, Book II</w:t>
      </w:r>
      <w:r w:rsidRPr="00AB6135">
        <w:rPr>
          <w:rFonts w:ascii="Arial" w:eastAsia="Times New Roman" w:hAnsi="Arial" w:cs="Arial"/>
          <w:color w:val="000000"/>
          <w:sz w:val="19"/>
          <w:szCs w:val="19"/>
          <w:lang w:eastAsia="en-GB"/>
        </w:rPr>
        <w:t xml:space="preserve"> (2020) &lt;http://penelope.uchicago.edu/josephus/war-2.html&gt; [accessed 11 June 2020].</w:t>
      </w:r>
    </w:p>
    <w:sectPr w:rsidR="003967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4FC80F" w14:textId="77777777" w:rsidR="00397E2A" w:rsidRDefault="00397E2A" w:rsidP="00397E2A">
      <w:pPr>
        <w:spacing w:after="0" w:line="240" w:lineRule="auto"/>
      </w:pPr>
      <w:r>
        <w:separator/>
      </w:r>
    </w:p>
  </w:endnote>
  <w:endnote w:type="continuationSeparator" w:id="0">
    <w:p w14:paraId="270E63E4" w14:textId="77777777" w:rsidR="00397E2A" w:rsidRDefault="00397E2A" w:rsidP="00397E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4CEAE1" w14:textId="77777777" w:rsidR="00397E2A" w:rsidRDefault="00397E2A" w:rsidP="00397E2A">
      <w:pPr>
        <w:spacing w:after="0" w:line="240" w:lineRule="auto"/>
      </w:pPr>
      <w:r>
        <w:separator/>
      </w:r>
    </w:p>
  </w:footnote>
  <w:footnote w:type="continuationSeparator" w:id="0">
    <w:p w14:paraId="6370DDEE" w14:textId="77777777" w:rsidR="00397E2A" w:rsidRDefault="00397E2A" w:rsidP="00397E2A">
      <w:pPr>
        <w:spacing w:after="0" w:line="240" w:lineRule="auto"/>
      </w:pPr>
      <w:r>
        <w:continuationSeparator/>
      </w:r>
    </w:p>
  </w:footnote>
  <w:footnote w:id="1">
    <w:p w14:paraId="19B01638" w14:textId="3E00728A" w:rsidR="00397E2A" w:rsidRDefault="00397E2A">
      <w:pPr>
        <w:pStyle w:val="FootnoteText"/>
      </w:pPr>
      <w:r>
        <w:rPr>
          <w:rStyle w:val="FootnoteReference"/>
        </w:rPr>
        <w:footnoteRef/>
      </w:r>
      <w:r>
        <w:t xml:space="preserve"> </w:t>
      </w:r>
      <w:bookmarkStart w:id="0" w:name="_Hlk42876351"/>
      <w:r>
        <w:rPr>
          <w:rFonts w:ascii="Arial" w:hAnsi="Arial" w:cs="Arial"/>
          <w:color w:val="000000"/>
          <w:sz w:val="19"/>
          <w:szCs w:val="19"/>
          <w:shd w:val="clear" w:color="auto" w:fill="FFFFFF"/>
        </w:rPr>
        <w:t xml:space="preserve">Shaye J. D. Cohen, </w:t>
      </w:r>
      <w:r>
        <w:rPr>
          <w:rFonts w:ascii="Arial" w:hAnsi="Arial" w:cs="Arial"/>
          <w:i/>
          <w:iCs/>
          <w:color w:val="000000"/>
          <w:sz w:val="19"/>
          <w:szCs w:val="19"/>
        </w:rPr>
        <w:t>From the Maccabees to the Mishnah</w:t>
      </w:r>
      <w:r>
        <w:rPr>
          <w:rFonts w:ascii="Arial" w:hAnsi="Arial" w:cs="Arial"/>
          <w:color w:val="000000"/>
          <w:sz w:val="19"/>
          <w:szCs w:val="19"/>
          <w:shd w:val="clear" w:color="auto" w:fill="FFFFFF"/>
        </w:rPr>
        <w:t xml:space="preserve"> (Philadelphia: The Westminster Press, 1987), p.16-25.</w:t>
      </w:r>
      <w:bookmarkEnd w:id="0"/>
    </w:p>
  </w:footnote>
  <w:footnote w:id="2">
    <w:p w14:paraId="6151035C" w14:textId="1A658A11" w:rsidR="0094349D" w:rsidRDefault="0094349D">
      <w:pPr>
        <w:pStyle w:val="FootnoteText"/>
      </w:pPr>
      <w:r>
        <w:rPr>
          <w:rStyle w:val="FootnoteReference"/>
        </w:rPr>
        <w:footnoteRef/>
      </w:r>
      <w:r>
        <w:t xml:space="preserve"> </w:t>
      </w:r>
      <w:bookmarkStart w:id="1" w:name="_Hlk42876425"/>
      <w:r>
        <w:rPr>
          <w:rFonts w:ascii="Arial" w:hAnsi="Arial" w:cs="Arial"/>
          <w:color w:val="000000"/>
          <w:sz w:val="19"/>
          <w:szCs w:val="19"/>
          <w:shd w:val="clear" w:color="auto" w:fill="FFFFFF"/>
        </w:rPr>
        <w:t xml:space="preserve">Harry Oates, </w:t>
      </w:r>
      <w:r>
        <w:rPr>
          <w:rFonts w:ascii="Arial" w:hAnsi="Arial" w:cs="Arial"/>
          <w:i/>
          <w:iCs/>
          <w:color w:val="000000"/>
          <w:sz w:val="19"/>
          <w:szCs w:val="19"/>
        </w:rPr>
        <w:t>The Great Jewish Revolt of 66 CE</w:t>
      </w:r>
      <w:r>
        <w:rPr>
          <w:rFonts w:ascii="Arial" w:hAnsi="Arial" w:cs="Arial"/>
          <w:color w:val="000000"/>
          <w:sz w:val="19"/>
          <w:szCs w:val="19"/>
          <w:shd w:val="clear" w:color="auto" w:fill="FFFFFF"/>
        </w:rPr>
        <w:t xml:space="preserve"> (2020) &lt;https://www.ancient.eu/article/823/the-great-jewish-revolt-of-66-ce/&gt; [accessed 11 June 2020].</w:t>
      </w:r>
      <w:bookmarkEnd w:id="1"/>
    </w:p>
  </w:footnote>
  <w:footnote w:id="3">
    <w:p w14:paraId="095922A0" w14:textId="7C3EE125" w:rsidR="003579F2" w:rsidRDefault="003579F2">
      <w:pPr>
        <w:pStyle w:val="FootnoteText"/>
      </w:pPr>
      <w:r>
        <w:rPr>
          <w:rStyle w:val="FootnoteReference"/>
        </w:rPr>
        <w:footnoteRef/>
      </w:r>
      <w:r>
        <w:t xml:space="preserve"> </w:t>
      </w:r>
      <w:r w:rsidR="008C7097">
        <w:rPr>
          <w:rFonts w:ascii="Arial" w:hAnsi="Arial" w:cs="Arial"/>
          <w:color w:val="000000"/>
          <w:sz w:val="19"/>
          <w:szCs w:val="19"/>
          <w:shd w:val="clear" w:color="auto" w:fill="FFFFFF"/>
        </w:rPr>
        <w:t xml:space="preserve">Shaye J. D. Cohen, </w:t>
      </w:r>
      <w:r w:rsidR="008C7097">
        <w:rPr>
          <w:rFonts w:ascii="Arial" w:hAnsi="Arial" w:cs="Arial"/>
          <w:i/>
          <w:iCs/>
          <w:color w:val="000000"/>
          <w:sz w:val="19"/>
          <w:szCs w:val="19"/>
        </w:rPr>
        <w:t>From the Maccabees to the Mishnah</w:t>
      </w:r>
      <w:r w:rsidR="008C7097">
        <w:rPr>
          <w:rFonts w:ascii="Arial" w:hAnsi="Arial" w:cs="Arial"/>
          <w:color w:val="000000"/>
          <w:sz w:val="19"/>
          <w:szCs w:val="19"/>
          <w:shd w:val="clear" w:color="auto" w:fill="FFFFFF"/>
        </w:rPr>
        <w:t xml:space="preserve"> (Philadelphia: The Westminster Press, 1987), p.16-25.</w:t>
      </w:r>
    </w:p>
  </w:footnote>
  <w:footnote w:id="4">
    <w:p w14:paraId="3E6211E4" w14:textId="7C4EBB52" w:rsidR="00AE086D" w:rsidRDefault="00AE086D">
      <w:pPr>
        <w:pStyle w:val="FootnoteText"/>
      </w:pPr>
      <w:r>
        <w:rPr>
          <w:rStyle w:val="FootnoteReference"/>
        </w:rPr>
        <w:footnoteRef/>
      </w:r>
      <w:r>
        <w:t xml:space="preserve"> </w:t>
      </w:r>
      <w:bookmarkStart w:id="2" w:name="_Hlk42876482"/>
      <w:r w:rsidR="001545CC">
        <w:rPr>
          <w:rFonts w:ascii="Arial" w:hAnsi="Arial" w:cs="Arial"/>
          <w:color w:val="000000"/>
          <w:sz w:val="19"/>
          <w:szCs w:val="19"/>
          <w:shd w:val="clear" w:color="auto" w:fill="FFFFFF"/>
        </w:rPr>
        <w:t xml:space="preserve">Pieter J J Botha, 'History and point of view: understanding the Sadducees', </w:t>
      </w:r>
      <w:r w:rsidR="001545CC">
        <w:rPr>
          <w:rFonts w:ascii="Arial" w:hAnsi="Arial" w:cs="Arial"/>
          <w:i/>
          <w:iCs/>
          <w:color w:val="000000"/>
          <w:sz w:val="19"/>
          <w:szCs w:val="19"/>
        </w:rPr>
        <w:t>Neotestamentica</w:t>
      </w:r>
      <w:r w:rsidR="001545CC">
        <w:rPr>
          <w:rFonts w:ascii="Arial" w:hAnsi="Arial" w:cs="Arial"/>
          <w:color w:val="000000"/>
          <w:sz w:val="19"/>
          <w:szCs w:val="19"/>
          <w:shd w:val="clear" w:color="auto" w:fill="FFFFFF"/>
        </w:rPr>
        <w:t xml:space="preserve">, 30.2, (1996), 235-280 </w:t>
      </w:r>
      <w:bookmarkEnd w:id="2"/>
      <w:r w:rsidR="001545CC">
        <w:rPr>
          <w:rFonts w:ascii="Arial" w:hAnsi="Arial" w:cs="Arial"/>
          <w:color w:val="000000"/>
          <w:sz w:val="19"/>
          <w:szCs w:val="19"/>
          <w:shd w:val="clear" w:color="auto" w:fill="FFFFFF"/>
        </w:rPr>
        <w:t>(p.250).</w:t>
      </w:r>
    </w:p>
  </w:footnote>
  <w:footnote w:id="5">
    <w:p w14:paraId="5C946E4B" w14:textId="3644855E" w:rsidR="003D0177" w:rsidRDefault="003D0177">
      <w:pPr>
        <w:pStyle w:val="FootnoteText"/>
      </w:pPr>
      <w:r>
        <w:rPr>
          <w:rStyle w:val="FootnoteReference"/>
        </w:rPr>
        <w:footnoteRef/>
      </w:r>
      <w:r>
        <w:t xml:space="preserve"> </w:t>
      </w:r>
      <w:bookmarkStart w:id="3" w:name="_Hlk42876556"/>
      <w:r>
        <w:rPr>
          <w:rFonts w:ascii="Arial" w:hAnsi="Arial" w:cs="Arial"/>
          <w:color w:val="000000"/>
          <w:sz w:val="19"/>
          <w:szCs w:val="19"/>
          <w:shd w:val="clear" w:color="auto" w:fill="FFFFFF"/>
        </w:rPr>
        <w:t xml:space="preserve">Eric D. Huntsman, 'The Reliability of Josephus: Can He Be Trusted?', </w:t>
      </w:r>
      <w:r>
        <w:rPr>
          <w:rFonts w:ascii="Arial" w:hAnsi="Arial" w:cs="Arial"/>
          <w:i/>
          <w:iCs/>
          <w:color w:val="000000"/>
          <w:sz w:val="19"/>
          <w:szCs w:val="19"/>
        </w:rPr>
        <w:t>BYU Studies Quarterly</w:t>
      </w:r>
      <w:r>
        <w:rPr>
          <w:rFonts w:ascii="Arial" w:hAnsi="Arial" w:cs="Arial"/>
          <w:color w:val="000000"/>
          <w:sz w:val="19"/>
          <w:szCs w:val="19"/>
          <w:shd w:val="clear" w:color="auto" w:fill="FFFFFF"/>
        </w:rPr>
        <w:t>, 36.3, (1996)</w:t>
      </w:r>
      <w:r w:rsidR="00831F0F">
        <w:rPr>
          <w:rFonts w:ascii="Arial" w:hAnsi="Arial" w:cs="Arial"/>
          <w:color w:val="000000"/>
          <w:sz w:val="19"/>
          <w:szCs w:val="19"/>
          <w:shd w:val="clear" w:color="auto" w:fill="FFFFFF"/>
        </w:rPr>
        <w:t>.</w:t>
      </w:r>
      <w:bookmarkEnd w:id="3"/>
    </w:p>
  </w:footnote>
  <w:footnote w:id="6">
    <w:p w14:paraId="7215F475" w14:textId="77777777" w:rsidR="00AB6135" w:rsidRPr="00AB6135" w:rsidRDefault="00AB6135" w:rsidP="00AB6135">
      <w:pPr>
        <w:rPr>
          <w:rFonts w:ascii="Arial" w:eastAsia="Times New Roman" w:hAnsi="Arial" w:cs="Arial"/>
          <w:color w:val="000000"/>
          <w:sz w:val="19"/>
          <w:szCs w:val="19"/>
          <w:lang w:eastAsia="en-GB"/>
        </w:rPr>
      </w:pPr>
      <w:r>
        <w:rPr>
          <w:rStyle w:val="FootnoteReference"/>
        </w:rPr>
        <w:footnoteRef/>
      </w:r>
      <w:r>
        <w:t xml:space="preserve"> </w:t>
      </w:r>
      <w:bookmarkStart w:id="4" w:name="_Hlk42805633"/>
      <w:r w:rsidRPr="00AB6135">
        <w:rPr>
          <w:rFonts w:ascii="Arial" w:eastAsia="Times New Roman" w:hAnsi="Arial" w:cs="Arial"/>
          <w:color w:val="000000"/>
          <w:sz w:val="19"/>
          <w:szCs w:val="19"/>
          <w:lang w:eastAsia="en-GB"/>
        </w:rPr>
        <w:t xml:space="preserve">William Whiston, </w:t>
      </w:r>
      <w:r w:rsidRPr="00AB6135">
        <w:rPr>
          <w:rFonts w:ascii="Arial" w:eastAsia="Times New Roman" w:hAnsi="Arial" w:cs="Arial"/>
          <w:i/>
          <w:iCs/>
          <w:color w:val="000000"/>
          <w:sz w:val="19"/>
          <w:szCs w:val="19"/>
          <w:lang w:eastAsia="en-GB"/>
        </w:rPr>
        <w:t>Of the War, Book II</w:t>
      </w:r>
      <w:r w:rsidRPr="00AB6135">
        <w:rPr>
          <w:rFonts w:ascii="Arial" w:eastAsia="Times New Roman" w:hAnsi="Arial" w:cs="Arial"/>
          <w:color w:val="000000"/>
          <w:sz w:val="19"/>
          <w:szCs w:val="19"/>
          <w:lang w:eastAsia="en-GB"/>
        </w:rPr>
        <w:t xml:space="preserve"> (2020) &lt;http://penelope.uchicago.edu/josephus/war-2.html&gt; [accessed 11 June 2020].</w:t>
      </w:r>
      <w:bookmarkEnd w:id="4"/>
    </w:p>
    <w:p w14:paraId="26A1AA9B" w14:textId="4F502031" w:rsidR="00AB6135" w:rsidRDefault="00AB6135">
      <w:pPr>
        <w:pStyle w:val="FootnoteText"/>
      </w:pPr>
    </w:p>
  </w:footnote>
  <w:footnote w:id="7">
    <w:p w14:paraId="674CF1C9" w14:textId="77777777" w:rsidR="00F44585" w:rsidRPr="00F44585" w:rsidRDefault="00F44585" w:rsidP="00F44585">
      <w:pPr>
        <w:rPr>
          <w:rFonts w:ascii="Arial" w:eastAsia="Times New Roman" w:hAnsi="Arial" w:cs="Arial"/>
          <w:color w:val="000000"/>
          <w:sz w:val="19"/>
          <w:szCs w:val="19"/>
          <w:lang w:eastAsia="en-GB"/>
        </w:rPr>
      </w:pPr>
      <w:r>
        <w:rPr>
          <w:rStyle w:val="FootnoteReference"/>
        </w:rPr>
        <w:footnoteRef/>
      </w:r>
      <w:r>
        <w:t xml:space="preserve"> </w:t>
      </w:r>
      <w:bookmarkStart w:id="5" w:name="_Hlk42876729"/>
      <w:r w:rsidRPr="00F44585">
        <w:rPr>
          <w:rFonts w:ascii="Arial" w:eastAsia="Times New Roman" w:hAnsi="Arial" w:cs="Arial"/>
          <w:color w:val="000000"/>
          <w:sz w:val="19"/>
          <w:szCs w:val="19"/>
          <w:lang w:eastAsia="en-GB"/>
        </w:rPr>
        <w:t xml:space="preserve">William Whiston, </w:t>
      </w:r>
      <w:r w:rsidRPr="00F44585">
        <w:rPr>
          <w:rFonts w:ascii="Arial" w:eastAsia="Times New Roman" w:hAnsi="Arial" w:cs="Arial"/>
          <w:i/>
          <w:iCs/>
          <w:color w:val="000000"/>
          <w:sz w:val="19"/>
          <w:szCs w:val="19"/>
          <w:lang w:eastAsia="en-GB"/>
        </w:rPr>
        <w:t>Antiquities of the Jews, Book XIII</w:t>
      </w:r>
      <w:r w:rsidRPr="00F44585">
        <w:rPr>
          <w:rFonts w:ascii="Arial" w:eastAsia="Times New Roman" w:hAnsi="Arial" w:cs="Arial"/>
          <w:color w:val="000000"/>
          <w:sz w:val="19"/>
          <w:szCs w:val="19"/>
          <w:lang w:eastAsia="en-GB"/>
        </w:rPr>
        <w:t xml:space="preserve"> (2020) &lt;http://penelope.uchicago.edu/josephus/ant-18.html&gt; [accessed 11 June 2020].</w:t>
      </w:r>
      <w:bookmarkEnd w:id="5"/>
    </w:p>
    <w:p w14:paraId="712FBC43" w14:textId="0DE49C6A" w:rsidR="00F44585" w:rsidRDefault="00F44585">
      <w:pPr>
        <w:pStyle w:val="FootnoteText"/>
      </w:pPr>
    </w:p>
  </w:footnote>
  <w:footnote w:id="8">
    <w:p w14:paraId="0B0AF93F" w14:textId="4F27A93C" w:rsidR="00790048" w:rsidRDefault="00790048">
      <w:pPr>
        <w:pStyle w:val="FootnoteText"/>
      </w:pPr>
      <w:r>
        <w:rPr>
          <w:rStyle w:val="FootnoteReference"/>
        </w:rPr>
        <w:footnoteRef/>
      </w:r>
      <w:r>
        <w:t xml:space="preserve"> </w:t>
      </w:r>
      <w:bookmarkStart w:id="6" w:name="_Hlk42876749"/>
      <w:r>
        <w:t xml:space="preserve">The article appeared in Moshe DAVIS, editor, </w:t>
      </w:r>
      <w:r w:rsidRPr="00790048">
        <w:rPr>
          <w:i/>
          <w:iCs/>
        </w:rPr>
        <w:t>Israel: Its Role in Civilization</w:t>
      </w:r>
      <w:r>
        <w:t xml:space="preserve"> (New York, 1956).</w:t>
      </w:r>
      <w:bookmarkEnd w:id="6"/>
    </w:p>
  </w:footnote>
  <w:footnote w:id="9">
    <w:p w14:paraId="322C3D8F" w14:textId="0EA91856" w:rsidR="008725A8" w:rsidRDefault="008725A8">
      <w:pPr>
        <w:pStyle w:val="FootnoteText"/>
      </w:pPr>
      <w:r>
        <w:rPr>
          <w:rStyle w:val="FootnoteReference"/>
        </w:rPr>
        <w:footnoteRef/>
      </w:r>
      <w:r>
        <w:t xml:space="preserve"> </w:t>
      </w:r>
      <w:bookmarkStart w:id="7" w:name="_Hlk42842742"/>
      <w:r w:rsidRPr="00AB6135">
        <w:rPr>
          <w:rFonts w:ascii="Arial" w:eastAsia="Times New Roman" w:hAnsi="Arial" w:cs="Arial"/>
          <w:color w:val="000000"/>
          <w:sz w:val="19"/>
          <w:szCs w:val="19"/>
          <w:lang w:eastAsia="en-GB"/>
        </w:rPr>
        <w:t xml:space="preserve">William Whiston, </w:t>
      </w:r>
      <w:r w:rsidRPr="00AB6135">
        <w:rPr>
          <w:rFonts w:ascii="Arial" w:eastAsia="Times New Roman" w:hAnsi="Arial" w:cs="Arial"/>
          <w:i/>
          <w:iCs/>
          <w:color w:val="000000"/>
          <w:sz w:val="19"/>
          <w:szCs w:val="19"/>
          <w:lang w:eastAsia="en-GB"/>
        </w:rPr>
        <w:t>Of the War, Book II</w:t>
      </w:r>
      <w:r w:rsidRPr="00AB6135">
        <w:rPr>
          <w:rFonts w:ascii="Arial" w:eastAsia="Times New Roman" w:hAnsi="Arial" w:cs="Arial"/>
          <w:color w:val="000000"/>
          <w:sz w:val="19"/>
          <w:szCs w:val="19"/>
          <w:lang w:eastAsia="en-GB"/>
        </w:rPr>
        <w:t xml:space="preserve"> (2020) &lt;http://penelope.uchicago.edu/josephus/war-2.html&gt; [accessed 11 June 2020].</w:t>
      </w:r>
      <w:bookmarkEnd w:id="7"/>
    </w:p>
  </w:footnote>
  <w:footnote w:id="10">
    <w:p w14:paraId="5BBBEAA1" w14:textId="5B0E0A38" w:rsidR="00F44585" w:rsidRPr="00143355" w:rsidRDefault="00F44585" w:rsidP="00143355">
      <w:pPr>
        <w:rPr>
          <w:rFonts w:ascii="Arial" w:eastAsia="Times New Roman" w:hAnsi="Arial" w:cs="Arial"/>
          <w:color w:val="000000"/>
          <w:sz w:val="19"/>
          <w:szCs w:val="19"/>
          <w:lang w:eastAsia="en-GB"/>
        </w:rPr>
      </w:pPr>
      <w:r>
        <w:rPr>
          <w:rStyle w:val="FootnoteReference"/>
        </w:rPr>
        <w:footnoteRef/>
      </w:r>
      <w:r>
        <w:t xml:space="preserve"> </w:t>
      </w:r>
      <w:r w:rsidR="00912E19" w:rsidRPr="00912E19">
        <w:rPr>
          <w:rFonts w:ascii="Arial" w:eastAsia="Times New Roman" w:hAnsi="Arial" w:cs="Arial"/>
          <w:color w:val="000000"/>
          <w:sz w:val="19"/>
          <w:szCs w:val="19"/>
          <w:lang w:eastAsia="en-GB"/>
        </w:rPr>
        <w:t xml:space="preserve">William Whiston, </w:t>
      </w:r>
      <w:r w:rsidR="00912E19" w:rsidRPr="00912E19">
        <w:rPr>
          <w:rFonts w:ascii="Arial" w:eastAsia="Times New Roman" w:hAnsi="Arial" w:cs="Arial"/>
          <w:i/>
          <w:iCs/>
          <w:color w:val="000000"/>
          <w:sz w:val="19"/>
          <w:szCs w:val="19"/>
          <w:lang w:eastAsia="en-GB"/>
        </w:rPr>
        <w:t>Antiquities of the Jews, Book XIII</w:t>
      </w:r>
      <w:r w:rsidR="00912E19" w:rsidRPr="00912E19">
        <w:rPr>
          <w:rFonts w:ascii="Arial" w:eastAsia="Times New Roman" w:hAnsi="Arial" w:cs="Arial"/>
          <w:color w:val="000000"/>
          <w:sz w:val="19"/>
          <w:szCs w:val="19"/>
          <w:lang w:eastAsia="en-GB"/>
        </w:rPr>
        <w:t xml:space="preserve"> (2020) &lt;http://penelope.uchicago.edu/josephus/ant-18.html&gt; [accessed 11 June 2020].</w:t>
      </w:r>
    </w:p>
  </w:footnote>
  <w:footnote w:id="11">
    <w:p w14:paraId="50C91A69" w14:textId="3880C941" w:rsidR="00143355" w:rsidRPr="00AB371D" w:rsidRDefault="00143355" w:rsidP="00AB371D">
      <w:pPr>
        <w:rPr>
          <w:rFonts w:ascii="Arial" w:eastAsia="Times New Roman" w:hAnsi="Arial" w:cs="Arial"/>
          <w:color w:val="000000"/>
          <w:sz w:val="19"/>
          <w:szCs w:val="19"/>
          <w:lang w:eastAsia="en-GB"/>
        </w:rPr>
      </w:pPr>
      <w:r>
        <w:rPr>
          <w:rStyle w:val="FootnoteReference"/>
        </w:rPr>
        <w:footnoteRef/>
      </w:r>
      <w:r>
        <w:t xml:space="preserve"> </w:t>
      </w:r>
      <w:r w:rsidRPr="00143355">
        <w:rPr>
          <w:rFonts w:ascii="Arial" w:eastAsia="Times New Roman" w:hAnsi="Arial" w:cs="Arial"/>
          <w:color w:val="000000"/>
          <w:sz w:val="19"/>
          <w:szCs w:val="19"/>
          <w:lang w:eastAsia="en-GB"/>
        </w:rPr>
        <w:t xml:space="preserve">Menahem Mansoor, </w:t>
      </w:r>
      <w:r w:rsidRPr="00143355">
        <w:rPr>
          <w:rFonts w:ascii="Arial" w:eastAsia="Times New Roman" w:hAnsi="Arial" w:cs="Arial"/>
          <w:i/>
          <w:iCs/>
          <w:color w:val="000000"/>
          <w:sz w:val="19"/>
          <w:szCs w:val="19"/>
          <w:lang w:eastAsia="en-GB"/>
        </w:rPr>
        <w:t>Sadducees</w:t>
      </w:r>
      <w:r w:rsidRPr="00143355">
        <w:rPr>
          <w:rFonts w:ascii="Arial" w:eastAsia="Times New Roman" w:hAnsi="Arial" w:cs="Arial"/>
          <w:color w:val="000000"/>
          <w:sz w:val="19"/>
          <w:szCs w:val="19"/>
          <w:lang w:eastAsia="en-GB"/>
        </w:rPr>
        <w:t xml:space="preserve">, ed. by Michael Berenbaum Fred Skolnik, 2 edn. (USA: Macmillan Reference, 2007), in </w:t>
      </w:r>
      <w:r w:rsidRPr="00143355">
        <w:rPr>
          <w:rFonts w:ascii="Arial" w:eastAsia="Times New Roman" w:hAnsi="Arial" w:cs="Arial"/>
          <w:color w:val="000000"/>
          <w:sz w:val="19"/>
          <w:szCs w:val="19"/>
          <w:lang w:eastAsia="en-GB"/>
        </w:rPr>
        <w:t>Encyclopaedia</w:t>
      </w:r>
      <w:r w:rsidRPr="00143355">
        <w:rPr>
          <w:rFonts w:ascii="Arial" w:eastAsia="Times New Roman" w:hAnsi="Arial" w:cs="Arial"/>
          <w:color w:val="000000"/>
          <w:sz w:val="19"/>
          <w:szCs w:val="19"/>
          <w:lang w:eastAsia="en-GB"/>
        </w:rPr>
        <w:t xml:space="preserve"> Judaica, &lt;https://go-gale-com.ezproxy.uwtsd.ac.uk/ps/i.do?p=GVRL&amp;u=walamp&amp;id=GALE|CX2587517261&amp;v=2.1&amp;it=r&amp;sid=exlibris&gt; [accessed 12 June 2020].</w:t>
      </w:r>
    </w:p>
  </w:footnote>
  <w:footnote w:id="12">
    <w:p w14:paraId="438B824F" w14:textId="11AEF9F6" w:rsidR="00AB371D" w:rsidRDefault="00AB371D">
      <w:pPr>
        <w:pStyle w:val="FootnoteText"/>
      </w:pPr>
      <w:r>
        <w:rPr>
          <w:rStyle w:val="FootnoteReference"/>
        </w:rPr>
        <w:footnoteRef/>
      </w:r>
      <w:r>
        <w:t xml:space="preserve"> </w:t>
      </w:r>
      <w:r>
        <w:rPr>
          <w:rFonts w:ascii="Arial" w:hAnsi="Arial" w:cs="Arial"/>
          <w:color w:val="000000"/>
          <w:sz w:val="19"/>
          <w:szCs w:val="19"/>
          <w:shd w:val="clear" w:color="auto" w:fill="FFFFFF"/>
        </w:rPr>
        <w:t xml:space="preserve">Pieter J J Botha, 'History and point of view: understanding the Sadducees', </w:t>
      </w:r>
      <w:r>
        <w:rPr>
          <w:rFonts w:ascii="Arial" w:hAnsi="Arial" w:cs="Arial"/>
          <w:i/>
          <w:iCs/>
          <w:color w:val="000000"/>
          <w:sz w:val="19"/>
          <w:szCs w:val="19"/>
        </w:rPr>
        <w:t>Neotestamentica</w:t>
      </w:r>
      <w:r>
        <w:rPr>
          <w:rFonts w:ascii="Arial" w:hAnsi="Arial" w:cs="Arial"/>
          <w:color w:val="000000"/>
          <w:sz w:val="19"/>
          <w:szCs w:val="19"/>
          <w:shd w:val="clear" w:color="auto" w:fill="FFFFFF"/>
        </w:rPr>
        <w:t>, 30.2, (1996), 235-280</w:t>
      </w:r>
      <w:r>
        <w:rPr>
          <w:rFonts w:ascii="Arial" w:hAnsi="Arial" w:cs="Arial"/>
          <w:color w:val="000000"/>
          <w:sz w:val="19"/>
          <w:szCs w:val="19"/>
          <w:shd w:val="clear" w:color="auto" w:fill="FFFFFF"/>
        </w:rPr>
        <w:t>.</w:t>
      </w:r>
    </w:p>
  </w:footnote>
  <w:footnote w:id="13">
    <w:p w14:paraId="0E567931" w14:textId="3E60B6B9" w:rsidR="00AB3EE1" w:rsidRDefault="00AB3EE1">
      <w:pPr>
        <w:pStyle w:val="FootnoteText"/>
      </w:pPr>
      <w:r>
        <w:rPr>
          <w:rStyle w:val="FootnoteReference"/>
        </w:rPr>
        <w:footnoteRef/>
      </w:r>
      <w:r>
        <w:t xml:space="preserve"> </w:t>
      </w:r>
      <w:r w:rsidR="00877AB4" w:rsidRPr="00AB6135">
        <w:rPr>
          <w:rFonts w:ascii="Arial" w:eastAsia="Times New Roman" w:hAnsi="Arial" w:cs="Arial"/>
          <w:color w:val="000000"/>
          <w:sz w:val="19"/>
          <w:szCs w:val="19"/>
          <w:lang w:eastAsia="en-GB"/>
        </w:rPr>
        <w:t xml:space="preserve">William Whiston, </w:t>
      </w:r>
      <w:r w:rsidR="00877AB4" w:rsidRPr="00AB6135">
        <w:rPr>
          <w:rFonts w:ascii="Arial" w:eastAsia="Times New Roman" w:hAnsi="Arial" w:cs="Arial"/>
          <w:i/>
          <w:iCs/>
          <w:color w:val="000000"/>
          <w:sz w:val="19"/>
          <w:szCs w:val="19"/>
          <w:lang w:eastAsia="en-GB"/>
        </w:rPr>
        <w:t>Of the War, Book II</w:t>
      </w:r>
      <w:r w:rsidR="00877AB4" w:rsidRPr="00AB6135">
        <w:rPr>
          <w:rFonts w:ascii="Arial" w:eastAsia="Times New Roman" w:hAnsi="Arial" w:cs="Arial"/>
          <w:color w:val="000000"/>
          <w:sz w:val="19"/>
          <w:szCs w:val="19"/>
          <w:lang w:eastAsia="en-GB"/>
        </w:rPr>
        <w:t xml:space="preserve"> (2020) &lt;http://penelope.uchicago.edu/josephus/war-2.html&gt; [accessed 11 June 2020].</w:t>
      </w:r>
    </w:p>
  </w:footnote>
  <w:footnote w:id="14">
    <w:p w14:paraId="4E32A8DE" w14:textId="79C1E04A" w:rsidR="00877AB4" w:rsidRDefault="00877AB4">
      <w:pPr>
        <w:pStyle w:val="FootnoteText"/>
      </w:pPr>
      <w:r>
        <w:rPr>
          <w:rStyle w:val="FootnoteReference"/>
        </w:rPr>
        <w:footnoteRef/>
      </w:r>
      <w:r>
        <w:t xml:space="preserve"> </w:t>
      </w:r>
      <w:bookmarkStart w:id="8" w:name="_Hlk42871531"/>
      <w:r w:rsidR="0015745C" w:rsidRPr="00AB6135">
        <w:rPr>
          <w:rFonts w:ascii="Arial" w:eastAsia="Times New Roman" w:hAnsi="Arial" w:cs="Arial"/>
          <w:color w:val="000000"/>
          <w:sz w:val="19"/>
          <w:szCs w:val="19"/>
          <w:lang w:eastAsia="en-GB"/>
        </w:rPr>
        <w:t xml:space="preserve">William Whiston, </w:t>
      </w:r>
      <w:r w:rsidR="0015745C" w:rsidRPr="00AB6135">
        <w:rPr>
          <w:rFonts w:ascii="Arial" w:eastAsia="Times New Roman" w:hAnsi="Arial" w:cs="Arial"/>
          <w:i/>
          <w:iCs/>
          <w:color w:val="000000"/>
          <w:sz w:val="19"/>
          <w:szCs w:val="19"/>
          <w:lang w:eastAsia="en-GB"/>
        </w:rPr>
        <w:t>Of the War, Book II</w:t>
      </w:r>
      <w:r w:rsidR="0015745C" w:rsidRPr="00AB6135">
        <w:rPr>
          <w:rFonts w:ascii="Arial" w:eastAsia="Times New Roman" w:hAnsi="Arial" w:cs="Arial"/>
          <w:color w:val="000000"/>
          <w:sz w:val="19"/>
          <w:szCs w:val="19"/>
          <w:lang w:eastAsia="en-GB"/>
        </w:rPr>
        <w:t xml:space="preserve"> (2020) &lt;http://penelope.uchicago.edu/josephus/war-2.html&gt; [accessed 11 June 2020].</w:t>
      </w:r>
      <w:bookmarkEnd w:id="8"/>
    </w:p>
  </w:footnote>
  <w:footnote w:id="15">
    <w:p w14:paraId="1CC07E88" w14:textId="2DE38181" w:rsidR="002D201C" w:rsidRDefault="002D201C">
      <w:pPr>
        <w:pStyle w:val="FootnoteText"/>
      </w:pPr>
      <w:r>
        <w:rPr>
          <w:rStyle w:val="FootnoteReference"/>
        </w:rPr>
        <w:footnoteRef/>
      </w:r>
      <w:r>
        <w:t xml:space="preserve"> </w:t>
      </w:r>
      <w:r w:rsidRPr="00AB6135">
        <w:rPr>
          <w:rFonts w:ascii="Arial" w:eastAsia="Times New Roman" w:hAnsi="Arial" w:cs="Arial"/>
          <w:color w:val="000000"/>
          <w:sz w:val="19"/>
          <w:szCs w:val="19"/>
          <w:lang w:eastAsia="en-GB"/>
        </w:rPr>
        <w:t xml:space="preserve">William Whiston, </w:t>
      </w:r>
      <w:r w:rsidRPr="00AB6135">
        <w:rPr>
          <w:rFonts w:ascii="Arial" w:eastAsia="Times New Roman" w:hAnsi="Arial" w:cs="Arial"/>
          <w:i/>
          <w:iCs/>
          <w:color w:val="000000"/>
          <w:sz w:val="19"/>
          <w:szCs w:val="19"/>
          <w:lang w:eastAsia="en-GB"/>
        </w:rPr>
        <w:t>Of the War, Book II</w:t>
      </w:r>
      <w:r w:rsidRPr="00AB6135">
        <w:rPr>
          <w:rFonts w:ascii="Arial" w:eastAsia="Times New Roman" w:hAnsi="Arial" w:cs="Arial"/>
          <w:color w:val="000000"/>
          <w:sz w:val="19"/>
          <w:szCs w:val="19"/>
          <w:lang w:eastAsia="en-GB"/>
        </w:rPr>
        <w:t xml:space="preserve"> (2020) &lt;http://penelope.uchicago.edu/josephus/war-2.html&gt; [accessed 11 June 2020].</w:t>
      </w:r>
    </w:p>
  </w:footnote>
  <w:footnote w:id="16">
    <w:p w14:paraId="54021D37" w14:textId="55957B59" w:rsidR="00BC0479" w:rsidRPr="00AA660A" w:rsidRDefault="00BC0479" w:rsidP="00AA660A">
      <w:pPr>
        <w:rPr>
          <w:rFonts w:ascii="Arial" w:eastAsia="Times New Roman" w:hAnsi="Arial" w:cs="Arial"/>
          <w:color w:val="000000"/>
          <w:sz w:val="19"/>
          <w:szCs w:val="19"/>
          <w:lang w:eastAsia="en-GB"/>
        </w:rPr>
      </w:pPr>
      <w:r>
        <w:rPr>
          <w:rStyle w:val="FootnoteReference"/>
        </w:rPr>
        <w:footnoteRef/>
      </w:r>
      <w:r>
        <w:t xml:space="preserve"> </w:t>
      </w:r>
      <w:bookmarkStart w:id="9" w:name="_Hlk42876868"/>
      <w:r w:rsidR="00E47F41" w:rsidRPr="00E47F41">
        <w:rPr>
          <w:rFonts w:ascii="Arial" w:eastAsia="Times New Roman" w:hAnsi="Arial" w:cs="Arial"/>
          <w:color w:val="000000"/>
          <w:sz w:val="19"/>
          <w:szCs w:val="19"/>
          <w:lang w:eastAsia="en-GB"/>
        </w:rPr>
        <w:t xml:space="preserve">T. L. Donaldson, 'Rural Bandits, City Mobs and the Zealots', </w:t>
      </w:r>
      <w:r w:rsidR="00E47F41" w:rsidRPr="00E47F41">
        <w:rPr>
          <w:rFonts w:ascii="Arial" w:eastAsia="Times New Roman" w:hAnsi="Arial" w:cs="Arial"/>
          <w:i/>
          <w:iCs/>
          <w:color w:val="000000"/>
          <w:sz w:val="19"/>
          <w:szCs w:val="19"/>
          <w:lang w:eastAsia="en-GB"/>
        </w:rPr>
        <w:t>Journal for the Study of Judaism in the Persian, Hellenistic, and Roman Period</w:t>
      </w:r>
      <w:r w:rsidR="00E47F41" w:rsidRPr="00E47F41">
        <w:rPr>
          <w:rFonts w:ascii="Arial" w:eastAsia="Times New Roman" w:hAnsi="Arial" w:cs="Arial"/>
          <w:color w:val="000000"/>
          <w:sz w:val="19"/>
          <w:szCs w:val="19"/>
          <w:lang w:eastAsia="en-GB"/>
        </w:rPr>
        <w:t xml:space="preserve">, 21.1, (1990), 19-40 </w:t>
      </w:r>
      <w:bookmarkEnd w:id="9"/>
      <w:r w:rsidR="00E47F41" w:rsidRPr="00E47F41">
        <w:rPr>
          <w:rFonts w:ascii="Arial" w:eastAsia="Times New Roman" w:hAnsi="Arial" w:cs="Arial"/>
          <w:color w:val="000000"/>
          <w:sz w:val="19"/>
          <w:szCs w:val="19"/>
          <w:lang w:eastAsia="en-GB"/>
        </w:rPr>
        <w:t xml:space="preserve">(p. 20). </w:t>
      </w:r>
    </w:p>
  </w:footnote>
  <w:footnote w:id="17">
    <w:p w14:paraId="742A1CDD" w14:textId="602DBC16" w:rsidR="00AA660A" w:rsidRDefault="00AA660A">
      <w:pPr>
        <w:pStyle w:val="FootnoteText"/>
      </w:pPr>
      <w:r>
        <w:rPr>
          <w:rStyle w:val="FootnoteReference"/>
        </w:rPr>
        <w:footnoteRef/>
      </w:r>
      <w:r>
        <w:t xml:space="preserve"> </w:t>
      </w:r>
      <w:r w:rsidRPr="00AB6135">
        <w:rPr>
          <w:rFonts w:ascii="Arial" w:eastAsia="Times New Roman" w:hAnsi="Arial" w:cs="Arial"/>
          <w:color w:val="000000"/>
          <w:sz w:val="19"/>
          <w:szCs w:val="19"/>
          <w:lang w:eastAsia="en-GB"/>
        </w:rPr>
        <w:t xml:space="preserve">William Whiston, </w:t>
      </w:r>
      <w:r w:rsidRPr="00AB6135">
        <w:rPr>
          <w:rFonts w:ascii="Arial" w:eastAsia="Times New Roman" w:hAnsi="Arial" w:cs="Arial"/>
          <w:i/>
          <w:iCs/>
          <w:color w:val="000000"/>
          <w:sz w:val="19"/>
          <w:szCs w:val="19"/>
          <w:lang w:eastAsia="en-GB"/>
        </w:rPr>
        <w:t>Of the War, Book II</w:t>
      </w:r>
      <w:r w:rsidRPr="00AB6135">
        <w:rPr>
          <w:rFonts w:ascii="Arial" w:eastAsia="Times New Roman" w:hAnsi="Arial" w:cs="Arial"/>
          <w:color w:val="000000"/>
          <w:sz w:val="19"/>
          <w:szCs w:val="19"/>
          <w:lang w:eastAsia="en-GB"/>
        </w:rPr>
        <w:t xml:space="preserve"> (2020) &lt;http://penelope.uchicago.edu/josephus/war-2.html&gt; [accessed 11 June 2020].</w:t>
      </w:r>
    </w:p>
  </w:footnote>
  <w:footnote w:id="18">
    <w:p w14:paraId="18906D66" w14:textId="4859C7A8" w:rsidR="00A51BEE" w:rsidRDefault="00A51BEE">
      <w:pPr>
        <w:pStyle w:val="FootnoteText"/>
      </w:pPr>
      <w:r>
        <w:rPr>
          <w:rStyle w:val="FootnoteReference"/>
        </w:rPr>
        <w:footnoteRef/>
      </w:r>
      <w:r>
        <w:t xml:space="preserve"> </w:t>
      </w:r>
      <w:bookmarkStart w:id="10" w:name="_Hlk42876931"/>
      <w:r>
        <w:rPr>
          <w:rFonts w:ascii="Arial" w:hAnsi="Arial" w:cs="Arial"/>
          <w:color w:val="000000"/>
          <w:sz w:val="19"/>
          <w:szCs w:val="19"/>
          <w:shd w:val="clear" w:color="auto" w:fill="FFFFFF"/>
        </w:rPr>
        <w:t xml:space="preserve">E. J. Hobsbawm, </w:t>
      </w:r>
      <w:r>
        <w:rPr>
          <w:rFonts w:ascii="Arial" w:hAnsi="Arial" w:cs="Arial"/>
          <w:i/>
          <w:iCs/>
          <w:color w:val="000000"/>
          <w:sz w:val="19"/>
          <w:szCs w:val="19"/>
        </w:rPr>
        <w:t>Bandits</w:t>
      </w:r>
      <w:r>
        <w:rPr>
          <w:rFonts w:ascii="Arial" w:hAnsi="Arial" w:cs="Arial"/>
          <w:color w:val="000000"/>
          <w:sz w:val="19"/>
          <w:szCs w:val="19"/>
          <w:shd w:val="clear" w:color="auto" w:fill="FFFFFF"/>
        </w:rPr>
        <w:t xml:space="preserve"> (London: Weidenfeld &amp; Nicolson, 1969).</w:t>
      </w:r>
      <w:bookmarkEnd w:id="10"/>
    </w:p>
  </w:footnote>
  <w:footnote w:id="19">
    <w:p w14:paraId="6915D197" w14:textId="6AD03C9D" w:rsidR="00502233" w:rsidRDefault="00502233">
      <w:pPr>
        <w:pStyle w:val="FootnoteText"/>
      </w:pPr>
      <w:r>
        <w:rPr>
          <w:rStyle w:val="FootnoteReference"/>
        </w:rPr>
        <w:footnoteRef/>
      </w:r>
      <w:r>
        <w:t xml:space="preserve"> </w:t>
      </w:r>
      <w:r>
        <w:rPr>
          <w:rFonts w:ascii="Arial" w:hAnsi="Arial" w:cs="Arial"/>
          <w:color w:val="000000"/>
          <w:sz w:val="19"/>
          <w:szCs w:val="19"/>
          <w:shd w:val="clear" w:color="auto" w:fill="FFFFFF"/>
        </w:rPr>
        <w:t xml:space="preserve">Richard A. Horsley, 'The Sicarii: Ancient Jewish "Terrorists"', </w:t>
      </w:r>
      <w:r>
        <w:rPr>
          <w:rFonts w:ascii="Arial" w:hAnsi="Arial" w:cs="Arial"/>
          <w:i/>
          <w:iCs/>
          <w:color w:val="000000"/>
          <w:sz w:val="19"/>
          <w:szCs w:val="19"/>
        </w:rPr>
        <w:t>The Journal of Religion</w:t>
      </w:r>
      <w:r>
        <w:rPr>
          <w:rFonts w:ascii="Arial" w:hAnsi="Arial" w:cs="Arial"/>
          <w:color w:val="000000"/>
          <w:sz w:val="19"/>
          <w:szCs w:val="19"/>
          <w:shd w:val="clear" w:color="auto" w:fill="FFFFFF"/>
        </w:rPr>
        <w:t>, 59.4, (1979), 435-458.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A4B"/>
    <w:rsid w:val="00071DA3"/>
    <w:rsid w:val="000A40E7"/>
    <w:rsid w:val="000E4353"/>
    <w:rsid w:val="00107665"/>
    <w:rsid w:val="0014081A"/>
    <w:rsid w:val="00143355"/>
    <w:rsid w:val="001545CC"/>
    <w:rsid w:val="0015745C"/>
    <w:rsid w:val="001E6D16"/>
    <w:rsid w:val="00232326"/>
    <w:rsid w:val="002333A3"/>
    <w:rsid w:val="00242B0A"/>
    <w:rsid w:val="00262F7F"/>
    <w:rsid w:val="00290F4F"/>
    <w:rsid w:val="002A5151"/>
    <w:rsid w:val="002D201C"/>
    <w:rsid w:val="002D7AD3"/>
    <w:rsid w:val="00345352"/>
    <w:rsid w:val="00350BC1"/>
    <w:rsid w:val="003579F2"/>
    <w:rsid w:val="003967B8"/>
    <w:rsid w:val="00397E2A"/>
    <w:rsid w:val="003C74A9"/>
    <w:rsid w:val="003D0177"/>
    <w:rsid w:val="003D2AAB"/>
    <w:rsid w:val="00440DDF"/>
    <w:rsid w:val="00502233"/>
    <w:rsid w:val="00541613"/>
    <w:rsid w:val="00546C33"/>
    <w:rsid w:val="0056170A"/>
    <w:rsid w:val="005769F6"/>
    <w:rsid w:val="005D0767"/>
    <w:rsid w:val="00614E2D"/>
    <w:rsid w:val="00765813"/>
    <w:rsid w:val="00790048"/>
    <w:rsid w:val="007C7584"/>
    <w:rsid w:val="00831F0F"/>
    <w:rsid w:val="00836E6B"/>
    <w:rsid w:val="00861FC1"/>
    <w:rsid w:val="008725A8"/>
    <w:rsid w:val="00877AB4"/>
    <w:rsid w:val="00883EEC"/>
    <w:rsid w:val="008C7097"/>
    <w:rsid w:val="008D0D90"/>
    <w:rsid w:val="00902BA7"/>
    <w:rsid w:val="00912E19"/>
    <w:rsid w:val="0094349D"/>
    <w:rsid w:val="009C07A6"/>
    <w:rsid w:val="00A25CC3"/>
    <w:rsid w:val="00A51BEE"/>
    <w:rsid w:val="00A65A35"/>
    <w:rsid w:val="00AA660A"/>
    <w:rsid w:val="00AB371D"/>
    <w:rsid w:val="00AB3EE1"/>
    <w:rsid w:val="00AB6135"/>
    <w:rsid w:val="00AC37F0"/>
    <w:rsid w:val="00AD6228"/>
    <w:rsid w:val="00AD6BF2"/>
    <w:rsid w:val="00AE086D"/>
    <w:rsid w:val="00AE3034"/>
    <w:rsid w:val="00B82127"/>
    <w:rsid w:val="00BC0479"/>
    <w:rsid w:val="00C53586"/>
    <w:rsid w:val="00C7386F"/>
    <w:rsid w:val="00C747AB"/>
    <w:rsid w:val="00C976FC"/>
    <w:rsid w:val="00D43A90"/>
    <w:rsid w:val="00D4478F"/>
    <w:rsid w:val="00E31ABB"/>
    <w:rsid w:val="00E47F41"/>
    <w:rsid w:val="00E679BA"/>
    <w:rsid w:val="00E807ED"/>
    <w:rsid w:val="00E834A8"/>
    <w:rsid w:val="00E90F5C"/>
    <w:rsid w:val="00EB755C"/>
    <w:rsid w:val="00EC211A"/>
    <w:rsid w:val="00F435F7"/>
    <w:rsid w:val="00F44585"/>
    <w:rsid w:val="00F44749"/>
    <w:rsid w:val="00FE1A4B"/>
    <w:rsid w:val="00FF6D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1E699E"/>
  <w15:chartTrackingRefBased/>
  <w15:docId w15:val="{2168E5E2-DD47-4F6C-BCE2-94465CD41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97E2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97E2A"/>
    <w:rPr>
      <w:sz w:val="20"/>
      <w:szCs w:val="20"/>
    </w:rPr>
  </w:style>
  <w:style w:type="character" w:styleId="FootnoteReference">
    <w:name w:val="footnote reference"/>
    <w:basedOn w:val="DefaultParagraphFont"/>
    <w:uiPriority w:val="99"/>
    <w:semiHidden/>
    <w:unhideWhenUsed/>
    <w:rsid w:val="00397E2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5690552">
      <w:bodyDiv w:val="1"/>
      <w:marLeft w:val="0"/>
      <w:marRight w:val="0"/>
      <w:marTop w:val="0"/>
      <w:marBottom w:val="0"/>
      <w:divBdr>
        <w:top w:val="none" w:sz="0" w:space="0" w:color="auto"/>
        <w:left w:val="none" w:sz="0" w:space="0" w:color="auto"/>
        <w:bottom w:val="none" w:sz="0" w:space="0" w:color="auto"/>
        <w:right w:val="none" w:sz="0" w:space="0" w:color="auto"/>
      </w:divBdr>
    </w:div>
    <w:div w:id="390622146">
      <w:bodyDiv w:val="1"/>
      <w:marLeft w:val="0"/>
      <w:marRight w:val="0"/>
      <w:marTop w:val="0"/>
      <w:marBottom w:val="0"/>
      <w:divBdr>
        <w:top w:val="none" w:sz="0" w:space="0" w:color="auto"/>
        <w:left w:val="none" w:sz="0" w:space="0" w:color="auto"/>
        <w:bottom w:val="none" w:sz="0" w:space="0" w:color="auto"/>
        <w:right w:val="none" w:sz="0" w:space="0" w:color="auto"/>
      </w:divBdr>
    </w:div>
    <w:div w:id="1459028244">
      <w:bodyDiv w:val="1"/>
      <w:marLeft w:val="0"/>
      <w:marRight w:val="0"/>
      <w:marTop w:val="0"/>
      <w:marBottom w:val="0"/>
      <w:divBdr>
        <w:top w:val="none" w:sz="0" w:space="0" w:color="auto"/>
        <w:left w:val="none" w:sz="0" w:space="0" w:color="auto"/>
        <w:bottom w:val="none" w:sz="0" w:space="0" w:color="auto"/>
        <w:right w:val="none" w:sz="0" w:space="0" w:color="auto"/>
      </w:divBdr>
    </w:div>
    <w:div w:id="1640263174">
      <w:bodyDiv w:val="1"/>
      <w:marLeft w:val="0"/>
      <w:marRight w:val="0"/>
      <w:marTop w:val="0"/>
      <w:marBottom w:val="0"/>
      <w:divBdr>
        <w:top w:val="none" w:sz="0" w:space="0" w:color="auto"/>
        <w:left w:val="none" w:sz="0" w:space="0" w:color="auto"/>
        <w:bottom w:val="none" w:sz="0" w:space="0" w:color="auto"/>
        <w:right w:val="none" w:sz="0" w:space="0" w:color="auto"/>
      </w:divBdr>
    </w:div>
    <w:div w:id="1857500248">
      <w:bodyDiv w:val="1"/>
      <w:marLeft w:val="0"/>
      <w:marRight w:val="0"/>
      <w:marTop w:val="0"/>
      <w:marBottom w:val="0"/>
      <w:divBdr>
        <w:top w:val="none" w:sz="0" w:space="0" w:color="auto"/>
        <w:left w:val="none" w:sz="0" w:space="0" w:color="auto"/>
        <w:bottom w:val="none" w:sz="0" w:space="0" w:color="auto"/>
        <w:right w:val="none" w:sz="0" w:space="0" w:color="auto"/>
      </w:divBdr>
    </w:div>
    <w:div w:id="2055232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80473C-F320-4EEA-9307-2D818ADCF2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2603</Words>
  <Characters>12817</Characters>
  <Application>Microsoft Office Word</Application>
  <DocSecurity>0</DocSecurity>
  <Lines>191</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illingworth</dc:creator>
  <cp:keywords/>
  <dc:description/>
  <cp:lastModifiedBy>vicky illingworth</cp:lastModifiedBy>
  <cp:revision>2</cp:revision>
  <dcterms:created xsi:type="dcterms:W3CDTF">2020-06-12T17:01:00Z</dcterms:created>
  <dcterms:modified xsi:type="dcterms:W3CDTF">2020-06-12T17:01:00Z</dcterms:modified>
</cp:coreProperties>
</file>